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Leidos Holdings,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Leidos Holdings,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001-33072)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LEIDOS ANNOUNCES EXPIRATION OF HART-SCOTT-RODINO ACT WAITING PERIOD</w:t>
      </w:r>
    </w:p>
    <w:p>
      <w:pPr>
        <w:spacing w:after="0" w:line="229" w:lineRule="exact"/>
        <w:rPr>
          <w:sz w:val="24"/>
          <w:szCs w:val="24"/>
          <w:color w:val="auto"/>
        </w:rPr>
      </w:pPr>
    </w:p>
    <w:p>
      <w:pPr>
        <w:ind w:right="80"/>
        <w:spacing w:after="0" w:line="312" w:lineRule="auto"/>
        <w:rPr>
          <w:sz w:val="20"/>
          <w:szCs w:val="20"/>
          <w:color w:val="auto"/>
        </w:rPr>
      </w:pPr>
      <w:r>
        <w:rPr>
          <w:rFonts w:ascii="Arial" w:cs="Arial" w:eastAsia="Arial" w:hAnsi="Arial"/>
          <w:sz w:val="16"/>
          <w:szCs w:val="16"/>
          <w:color w:val="auto"/>
        </w:rPr>
        <w:t>March 29, 2016 – Leidos Holdings, Inc. (“Leidos”) today announced the expiration of the waiting period mandated for United States government antitrust review of proposed transactions under the Hart-Scott-Rodino Antitrust Improvements Act of 1976 (“HSR Act”) in connection with the previously announced combination of Leidos with Lockheed Martin’s realigned Information Systems &amp; Global Solutions business (IS&amp;GS) in a Reverse Morris Trust transaction.</w:t>
      </w:r>
    </w:p>
    <w:p>
      <w:pPr>
        <w:spacing w:after="0" w:line="1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Expiration of the waiting period under the HSR Act satisfies one of the conditions necessary for the combination. The proposed transaction remains subject to approval by the shareholders of Leidos, as well as certain other regulatory approvals and customary closing conditions.</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About Leidos</w:t>
      </w:r>
    </w:p>
    <w:p>
      <w:pPr>
        <w:spacing w:after="0" w:line="121" w:lineRule="exact"/>
        <w:rPr>
          <w:sz w:val="24"/>
          <w:szCs w:val="24"/>
          <w:color w:val="auto"/>
        </w:rPr>
      </w:pPr>
    </w:p>
    <w:p>
      <w:pPr>
        <w:ind w:right="200"/>
        <w:spacing w:after="0" w:line="279" w:lineRule="auto"/>
        <w:rPr>
          <w:sz w:val="20"/>
          <w:szCs w:val="20"/>
          <w:color w:val="auto"/>
        </w:rPr>
      </w:pPr>
      <w:r>
        <w:rPr>
          <w:rFonts w:ascii="Arial" w:cs="Arial" w:eastAsia="Arial" w:hAnsi="Arial"/>
          <w:sz w:val="17"/>
          <w:szCs w:val="17"/>
          <w:color w:val="auto"/>
        </w:rPr>
        <w:t>Leidos is a science and technology solutions leader working to address some of the world’s toughest challenges in national security, health and engineering. The Company’s 18,000 employees support vital missions for government and the commercial sector, develop innovative solutions to drive better outcomes and defend our digital and physical infrastructure from ‘new world’ threats. Headquartered in Reston, Virginia, Leidos reported annual revenues of approximately $5.09 billion for the twelve months ended January 1, 2016. For more information, visit www.Leidos.com.</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CONTACTS:</w:t>
            </w:r>
          </w:p>
        </w:tc>
        <w:tc>
          <w:tcPr>
            <w:tcW w:w="15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Media:</w:t>
            </w:r>
          </w:p>
        </w:tc>
        <w:tc>
          <w:tcPr>
            <w:tcW w:w="15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Investors:</w:t>
            </w:r>
          </w:p>
        </w:tc>
      </w:tr>
      <w:tr>
        <w:trPr>
          <w:trHeight w:val="310"/>
        </w:trPr>
        <w:tc>
          <w:tcPr>
            <w:tcW w:w="1840" w:type="dxa"/>
            <w:vAlign w:val="bottom"/>
          </w:tcPr>
          <w:p>
            <w:pPr>
              <w:spacing w:after="0"/>
              <w:rPr>
                <w:sz w:val="20"/>
                <w:szCs w:val="20"/>
                <w:color w:val="auto"/>
              </w:rPr>
            </w:pPr>
            <w:r>
              <w:rPr>
                <w:rFonts w:ascii="Arial" w:cs="Arial" w:eastAsia="Arial" w:hAnsi="Arial"/>
                <w:sz w:val="18"/>
                <w:szCs w:val="18"/>
                <w:color w:val="auto"/>
              </w:rPr>
              <w:t>Melissa Koskovich</w:t>
            </w:r>
          </w:p>
        </w:tc>
        <w:tc>
          <w:tcPr>
            <w:tcW w:w="15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Kelly P. Hernandez</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571.526.6851</w:t>
            </w:r>
          </w:p>
        </w:tc>
        <w:tc>
          <w:tcPr>
            <w:tcW w:w="3740" w:type="dxa"/>
            <w:vAlign w:val="bottom"/>
            <w:gridSpan w:val="2"/>
          </w:tcPr>
          <w:p>
            <w:pPr>
              <w:ind w:left="1500"/>
              <w:spacing w:after="0"/>
              <w:rPr>
                <w:sz w:val="20"/>
                <w:szCs w:val="20"/>
                <w:color w:val="auto"/>
              </w:rPr>
            </w:pPr>
            <w:r>
              <w:rPr>
                <w:rFonts w:ascii="Arial" w:cs="Arial" w:eastAsia="Arial" w:hAnsi="Arial"/>
                <w:sz w:val="18"/>
                <w:szCs w:val="18"/>
                <w:color w:val="auto"/>
              </w:rPr>
              <w:t>571.526.6404</w:t>
            </w:r>
          </w:p>
        </w:tc>
      </w:tr>
      <w:tr>
        <w:trPr>
          <w:trHeight w:val="190"/>
        </w:trPr>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koskovichm@leidos.com</w:t>
            </w:r>
          </w:p>
        </w:tc>
        <w:tc>
          <w:tcPr>
            <w:tcW w:w="1500" w:type="dxa"/>
            <w:vAlign w:val="bottom"/>
          </w:tcPr>
          <w:p>
            <w:pPr>
              <w:spacing w:after="0"/>
              <w:rPr>
                <w:sz w:val="16"/>
                <w:szCs w:val="16"/>
                <w:color w:val="auto"/>
              </w:rPr>
            </w:pPr>
          </w:p>
        </w:tc>
        <w:tc>
          <w:tcPr>
            <w:tcW w:w="22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Kelly.p.hernandez@leidos.com</w:t>
            </w:r>
          </w:p>
        </w:tc>
      </w:tr>
    </w:tbl>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 Looking Statements</w:t>
      </w:r>
    </w:p>
    <w:p>
      <w:pPr>
        <w:spacing w:after="0" w:line="121" w:lineRule="exact"/>
        <w:rPr>
          <w:sz w:val="24"/>
          <w:szCs w:val="24"/>
          <w:color w:val="auto"/>
        </w:rPr>
      </w:pPr>
    </w:p>
    <w:p>
      <w:pPr>
        <w:ind w:right="20"/>
        <w:spacing w:after="0" w:line="290" w:lineRule="auto"/>
        <w:rPr>
          <w:sz w:val="20"/>
          <w:szCs w:val="20"/>
          <w:color w:val="auto"/>
        </w:rPr>
      </w:pPr>
      <w:r>
        <w:rPr>
          <w:rFonts w:ascii="Arial" w:cs="Arial" w:eastAsia="Arial" w:hAnsi="Arial"/>
          <w:sz w:val="16"/>
          <w:szCs w:val="16"/>
          <w:color w:val="auto"/>
        </w:rPr>
        <w:t>The forward looking statements contained in this document involve risks and uncertainties that may affect Leidos Holdings, Inc.’s (“Leidos”) operations, markets, products, services, prices and other factors as discussed in filings with the Securities and Exchange Commission (the “SEC”). These risks and uncertainties include, but are not limited to, economic, competitive, legal, governmental and technological factors. Accordingly, there is no assurance that the expectations of Leidos will be realized. This document also contains statements about the proposed business combination transaction between Leidos and Lockheed Martin Corporation (“Lockheed Martin”), in which Lockheed Martin will separate a substantial portion of its government information technology infrastructure services business and its technical services business, which have been realigned in the Information Systems &amp; Global Solutions (IS&amp;GS) business segment, and combine this business with Leidos in a Reverse Morris Trust transaction (the “Transaction”). Many factors could cause actual results to differ materially from these forward-looking statements with respect to the Transaction, including risks relating to the completion of the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9" w:right="239" w:bottom="1440" w:gutter="0" w:footer="0" w:header="0"/>
        </w:sectPr>
      </w:pPr>
    </w:p>
    <w:bookmarkStart w:id="1" w:name="page2"/>
    <w:bookmarkEnd w:id="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on anticipated terms and timing, including obtaining stockholder and regulatory approvals, anticipated tax treatment, the dependency of any split-off transaction on market conditions and the value to be received in any split-off transaction, unforeseen liabilities, future capital expenditures, revenues, expenses, earnings, synergies, economic performance, indebtedness, financial condition, losses, future prospects, business and management strategies for the management, expansion and growth of the new combined company’s operations, Leidos’ ability to integrate the businesses successfully and to achieve anticipated synergies, and the risk that disruptions from the Transaction will harm Leidos’ business.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Leidos’ consolidated financial condition, results of operations or liquidity. For a discussion identifying additional important factors that could cause actual results to vary materially from those anticipated in the forward-looking statements, see Leidos’ filings with the SEC, including “Management’s Discussion and Analysis of Financial Condition and Results of Operations” and “Risk Factors” in Leidos’ annual report on Form 10-K for the period ended January 1, 2016, and such other filings that Leidos makes with the SEC from time to time, which are available at http://www.Leidos.com and at the SEC’s web site at http://www.sec.gov. Leidos assumes no obligation to provide revisions or updates to any forward-looking statements should circumstances change, except as otherwise required by securities and other applicable laws.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connection with the proposed transaction, Abacus Innovations Corporation, a wholly-owned subsidiary of Lockheed Martin created for the Transaction (“</w:t>
      </w:r>
      <w:r>
        <w:rPr>
          <w:rFonts w:ascii="Arial" w:cs="Arial" w:eastAsia="Arial" w:hAnsi="Arial"/>
          <w:sz w:val="17"/>
          <w:szCs w:val="17"/>
          <w:u w:val="single" w:color="auto"/>
          <w:color w:val="auto"/>
        </w:rPr>
        <w:t>Spinco</w:t>
      </w:r>
      <w:r>
        <w:rPr>
          <w:rFonts w:ascii="Arial" w:cs="Arial" w:eastAsia="Arial" w:hAnsi="Arial"/>
          <w:sz w:val="17"/>
          <w:szCs w:val="17"/>
          <w:color w:val="auto"/>
        </w:rPr>
        <w:t>”), will file with the SEC a registration statement on Form S-4/S-1 containing a prospectus and Leidos will file with the SEC a proxy statement on Schedule 14A and a registration statement on Form S-4 containing a prospectus. INVESTORS AND SECURITY HOLDERS ARE ADVISED TO READ THE REGISTRATION STATEMENTS/PROSPECTUSES AND PROXY STATEMENT WHEN THEY BECOME AVAILABLE, BECAUSE THEY WILL CONTAIN IMPORTANT INFORMATION ABOUT THE PARTIES AND THE PROPOSED TRANSACTION. Investors and security holders may obtain a free copy of the prospectuses and proxy statement (when available) and other documents filed with the SEC by Lockheed Martin, Spinco and Leidos at the SEC’s web site at http://www.sec.gov. Free copies of these documents, once available, and each of the companies’ other filings with the SEC, may also be obtained from Leidos’ web site at http://www.Leidos.com.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communication is not a solicitation of a proxy from any investor or security holder. However, Leidos, Lockheed Martin, and certain of their respective directors, executive officers and other members of management and employees, may be deemed to be participants in the solicitation of proxies from stockholders of Leidos in respect of the proposed transaction under the rules of the SEC. Information regarding Leidos’ directors and executive officers is available in Leidos’ 2015 Annual Report on Form 10-KT filed with the SEC on February 26, 2016, and in its definitive proxy statement for its annual meeting of stockholders filed on April 17, 2015. Information regarding Lockheed Martin’s directors and executive officers is available in Lockheed Martin’s 2015 Annual Report on Form 10-K filed with the SEC on February 24, 2016, and in its definitive proxy statement for its annual meeting of stockholders filed on March 11, 2016. These documents can be obtained free of charge from the sources indicated above.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2020-01-20T00:03:53Z</dcterms:created>
  <dcterms:modified xsi:type="dcterms:W3CDTF">2020-01-20T00:03:53Z</dcterms:modified>
</cp:coreProperties>
</file>