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8k.htm"/>
      <w:bookmarkStart w:id="1" w:name="ks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4"/>
        </w:rPr>
      </w:pPr>
      <w:r>
        <w:rPr>
          <w:rFonts w:ascii="Times New Roman" w:hAnsi="Times New Roman"/>
          <w:b/>
          <w:sz w:val="24"/>
        </w:rPr>
        <w:t xml:space="preserve">CURRENT REPORT </w:t>
      </w:r>
    </w:p>
    <w:p>
      <w:pPr>
        <w:pStyle w:val="TextBody"/>
        <w:spacing w:before="0" w:after="0"/>
        <w:jc w:val="center"/>
        <w:rPr>
          <w:rFonts w:ascii="Times New Roman" w:hAnsi="Times New Roman"/>
          <w:b/>
          <w:sz w:val="24"/>
        </w:rPr>
      </w:pPr>
      <w:r>
        <w:rPr>
          <w:rFonts w:ascii="Times New Roman" w:hAnsi="Times New Roman"/>
          <w:b/>
          <w:sz w:val="24"/>
        </w:rPr>
        <w:t xml:space="preserve">Pursuant to Section 13 OR 15(d) of </w:t>
      </w:r>
    </w:p>
    <w:p>
      <w:pPr>
        <w:pStyle w:val="TextBody"/>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March 30, 2010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SAIC, Inc.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0"/>
        </w:rPr>
      </w:pPr>
      <w:r>
        <w:rPr>
          <w:rFonts w:ascii="Times New Roman" w:hAnsi="Times New Roman"/>
          <w:b/>
          <w:sz w:val="20"/>
        </w:rPr>
        <w:t xml:space="preserve">Delaware </w:t>
      </w:r>
    </w:p>
    <w:p>
      <w:pPr>
        <w:pStyle w:val="TextBody"/>
        <w:spacing w:before="0" w:after="0"/>
        <w:jc w:val="center"/>
        <w:rPr>
          <w:rFonts w:ascii="Times New Roman" w:hAnsi="Times New Roman"/>
          <w:b/>
          <w:sz w:val="14"/>
        </w:rPr>
      </w:pPr>
      <w:r>
        <w:rPr>
          <w:rFonts w:ascii="Times New Roman" w:hAnsi="Times New Roman"/>
          <w:b/>
          <w:sz w:val="14"/>
        </w:rPr>
        <w:t xml:space="preserve">(State or Other Jurisdiction of Incorporation)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2"/>
        <w:gridCol w:w="204"/>
        <w:gridCol w:w="4899"/>
      </w:tblGrid>
      <w:tr>
        <w:trPr/>
        <w:tc>
          <w:tcPr>
            <w:tcW w:w="510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899"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001-33072</w:t>
            </w:r>
          </w:p>
        </w:tc>
        <w:tc>
          <w:tcPr>
            <w:tcW w:w="204" w:type="dxa"/>
            <w:tcBorders/>
            <w:shd w:fill="auto" w:val="clear"/>
            <w:vAlign w:val="bottom"/>
          </w:tcPr>
          <w:p>
            <w:pPr>
              <w:pStyle w:val="TableContents"/>
              <w:spacing w:before="0" w:after="283"/>
              <w:rPr/>
            </w:pPr>
            <w:r>
              <w:rPr/>
              <w:t> </w:t>
            </w:r>
          </w:p>
        </w:tc>
        <w:tc>
          <w:tcPr>
            <w:tcW w:w="489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20-3562868</w:t>
            </w:r>
          </w:p>
        </w:tc>
      </w:tr>
      <w:tr>
        <w:trPr/>
        <w:tc>
          <w:tcPr>
            <w:tcW w:w="5102"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(Commission File Number)</w:t>
            </w:r>
          </w:p>
        </w:tc>
        <w:tc>
          <w:tcPr>
            <w:tcW w:w="204" w:type="dxa"/>
            <w:tcBorders/>
            <w:shd w:fill="auto" w:val="clear"/>
            <w:vAlign w:val="bottom"/>
          </w:tcPr>
          <w:p>
            <w:pPr>
              <w:pStyle w:val="TableContents"/>
              <w:spacing w:before="0" w:after="283"/>
              <w:rPr/>
            </w:pPr>
            <w:r>
              <w:rPr/>
              <w:t> </w:t>
            </w:r>
          </w:p>
        </w:tc>
        <w:tc>
          <w:tcPr>
            <w:tcW w:w="4899"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(I.R.S. Employer Identification No.)</w:t>
            </w:r>
          </w:p>
        </w:tc>
      </w:tr>
    </w:tbl>
    <w:p>
      <w:pPr>
        <w:pStyle w:val="TextBody"/>
        <w:spacing w:before="180" w:after="0"/>
        <w:jc w:val="center"/>
        <w:rPr>
          <w:rFonts w:ascii="Times New Roman" w:hAnsi="Times New Roman"/>
          <w:b/>
          <w:sz w:val="20"/>
        </w:rPr>
      </w:pPr>
      <w:r>
        <w:rPr>
          <w:rFonts w:ascii="Times New Roman" w:hAnsi="Times New Roman"/>
          <w:b/>
          <w:sz w:val="20"/>
        </w:rPr>
        <w:t xml:space="preserve">1710 SAIC Drive, McLean, Virginia 22102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(Zip Code) </w:t>
      </w:r>
    </w:p>
    <w:p>
      <w:pPr>
        <w:pStyle w:val="TextBody"/>
        <w:spacing w:before="180" w:after="0"/>
        <w:jc w:val="center"/>
        <w:rPr>
          <w:rFonts w:ascii="Times New Roman" w:hAnsi="Times New Roman"/>
          <w:b/>
          <w:sz w:val="20"/>
        </w:rPr>
      </w:pPr>
      <w:r>
        <w:rPr>
          <w:rFonts w:ascii="Times New Roman" w:hAnsi="Times New Roman"/>
          <w:b/>
          <w:sz w:val="20"/>
        </w:rPr>
        <w:t xml:space="preserve">(703) 676-4300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lineRule="atLeast" w:line="141"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FORM 8-K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2.02</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spacing w:before="90" w:after="0"/>
        <w:rPr>
          <w:rFonts w:ascii="Times New Roman" w:hAnsi="Times New Roman"/>
          <w:sz w:val="20"/>
        </w:rPr>
      </w:pPr>
      <w:r>
        <w:rPr>
          <w:rFonts w:ascii="Times New Roman" w:hAnsi="Times New Roman"/>
          <w:sz w:val="20"/>
        </w:rPr>
        <w:t xml:space="preserve">On March 30, 2010, SAIC, Inc. issued a press release announcing its financial results for the fourth quarter and year ended January 31, 2010. A copy of the press release is furnished as Exhibit 99.1 to this report. </w:t>
      </w:r>
    </w:p>
    <w:p>
      <w:pPr>
        <w:pStyle w:val="TextBody"/>
        <w:spacing w:before="180" w:after="0"/>
        <w:rPr>
          <w:rFonts w:ascii="Times New Roman" w:hAnsi="Times New Roman"/>
          <w:sz w:val="20"/>
        </w:rPr>
      </w:pPr>
      <w:r>
        <w:rPr>
          <w:rFonts w:ascii="Times New Roman" w:hAnsi="Times New Roman"/>
          <w:sz w:val="20"/>
        </w:rPr>
        <w:t xml:space="preserve">In accordance with General Instruction B.2 of Form 8-K, the information in this report, including Exhibit 99.1, shall not be deemed to be filed for purposes of Section 18 of the Securities Exchange Act of 1934, as amended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Exhibits</w:t>
            </w:r>
            <w:r>
              <w:rPr>
                <w:rFonts w:ascii="Times New Roman" w:hAnsi="Times New Roman"/>
                <w:sz w:val="20"/>
              </w:rPr>
              <w:t xml:space="preserve"> </w:t>
            </w:r>
          </w:p>
        </w:tc>
      </w:tr>
    </w:tbl>
    <w:p>
      <w:pPr>
        <w:pStyle w:val="TextBody"/>
        <w:spacing w:before="180" w:after="0"/>
        <w:rPr>
          <w:rFonts w:ascii="Times New Roman" w:hAnsi="Times New Roman"/>
          <w:sz w:val="20"/>
        </w:rPr>
      </w:pPr>
      <w:r>
        <w:rPr>
          <w:rFonts w:ascii="Times New Roman" w:hAnsi="Times New Roman"/>
          <w:sz w:val="20"/>
        </w:rPr>
        <w:t xml:space="preserve">Exhibit 99.1       Press Release dated March 30, 2010 issued by SAIC, Inc.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636"/>
        <w:gridCol w:w="112"/>
        <w:gridCol w:w="386"/>
        <w:gridCol w:w="112"/>
        <w:gridCol w:w="266"/>
        <w:gridCol w:w="112"/>
        <w:gridCol w:w="4581"/>
      </w:tblGrid>
      <w:tr>
        <w:trPr/>
        <w:tc>
          <w:tcPr>
            <w:tcW w:w="463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4581" w:type="dxa"/>
            <w:tcBorders/>
            <w:shd w:fill="auto" w:val="clear"/>
            <w:vAlign w:val="center"/>
          </w:tcPr>
          <w:p>
            <w:pPr>
              <w:pStyle w:val="TableContents"/>
              <w:spacing w:before="0" w:after="283"/>
              <w:rPr>
                <w:sz w:val="4"/>
                <w:szCs w:val="4"/>
              </w:rPr>
            </w:pPr>
            <w:r>
              <w:rPr>
                <w:sz w:val="4"/>
                <w:szCs w:val="4"/>
              </w:rPr>
            </w:r>
          </w:p>
        </w:tc>
      </w:tr>
      <w:tr>
        <w:trPr/>
        <w:tc>
          <w:tcPr>
            <w:tcW w:w="4636" w:type="dxa"/>
            <w:tcBorders/>
            <w:shd w:fill="auto" w:val="clear"/>
          </w:tcPr>
          <w:p>
            <w:pPr>
              <w:pStyle w:val="TableContents"/>
              <w:spacing w:before="0" w:after="283"/>
              <w:rPr>
                <w:rFonts w:ascii="Times New Roman" w:hAnsi="Times New Roman"/>
                <w:sz w:val="20"/>
              </w:rPr>
            </w:pPr>
            <w:r>
              <w:rPr>
                <w:rFonts w:ascii="Times New Roman" w:hAnsi="Times New Roman"/>
                <w:sz w:val="20"/>
              </w:rPr>
              <w:t>(Registrant)</w:t>
            </w:r>
          </w:p>
        </w:tc>
        <w:tc>
          <w:tcPr>
            <w:tcW w:w="112"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959"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SAIC, INC.</w:t>
            </w:r>
          </w:p>
        </w:tc>
      </w:tr>
      <w:tr>
        <w:trPr>
          <w:trHeight w:val="240" w:hRule="atLeast"/>
        </w:trPr>
        <w:tc>
          <w:tcPr>
            <w:tcW w:w="4636" w:type="dxa"/>
            <w:tcBorders/>
            <w:shd w:fill="auto" w:val="clear"/>
            <w:vAlign w:val="center"/>
          </w:tcPr>
          <w:p>
            <w:pPr>
              <w:pStyle w:val="TableContents"/>
              <w:spacing w:before="0" w:after="283"/>
              <w:rPr>
                <w:sz w:val="4"/>
                <w:szCs w:val="4"/>
              </w:rPr>
            </w:pPr>
            <w:r>
              <w:rPr>
                <w:sz w:val="4"/>
                <w:szCs w:val="4"/>
              </w:rPr>
            </w:r>
          </w:p>
        </w:tc>
        <w:tc>
          <w:tcPr>
            <w:tcW w:w="498" w:type="dxa"/>
            <w:gridSpan w:val="2"/>
            <w:tcBorders/>
            <w:shd w:fill="auto" w:val="clear"/>
            <w:vAlign w:val="center"/>
          </w:tcPr>
          <w:p>
            <w:pPr>
              <w:pStyle w:val="TableContents"/>
              <w:spacing w:before="0" w:after="283"/>
              <w:rPr>
                <w:sz w:val="4"/>
                <w:szCs w:val="4"/>
              </w:rPr>
            </w:pPr>
            <w:r>
              <w:rPr>
                <w:sz w:val="4"/>
                <w:szCs w:val="4"/>
              </w:rPr>
            </w:r>
          </w:p>
        </w:tc>
        <w:tc>
          <w:tcPr>
            <w:tcW w:w="378" w:type="dxa"/>
            <w:gridSpan w:val="2"/>
            <w:tcBorders/>
            <w:shd w:fill="auto" w:val="clear"/>
            <w:vAlign w:val="center"/>
          </w:tcPr>
          <w:p>
            <w:pPr>
              <w:pStyle w:val="TableContents"/>
              <w:spacing w:before="0" w:after="283"/>
              <w:rPr>
                <w:sz w:val="4"/>
                <w:szCs w:val="4"/>
              </w:rPr>
            </w:pPr>
            <w:r>
              <w:rPr>
                <w:sz w:val="4"/>
                <w:szCs w:val="4"/>
              </w:rPr>
            </w:r>
          </w:p>
        </w:tc>
        <w:tc>
          <w:tcPr>
            <w:tcW w:w="4693" w:type="dxa"/>
            <w:gridSpan w:val="2"/>
            <w:tcBorders/>
            <w:shd w:fill="auto" w:val="clear"/>
            <w:vAlign w:val="center"/>
          </w:tcPr>
          <w:p>
            <w:pPr>
              <w:pStyle w:val="TableContents"/>
              <w:spacing w:before="0" w:after="283"/>
              <w:rPr>
                <w:sz w:val="4"/>
                <w:szCs w:val="4"/>
              </w:rPr>
            </w:pPr>
            <w:r>
              <w:rPr>
                <w:sz w:val="4"/>
                <w:szCs w:val="4"/>
              </w:rPr>
            </w:r>
          </w:p>
        </w:tc>
      </w:tr>
      <w:tr>
        <w:trPr/>
        <w:tc>
          <w:tcPr>
            <w:tcW w:w="4636" w:type="dxa"/>
            <w:tcBorders/>
            <w:shd w:fill="auto" w:val="clear"/>
          </w:tcPr>
          <w:p>
            <w:pPr>
              <w:pStyle w:val="TableContents"/>
              <w:spacing w:before="0" w:after="283"/>
              <w:rPr>
                <w:rFonts w:ascii="Times New Roman" w:hAnsi="Times New Roman"/>
                <w:sz w:val="20"/>
              </w:rPr>
            </w:pPr>
            <w:r>
              <w:rPr>
                <w:rFonts w:ascii="Times New Roman" w:hAnsi="Times New Roman"/>
                <w:sz w:val="20"/>
              </w:rPr>
              <w:t>Date: March 30, 2010</w:t>
            </w:r>
          </w:p>
        </w:tc>
        <w:tc>
          <w:tcPr>
            <w:tcW w:w="112"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12" w:type="dxa"/>
            <w:tcBorders/>
            <w:shd w:fill="auto" w:val="clear"/>
            <w:vAlign w:val="bottom"/>
          </w:tcPr>
          <w:p>
            <w:pPr>
              <w:pStyle w:val="TableContents"/>
              <w:spacing w:before="0" w:after="283"/>
              <w:rPr/>
            </w:pPr>
            <w:r>
              <w:rPr/>
              <w:t> </w:t>
            </w:r>
          </w:p>
        </w:tc>
        <w:tc>
          <w:tcPr>
            <w:tcW w:w="4581" w:type="dxa"/>
            <w:tcBorders/>
            <w:shd w:fill="auto" w:val="clear"/>
            <w:vAlign w:val="bottom"/>
          </w:tcPr>
          <w:p>
            <w:pPr>
              <w:pStyle w:val="TableContents"/>
              <w:pBdr>
                <w:bottom w:val="single" w:sz="2" w:space="1" w:color="000000"/>
              </w:pBdr>
              <w:spacing w:before="0" w:after="15"/>
              <w:jc w:val="center"/>
              <w:rPr>
                <w:rFonts w:ascii="Times New Roman" w:hAnsi="Times New Roman"/>
                <w:sz w:val="20"/>
              </w:rPr>
            </w:pPr>
            <w:r>
              <w:rPr>
                <w:rFonts w:ascii="Times New Roman" w:hAnsi="Times New Roman"/>
                <w:sz w:val="20"/>
              </w:rPr>
              <w:t>/s/    D</w:t>
            </w:r>
            <w:r>
              <w:rPr>
                <w:rFonts w:ascii="Times New Roman" w:hAnsi="Times New Roman"/>
                <w:sz w:val="14"/>
              </w:rPr>
              <w:t>OUGLAS</w:t>
            </w:r>
            <w:r>
              <w:rPr>
                <w:rFonts w:ascii="Times New Roman" w:hAnsi="Times New Roman"/>
                <w:sz w:val="20"/>
              </w:rPr>
              <w:t xml:space="preserve"> E. S</w:t>
            </w:r>
            <w:r>
              <w:rPr>
                <w:rFonts w:ascii="Times New Roman" w:hAnsi="Times New Roman"/>
                <w:sz w:val="14"/>
              </w:rPr>
              <w:t>COTT        </w:t>
            </w:r>
          </w:p>
        </w:tc>
      </w:tr>
      <w:tr>
        <w:trPr/>
        <w:tc>
          <w:tcPr>
            <w:tcW w:w="4636"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581"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Douglas E. Scott</w:t>
            </w:r>
          </w:p>
        </w:tc>
      </w:tr>
      <w:tr>
        <w:trPr/>
        <w:tc>
          <w:tcPr>
            <w:tcW w:w="4636"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w:t>
            </w:r>
          </w:p>
        </w:tc>
        <w:tc>
          <w:tcPr>
            <w:tcW w:w="112" w:type="dxa"/>
            <w:tcBorders/>
            <w:shd w:fill="auto" w:val="clear"/>
            <w:vAlign w:val="bottom"/>
          </w:tcPr>
          <w:p>
            <w:pPr>
              <w:pStyle w:val="TableContents"/>
              <w:spacing w:before="0" w:after="283"/>
              <w:rPr/>
            </w:pPr>
            <w:r>
              <w:rPr/>
              <w:t> </w:t>
            </w:r>
          </w:p>
        </w:tc>
        <w:tc>
          <w:tcPr>
            <w:tcW w:w="4581"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Executive Vice President</w:t>
            </w:r>
          </w:p>
        </w:tc>
      </w:tr>
      <w:tr>
        <w:trPr/>
        <w:tc>
          <w:tcPr>
            <w:tcW w:w="4636"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581"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General Counsel and Secretary</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TextBody"/>
        <w:spacing w:before="0" w:after="0"/>
        <w:jc w:val="right"/>
        <w:rPr>
          <w:rFonts w:ascii="Times New Roman" w:hAnsi="Times New Roman"/>
          <w:b/>
          <w:sz w:val="20"/>
        </w:rPr>
      </w:pPr>
      <w:bookmarkStart w:id="2" w:name="dex991.htm"/>
      <w:bookmarkStart w:id="3" w:name="ksdex991"/>
      <w:bookmarkEnd w:id="2"/>
      <w:bookmarkEnd w:id="3"/>
      <w:r>
        <w:rPr>
          <w:rFonts w:ascii="Times New Roman" w:hAnsi="Times New Roman"/>
          <w:b/>
          <w:sz w:val="20"/>
        </w:rPr>
        <w:t xml:space="preserve">Exhibit 99.1 </w:t>
      </w:r>
    </w:p>
    <w:p>
      <w:pPr>
        <w:pStyle w:val="TextBody"/>
        <w:spacing w:before="180" w:after="0"/>
        <w:jc w:val="center"/>
        <w:rPr>
          <w:rFonts w:ascii="Times New Roman" w:hAnsi="Times New Roman"/>
          <w:b/>
          <w:sz w:val="20"/>
        </w:rPr>
      </w:pPr>
      <w:r>
        <w:rPr>
          <w:rFonts w:ascii="Times New Roman" w:hAnsi="Times New Roman"/>
          <w:b/>
          <w:sz w:val="20"/>
        </w:rPr>
        <w:t xml:space="preserve">SAIC ANNOUNCES FINANCIAL RESULTS FOR FOURTH QUARTER </w:t>
      </w:r>
    </w:p>
    <w:p>
      <w:pPr>
        <w:pStyle w:val="TextBody"/>
        <w:spacing w:before="0" w:after="0"/>
        <w:jc w:val="center"/>
        <w:rPr>
          <w:rFonts w:ascii="Times New Roman" w:hAnsi="Times New Roman"/>
          <w:b/>
          <w:sz w:val="20"/>
        </w:rPr>
      </w:pPr>
      <w:r>
        <w:rPr>
          <w:rFonts w:ascii="Times New Roman" w:hAnsi="Times New Roman"/>
          <w:b/>
          <w:sz w:val="20"/>
        </w:rPr>
        <w:t xml:space="preserve">AND FISCAL YEAR 2010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Revenues: $2.68 billion (up 7%) for fourth quarter, $10.85 billion (up 8%) for fiscal year</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Operating Income: $209 million (up 0%) for fourth quarter, $867 million (up 12%) for fiscal year</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Diluted EPS from Continuing Operations: $0.31 (up 7%) for fourth quarter, $1.24 (up 15%) for fiscal year</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Lower guidance for fiscal year 2011 performance</w:t>
            </w:r>
            <w:r>
              <w:rPr>
                <w:rFonts w:ascii="Times New Roman" w:hAnsi="Times New Roman"/>
                <w:sz w:val="20"/>
              </w:rPr>
              <w:t xml:space="preserve"> </w:t>
            </w:r>
          </w:p>
        </w:tc>
      </w:tr>
    </w:tbl>
    <w:p>
      <w:pPr>
        <w:pStyle w:val="TextBody"/>
        <w:spacing w:before="180" w:after="0"/>
        <w:rPr>
          <w:rFonts w:ascii="Times New Roman" w:hAnsi="Times New Roman"/>
          <w:sz w:val="20"/>
        </w:rPr>
      </w:pPr>
      <w:r>
        <w:rPr>
          <w:rFonts w:ascii="Times New Roman" w:hAnsi="Times New Roman"/>
          <w:sz w:val="20"/>
        </w:rPr>
        <w:t xml:space="preserve">(McLEAN, Va.) March 30, 2010  SAIC, Inc. (NYSE: SAI), a scientific, engineering, and technology applications company, today announced financial results for the fourth quarter and fiscal year 2010, which ended January 31, 2010. </w:t>
      </w:r>
    </w:p>
    <w:p>
      <w:pPr>
        <w:pStyle w:val="TextBody"/>
        <w:spacing w:before="180" w:after="0"/>
        <w:rPr>
          <w:rFonts w:ascii="Times New Roman" w:hAnsi="Times New Roman"/>
          <w:sz w:val="20"/>
        </w:rPr>
      </w:pPr>
      <w:r>
        <w:rPr>
          <w:rFonts w:ascii="Times New Roman" w:hAnsi="Times New Roman"/>
          <w:sz w:val="20"/>
        </w:rPr>
        <w:t xml:space="preserve">We are pleased to complete the fiscal year with improved operating margin, earnings per share and cash generation, said Walt Havenstein, SAIC chief executive officer. Our market positioning is strong, particularly our understanding of our customers missions and our ability to deliver rapid-response, best-of-breed solutions for war fighters and the intelligence community. We enter fiscal year 2011 with our portfolio of capabilities well aligned with national priorities, emphasizing areas such as intelligence, surveillance, and reconnaissance (ISR), cybersecurity, logistics, energy, and health technology to fuel our growth and shareholder value prospects. </w:t>
      </w:r>
    </w:p>
    <w:p>
      <w:pPr>
        <w:pStyle w:val="TextBody"/>
        <w:spacing w:before="270" w:after="0"/>
        <w:rPr>
          <w:rFonts w:ascii="Times New Roman" w:hAnsi="Times New Roman"/>
          <w:b/>
          <w:sz w:val="20"/>
        </w:rPr>
      </w:pPr>
      <w:r>
        <w:rPr>
          <w:rFonts w:ascii="Times New Roman" w:hAnsi="Times New Roman"/>
          <w:b/>
          <w:sz w:val="20"/>
        </w:rPr>
        <w:t xml:space="preserve">Summary Operating Results </w:t>
      </w:r>
    </w:p>
    <w:p>
      <w:pPr>
        <w:pStyle w:val="TextBody"/>
        <w:spacing w:before="90" w:after="0"/>
        <w:rPr>
          <w:rFonts w:ascii="Times New Roman" w:hAnsi="Times New Roman"/>
          <w:sz w:val="20"/>
        </w:rPr>
      </w:pPr>
      <w:r>
        <w:rPr>
          <w:rFonts w:ascii="Times New Roman" w:hAnsi="Times New Roman"/>
          <w:sz w:val="20"/>
        </w:rPr>
        <w:t xml:space="preserve">Revenues for the quarter were $2.68 billion, up 7 percent from $2.52 billion in the fourth quarter of fiscal year 2009. Full-year revenues were $10.85 billion, up 8 percent from fiscal year 2009. Internal revenue growth, which includes year-over-year performance of acquisitions, represented 4 percentage points of the consolidated revenue growth for the quarter and 6 percentage points of the consolidated revenue growth for the fiscal year. Key drivers of internal revenue growth for the quarter included military logistics programs, defense systems engineering and information technology, and military healthcare information technology. </w:t>
      </w:r>
    </w:p>
    <w:p>
      <w:pPr>
        <w:pStyle w:val="TextBody"/>
        <w:spacing w:before="180" w:after="0"/>
        <w:rPr>
          <w:rFonts w:ascii="Times New Roman" w:hAnsi="Times New Roman"/>
          <w:sz w:val="20"/>
        </w:rPr>
      </w:pPr>
      <w:r>
        <w:rPr>
          <w:rFonts w:ascii="Times New Roman" w:hAnsi="Times New Roman"/>
          <w:sz w:val="20"/>
        </w:rPr>
        <w:t xml:space="preserve">Operating income for the quarter was $209 million (7.8 percent of revenue), up slightly from $208 million (8.3 percent of revenue) in the fourth quarter of fiscal year 2009. The year-over-year decline in operating margin was primarily attributable to an $8 million (28 percent) increase in bid and proposal expenses and a $6 million charge for the impairment of an intangible asset related to a fiscal year 2009 acquisition. Full-year operating income was $867 million (8.0 percent of revenue), up 12 percent from $776 million (7.7 percent of revenue) in fiscal year 2009. </w:t>
      </w:r>
    </w:p>
    <w:p>
      <w:pPr>
        <w:pStyle w:val="TextBody"/>
        <w:spacing w:before="180" w:after="0"/>
        <w:rPr>
          <w:rFonts w:ascii="Times New Roman" w:hAnsi="Times New Roman"/>
          <w:sz w:val="20"/>
        </w:rPr>
      </w:pPr>
      <w:r>
        <w:rPr>
          <w:rFonts w:ascii="Times New Roman" w:hAnsi="Times New Roman"/>
          <w:sz w:val="20"/>
        </w:rPr>
        <w:t xml:space="preserve">Income from continuing operations for the quarter was $123 million, up 3 percent from $119 million in the fourth quarter of fiscal year 2009. Full-year income from continuing operations was $500 million, up 12 percent from $447 million in fiscal year 2009.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Diluted earnings per share from continuing operations for the quarter were $0.31, up 7 percent from $0.29 in the fourth quarter of fiscal year 2009, driven by the increase in income from continuing operations and a lower share count compared to the prior year quarter. The diluted share count for the quarter was 387 million, down 3 percent from 399 million in the fourth quarter of fiscal year 2009, due primarily to share repurchases made throughout the year. Diluted earnings per share from continuing operations for the year were $1.24, up 15 percent from $1.08 in fiscal year 2009. </w:t>
      </w:r>
    </w:p>
    <w:p>
      <w:pPr>
        <w:pStyle w:val="TextBody"/>
        <w:spacing w:before="180" w:after="0"/>
        <w:rPr>
          <w:rFonts w:ascii="Times New Roman" w:hAnsi="Times New Roman"/>
          <w:sz w:val="20"/>
        </w:rPr>
      </w:pPr>
      <w:r>
        <w:rPr>
          <w:rFonts w:ascii="Times New Roman" w:hAnsi="Times New Roman"/>
          <w:sz w:val="20"/>
        </w:rPr>
        <w:t xml:space="preserve">Diluted earnings per share, which include discontinued operations, were $0.31 for the quarter, up 7 percent from $0.29 in the fourth quarter of fiscal year 2009. Diluted earnings per share for the year were $1.24, up 14 percent from $1.09 in fiscal year 2009. </w:t>
      </w:r>
    </w:p>
    <w:p>
      <w:pPr>
        <w:pStyle w:val="TextBody"/>
        <w:spacing w:before="270" w:after="0"/>
        <w:rPr>
          <w:rFonts w:ascii="Times New Roman" w:hAnsi="Times New Roman"/>
          <w:b/>
          <w:sz w:val="20"/>
        </w:rPr>
      </w:pPr>
      <w:r>
        <w:rPr>
          <w:rFonts w:ascii="Times New Roman" w:hAnsi="Times New Roman"/>
          <w:b/>
          <w:sz w:val="20"/>
        </w:rPr>
        <w:t xml:space="preserve">Cash Generation and Capital Deployment </w:t>
      </w:r>
    </w:p>
    <w:p>
      <w:pPr>
        <w:pStyle w:val="TextBody"/>
        <w:spacing w:before="90" w:after="0"/>
        <w:rPr>
          <w:rFonts w:ascii="Times New Roman" w:hAnsi="Times New Roman"/>
          <w:sz w:val="20"/>
        </w:rPr>
      </w:pPr>
      <w:r>
        <w:rPr>
          <w:rFonts w:ascii="Times New Roman" w:hAnsi="Times New Roman"/>
          <w:sz w:val="20"/>
        </w:rPr>
        <w:t xml:space="preserve">Cash flow provided by operations for fiscal year 2010 was $620 million, reflecting 1.25 times income from continuing operations and up 6 percent from $583 million in fiscal year 2009. The increase in fiscal year 2010 was primarily due to increased net income from continuing operations. Days sales outstanding were 69 days, up slightly from 68 days at the end of fiscal year 2009. </w:t>
      </w:r>
    </w:p>
    <w:p>
      <w:pPr>
        <w:pStyle w:val="TextBody"/>
        <w:spacing w:before="180" w:after="0"/>
        <w:rPr>
          <w:rFonts w:ascii="Times New Roman" w:hAnsi="Times New Roman"/>
          <w:sz w:val="20"/>
        </w:rPr>
      </w:pPr>
      <w:r>
        <w:rPr>
          <w:rFonts w:ascii="Times New Roman" w:hAnsi="Times New Roman"/>
          <w:sz w:val="20"/>
        </w:rPr>
        <w:t xml:space="preserve">During the fourth quarter of fiscal year 2010, the company used $99 million to fund acquisitions, including the acquisition of Science, Engineering, and Technology Associates Corporation, a leading provider of smart sensor-based technologies and information solutions. Also, the company used $143 million to repurchase approximately 7.6 million shares including 7.2 million under the companys stock repurchase program and the remainder in recurring repurchases from employees in settlement of withholding taxes associated with stock option exercises and vesting events. As of January 31, 2010, the company had $861 million in cash and cash equivalents and $1.1 billion in long-term debt. </w:t>
      </w:r>
    </w:p>
    <w:p>
      <w:pPr>
        <w:pStyle w:val="TextBody"/>
        <w:spacing w:before="180" w:after="0"/>
        <w:rPr>
          <w:rFonts w:ascii="Times New Roman" w:hAnsi="Times New Roman"/>
          <w:sz w:val="20"/>
        </w:rPr>
      </w:pPr>
      <w:r>
        <w:rPr>
          <w:rFonts w:ascii="Times New Roman" w:hAnsi="Times New Roman"/>
          <w:sz w:val="20"/>
        </w:rPr>
        <w:t xml:space="preserve">Mark W. Sopp, SAIC chief financial officer commented, In fiscal year 2010 we were able to meet or exceed our announced financial growth targets. Our operating performance and cash generation allowed us to deploy cash towards acquisitions and share repurchases, while maintaining a conservative balance sheet for future growth initiatives. </w:t>
      </w:r>
    </w:p>
    <w:p>
      <w:pPr>
        <w:pStyle w:val="TextBody"/>
        <w:spacing w:before="270" w:after="0"/>
        <w:rPr>
          <w:rFonts w:ascii="Times New Roman" w:hAnsi="Times New Roman"/>
          <w:b/>
          <w:sz w:val="20"/>
        </w:rPr>
      </w:pPr>
      <w:r>
        <w:rPr>
          <w:rFonts w:ascii="Times New Roman" w:hAnsi="Times New Roman"/>
          <w:b/>
          <w:sz w:val="20"/>
        </w:rPr>
        <w:t xml:space="preserve">New Business Awards </w:t>
      </w:r>
    </w:p>
    <w:p>
      <w:pPr>
        <w:pStyle w:val="TextBody"/>
        <w:spacing w:before="90" w:after="0"/>
        <w:rPr>
          <w:rFonts w:ascii="Times New Roman" w:hAnsi="Times New Roman"/>
          <w:sz w:val="20"/>
        </w:rPr>
      </w:pPr>
      <w:r>
        <w:rPr>
          <w:rFonts w:ascii="Times New Roman" w:hAnsi="Times New Roman"/>
          <w:sz w:val="20"/>
        </w:rPr>
        <w:t xml:space="preserve">Net new business bookings totaled $1.6 billion in the fourth quarter and $9.5 billion for the fiscal year, representing a book-to-bill ratio of 0.6 and 0.9 for the fourth quarter and fiscal year, respectively. Net bookings are calculated as the periods ending backlog plus the periods revenues less the prior periods ending backlog and less the backlog obtained in acquisitions during the period. Net bookings were adversely affected by lower new contract awards and reductions in backlog from the partial termination of an element of the Armys Brigade Combat Team Modernization (BCTM) program and reductions in expected realizable revenues from other defense programs. </w:t>
      </w:r>
    </w:p>
    <w:p>
      <w:pPr>
        <w:pStyle w:val="TextBody"/>
        <w:spacing w:before="180" w:after="0"/>
        <w:rPr>
          <w:rFonts w:ascii="Times New Roman" w:hAnsi="Times New Roman"/>
          <w:sz w:val="20"/>
        </w:rPr>
      </w:pPr>
      <w:r>
        <w:rPr>
          <w:rFonts w:ascii="Times New Roman" w:hAnsi="Times New Roman"/>
          <w:sz w:val="20"/>
        </w:rPr>
        <w:t xml:space="preserve">Large definite delivery contract awards received during the quarter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Space and Naval Warfare Systems Command Support. </w:t>
            </w:r>
            <w:r>
              <w:rPr>
                <w:rFonts w:ascii="Times New Roman" w:hAnsi="Times New Roman"/>
                <w:sz w:val="20"/>
              </w:rPr>
              <w:t xml:space="preserve">SAIC was awarded a five-year, $249 million task order by the Space and Naval Warfare Systems Command to provide modeling, simulation, and analytically based warfare analysis support to the Office of the Chief of Naval Operations Assessment Division.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National Aeronautics and Space Administration (NASA) Support.</w:t>
            </w:r>
            <w:r>
              <w:rPr>
                <w:rFonts w:ascii="Times New Roman" w:hAnsi="Times New Roman"/>
                <w:sz w:val="20"/>
              </w:rPr>
              <w:t xml:space="preserve"> SAIC received a $235 million contract extension to continue work on the Unified NASA Information Technology Services (UNITeS) contract. The extension raises the ceiling value of the contract  first awarded to SAIC in 2004  to more than $1.3 billion and extends the contract through January 2011. SAIC will continue to provide IT services to NASAs Marshall Space Flight Center, and support all NASA centers, including NASA headquarters.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Entergy Corporation Support.</w:t>
            </w:r>
            <w:r>
              <w:rPr>
                <w:rFonts w:ascii="Times New Roman" w:hAnsi="Times New Roman"/>
                <w:sz w:val="20"/>
              </w:rPr>
              <w:t xml:space="preserve"> Under a $219 million follow-on contract awarded by Entergy, SAIC will provide comprehensive IT support services through 2015. SAIC has supported Entergy since 1999.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National Science Foundation Support.</w:t>
            </w:r>
            <w:r>
              <w:rPr>
                <w:rFonts w:ascii="Times New Roman" w:hAnsi="Times New Roman"/>
                <w:sz w:val="20"/>
              </w:rPr>
              <w:t xml:space="preserve"> SAIC was awarded a five-year, $52 million contract by the National Science Foundation to manage its IT infrastructure and provide a comprehensive suite of IT, voice and data telecommunications, and related services.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U.S. Navy Marine Mammal Systems Program Support. </w:t>
            </w:r>
            <w:r>
              <w:rPr>
                <w:rFonts w:ascii="Times New Roman" w:hAnsi="Times New Roman"/>
                <w:sz w:val="20"/>
              </w:rPr>
              <w:t xml:space="preserve">SAIC received a five-year, $49 million, follow-on contract from the Space and Naval Warfare Systems Center Pacific to continue providing training and care for marine mammals that are part of the Navys Marine Mammal Systems Program. The program, which SAIC has supported since 1986, trains dolphins and sea lions to provide security and to find and mark the location of underwater objects.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Tarrant Regional Water District Integrated Pipeline Program Support.</w:t>
            </w:r>
            <w:r>
              <w:rPr>
                <w:rFonts w:ascii="Times New Roman" w:hAnsi="Times New Roman"/>
                <w:sz w:val="20"/>
              </w:rPr>
              <w:t xml:space="preserve"> Under an initial contract award of $8.7 million and a forecasted overall program management budget of $40 million, SAIC subsidiary R. W. Beck will provide program management services to support delivery of a new 180-mile raw water pipeline serving Tarrant Regional Water District and Dallas Water Utilities customers within the Dallas-Fort Worth Metroplex. The program is scheduled for completion in 2018. </w:t>
            </w:r>
          </w:p>
        </w:tc>
      </w:tr>
    </w:tbl>
    <w:p>
      <w:pPr>
        <w:pStyle w:val="TextBody"/>
        <w:spacing w:before="90" w:after="0"/>
        <w:rPr>
          <w:rFonts w:ascii="Times New Roman" w:hAnsi="Times New Roman"/>
          <w:sz w:val="20"/>
        </w:rPr>
      </w:pPr>
      <w:r>
        <w:rPr>
          <w:rFonts w:ascii="Times New Roman" w:hAnsi="Times New Roman"/>
          <w:sz w:val="20"/>
        </w:rPr>
        <w:t xml:space="preserve">In addition, SAIC won several indefinite-delivery/indefinite-quantity (IDIQ) and Blanket Purchase Agreement (BPA) contracts that are not included in net bookings. Awards during the quarter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U.S. Energy Information Administration (EIA) Support. </w:t>
            </w:r>
            <w:r>
              <w:rPr>
                <w:rFonts w:ascii="Times New Roman" w:hAnsi="Times New Roman"/>
                <w:sz w:val="20"/>
              </w:rPr>
              <w:t xml:space="preserve">SAIC received a follow-on contract from the U.S. Department of Energy to provide technical, managerial and project support services to the EIA. Services delivered by SAIC may include energy analysis and econometric modeling; statistical analysis; survey operations; and web and data system/software design and development. The multiple-award, five-year IDIQ contract has a contract ceiling of $288 million for the three awardees.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U.S. Department of Energy (DOE) Biomass Program Support. </w:t>
            </w:r>
            <w:r>
              <w:rPr>
                <w:rFonts w:ascii="Times New Roman" w:hAnsi="Times New Roman"/>
                <w:sz w:val="20"/>
              </w:rPr>
              <w:t xml:space="preserve">SAIC was awarded a blanket purchase agreement to provide independent engineering services to support the DOEs Office of Energy Efficiency and Renewable Energys Biomass Program. The BPAs period of performance expires September 30, 2015 and has a ceiling value of $21 million. </w:t>
            </w:r>
          </w:p>
        </w:tc>
      </w:tr>
    </w:tbl>
    <w:p>
      <w:pPr>
        <w:pStyle w:val="TextBody"/>
        <w:spacing w:before="180" w:after="0"/>
        <w:rPr>
          <w:rFonts w:ascii="Times New Roman" w:hAnsi="Times New Roman"/>
          <w:sz w:val="20"/>
        </w:rPr>
      </w:pPr>
      <w:r>
        <w:rPr>
          <w:rFonts w:ascii="Times New Roman" w:hAnsi="Times New Roman"/>
          <w:sz w:val="20"/>
        </w:rPr>
        <w:t xml:space="preserve">The companys backlog of signed business orders at the end of fiscal year 2010 was $15.6 billion, of which $5.3 billion was funded. As compared to the end of fiscal year 2009, total backlog decreased 7 percent and funded backlog decreased 6 percent. The negotiated unfunded backlog of $10.3 billion is the estimated amount of revenue to be earned in the future from negotiated contracts for which funding has not been authorized and unexercised priced contract options. Negotiated unfunded backlog does not include any estimate of future potential task orders expected to be awarded under IDIQ, GSA Schedule or other master agreement contract vehicles.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Forward Guidance </w:t>
      </w:r>
    </w:p>
    <w:p>
      <w:pPr>
        <w:pStyle w:val="TextBody"/>
        <w:spacing w:before="90" w:after="0"/>
        <w:rPr>
          <w:rFonts w:ascii="Times New Roman" w:hAnsi="Times New Roman"/>
          <w:sz w:val="20"/>
        </w:rPr>
      </w:pPr>
      <w:r>
        <w:rPr>
          <w:rFonts w:ascii="Times New Roman" w:hAnsi="Times New Roman"/>
          <w:sz w:val="20"/>
        </w:rPr>
        <w:t xml:space="preserve">In December 2009, the company provided initial guidance for fiscal year 2011, which was internal revenue growth at the low end of the companys long term goal of 6 percent to 9 percent, operating margin improvement of 20 to 30 basis points, and diluted earnings per share from continuing operations growth at the low end of the companys long term goal of 11 percent to 18 percent. </w:t>
      </w:r>
    </w:p>
    <w:p>
      <w:pPr>
        <w:pStyle w:val="TextBody"/>
        <w:spacing w:before="180" w:after="0"/>
        <w:rPr>
          <w:rFonts w:ascii="Times New Roman" w:hAnsi="Times New Roman"/>
          <w:sz w:val="20"/>
        </w:rPr>
      </w:pPr>
      <w:r>
        <w:rPr>
          <w:rFonts w:ascii="Times New Roman" w:hAnsi="Times New Roman"/>
          <w:sz w:val="20"/>
        </w:rPr>
        <w:t xml:space="preserve">For fiscal year 2011, the company is now expecting internal revenue growth in the 3 percent to 6 percent range, operating margin improvement of 10 to 20 basis points, and diluted earnings per share from continuing operations growth in the 8 percent to 14 percent range. These operating margin and diluted earnings per share expectations exclude the charges from the previously announced expiration of the Scottish Power IT outsourcing contract, currently estimated to be in the range of $20 to $30 million. </w:t>
      </w:r>
    </w:p>
    <w:p>
      <w:pPr>
        <w:pStyle w:val="TextBody"/>
        <w:spacing w:before="180" w:after="0"/>
        <w:rPr>
          <w:rFonts w:ascii="Times New Roman" w:hAnsi="Times New Roman"/>
          <w:sz w:val="20"/>
        </w:rPr>
      </w:pPr>
      <w:r>
        <w:rPr>
          <w:rFonts w:ascii="Times New Roman" w:hAnsi="Times New Roman"/>
          <w:sz w:val="20"/>
        </w:rPr>
        <w:t xml:space="preserve">The slower than anticipated pace of new contract awards, coupled with the tougher government contracting environment warrants an update to our previous expectations for fiscal year 2011, said Mark W. Sopp, SAIC chief financial officer. While there is substantial growth in submitted proposals awaiting decision over last year, the timing of decisions is uncertain. However, our contract win rates remain strong, and we believe our capabilities and investment focus on the higher growth areas position us well for the future. </w:t>
      </w:r>
    </w:p>
    <w:p>
      <w:pPr>
        <w:pStyle w:val="TextBody"/>
        <w:spacing w:before="270" w:after="0"/>
        <w:rPr>
          <w:rFonts w:ascii="Times New Roman" w:hAnsi="Times New Roman"/>
          <w:b/>
          <w:sz w:val="20"/>
        </w:rPr>
      </w:pPr>
      <w:r>
        <w:rPr>
          <w:rFonts w:ascii="Times New Roman" w:hAnsi="Times New Roman"/>
          <w:b/>
          <w:sz w:val="20"/>
        </w:rPr>
        <w:t xml:space="preserve">About SAIC </w:t>
      </w:r>
    </w:p>
    <w:p>
      <w:pPr>
        <w:pStyle w:val="TextBody"/>
        <w:spacing w:before="90" w:after="0"/>
        <w:rPr>
          <w:rFonts w:ascii="Times New Roman" w:hAnsi="Times New Roman"/>
          <w:sz w:val="20"/>
        </w:rPr>
      </w:pPr>
      <w:r>
        <w:rPr>
          <w:rFonts w:ascii="Times New Roman" w:hAnsi="Times New Roman"/>
          <w:sz w:val="20"/>
        </w:rPr>
        <w:t xml:space="preserve">SAIC is a FORTUNE 500® scientific, engineering, and technology applications company that uses its deep domain knowledge to solve problems of vital importance to the nation and the world, in national security, energy and the environment, critical infrastructure, and health. The companys approximately 46,000 employees serve customers in the U.S. Department of Defense, the intelligence community, the U.S. Department of Homeland Security, other U.S. Government civil agencies and selected commercial markets. Headquartered in McLean, Va., SAIC had annual revenues of $10.8 billion for its fiscal year ended January 31, 2010. For more information, visit www.saic.com. SAIC: From Science to Solutions® </w:t>
      </w:r>
    </w:p>
    <w:p>
      <w:pPr>
        <w:pStyle w:val="TextBody"/>
        <w:spacing w:before="270" w:after="0"/>
        <w:rPr>
          <w:rFonts w:ascii="Times New Roman" w:hAnsi="Times New Roman"/>
          <w:b/>
          <w:sz w:val="20"/>
        </w:rPr>
      </w:pPr>
      <w:r>
        <w:rPr>
          <w:rFonts w:ascii="Times New Roman" w:hAnsi="Times New Roman"/>
          <w:b/>
          <w:sz w:val="20"/>
        </w:rPr>
        <w:t xml:space="preserve">Forward-Looking Statements </w:t>
      </w:r>
    </w:p>
    <w:p>
      <w:pPr>
        <w:pStyle w:val="TextBody"/>
        <w:spacing w:before="90" w:after="0"/>
        <w:rPr>
          <w:rFonts w:ascii="Times New Roman" w:hAnsi="Times New Roman"/>
          <w:sz w:val="20"/>
        </w:rPr>
      </w:pPr>
      <w:r>
        <w:rPr>
          <w:rFonts w:ascii="Times New Roman" w:hAnsi="Times New Roman"/>
          <w:sz w:val="20"/>
        </w:rPr>
        <w:t xml:space="preserve">Certain statements in this release contain or are based on forward-looking information within the meaning of the Private Litigation Reform Act of 1995. In some cases, you can identify forward-looking statements by words such as expects, intends, plans anticipates, believes, estimates, guidance, and similar words or phrases. Forward-looking statements in this release include, among others, estimates of future revenues, earnings, backlog, outstanding shares and cash flows. These statements reflect our belief and assumptions as to future events that may not prove to be accurate. Actual performance and results may differ materially from the guidance and other forward-looking statements made in this release depending on a variety of factors, including: changes in the U.S. Government defense budget or budgetary priorities or delays in contract awards or the U.S. budget process; changes in U.S. Government procurement rules and regulations; our compliance with various U.S. Government and other government procurement rules, regulations and practices; the outcome of U.S. Government reviews, audits and investigations of our company; our ability to win contracts with the U.S. Government and others; our ability to attract, train and retain skilled employees, including our management team; our ability to maintain relationships with prime contractors, subcontractors and joint venture partners; our ability to obtain required security clearances for our employees; our ability to accurately estimate costs associated with our firm-fixed-price and other contracts; resolution of legal and other disputes with our customers and others or legal compliance issues; our ability to successfully acquire businesses and make investments; our ability to manage risks associated with our international business; our ability to compete with others in the markets in which we operate; and our ability to execute our business plan and long-term management initiatives effectively and to overcome these and other known and unknown risks that we face. These are only some of the factors that may affect the forward-looking statements contained in this release. For further information concerning risks and uncertainties associated with our business, please refer to the filings we make from time to time with the U.S. Securities and Exchange Commission, including the Risk Factors, Managements Discussion and Analysis of Financial Condition and Results of Operations and Legal Proceedings sections of our latest annual report on Form 10-K and quarterly reports on Form 10-Q, which may be viewed or obtained through the Investor Relations section of our Web site at www.saic.com.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All information in this release is as of March 30, 2010. SAIC expressly disclaims any duty to update the guidance or any other forward-looking statement provided in this release to reflect subsequent events, actual results or changes in the companys expectations. SAIC also disclaims any duty to comment upon or correct information that may be contained in reports published by investment analysts or others.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082"/>
        <w:gridCol w:w="120"/>
        <w:gridCol w:w="5003"/>
      </w:tblGrid>
      <w:tr>
        <w:trPr/>
        <w:tc>
          <w:tcPr>
            <w:tcW w:w="508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5003" w:type="dxa"/>
            <w:tcBorders/>
            <w:shd w:fill="auto" w:val="clear"/>
            <w:vAlign w:val="center"/>
          </w:tcPr>
          <w:p>
            <w:pPr>
              <w:pStyle w:val="TableContents"/>
              <w:spacing w:before="0" w:after="283"/>
              <w:rPr>
                <w:sz w:val="4"/>
                <w:szCs w:val="4"/>
              </w:rPr>
            </w:pPr>
            <w:r>
              <w:rPr>
                <w:sz w:val="4"/>
                <w:szCs w:val="4"/>
              </w:rPr>
            </w:r>
          </w:p>
        </w:tc>
      </w:tr>
      <w:tr>
        <w:trPr/>
        <w:tc>
          <w:tcPr>
            <w:tcW w:w="5082" w:type="dxa"/>
            <w:tcBorders/>
            <w:shd w:fill="auto" w:val="clear"/>
          </w:tcPr>
          <w:p>
            <w:pPr>
              <w:pStyle w:val="TableContents"/>
              <w:spacing w:before="0" w:after="283"/>
              <w:rPr>
                <w:rFonts w:ascii="Times New Roman" w:hAnsi="Times New Roman"/>
                <w:sz w:val="20"/>
              </w:rPr>
            </w:pPr>
            <w:r>
              <w:rPr>
                <w:rFonts w:ascii="Times New Roman" w:hAnsi="Times New Roman"/>
                <w:sz w:val="20"/>
              </w:rPr>
              <w:t>CONTACTS:</w:t>
            </w:r>
          </w:p>
        </w:tc>
        <w:tc>
          <w:tcPr>
            <w:tcW w:w="120" w:type="dxa"/>
            <w:tcBorders/>
            <w:shd w:fill="auto" w:val="clear"/>
            <w:vAlign w:val="bottom"/>
          </w:tcPr>
          <w:p>
            <w:pPr>
              <w:pStyle w:val="TableContents"/>
              <w:spacing w:before="0" w:after="283"/>
              <w:rPr/>
            </w:pPr>
            <w:r>
              <w:rPr/>
              <w:t>  </w:t>
            </w:r>
          </w:p>
        </w:tc>
        <w:tc>
          <w:tcPr>
            <w:tcW w:w="5003" w:type="dxa"/>
            <w:tcBorders/>
            <w:shd w:fill="auto" w:val="clear"/>
            <w:vAlign w:val="bottom"/>
          </w:tcPr>
          <w:p>
            <w:pPr>
              <w:pStyle w:val="TableContents"/>
              <w:spacing w:before="0" w:after="283"/>
              <w:rPr>
                <w:sz w:val="4"/>
                <w:szCs w:val="4"/>
              </w:rPr>
            </w:pPr>
            <w:r>
              <w:rPr>
                <w:sz w:val="4"/>
                <w:szCs w:val="4"/>
              </w:rPr>
            </w:r>
          </w:p>
        </w:tc>
      </w:tr>
      <w:tr>
        <w:trPr/>
        <w:tc>
          <w:tcPr>
            <w:tcW w:w="5082" w:type="dxa"/>
            <w:tcBorders/>
            <w:shd w:fill="auto" w:val="clear"/>
          </w:tcPr>
          <w:p>
            <w:pPr>
              <w:pStyle w:val="TableContents"/>
              <w:spacing w:before="0" w:after="283"/>
              <w:rPr>
                <w:rFonts w:ascii="Times New Roman" w:hAnsi="Times New Roman"/>
                <w:sz w:val="20"/>
              </w:rPr>
            </w:pPr>
            <w:r>
              <w:rPr>
                <w:rFonts w:ascii="Times New Roman" w:hAnsi="Times New Roman"/>
                <w:sz w:val="20"/>
              </w:rPr>
              <w:t>Investor Relations:</w:t>
            </w:r>
          </w:p>
        </w:tc>
        <w:tc>
          <w:tcPr>
            <w:tcW w:w="120" w:type="dxa"/>
            <w:tcBorders/>
            <w:shd w:fill="auto" w:val="clear"/>
            <w:vAlign w:val="bottom"/>
          </w:tcPr>
          <w:p>
            <w:pPr>
              <w:pStyle w:val="TableContents"/>
              <w:spacing w:before="0" w:after="283"/>
              <w:rPr/>
            </w:pPr>
            <w:r>
              <w:rPr/>
              <w:t>  </w:t>
            </w:r>
          </w:p>
        </w:tc>
        <w:tc>
          <w:tcPr>
            <w:tcW w:w="5003" w:type="dxa"/>
            <w:tcBorders/>
            <w:shd w:fill="auto" w:val="clear"/>
            <w:vAlign w:val="bottom"/>
          </w:tcPr>
          <w:p>
            <w:pPr>
              <w:pStyle w:val="TableContents"/>
              <w:spacing w:before="0" w:after="283"/>
              <w:rPr>
                <w:sz w:val="4"/>
                <w:szCs w:val="4"/>
              </w:rPr>
            </w:pPr>
            <w:r>
              <w:rPr>
                <w:sz w:val="4"/>
                <w:szCs w:val="4"/>
              </w:rPr>
            </w:r>
          </w:p>
        </w:tc>
      </w:tr>
      <w:tr>
        <w:trPr/>
        <w:tc>
          <w:tcPr>
            <w:tcW w:w="5082" w:type="dxa"/>
            <w:tcBorders/>
            <w:shd w:fill="auto" w:val="clear"/>
          </w:tcPr>
          <w:p>
            <w:pPr>
              <w:pStyle w:val="TableContents"/>
              <w:spacing w:before="0" w:after="283"/>
              <w:rPr>
                <w:rFonts w:ascii="Times New Roman" w:hAnsi="Times New Roman"/>
                <w:sz w:val="20"/>
              </w:rPr>
            </w:pPr>
            <w:r>
              <w:rPr>
                <w:rFonts w:ascii="Times New Roman" w:hAnsi="Times New Roman"/>
                <w:sz w:val="20"/>
              </w:rPr>
              <w:t>Mark Sopp</w:t>
            </w:r>
          </w:p>
        </w:tc>
        <w:tc>
          <w:tcPr>
            <w:tcW w:w="120" w:type="dxa"/>
            <w:tcBorders/>
            <w:shd w:fill="auto" w:val="clear"/>
            <w:vAlign w:val="bottom"/>
          </w:tcPr>
          <w:p>
            <w:pPr>
              <w:pStyle w:val="TableContents"/>
              <w:spacing w:before="0" w:after="283"/>
              <w:rPr/>
            </w:pPr>
            <w:r>
              <w:rPr/>
              <w:t>  </w:t>
            </w:r>
          </w:p>
        </w:tc>
        <w:tc>
          <w:tcPr>
            <w:tcW w:w="5003" w:type="dxa"/>
            <w:tcBorders/>
            <w:shd w:fill="auto" w:val="clear"/>
            <w:vAlign w:val="bottom"/>
          </w:tcPr>
          <w:p>
            <w:pPr>
              <w:pStyle w:val="TableContents"/>
              <w:spacing w:before="0" w:after="283"/>
              <w:rPr>
                <w:sz w:val="4"/>
                <w:szCs w:val="4"/>
              </w:rPr>
            </w:pPr>
            <w:r>
              <w:rPr>
                <w:sz w:val="4"/>
                <w:szCs w:val="4"/>
              </w:rPr>
            </w:r>
          </w:p>
        </w:tc>
      </w:tr>
      <w:tr>
        <w:trPr/>
        <w:tc>
          <w:tcPr>
            <w:tcW w:w="5082" w:type="dxa"/>
            <w:tcBorders/>
            <w:shd w:fill="auto" w:val="clear"/>
          </w:tcPr>
          <w:p>
            <w:pPr>
              <w:pStyle w:val="TableContents"/>
              <w:spacing w:before="0" w:after="283"/>
              <w:rPr>
                <w:rFonts w:ascii="Times New Roman" w:hAnsi="Times New Roman"/>
                <w:sz w:val="20"/>
              </w:rPr>
            </w:pPr>
            <w:r>
              <w:rPr>
                <w:rFonts w:ascii="Times New Roman" w:hAnsi="Times New Roman"/>
                <w:sz w:val="20"/>
              </w:rPr>
              <w:t>703-676-2283</w:t>
            </w:r>
          </w:p>
        </w:tc>
        <w:tc>
          <w:tcPr>
            <w:tcW w:w="120" w:type="dxa"/>
            <w:tcBorders/>
            <w:shd w:fill="auto" w:val="clear"/>
            <w:vAlign w:val="bottom"/>
          </w:tcPr>
          <w:p>
            <w:pPr>
              <w:pStyle w:val="TableContents"/>
              <w:spacing w:before="0" w:after="283"/>
              <w:rPr/>
            </w:pPr>
            <w:r>
              <w:rPr/>
              <w:t>  </w:t>
            </w:r>
          </w:p>
        </w:tc>
        <w:tc>
          <w:tcPr>
            <w:tcW w:w="5003"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5082" w:type="dxa"/>
            <w:tcBorders/>
            <w:shd w:fill="auto" w:val="clear"/>
            <w:vAlign w:val="center"/>
          </w:tcPr>
          <w:p>
            <w:pPr>
              <w:pStyle w:val="TableContents"/>
              <w:spacing w:before="0" w:after="283"/>
              <w:rPr>
                <w:sz w:val="4"/>
                <w:szCs w:val="4"/>
              </w:rPr>
            </w:pPr>
            <w:r>
              <w:rPr>
                <w:sz w:val="4"/>
                <w:szCs w:val="4"/>
              </w:rPr>
            </w:r>
          </w:p>
        </w:tc>
        <w:tc>
          <w:tcPr>
            <w:tcW w:w="5123" w:type="dxa"/>
            <w:gridSpan w:val="2"/>
            <w:tcBorders/>
            <w:shd w:fill="auto" w:val="clear"/>
            <w:vAlign w:val="center"/>
          </w:tcPr>
          <w:p>
            <w:pPr>
              <w:pStyle w:val="TableContents"/>
              <w:spacing w:before="0" w:after="283"/>
              <w:rPr>
                <w:sz w:val="4"/>
                <w:szCs w:val="4"/>
              </w:rPr>
            </w:pPr>
            <w:r>
              <w:rPr>
                <w:sz w:val="4"/>
                <w:szCs w:val="4"/>
              </w:rPr>
            </w:r>
          </w:p>
        </w:tc>
      </w:tr>
      <w:tr>
        <w:trPr/>
        <w:tc>
          <w:tcPr>
            <w:tcW w:w="5082" w:type="dxa"/>
            <w:tcBorders/>
            <w:shd w:fill="auto" w:val="clear"/>
          </w:tcPr>
          <w:p>
            <w:pPr>
              <w:pStyle w:val="TableContents"/>
              <w:spacing w:before="0" w:after="283"/>
              <w:rPr>
                <w:rFonts w:ascii="Times New Roman" w:hAnsi="Times New Roman"/>
                <w:sz w:val="20"/>
              </w:rPr>
            </w:pPr>
            <w:r>
              <w:rPr>
                <w:rFonts w:ascii="Times New Roman" w:hAnsi="Times New Roman"/>
                <w:sz w:val="20"/>
              </w:rPr>
              <w:t>Media Relations:</w:t>
            </w:r>
          </w:p>
        </w:tc>
        <w:tc>
          <w:tcPr>
            <w:tcW w:w="120" w:type="dxa"/>
            <w:tcBorders/>
            <w:shd w:fill="auto" w:val="clear"/>
            <w:vAlign w:val="bottom"/>
          </w:tcPr>
          <w:p>
            <w:pPr>
              <w:pStyle w:val="TableContents"/>
              <w:spacing w:before="0" w:after="283"/>
              <w:rPr/>
            </w:pPr>
            <w:r>
              <w:rPr/>
              <w:t>  </w:t>
            </w:r>
          </w:p>
        </w:tc>
        <w:tc>
          <w:tcPr>
            <w:tcW w:w="5003" w:type="dxa"/>
            <w:tcBorders/>
            <w:shd w:fill="auto" w:val="clear"/>
            <w:vAlign w:val="bottom"/>
          </w:tcPr>
          <w:p>
            <w:pPr>
              <w:pStyle w:val="TableContents"/>
              <w:spacing w:before="0" w:after="283"/>
              <w:rPr>
                <w:sz w:val="4"/>
                <w:szCs w:val="4"/>
              </w:rPr>
            </w:pPr>
            <w:r>
              <w:rPr>
                <w:sz w:val="4"/>
                <w:szCs w:val="4"/>
              </w:rPr>
            </w:r>
          </w:p>
        </w:tc>
      </w:tr>
      <w:tr>
        <w:trPr/>
        <w:tc>
          <w:tcPr>
            <w:tcW w:w="5082" w:type="dxa"/>
            <w:tcBorders/>
            <w:shd w:fill="auto" w:val="clear"/>
          </w:tcPr>
          <w:p>
            <w:pPr>
              <w:pStyle w:val="TableContents"/>
              <w:spacing w:before="0" w:after="283"/>
              <w:rPr>
                <w:rFonts w:ascii="Times New Roman" w:hAnsi="Times New Roman"/>
                <w:sz w:val="20"/>
              </w:rPr>
            </w:pPr>
            <w:r>
              <w:rPr>
                <w:rFonts w:ascii="Times New Roman" w:hAnsi="Times New Roman"/>
                <w:sz w:val="20"/>
              </w:rPr>
              <w:t>Laura Luke</w:t>
            </w:r>
          </w:p>
        </w:tc>
        <w:tc>
          <w:tcPr>
            <w:tcW w:w="120" w:type="dxa"/>
            <w:tcBorders/>
            <w:shd w:fill="auto" w:val="clear"/>
            <w:vAlign w:val="bottom"/>
          </w:tcPr>
          <w:p>
            <w:pPr>
              <w:pStyle w:val="TableContents"/>
              <w:spacing w:before="0" w:after="283"/>
              <w:rPr/>
            </w:pPr>
            <w:r>
              <w:rPr/>
              <w:t>  </w:t>
            </w:r>
          </w:p>
        </w:tc>
        <w:tc>
          <w:tcPr>
            <w:tcW w:w="50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Melissa Koskovich</w:t>
            </w:r>
          </w:p>
        </w:tc>
      </w:tr>
      <w:tr>
        <w:trPr/>
        <w:tc>
          <w:tcPr>
            <w:tcW w:w="5082" w:type="dxa"/>
            <w:tcBorders/>
            <w:shd w:fill="auto" w:val="clear"/>
          </w:tcPr>
          <w:p>
            <w:pPr>
              <w:pStyle w:val="TableContents"/>
              <w:spacing w:before="0" w:after="283"/>
              <w:rPr>
                <w:rFonts w:ascii="Times New Roman" w:hAnsi="Times New Roman"/>
                <w:sz w:val="20"/>
              </w:rPr>
            </w:pPr>
            <w:r>
              <w:rPr>
                <w:rFonts w:ascii="Times New Roman" w:hAnsi="Times New Roman"/>
                <w:sz w:val="20"/>
              </w:rPr>
              <w:t>703-676-6533</w:t>
            </w:r>
          </w:p>
        </w:tc>
        <w:tc>
          <w:tcPr>
            <w:tcW w:w="120" w:type="dxa"/>
            <w:tcBorders/>
            <w:shd w:fill="auto" w:val="clear"/>
            <w:vAlign w:val="bottom"/>
          </w:tcPr>
          <w:p>
            <w:pPr>
              <w:pStyle w:val="TableContents"/>
              <w:spacing w:before="0" w:after="283"/>
              <w:rPr/>
            </w:pPr>
            <w:r>
              <w:rPr/>
              <w:t>  </w:t>
            </w:r>
          </w:p>
        </w:tc>
        <w:tc>
          <w:tcPr>
            <w:tcW w:w="50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703-676-6762</w:t>
            </w:r>
          </w:p>
        </w:tc>
      </w:tr>
      <w:tr>
        <w:trPr/>
        <w:tc>
          <w:tcPr>
            <w:tcW w:w="5082" w:type="dxa"/>
            <w:tcBorders/>
            <w:shd w:fill="auto" w:val="clear"/>
          </w:tcPr>
          <w:p>
            <w:pPr>
              <w:pStyle w:val="TableContents"/>
              <w:spacing w:before="0" w:after="283"/>
              <w:rPr>
                <w:rFonts w:ascii="Times New Roman" w:hAnsi="Times New Roman"/>
                <w:sz w:val="20"/>
              </w:rPr>
            </w:pPr>
            <w:r>
              <w:rPr>
                <w:rFonts w:ascii="Times New Roman" w:hAnsi="Times New Roman"/>
                <w:sz w:val="20"/>
              </w:rPr>
              <w:t>laura.luke@saic.com</w:t>
            </w:r>
          </w:p>
        </w:tc>
        <w:tc>
          <w:tcPr>
            <w:tcW w:w="120" w:type="dxa"/>
            <w:tcBorders/>
            <w:shd w:fill="auto" w:val="clear"/>
            <w:vAlign w:val="bottom"/>
          </w:tcPr>
          <w:p>
            <w:pPr>
              <w:pStyle w:val="TableContents"/>
              <w:spacing w:before="0" w:after="283"/>
              <w:rPr/>
            </w:pPr>
            <w:r>
              <w:rPr/>
              <w:t>  </w:t>
            </w:r>
          </w:p>
        </w:tc>
        <w:tc>
          <w:tcPr>
            <w:tcW w:w="50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melissa.l.koskovich@saic.com</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SAIC, INC. </w:t>
      </w:r>
    </w:p>
    <w:p>
      <w:pPr>
        <w:pStyle w:val="TextBody"/>
        <w:spacing w:before="0" w:after="0"/>
        <w:jc w:val="center"/>
        <w:rPr>
          <w:rFonts w:ascii="Times New Roman" w:hAnsi="Times New Roman"/>
          <w:b/>
          <w:sz w:val="20"/>
        </w:rPr>
      </w:pPr>
      <w:r>
        <w:rPr>
          <w:rFonts w:ascii="Times New Roman" w:hAnsi="Times New Roman"/>
          <w:b/>
          <w:sz w:val="20"/>
        </w:rPr>
        <w:t xml:space="preserve">CONSOLIDATED STATEMENTS OF INCOME </w:t>
      </w:r>
    </w:p>
    <w:p>
      <w:pPr>
        <w:pStyle w:val="TextBody"/>
        <w:spacing w:before="0" w:after="0"/>
        <w:jc w:val="center"/>
        <w:rPr>
          <w:rFonts w:ascii="Times New Roman" w:hAnsi="Times New Roman"/>
          <w:b/>
          <w:sz w:val="20"/>
        </w:rPr>
      </w:pPr>
      <w:r>
        <w:rPr>
          <w:rFonts w:ascii="Times New Roman" w:hAnsi="Times New Roman"/>
          <w:b/>
          <w:sz w:val="20"/>
        </w:rPr>
        <w:t xml:space="preserve">(Unaudited, in millions, except per share amounts)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48"/>
        <w:gridCol w:w="207"/>
        <w:gridCol w:w="125"/>
        <w:gridCol w:w="488"/>
        <w:gridCol w:w="125"/>
        <w:gridCol w:w="161"/>
        <w:gridCol w:w="125"/>
        <w:gridCol w:w="488"/>
        <w:gridCol w:w="124"/>
        <w:gridCol w:w="161"/>
        <w:gridCol w:w="125"/>
        <w:gridCol w:w="626"/>
        <w:gridCol w:w="125"/>
        <w:gridCol w:w="161"/>
        <w:gridCol w:w="125"/>
        <w:gridCol w:w="626"/>
        <w:gridCol w:w="125"/>
        <w:gridCol w:w="161"/>
        <w:gridCol w:w="124"/>
        <w:gridCol w:w="488"/>
        <w:gridCol w:w="667"/>
      </w:tblGrid>
      <w:tr>
        <w:trPr/>
        <w:tc>
          <w:tcPr>
            <w:tcW w:w="4848"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r>
      <w:tr>
        <w:trPr/>
        <w:tc>
          <w:tcPr>
            <w:tcW w:w="484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512"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Three Months Ended</w:t>
            </w:r>
            <w:r>
              <w:rPr/>
              <w:br/>
            </w:r>
            <w:r>
              <w:rPr>
                <w:rFonts w:ascii="Times New Roman" w:hAnsi="Times New Roman"/>
                <w:b/>
                <w:sz w:val="14"/>
              </w:rPr>
              <w:t>January 31</w:t>
            </w:r>
          </w:p>
        </w:tc>
        <w:tc>
          <w:tcPr>
            <w:tcW w:w="12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686" w:type="dxa"/>
            <w:gridSpan w:val="10"/>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Year Ended</w:t>
            </w:r>
            <w:r>
              <w:rPr/>
              <w:br/>
            </w:r>
            <w:r>
              <w:rPr>
                <w:rFonts w:ascii="Times New Roman" w:hAnsi="Times New Roman"/>
                <w:b/>
                <w:sz w:val="14"/>
              </w:rPr>
              <w:t>January 31</w:t>
            </w:r>
          </w:p>
        </w:tc>
        <w:tc>
          <w:tcPr>
            <w:tcW w:w="667" w:type="dxa"/>
            <w:tcBorders/>
            <w:shd w:fill="auto" w:val="clear"/>
            <w:vAlign w:val="bottom"/>
          </w:tcPr>
          <w:p>
            <w:pPr>
              <w:pStyle w:val="TableContents"/>
              <w:spacing w:before="0" w:after="283"/>
              <w:rPr/>
            </w:pPr>
            <w:r>
              <w:rPr/>
              <w:t> </w:t>
            </w:r>
          </w:p>
        </w:tc>
      </w:tr>
      <w:tr>
        <w:trPr/>
        <w:tc>
          <w:tcPr>
            <w:tcW w:w="484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61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1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5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5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1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667" w:type="dxa"/>
            <w:tcBorders/>
            <w:shd w:fill="auto" w:val="clear"/>
            <w:vAlign w:val="bottom"/>
          </w:tcPr>
          <w:p>
            <w:pPr>
              <w:pStyle w:val="TableContents"/>
              <w:spacing w:before="0" w:after="283"/>
              <w:rPr/>
            </w:pPr>
            <w:r>
              <w:rPr/>
              <w:t> </w:t>
            </w:r>
          </w:p>
        </w:tc>
      </w:tr>
      <w:tr>
        <w:trPr/>
        <w:tc>
          <w:tcPr>
            <w:tcW w:w="4848"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2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2,683</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2,518</w:t>
            </w:r>
          </w:p>
        </w:tc>
        <w:tc>
          <w:tcPr>
            <w:tcW w:w="12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10,846</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10,070</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8,926</w:t>
            </w:r>
          </w:p>
        </w:tc>
        <w:tc>
          <w:tcPr>
            <w:tcW w:w="667" w:type="dxa"/>
            <w:tcBorders/>
            <w:shd w:fill="CCEEFF" w:val="clear"/>
            <w:vAlign w:val="bottom"/>
          </w:tcPr>
          <w:p>
            <w:pPr>
              <w:pStyle w:val="TableContents"/>
              <w:spacing w:before="0" w:after="283"/>
              <w:rPr/>
            </w:pPr>
            <w:r>
              <w:rPr/>
              <w:t>  </w:t>
            </w:r>
          </w:p>
        </w:tc>
      </w:tr>
      <w:tr>
        <w:trPr/>
        <w:tc>
          <w:tcPr>
            <w:tcW w:w="4848" w:type="dxa"/>
            <w:tcBorders/>
            <w:shd w:fill="auto" w:val="clear"/>
          </w:tcPr>
          <w:p>
            <w:pPr>
              <w:pStyle w:val="TableContents"/>
              <w:spacing w:before="0" w:after="283"/>
              <w:rPr>
                <w:rFonts w:ascii="Times New Roman" w:hAnsi="Times New Roman"/>
                <w:sz w:val="20"/>
              </w:rPr>
            </w:pPr>
            <w:r>
              <w:rPr>
                <w:rFonts w:ascii="Times New Roman" w:hAnsi="Times New Roman"/>
                <w:sz w:val="20"/>
              </w:rPr>
              <w:t>Costs and expenses:</w:t>
            </w:r>
          </w:p>
        </w:tc>
        <w:tc>
          <w:tcPr>
            <w:tcW w:w="2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8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88"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2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2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488" w:type="dxa"/>
            <w:tcBorders/>
            <w:shd w:fill="auto" w:val="clear"/>
            <w:vAlign w:val="bottom"/>
          </w:tcPr>
          <w:p>
            <w:pPr>
              <w:pStyle w:val="TableContents"/>
              <w:spacing w:before="0" w:after="283"/>
              <w:rPr>
                <w:sz w:val="4"/>
                <w:szCs w:val="4"/>
              </w:rPr>
            </w:pPr>
            <w:r>
              <w:rPr>
                <w:sz w:val="4"/>
                <w:szCs w:val="4"/>
              </w:rPr>
            </w:r>
          </w:p>
        </w:tc>
        <w:tc>
          <w:tcPr>
            <w:tcW w:w="667" w:type="dxa"/>
            <w:tcBorders/>
            <w:shd w:fill="auto" w:val="clear"/>
            <w:vAlign w:val="bottom"/>
          </w:tcPr>
          <w:p>
            <w:pPr>
              <w:pStyle w:val="TableContents"/>
              <w:spacing w:before="0" w:after="283"/>
              <w:rPr>
                <w:sz w:val="4"/>
                <w:szCs w:val="4"/>
              </w:rPr>
            </w:pPr>
            <w:r>
              <w:rPr>
                <w:sz w:val="4"/>
                <w:szCs w:val="4"/>
              </w:rPr>
            </w:r>
          </w:p>
        </w:tc>
      </w:tr>
      <w:tr>
        <w:trPr/>
        <w:tc>
          <w:tcPr>
            <w:tcW w:w="4848" w:type="dxa"/>
            <w:tcBorders/>
            <w:shd w:fill="CCEEFF" w:val="clear"/>
          </w:tcPr>
          <w:p>
            <w:pPr>
              <w:pStyle w:val="TableContents"/>
              <w:spacing w:before="0" w:after="283"/>
              <w:rPr>
                <w:rFonts w:ascii="Times New Roman" w:hAnsi="Times New Roman"/>
                <w:sz w:val="20"/>
              </w:rPr>
            </w:pPr>
            <w:r>
              <w:rPr>
                <w:rFonts w:ascii="Times New Roman" w:hAnsi="Times New Roman"/>
                <w:sz w:val="20"/>
              </w:rPr>
              <w:t>Cost of revenues</w:t>
            </w:r>
          </w:p>
        </w:tc>
        <w:tc>
          <w:tcPr>
            <w:tcW w:w="2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2,301</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2,163</w:t>
            </w:r>
          </w:p>
        </w:tc>
        <w:tc>
          <w:tcPr>
            <w:tcW w:w="12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9,343</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8,692</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7,686</w:t>
            </w:r>
          </w:p>
        </w:tc>
        <w:tc>
          <w:tcPr>
            <w:tcW w:w="667" w:type="dxa"/>
            <w:tcBorders/>
            <w:shd w:fill="CCEEFF" w:val="clear"/>
            <w:vAlign w:val="bottom"/>
          </w:tcPr>
          <w:p>
            <w:pPr>
              <w:pStyle w:val="TableContents"/>
              <w:spacing w:before="0" w:after="283"/>
              <w:rPr/>
            </w:pPr>
            <w:r>
              <w:rPr/>
              <w:t>  </w:t>
            </w:r>
          </w:p>
        </w:tc>
      </w:tr>
      <w:tr>
        <w:trPr/>
        <w:tc>
          <w:tcPr>
            <w:tcW w:w="4848" w:type="dxa"/>
            <w:tcBorders/>
            <w:shd w:fill="auto" w:val="clear"/>
          </w:tcPr>
          <w:p>
            <w:pPr>
              <w:pStyle w:val="TableContents"/>
              <w:spacing w:before="0" w:after="283"/>
              <w:rPr>
                <w:rFonts w:ascii="Times New Roman" w:hAnsi="Times New Roman"/>
                <w:sz w:val="20"/>
              </w:rPr>
            </w:pPr>
            <w:r>
              <w:rPr>
                <w:rFonts w:ascii="Times New Roman" w:hAnsi="Times New Roman"/>
                <w:sz w:val="20"/>
              </w:rPr>
              <w:t>Selling, general and administrative expenses</w:t>
            </w:r>
          </w:p>
        </w:tc>
        <w:tc>
          <w:tcPr>
            <w:tcW w:w="2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173</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w:t>
            </w:r>
          </w:p>
        </w:tc>
        <w:tc>
          <w:tcPr>
            <w:tcW w:w="12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636</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602</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567</w:t>
            </w:r>
          </w:p>
        </w:tc>
        <w:tc>
          <w:tcPr>
            <w:tcW w:w="667" w:type="dxa"/>
            <w:tcBorders/>
            <w:shd w:fill="auto" w:val="clear"/>
            <w:vAlign w:val="bottom"/>
          </w:tcPr>
          <w:p>
            <w:pPr>
              <w:pStyle w:val="TableContents"/>
              <w:spacing w:before="0" w:after="283"/>
              <w:rPr/>
            </w:pPr>
            <w:r>
              <w:rPr/>
              <w:t>  </w:t>
            </w:r>
          </w:p>
        </w:tc>
      </w:tr>
      <w:tr>
        <w:trPr/>
        <w:tc>
          <w:tcPr>
            <w:tcW w:w="4848"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r>
      <w:tr>
        <w:trPr/>
        <w:tc>
          <w:tcPr>
            <w:tcW w:w="4848"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2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w:t>
            </w:r>
          </w:p>
        </w:tc>
        <w:tc>
          <w:tcPr>
            <w:tcW w:w="12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867</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776</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673</w:t>
            </w:r>
          </w:p>
        </w:tc>
        <w:tc>
          <w:tcPr>
            <w:tcW w:w="667" w:type="dxa"/>
            <w:tcBorders/>
            <w:shd w:fill="CCEEFF" w:val="clear"/>
            <w:vAlign w:val="bottom"/>
          </w:tcPr>
          <w:p>
            <w:pPr>
              <w:pStyle w:val="TableContents"/>
              <w:spacing w:before="0" w:after="283"/>
              <w:rPr/>
            </w:pPr>
            <w:r>
              <w:rPr/>
              <w:t>  </w:t>
            </w:r>
          </w:p>
        </w:tc>
      </w:tr>
      <w:tr>
        <w:trPr/>
        <w:tc>
          <w:tcPr>
            <w:tcW w:w="4848" w:type="dxa"/>
            <w:tcBorders/>
            <w:shd w:fill="auto" w:val="clear"/>
          </w:tcPr>
          <w:p>
            <w:pPr>
              <w:pStyle w:val="TableContents"/>
              <w:spacing w:before="0" w:after="283"/>
              <w:rPr>
                <w:rFonts w:ascii="Times New Roman" w:hAnsi="Times New Roman"/>
                <w:sz w:val="20"/>
              </w:rPr>
            </w:pPr>
            <w:r>
              <w:rPr>
                <w:rFonts w:ascii="Times New Roman" w:hAnsi="Times New Roman"/>
                <w:sz w:val="20"/>
              </w:rPr>
              <w:t>Non-operating income (expense):</w:t>
            </w:r>
          </w:p>
        </w:tc>
        <w:tc>
          <w:tcPr>
            <w:tcW w:w="2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8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88"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2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2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488" w:type="dxa"/>
            <w:tcBorders/>
            <w:shd w:fill="auto" w:val="clear"/>
            <w:vAlign w:val="bottom"/>
          </w:tcPr>
          <w:p>
            <w:pPr>
              <w:pStyle w:val="TableContents"/>
              <w:spacing w:before="0" w:after="283"/>
              <w:rPr>
                <w:sz w:val="4"/>
                <w:szCs w:val="4"/>
              </w:rPr>
            </w:pPr>
            <w:r>
              <w:rPr>
                <w:sz w:val="4"/>
                <w:szCs w:val="4"/>
              </w:rPr>
            </w:r>
          </w:p>
        </w:tc>
        <w:tc>
          <w:tcPr>
            <w:tcW w:w="667" w:type="dxa"/>
            <w:tcBorders/>
            <w:shd w:fill="auto" w:val="clear"/>
            <w:vAlign w:val="bottom"/>
          </w:tcPr>
          <w:p>
            <w:pPr>
              <w:pStyle w:val="TableContents"/>
              <w:spacing w:before="0" w:after="283"/>
              <w:rPr>
                <w:sz w:val="4"/>
                <w:szCs w:val="4"/>
              </w:rPr>
            </w:pPr>
            <w:r>
              <w:rPr>
                <w:sz w:val="4"/>
                <w:szCs w:val="4"/>
              </w:rPr>
            </w:r>
          </w:p>
        </w:tc>
      </w:tr>
      <w:tr>
        <w:trPr/>
        <w:tc>
          <w:tcPr>
            <w:tcW w:w="4848"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income</w:t>
            </w:r>
          </w:p>
        </w:tc>
        <w:tc>
          <w:tcPr>
            <w:tcW w:w="2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667" w:type="dxa"/>
            <w:tcBorders/>
            <w:shd w:fill="CCEEFF" w:val="clear"/>
            <w:vAlign w:val="bottom"/>
          </w:tcPr>
          <w:p>
            <w:pPr>
              <w:pStyle w:val="TableContents"/>
              <w:spacing w:before="0" w:after="283"/>
              <w:rPr/>
            </w:pPr>
            <w:r>
              <w:rPr/>
              <w:t>  </w:t>
            </w:r>
          </w:p>
        </w:tc>
      </w:tr>
      <w:tr>
        <w:trPr/>
        <w:tc>
          <w:tcPr>
            <w:tcW w:w="4848" w:type="dxa"/>
            <w:tcBorders/>
            <w:shd w:fill="auto"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2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66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848" w:type="dxa"/>
            <w:tcBorders/>
            <w:shd w:fill="CCEEFF" w:val="clear"/>
          </w:tcPr>
          <w:p>
            <w:pPr>
              <w:pStyle w:val="TableContents"/>
              <w:spacing w:before="0" w:after="283"/>
              <w:rPr>
                <w:rFonts w:ascii="Times New Roman" w:hAnsi="Times New Roman"/>
                <w:sz w:val="20"/>
              </w:rPr>
            </w:pPr>
            <w:r>
              <w:rPr>
                <w:rFonts w:ascii="Times New Roman" w:hAnsi="Times New Roman"/>
                <w:sz w:val="20"/>
              </w:rPr>
              <w:t>Other income (expense), net</w:t>
            </w:r>
          </w:p>
        </w:tc>
        <w:tc>
          <w:tcPr>
            <w:tcW w:w="2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66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848"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r>
      <w:tr>
        <w:trPr/>
        <w:tc>
          <w:tcPr>
            <w:tcW w:w="4848" w:type="dxa"/>
            <w:tcBorders/>
            <w:shd w:fill="auto" w:val="clear"/>
          </w:tcPr>
          <w:p>
            <w:pPr>
              <w:pStyle w:val="TableContents"/>
              <w:spacing w:before="0" w:after="283"/>
              <w:rPr>
                <w:rFonts w:ascii="Times New Roman" w:hAnsi="Times New Roman"/>
                <w:sz w:val="20"/>
              </w:rPr>
            </w:pPr>
            <w:r>
              <w:rPr>
                <w:rFonts w:ascii="Times New Roman" w:hAnsi="Times New Roman"/>
                <w:sz w:val="20"/>
              </w:rPr>
              <w:t>Income from continuing operations before income taxes</w:t>
            </w:r>
          </w:p>
        </w:tc>
        <w:tc>
          <w:tcPr>
            <w:tcW w:w="2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191</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w:t>
            </w:r>
          </w:p>
        </w:tc>
        <w:tc>
          <w:tcPr>
            <w:tcW w:w="12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799</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703</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633</w:t>
            </w:r>
          </w:p>
        </w:tc>
        <w:tc>
          <w:tcPr>
            <w:tcW w:w="667" w:type="dxa"/>
            <w:tcBorders/>
            <w:shd w:fill="auto" w:val="clear"/>
            <w:vAlign w:val="bottom"/>
          </w:tcPr>
          <w:p>
            <w:pPr>
              <w:pStyle w:val="TableContents"/>
              <w:spacing w:before="0" w:after="283"/>
              <w:rPr/>
            </w:pPr>
            <w:r>
              <w:rPr/>
              <w:t>  </w:t>
            </w:r>
          </w:p>
        </w:tc>
      </w:tr>
      <w:tr>
        <w:trPr/>
        <w:tc>
          <w:tcPr>
            <w:tcW w:w="4848" w:type="dxa"/>
            <w:tcBorders/>
            <w:shd w:fill="CCEEFF" w:val="clear"/>
          </w:tcPr>
          <w:p>
            <w:pPr>
              <w:pStyle w:val="TableContents"/>
              <w:spacing w:before="0" w:after="283"/>
              <w:rPr>
                <w:rFonts w:ascii="Times New Roman" w:hAnsi="Times New Roman"/>
                <w:sz w:val="20"/>
              </w:rPr>
            </w:pPr>
            <w:r>
              <w:rPr>
                <w:rFonts w:ascii="Times New Roman" w:hAnsi="Times New Roman"/>
                <w:sz w:val="20"/>
              </w:rPr>
              <w:t>Provision for income taxes</w:t>
            </w:r>
          </w:p>
        </w:tc>
        <w:tc>
          <w:tcPr>
            <w:tcW w:w="2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(243</w:t>
            </w:r>
          </w:p>
        </w:tc>
        <w:tc>
          <w:tcPr>
            <w:tcW w:w="66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848"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r>
      <w:tr>
        <w:trPr/>
        <w:tc>
          <w:tcPr>
            <w:tcW w:w="4848" w:type="dxa"/>
            <w:tcBorders/>
            <w:shd w:fill="auto" w:val="clear"/>
          </w:tcPr>
          <w:p>
            <w:pPr>
              <w:pStyle w:val="TableContents"/>
              <w:spacing w:before="0" w:after="283"/>
              <w:rPr>
                <w:rFonts w:ascii="Times New Roman" w:hAnsi="Times New Roman"/>
                <w:sz w:val="20"/>
              </w:rPr>
            </w:pPr>
            <w:r>
              <w:rPr>
                <w:rFonts w:ascii="Times New Roman" w:hAnsi="Times New Roman"/>
                <w:sz w:val="20"/>
              </w:rPr>
              <w:t>Income from continuing operations</w:t>
            </w:r>
          </w:p>
        </w:tc>
        <w:tc>
          <w:tcPr>
            <w:tcW w:w="2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w:t>
            </w:r>
          </w:p>
        </w:tc>
        <w:tc>
          <w:tcPr>
            <w:tcW w:w="12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447</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390</w:t>
            </w:r>
          </w:p>
        </w:tc>
        <w:tc>
          <w:tcPr>
            <w:tcW w:w="667" w:type="dxa"/>
            <w:tcBorders/>
            <w:shd w:fill="auto" w:val="clear"/>
            <w:vAlign w:val="bottom"/>
          </w:tcPr>
          <w:p>
            <w:pPr>
              <w:pStyle w:val="TableContents"/>
              <w:spacing w:before="0" w:after="283"/>
              <w:rPr/>
            </w:pPr>
            <w:r>
              <w:rPr/>
              <w:t>  </w:t>
            </w:r>
          </w:p>
        </w:tc>
      </w:tr>
      <w:tr>
        <w:trPr/>
        <w:tc>
          <w:tcPr>
            <w:tcW w:w="4848" w:type="dxa"/>
            <w:tcBorders/>
            <w:shd w:fill="CCEEFF" w:val="clear"/>
          </w:tcPr>
          <w:p>
            <w:pPr>
              <w:pStyle w:val="TableContents"/>
              <w:spacing w:before="0" w:after="283"/>
              <w:rPr>
                <w:rFonts w:ascii="Times New Roman" w:hAnsi="Times New Roman"/>
                <w:sz w:val="20"/>
              </w:rPr>
            </w:pPr>
            <w:r>
              <w:rPr>
                <w:rFonts w:ascii="Times New Roman" w:hAnsi="Times New Roman"/>
                <w:sz w:val="20"/>
              </w:rPr>
              <w:t>Discontinued operations:</w:t>
            </w:r>
          </w:p>
        </w:tc>
        <w:tc>
          <w:tcPr>
            <w:tcW w:w="2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8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88"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2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2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488" w:type="dxa"/>
            <w:tcBorders/>
            <w:shd w:fill="CCEEFF" w:val="clear"/>
            <w:vAlign w:val="bottom"/>
          </w:tcPr>
          <w:p>
            <w:pPr>
              <w:pStyle w:val="TableContents"/>
              <w:spacing w:before="0" w:after="283"/>
              <w:rPr>
                <w:sz w:val="4"/>
                <w:szCs w:val="4"/>
              </w:rPr>
            </w:pPr>
            <w:r>
              <w:rPr>
                <w:sz w:val="4"/>
                <w:szCs w:val="4"/>
              </w:rPr>
            </w:r>
          </w:p>
        </w:tc>
        <w:tc>
          <w:tcPr>
            <w:tcW w:w="667" w:type="dxa"/>
            <w:tcBorders/>
            <w:shd w:fill="CCEEFF" w:val="clear"/>
            <w:vAlign w:val="bottom"/>
          </w:tcPr>
          <w:p>
            <w:pPr>
              <w:pStyle w:val="TableContents"/>
              <w:spacing w:before="0" w:after="283"/>
              <w:rPr>
                <w:sz w:val="4"/>
                <w:szCs w:val="4"/>
              </w:rPr>
            </w:pPr>
            <w:r>
              <w:rPr>
                <w:sz w:val="4"/>
                <w:szCs w:val="4"/>
              </w:rPr>
            </w:r>
          </w:p>
        </w:tc>
      </w:tr>
      <w:tr>
        <w:trPr/>
        <w:tc>
          <w:tcPr>
            <w:tcW w:w="4848" w:type="dxa"/>
            <w:tcBorders/>
            <w:shd w:fill="auto" w:val="clear"/>
          </w:tcPr>
          <w:p>
            <w:pPr>
              <w:pStyle w:val="TableContents"/>
              <w:spacing w:before="0" w:after="283"/>
              <w:rPr>
                <w:rFonts w:ascii="Times New Roman" w:hAnsi="Times New Roman"/>
                <w:sz w:val="20"/>
              </w:rPr>
            </w:pPr>
            <w:r>
              <w:rPr>
                <w:rFonts w:ascii="Times New Roman" w:hAnsi="Times New Roman"/>
                <w:sz w:val="20"/>
              </w:rPr>
              <w:t>Income (loss) from discontinued operations before income taxes</w:t>
            </w:r>
          </w:p>
        </w:tc>
        <w:tc>
          <w:tcPr>
            <w:tcW w:w="2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667" w:type="dxa"/>
            <w:tcBorders/>
            <w:shd w:fill="auto" w:val="clear"/>
            <w:vAlign w:val="bottom"/>
          </w:tcPr>
          <w:p>
            <w:pPr>
              <w:pStyle w:val="TableContents"/>
              <w:spacing w:before="0" w:after="283"/>
              <w:rPr/>
            </w:pPr>
            <w:r>
              <w:rPr/>
              <w:t>  </w:t>
            </w:r>
          </w:p>
        </w:tc>
      </w:tr>
      <w:tr>
        <w:trPr/>
        <w:tc>
          <w:tcPr>
            <w:tcW w:w="4848" w:type="dxa"/>
            <w:tcBorders/>
            <w:shd w:fill="CCEEFF" w:val="clear"/>
          </w:tcPr>
          <w:p>
            <w:pPr>
              <w:pStyle w:val="TableContents"/>
              <w:spacing w:before="0" w:after="283"/>
              <w:rPr>
                <w:rFonts w:ascii="Times New Roman" w:hAnsi="Times New Roman"/>
                <w:sz w:val="20"/>
              </w:rPr>
            </w:pPr>
            <w:r>
              <w:rPr>
                <w:rFonts w:ascii="Times New Roman" w:hAnsi="Times New Roman"/>
                <w:sz w:val="20"/>
              </w:rPr>
              <w:t>Benefit (provision) for income taxes</w:t>
            </w:r>
          </w:p>
        </w:tc>
        <w:tc>
          <w:tcPr>
            <w:tcW w:w="2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66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848"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r>
      <w:tr>
        <w:trPr/>
        <w:tc>
          <w:tcPr>
            <w:tcW w:w="4848" w:type="dxa"/>
            <w:tcBorders/>
            <w:shd w:fill="auto" w:val="clear"/>
          </w:tcPr>
          <w:p>
            <w:pPr>
              <w:pStyle w:val="TableContents"/>
              <w:spacing w:before="0" w:after="283"/>
              <w:rPr>
                <w:rFonts w:ascii="Times New Roman" w:hAnsi="Times New Roman"/>
                <w:sz w:val="20"/>
              </w:rPr>
            </w:pPr>
            <w:r>
              <w:rPr>
                <w:rFonts w:ascii="Times New Roman" w:hAnsi="Times New Roman"/>
                <w:sz w:val="20"/>
              </w:rPr>
              <w:t>Income (loss) from discontinued operations</w:t>
            </w:r>
          </w:p>
        </w:tc>
        <w:tc>
          <w:tcPr>
            <w:tcW w:w="2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667" w:type="dxa"/>
            <w:tcBorders/>
            <w:shd w:fill="auto" w:val="clear"/>
            <w:vAlign w:val="bottom"/>
          </w:tcPr>
          <w:p>
            <w:pPr>
              <w:pStyle w:val="TableContents"/>
              <w:spacing w:before="0" w:after="283"/>
              <w:rPr/>
            </w:pPr>
            <w:r>
              <w:rPr/>
              <w:t>  </w:t>
            </w:r>
          </w:p>
        </w:tc>
      </w:tr>
      <w:tr>
        <w:trPr/>
        <w:tc>
          <w:tcPr>
            <w:tcW w:w="4848"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r>
      <w:tr>
        <w:trPr/>
        <w:tc>
          <w:tcPr>
            <w:tcW w:w="4848"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12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497</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452</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416</w:t>
            </w:r>
          </w:p>
        </w:tc>
        <w:tc>
          <w:tcPr>
            <w:tcW w:w="667" w:type="dxa"/>
            <w:tcBorders/>
            <w:shd w:fill="CCEEFF" w:val="clear"/>
            <w:vAlign w:val="bottom"/>
          </w:tcPr>
          <w:p>
            <w:pPr>
              <w:pStyle w:val="TableContents"/>
              <w:spacing w:before="0" w:after="283"/>
              <w:rPr/>
            </w:pPr>
            <w:r>
              <w:rPr/>
              <w:t>  </w:t>
            </w:r>
          </w:p>
        </w:tc>
      </w:tr>
      <w:tr>
        <w:trPr/>
        <w:tc>
          <w:tcPr>
            <w:tcW w:w="4848"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88"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88" w:type="dxa"/>
            <w:tcBorders>
              <w:top w:val="double" w:sz="6"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488" w:type="dxa"/>
            <w:tcBorders>
              <w:top w:val="double" w:sz="6" w:space="0" w:color="000000"/>
            </w:tcBorders>
            <w:shd w:fill="auto" w:val="clear"/>
            <w:tcMar>
              <w:top w:w="28" w:type="dxa"/>
            </w:tcMar>
            <w:vAlign w:val="bottom"/>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r>
      <w:tr>
        <w:trPr>
          <w:trHeight w:val="120" w:hRule="atLeast"/>
        </w:trPr>
        <w:tc>
          <w:tcPr>
            <w:tcW w:w="4848" w:type="dxa"/>
            <w:tcBorders/>
            <w:shd w:fill="auto" w:val="clear"/>
            <w:vAlign w:val="center"/>
          </w:tcPr>
          <w:p>
            <w:pPr>
              <w:pStyle w:val="TableContents"/>
              <w:spacing w:before="0" w:after="283"/>
              <w:rPr>
                <w:sz w:val="4"/>
                <w:szCs w:val="4"/>
              </w:rPr>
            </w:pPr>
            <w:r>
              <w:rPr>
                <w:sz w:val="4"/>
                <w:szCs w:val="4"/>
              </w:rPr>
            </w:r>
          </w:p>
        </w:tc>
        <w:tc>
          <w:tcPr>
            <w:tcW w:w="945" w:type="dxa"/>
            <w:gridSpan w:val="4"/>
            <w:tcBorders/>
            <w:shd w:fill="auto" w:val="clear"/>
            <w:vAlign w:val="center"/>
          </w:tcPr>
          <w:p>
            <w:pPr>
              <w:pStyle w:val="TableContents"/>
              <w:spacing w:before="0" w:after="283"/>
              <w:rPr>
                <w:sz w:val="4"/>
                <w:szCs w:val="4"/>
              </w:rPr>
            </w:pPr>
            <w:r>
              <w:rPr>
                <w:sz w:val="4"/>
                <w:szCs w:val="4"/>
              </w:rPr>
            </w:r>
          </w:p>
        </w:tc>
        <w:tc>
          <w:tcPr>
            <w:tcW w:w="898" w:type="dxa"/>
            <w:gridSpan w:val="4"/>
            <w:tcBorders/>
            <w:shd w:fill="auto" w:val="clear"/>
            <w:vAlign w:val="center"/>
          </w:tcPr>
          <w:p>
            <w:pPr>
              <w:pStyle w:val="TableContents"/>
              <w:spacing w:before="0" w:after="283"/>
              <w:rPr>
                <w:sz w:val="4"/>
                <w:szCs w:val="4"/>
              </w:rPr>
            </w:pPr>
            <w:r>
              <w:rPr>
                <w:sz w:val="4"/>
                <w:szCs w:val="4"/>
              </w:rPr>
            </w:r>
          </w:p>
        </w:tc>
        <w:tc>
          <w:tcPr>
            <w:tcW w:w="1037" w:type="dxa"/>
            <w:gridSpan w:val="4"/>
            <w:tcBorders/>
            <w:shd w:fill="auto" w:val="clear"/>
            <w:vAlign w:val="center"/>
          </w:tcPr>
          <w:p>
            <w:pPr>
              <w:pStyle w:val="TableContents"/>
              <w:spacing w:before="0" w:after="283"/>
              <w:rPr>
                <w:sz w:val="4"/>
                <w:szCs w:val="4"/>
              </w:rPr>
            </w:pPr>
            <w:r>
              <w:rPr>
                <w:sz w:val="4"/>
                <w:szCs w:val="4"/>
              </w:rPr>
            </w:r>
          </w:p>
        </w:tc>
        <w:tc>
          <w:tcPr>
            <w:tcW w:w="1037" w:type="dxa"/>
            <w:gridSpan w:val="4"/>
            <w:tcBorders/>
            <w:shd w:fill="auto" w:val="clear"/>
            <w:vAlign w:val="center"/>
          </w:tcPr>
          <w:p>
            <w:pPr>
              <w:pStyle w:val="TableContents"/>
              <w:spacing w:before="0" w:after="283"/>
              <w:rPr>
                <w:sz w:val="4"/>
                <w:szCs w:val="4"/>
              </w:rPr>
            </w:pPr>
            <w:r>
              <w:rPr>
                <w:sz w:val="4"/>
                <w:szCs w:val="4"/>
              </w:rPr>
            </w:r>
          </w:p>
        </w:tc>
        <w:tc>
          <w:tcPr>
            <w:tcW w:w="1440" w:type="dxa"/>
            <w:gridSpan w:val="4"/>
            <w:tcBorders/>
            <w:shd w:fill="auto" w:val="clear"/>
            <w:vAlign w:val="center"/>
          </w:tcPr>
          <w:p>
            <w:pPr>
              <w:pStyle w:val="TableContents"/>
              <w:spacing w:before="0" w:after="283"/>
              <w:rPr>
                <w:sz w:val="4"/>
                <w:szCs w:val="4"/>
              </w:rPr>
            </w:pPr>
            <w:r>
              <w:rPr>
                <w:sz w:val="4"/>
                <w:szCs w:val="4"/>
              </w:rPr>
            </w:r>
          </w:p>
        </w:tc>
      </w:tr>
      <w:tr>
        <w:trPr/>
        <w:tc>
          <w:tcPr>
            <w:tcW w:w="4848" w:type="dxa"/>
            <w:tcBorders/>
            <w:shd w:fill="auto" w:val="clear"/>
          </w:tcPr>
          <w:p>
            <w:pPr>
              <w:pStyle w:val="TableContents"/>
              <w:spacing w:before="0" w:after="283"/>
              <w:rPr>
                <w:rFonts w:ascii="Times New Roman" w:hAnsi="Times New Roman"/>
                <w:sz w:val="20"/>
              </w:rPr>
            </w:pPr>
            <w:r>
              <w:rPr>
                <w:rFonts w:ascii="Times New Roman" w:hAnsi="Times New Roman"/>
                <w:sz w:val="20"/>
              </w:rPr>
              <w:t>Earnings per share (a):</w:t>
            </w:r>
          </w:p>
        </w:tc>
        <w:tc>
          <w:tcPr>
            <w:tcW w:w="2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8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88"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2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2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488" w:type="dxa"/>
            <w:tcBorders/>
            <w:shd w:fill="auto" w:val="clear"/>
            <w:vAlign w:val="bottom"/>
          </w:tcPr>
          <w:p>
            <w:pPr>
              <w:pStyle w:val="TableContents"/>
              <w:spacing w:before="0" w:after="283"/>
              <w:rPr>
                <w:sz w:val="4"/>
                <w:szCs w:val="4"/>
              </w:rPr>
            </w:pPr>
            <w:r>
              <w:rPr>
                <w:sz w:val="4"/>
                <w:szCs w:val="4"/>
              </w:rPr>
            </w:r>
          </w:p>
        </w:tc>
        <w:tc>
          <w:tcPr>
            <w:tcW w:w="667" w:type="dxa"/>
            <w:tcBorders/>
            <w:shd w:fill="auto" w:val="clear"/>
            <w:vAlign w:val="bottom"/>
          </w:tcPr>
          <w:p>
            <w:pPr>
              <w:pStyle w:val="TableContents"/>
              <w:spacing w:before="0" w:after="283"/>
              <w:rPr>
                <w:sz w:val="4"/>
                <w:szCs w:val="4"/>
              </w:rPr>
            </w:pPr>
            <w:r>
              <w:rPr>
                <w:sz w:val="4"/>
                <w:szCs w:val="4"/>
              </w:rPr>
            </w:r>
          </w:p>
        </w:tc>
      </w:tr>
      <w:tr>
        <w:trPr/>
        <w:tc>
          <w:tcPr>
            <w:tcW w:w="4848" w:type="dxa"/>
            <w:tcBorders/>
            <w:shd w:fill="CCEEFF" w:val="clear"/>
          </w:tcPr>
          <w:p>
            <w:pPr>
              <w:pStyle w:val="TableContents"/>
              <w:spacing w:before="0" w:after="283"/>
              <w:rPr>
                <w:rFonts w:ascii="Times New Roman" w:hAnsi="Times New Roman"/>
                <w:sz w:val="20"/>
              </w:rPr>
            </w:pPr>
            <w:r>
              <w:rPr>
                <w:rFonts w:ascii="Times New Roman" w:hAnsi="Times New Roman"/>
                <w:sz w:val="20"/>
              </w:rPr>
              <w:t>Basic:</w:t>
            </w:r>
          </w:p>
        </w:tc>
        <w:tc>
          <w:tcPr>
            <w:tcW w:w="2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8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88"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2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2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488" w:type="dxa"/>
            <w:tcBorders/>
            <w:shd w:fill="CCEEFF" w:val="clear"/>
            <w:vAlign w:val="bottom"/>
          </w:tcPr>
          <w:p>
            <w:pPr>
              <w:pStyle w:val="TableContents"/>
              <w:spacing w:before="0" w:after="283"/>
              <w:rPr>
                <w:sz w:val="4"/>
                <w:szCs w:val="4"/>
              </w:rPr>
            </w:pPr>
            <w:r>
              <w:rPr>
                <w:sz w:val="4"/>
                <w:szCs w:val="4"/>
              </w:rPr>
            </w:r>
          </w:p>
        </w:tc>
        <w:tc>
          <w:tcPr>
            <w:tcW w:w="667" w:type="dxa"/>
            <w:tcBorders/>
            <w:shd w:fill="CCEEFF" w:val="clear"/>
            <w:vAlign w:val="bottom"/>
          </w:tcPr>
          <w:p>
            <w:pPr>
              <w:pStyle w:val="TableContents"/>
              <w:spacing w:before="0" w:after="283"/>
              <w:rPr>
                <w:sz w:val="4"/>
                <w:szCs w:val="4"/>
              </w:rPr>
            </w:pPr>
            <w:r>
              <w:rPr>
                <w:sz w:val="4"/>
                <w:szCs w:val="4"/>
              </w:rPr>
            </w:r>
          </w:p>
        </w:tc>
      </w:tr>
      <w:tr>
        <w:trPr/>
        <w:tc>
          <w:tcPr>
            <w:tcW w:w="4848" w:type="dxa"/>
            <w:tcBorders/>
            <w:shd w:fill="auto" w:val="clear"/>
          </w:tcPr>
          <w:p>
            <w:pPr>
              <w:pStyle w:val="TableContents"/>
              <w:spacing w:before="0" w:after="283"/>
              <w:rPr>
                <w:rFonts w:ascii="Times New Roman" w:hAnsi="Times New Roman"/>
                <w:sz w:val="20"/>
              </w:rPr>
            </w:pPr>
            <w:r>
              <w:rPr>
                <w:rFonts w:ascii="Times New Roman" w:hAnsi="Times New Roman"/>
                <w:sz w:val="20"/>
              </w:rPr>
              <w:t>Income from continuing operations</w:t>
            </w:r>
          </w:p>
        </w:tc>
        <w:tc>
          <w:tcPr>
            <w:tcW w:w="2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0.31</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0.29</w:t>
            </w:r>
          </w:p>
        </w:tc>
        <w:tc>
          <w:tcPr>
            <w:tcW w:w="12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0.94</w:t>
            </w:r>
          </w:p>
        </w:tc>
        <w:tc>
          <w:tcPr>
            <w:tcW w:w="667" w:type="dxa"/>
            <w:tcBorders/>
            <w:shd w:fill="auto" w:val="clear"/>
            <w:vAlign w:val="bottom"/>
          </w:tcPr>
          <w:p>
            <w:pPr>
              <w:pStyle w:val="TableContents"/>
              <w:spacing w:before="0" w:after="283"/>
              <w:rPr/>
            </w:pPr>
            <w:r>
              <w:rPr/>
              <w:t>  </w:t>
            </w:r>
          </w:p>
        </w:tc>
      </w:tr>
      <w:tr>
        <w:trPr/>
        <w:tc>
          <w:tcPr>
            <w:tcW w:w="4848" w:type="dxa"/>
            <w:tcBorders/>
            <w:shd w:fill="CCEEFF" w:val="clear"/>
          </w:tcPr>
          <w:p>
            <w:pPr>
              <w:pStyle w:val="TableContents"/>
              <w:spacing w:before="0" w:after="283"/>
              <w:rPr>
                <w:rFonts w:ascii="Times New Roman" w:hAnsi="Times New Roman"/>
                <w:sz w:val="20"/>
              </w:rPr>
            </w:pPr>
            <w:r>
              <w:rPr>
                <w:rFonts w:ascii="Times New Roman" w:hAnsi="Times New Roman"/>
                <w:sz w:val="20"/>
              </w:rPr>
              <w:t>Income (loss) from discontinued operations</w:t>
            </w:r>
          </w:p>
        </w:tc>
        <w:tc>
          <w:tcPr>
            <w:tcW w:w="2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2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0.06</w:t>
            </w:r>
          </w:p>
        </w:tc>
        <w:tc>
          <w:tcPr>
            <w:tcW w:w="667" w:type="dxa"/>
            <w:tcBorders/>
            <w:shd w:fill="CCEEFF" w:val="clear"/>
            <w:vAlign w:val="bottom"/>
          </w:tcPr>
          <w:p>
            <w:pPr>
              <w:pStyle w:val="TableContents"/>
              <w:spacing w:before="0" w:after="283"/>
              <w:rPr/>
            </w:pPr>
            <w:r>
              <w:rPr/>
              <w:t>  </w:t>
            </w:r>
          </w:p>
        </w:tc>
      </w:tr>
      <w:tr>
        <w:trPr/>
        <w:tc>
          <w:tcPr>
            <w:tcW w:w="4848"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r>
      <w:tr>
        <w:trPr/>
        <w:tc>
          <w:tcPr>
            <w:tcW w:w="4848" w:type="dxa"/>
            <w:tcBorders/>
            <w:shd w:fill="auto" w:val="clea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0.31</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0.30</w:t>
            </w:r>
          </w:p>
        </w:tc>
        <w:tc>
          <w:tcPr>
            <w:tcW w:w="12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667" w:type="dxa"/>
            <w:tcBorders/>
            <w:shd w:fill="auto" w:val="clear"/>
            <w:vAlign w:val="bottom"/>
          </w:tcPr>
          <w:p>
            <w:pPr>
              <w:pStyle w:val="TableContents"/>
              <w:spacing w:before="0" w:after="283"/>
              <w:rPr/>
            </w:pPr>
            <w:r>
              <w:rPr/>
              <w:t>  </w:t>
            </w:r>
          </w:p>
        </w:tc>
      </w:tr>
      <w:tr>
        <w:trPr/>
        <w:tc>
          <w:tcPr>
            <w:tcW w:w="4848"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88"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88" w:type="dxa"/>
            <w:tcBorders>
              <w:top w:val="double" w:sz="6"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488" w:type="dxa"/>
            <w:tcBorders>
              <w:top w:val="double" w:sz="6" w:space="0" w:color="000000"/>
            </w:tcBorders>
            <w:shd w:fill="auto" w:val="clear"/>
            <w:tcMar>
              <w:top w:w="28" w:type="dxa"/>
            </w:tcMar>
            <w:vAlign w:val="bottom"/>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r>
      <w:tr>
        <w:trPr/>
        <w:tc>
          <w:tcPr>
            <w:tcW w:w="4848" w:type="dxa"/>
            <w:tcBorders/>
            <w:shd w:fill="CCEEFF" w:val="clear"/>
          </w:tcPr>
          <w:p>
            <w:pPr>
              <w:pStyle w:val="TableContents"/>
              <w:spacing w:before="0" w:after="283"/>
              <w:rPr>
                <w:rFonts w:ascii="Times New Roman" w:hAnsi="Times New Roman"/>
                <w:sz w:val="20"/>
              </w:rPr>
            </w:pPr>
            <w:r>
              <w:rPr>
                <w:rFonts w:ascii="Times New Roman" w:hAnsi="Times New Roman"/>
                <w:sz w:val="20"/>
              </w:rPr>
              <w:t>Diluted:</w:t>
            </w:r>
          </w:p>
        </w:tc>
        <w:tc>
          <w:tcPr>
            <w:tcW w:w="2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8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88"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2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2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488" w:type="dxa"/>
            <w:tcBorders/>
            <w:shd w:fill="CCEEFF" w:val="clear"/>
            <w:vAlign w:val="bottom"/>
          </w:tcPr>
          <w:p>
            <w:pPr>
              <w:pStyle w:val="TableContents"/>
              <w:spacing w:before="0" w:after="283"/>
              <w:rPr>
                <w:sz w:val="4"/>
                <w:szCs w:val="4"/>
              </w:rPr>
            </w:pPr>
            <w:r>
              <w:rPr>
                <w:sz w:val="4"/>
                <w:szCs w:val="4"/>
              </w:rPr>
            </w:r>
          </w:p>
        </w:tc>
        <w:tc>
          <w:tcPr>
            <w:tcW w:w="667" w:type="dxa"/>
            <w:tcBorders/>
            <w:shd w:fill="CCEEFF" w:val="clear"/>
            <w:vAlign w:val="bottom"/>
          </w:tcPr>
          <w:p>
            <w:pPr>
              <w:pStyle w:val="TableContents"/>
              <w:spacing w:before="0" w:after="283"/>
              <w:rPr>
                <w:sz w:val="4"/>
                <w:szCs w:val="4"/>
              </w:rPr>
            </w:pPr>
            <w:r>
              <w:rPr>
                <w:sz w:val="4"/>
                <w:szCs w:val="4"/>
              </w:rPr>
            </w:r>
          </w:p>
        </w:tc>
      </w:tr>
      <w:tr>
        <w:trPr/>
        <w:tc>
          <w:tcPr>
            <w:tcW w:w="4848" w:type="dxa"/>
            <w:tcBorders/>
            <w:shd w:fill="auto" w:val="clear"/>
          </w:tcPr>
          <w:p>
            <w:pPr>
              <w:pStyle w:val="TableContents"/>
              <w:spacing w:before="0" w:after="283"/>
              <w:rPr>
                <w:rFonts w:ascii="Times New Roman" w:hAnsi="Times New Roman"/>
                <w:sz w:val="20"/>
              </w:rPr>
            </w:pPr>
            <w:r>
              <w:rPr>
                <w:rFonts w:ascii="Times New Roman" w:hAnsi="Times New Roman"/>
                <w:sz w:val="20"/>
              </w:rPr>
              <w:t>Income from continuing operations</w:t>
            </w:r>
          </w:p>
        </w:tc>
        <w:tc>
          <w:tcPr>
            <w:tcW w:w="2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0.31</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0.29</w:t>
            </w:r>
          </w:p>
        </w:tc>
        <w:tc>
          <w:tcPr>
            <w:tcW w:w="12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0.92</w:t>
            </w:r>
          </w:p>
        </w:tc>
        <w:tc>
          <w:tcPr>
            <w:tcW w:w="667" w:type="dxa"/>
            <w:tcBorders/>
            <w:shd w:fill="auto" w:val="clear"/>
            <w:vAlign w:val="bottom"/>
          </w:tcPr>
          <w:p>
            <w:pPr>
              <w:pStyle w:val="TableContents"/>
              <w:spacing w:before="0" w:after="283"/>
              <w:rPr/>
            </w:pPr>
            <w:r>
              <w:rPr/>
              <w:t>  </w:t>
            </w:r>
          </w:p>
        </w:tc>
      </w:tr>
      <w:tr>
        <w:trPr/>
        <w:tc>
          <w:tcPr>
            <w:tcW w:w="4848"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discontinued operations</w:t>
            </w:r>
          </w:p>
        </w:tc>
        <w:tc>
          <w:tcPr>
            <w:tcW w:w="2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0.06</w:t>
            </w:r>
          </w:p>
        </w:tc>
        <w:tc>
          <w:tcPr>
            <w:tcW w:w="667" w:type="dxa"/>
            <w:tcBorders/>
            <w:shd w:fill="CCEEFF" w:val="clear"/>
            <w:vAlign w:val="bottom"/>
          </w:tcPr>
          <w:p>
            <w:pPr>
              <w:pStyle w:val="TableContents"/>
              <w:spacing w:before="0" w:after="283"/>
              <w:rPr/>
            </w:pPr>
            <w:r>
              <w:rPr/>
              <w:t>  </w:t>
            </w:r>
          </w:p>
        </w:tc>
      </w:tr>
      <w:tr>
        <w:trPr/>
        <w:tc>
          <w:tcPr>
            <w:tcW w:w="4848"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r>
      <w:tr>
        <w:trPr/>
        <w:tc>
          <w:tcPr>
            <w:tcW w:w="4848" w:type="dxa"/>
            <w:tcBorders/>
            <w:shd w:fill="auto" w:val="clea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0.31</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0.29</w:t>
            </w:r>
          </w:p>
        </w:tc>
        <w:tc>
          <w:tcPr>
            <w:tcW w:w="12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0.98</w:t>
            </w:r>
          </w:p>
        </w:tc>
        <w:tc>
          <w:tcPr>
            <w:tcW w:w="667" w:type="dxa"/>
            <w:tcBorders/>
            <w:shd w:fill="auto" w:val="clear"/>
            <w:vAlign w:val="bottom"/>
          </w:tcPr>
          <w:p>
            <w:pPr>
              <w:pStyle w:val="TableContents"/>
              <w:spacing w:before="0" w:after="283"/>
              <w:rPr/>
            </w:pPr>
            <w:r>
              <w:rPr/>
              <w:t>  </w:t>
            </w:r>
          </w:p>
        </w:tc>
      </w:tr>
      <w:tr>
        <w:trPr/>
        <w:tc>
          <w:tcPr>
            <w:tcW w:w="4848"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88"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88" w:type="dxa"/>
            <w:tcBorders>
              <w:top w:val="double" w:sz="6"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488" w:type="dxa"/>
            <w:tcBorders>
              <w:top w:val="double" w:sz="6" w:space="0" w:color="000000"/>
            </w:tcBorders>
            <w:shd w:fill="auto" w:val="clear"/>
            <w:tcMar>
              <w:top w:w="28" w:type="dxa"/>
            </w:tcMar>
            <w:vAlign w:val="bottom"/>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r>
      <w:tr>
        <w:trPr/>
        <w:tc>
          <w:tcPr>
            <w:tcW w:w="4848"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number of shares outstanding:</w:t>
            </w:r>
          </w:p>
        </w:tc>
        <w:tc>
          <w:tcPr>
            <w:tcW w:w="2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8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88"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2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2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488" w:type="dxa"/>
            <w:tcBorders/>
            <w:shd w:fill="CCEEFF" w:val="clear"/>
            <w:vAlign w:val="bottom"/>
          </w:tcPr>
          <w:p>
            <w:pPr>
              <w:pStyle w:val="TableContents"/>
              <w:spacing w:before="0" w:after="283"/>
              <w:rPr>
                <w:sz w:val="4"/>
                <w:szCs w:val="4"/>
              </w:rPr>
            </w:pPr>
            <w:r>
              <w:rPr>
                <w:sz w:val="4"/>
                <w:szCs w:val="4"/>
              </w:rPr>
            </w:r>
          </w:p>
        </w:tc>
        <w:tc>
          <w:tcPr>
            <w:tcW w:w="667" w:type="dxa"/>
            <w:tcBorders/>
            <w:shd w:fill="CCEEFF" w:val="clear"/>
            <w:vAlign w:val="bottom"/>
          </w:tcPr>
          <w:p>
            <w:pPr>
              <w:pStyle w:val="TableContents"/>
              <w:spacing w:before="0" w:after="283"/>
              <w:rPr>
                <w:sz w:val="4"/>
                <w:szCs w:val="4"/>
              </w:rPr>
            </w:pPr>
            <w:r>
              <w:rPr>
                <w:sz w:val="4"/>
                <w:szCs w:val="4"/>
              </w:rPr>
            </w:r>
          </w:p>
        </w:tc>
      </w:tr>
      <w:tr>
        <w:trPr/>
        <w:tc>
          <w:tcPr>
            <w:tcW w:w="4848" w:type="dxa"/>
            <w:tcBorders/>
            <w:shd w:fill="auto" w:val="clear"/>
          </w:tcPr>
          <w:p>
            <w:pPr>
              <w:pStyle w:val="TableContents"/>
              <w:spacing w:before="0" w:after="283"/>
              <w:rPr>
                <w:rFonts w:ascii="Times New Roman" w:hAnsi="Times New Roman"/>
                <w:sz w:val="20"/>
              </w:rPr>
            </w:pPr>
            <w:r>
              <w:rPr>
                <w:rFonts w:ascii="Times New Roman" w:hAnsi="Times New Roman"/>
                <w:sz w:val="20"/>
              </w:rPr>
              <w:t>Basic</w:t>
            </w:r>
          </w:p>
        </w:tc>
        <w:tc>
          <w:tcPr>
            <w:tcW w:w="2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383</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393</w:t>
            </w:r>
          </w:p>
        </w:tc>
        <w:tc>
          <w:tcPr>
            <w:tcW w:w="12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386</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395</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404</w:t>
            </w:r>
          </w:p>
        </w:tc>
        <w:tc>
          <w:tcPr>
            <w:tcW w:w="667" w:type="dxa"/>
            <w:tcBorders/>
            <w:shd w:fill="auto" w:val="clear"/>
            <w:vAlign w:val="bottom"/>
          </w:tcPr>
          <w:p>
            <w:pPr>
              <w:pStyle w:val="TableContents"/>
              <w:spacing w:before="0" w:after="283"/>
              <w:rPr/>
            </w:pPr>
            <w:r>
              <w:rPr/>
              <w:t>  </w:t>
            </w:r>
          </w:p>
        </w:tc>
      </w:tr>
      <w:tr>
        <w:trPr/>
        <w:tc>
          <w:tcPr>
            <w:tcW w:w="4848"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88"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88" w:type="dxa"/>
            <w:tcBorders>
              <w:top w:val="double" w:sz="6"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488" w:type="dxa"/>
            <w:tcBorders>
              <w:top w:val="double" w:sz="6" w:space="0" w:color="000000"/>
            </w:tcBorders>
            <w:shd w:fill="auto" w:val="clear"/>
            <w:tcMar>
              <w:top w:w="28" w:type="dxa"/>
            </w:tcMar>
            <w:vAlign w:val="bottom"/>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r>
      <w:tr>
        <w:trPr/>
        <w:tc>
          <w:tcPr>
            <w:tcW w:w="4848" w:type="dxa"/>
            <w:tcBorders/>
            <w:shd w:fill="CCEEFF" w:val="clear"/>
          </w:tcPr>
          <w:p>
            <w:pPr>
              <w:pStyle w:val="TableContents"/>
              <w:spacing w:before="0" w:after="283"/>
              <w:rPr>
                <w:rFonts w:ascii="Times New Roman" w:hAnsi="Times New Roman"/>
                <w:sz w:val="20"/>
              </w:rPr>
            </w:pPr>
            <w:r>
              <w:rPr>
                <w:rFonts w:ascii="Times New Roman" w:hAnsi="Times New Roman"/>
                <w:sz w:val="20"/>
              </w:rPr>
              <w:t>Diluted</w:t>
            </w:r>
          </w:p>
        </w:tc>
        <w:tc>
          <w:tcPr>
            <w:tcW w:w="2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387</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399</w:t>
            </w:r>
          </w:p>
        </w:tc>
        <w:tc>
          <w:tcPr>
            <w:tcW w:w="12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390</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402</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415</w:t>
            </w:r>
          </w:p>
        </w:tc>
        <w:tc>
          <w:tcPr>
            <w:tcW w:w="667" w:type="dxa"/>
            <w:tcBorders/>
            <w:shd w:fill="CCEEFF" w:val="clear"/>
            <w:vAlign w:val="bottom"/>
          </w:tcPr>
          <w:p>
            <w:pPr>
              <w:pStyle w:val="TableContents"/>
              <w:spacing w:before="0" w:after="283"/>
              <w:rPr/>
            </w:pPr>
            <w:r>
              <w:rPr/>
              <w:t>  </w:t>
            </w:r>
          </w:p>
        </w:tc>
      </w:tr>
      <w:tr>
        <w:trPr/>
        <w:tc>
          <w:tcPr>
            <w:tcW w:w="4848"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88"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88" w:type="dxa"/>
            <w:tcBorders>
              <w:top w:val="double" w:sz="6"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488" w:type="dxa"/>
            <w:tcBorders>
              <w:top w:val="double" w:sz="6" w:space="0" w:color="000000"/>
            </w:tcBorders>
            <w:shd w:fill="auto" w:val="clear"/>
            <w:tcMar>
              <w:top w:w="28" w:type="dxa"/>
            </w:tcMar>
            <w:vAlign w:val="bottom"/>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r>
      <w:tr>
        <w:trPr/>
        <w:tc>
          <w:tcPr>
            <w:tcW w:w="9538" w:type="dxa"/>
            <w:gridSpan w:val="20"/>
            <w:tcBorders/>
            <w:shd w:fill="auto" w:val="clear"/>
            <w:vAlign w:val="bottom"/>
          </w:tcPr>
          <w:p>
            <w:pPr>
              <w:pStyle w:val="TableContents"/>
              <w:pBdr>
                <w:bottom w:val="single" w:sz="4" w:space="1" w:color="000000"/>
              </w:pBdr>
              <w:spacing w:lineRule="atLeast" w:line="141" w:before="0" w:after="30"/>
              <w:rPr/>
            </w:pPr>
            <w:r>
              <w:rPr/>
              <w:t> </w:t>
            </w:r>
          </w:p>
          <w:p>
            <w:pPr>
              <w:pStyle w:val="TableContents"/>
              <w:spacing w:before="0" w:after="15"/>
              <w:rPr>
                <w:rFonts w:ascii="Times New Roman" w:hAnsi="Times New Roman"/>
                <w:sz w:val="20"/>
              </w:rPr>
            </w:pPr>
            <w:r>
              <w:rPr>
                <w:rFonts w:ascii="Times New Roman" w:hAnsi="Times New Roman"/>
                <w:sz w:val="20"/>
              </w:rPr>
              <w:t>(a)    On February 1, 2009, the company adopted an accounting standard regarding earnings per share that requires an allocation of income from continuing operations and net income to the companys unvested stock awards which are considered participating securities in accordance with the standard. The companys unvested stock awards are excluded from the weighted average number of shares outstanding. The company allocated the following amounts of income from continuing operations and net income to unvested stock awards for the purposes of calculating earnings per share (EPS):</w:t>
            </w:r>
          </w:p>
        </w:tc>
        <w:tc>
          <w:tcPr>
            <w:tcW w:w="667" w:type="dxa"/>
            <w:tcBorders/>
            <w:shd w:fill="auto" w:val="clear"/>
            <w:vAlign w:val="bottom"/>
          </w:tcPr>
          <w:p>
            <w:pPr>
              <w:pStyle w:val="TableContents"/>
              <w:spacing w:before="0" w:after="15"/>
              <w:rPr/>
            </w:pPr>
            <w:r>
              <w:rPr/>
              <w:t>           </w:t>
            </w:r>
          </w:p>
        </w:tc>
      </w:tr>
      <w:tr>
        <w:trPr>
          <w:trHeight w:val="120" w:hRule="atLeast"/>
        </w:trPr>
        <w:tc>
          <w:tcPr>
            <w:tcW w:w="4848" w:type="dxa"/>
            <w:tcBorders/>
            <w:shd w:fill="auto" w:val="clear"/>
            <w:vAlign w:val="center"/>
          </w:tcPr>
          <w:p>
            <w:pPr>
              <w:pStyle w:val="TableContents"/>
              <w:spacing w:before="0" w:after="283"/>
              <w:rPr>
                <w:sz w:val="4"/>
                <w:szCs w:val="4"/>
              </w:rPr>
            </w:pPr>
            <w:r>
              <w:rPr>
                <w:sz w:val="4"/>
                <w:szCs w:val="4"/>
              </w:rPr>
            </w:r>
          </w:p>
        </w:tc>
        <w:tc>
          <w:tcPr>
            <w:tcW w:w="945" w:type="dxa"/>
            <w:gridSpan w:val="4"/>
            <w:tcBorders/>
            <w:shd w:fill="auto" w:val="clear"/>
            <w:vAlign w:val="center"/>
          </w:tcPr>
          <w:p>
            <w:pPr>
              <w:pStyle w:val="TableContents"/>
              <w:spacing w:before="0" w:after="283"/>
              <w:rPr>
                <w:sz w:val="4"/>
                <w:szCs w:val="4"/>
              </w:rPr>
            </w:pPr>
            <w:r>
              <w:rPr>
                <w:sz w:val="4"/>
                <w:szCs w:val="4"/>
              </w:rPr>
            </w:r>
          </w:p>
        </w:tc>
        <w:tc>
          <w:tcPr>
            <w:tcW w:w="898" w:type="dxa"/>
            <w:gridSpan w:val="4"/>
            <w:tcBorders/>
            <w:shd w:fill="auto" w:val="clear"/>
            <w:vAlign w:val="center"/>
          </w:tcPr>
          <w:p>
            <w:pPr>
              <w:pStyle w:val="TableContents"/>
              <w:spacing w:before="0" w:after="283"/>
              <w:rPr>
                <w:sz w:val="4"/>
                <w:szCs w:val="4"/>
              </w:rPr>
            </w:pPr>
            <w:r>
              <w:rPr>
                <w:sz w:val="4"/>
                <w:szCs w:val="4"/>
              </w:rPr>
            </w:r>
          </w:p>
        </w:tc>
        <w:tc>
          <w:tcPr>
            <w:tcW w:w="1037" w:type="dxa"/>
            <w:gridSpan w:val="4"/>
            <w:tcBorders/>
            <w:shd w:fill="auto" w:val="clear"/>
            <w:vAlign w:val="center"/>
          </w:tcPr>
          <w:p>
            <w:pPr>
              <w:pStyle w:val="TableContents"/>
              <w:spacing w:before="0" w:after="283"/>
              <w:rPr>
                <w:sz w:val="4"/>
                <w:szCs w:val="4"/>
              </w:rPr>
            </w:pPr>
            <w:r>
              <w:rPr>
                <w:sz w:val="4"/>
                <w:szCs w:val="4"/>
              </w:rPr>
            </w:r>
          </w:p>
        </w:tc>
        <w:tc>
          <w:tcPr>
            <w:tcW w:w="1037" w:type="dxa"/>
            <w:gridSpan w:val="4"/>
            <w:tcBorders/>
            <w:shd w:fill="auto" w:val="clear"/>
            <w:vAlign w:val="center"/>
          </w:tcPr>
          <w:p>
            <w:pPr>
              <w:pStyle w:val="TableContents"/>
              <w:spacing w:before="0" w:after="283"/>
              <w:rPr>
                <w:sz w:val="4"/>
                <w:szCs w:val="4"/>
              </w:rPr>
            </w:pPr>
            <w:r>
              <w:rPr>
                <w:sz w:val="4"/>
                <w:szCs w:val="4"/>
              </w:rPr>
            </w:r>
          </w:p>
        </w:tc>
        <w:tc>
          <w:tcPr>
            <w:tcW w:w="1440" w:type="dxa"/>
            <w:gridSpan w:val="4"/>
            <w:tcBorders/>
            <w:shd w:fill="auto" w:val="clear"/>
            <w:vAlign w:val="center"/>
          </w:tcPr>
          <w:p>
            <w:pPr>
              <w:pStyle w:val="TableContents"/>
              <w:spacing w:before="0" w:after="283"/>
              <w:rPr>
                <w:sz w:val="4"/>
                <w:szCs w:val="4"/>
              </w:rPr>
            </w:pPr>
            <w:r>
              <w:rPr>
                <w:sz w:val="4"/>
                <w:szCs w:val="4"/>
              </w:rPr>
            </w:r>
          </w:p>
        </w:tc>
      </w:tr>
      <w:tr>
        <w:trPr/>
        <w:tc>
          <w:tcPr>
            <w:tcW w:w="4848"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continuing operations for basic EPS</w:t>
            </w:r>
          </w:p>
        </w:tc>
        <w:tc>
          <w:tcPr>
            <w:tcW w:w="2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667" w:type="dxa"/>
            <w:tcBorders/>
            <w:shd w:fill="CCEEFF" w:val="clear"/>
            <w:vAlign w:val="bottom"/>
          </w:tcPr>
          <w:p>
            <w:pPr>
              <w:pStyle w:val="TableContents"/>
              <w:spacing w:before="0" w:after="283"/>
              <w:rPr/>
            </w:pPr>
            <w:r>
              <w:rPr/>
              <w:t>  </w:t>
            </w:r>
          </w:p>
        </w:tc>
      </w:tr>
      <w:tr>
        <w:trPr/>
        <w:tc>
          <w:tcPr>
            <w:tcW w:w="4848" w:type="dxa"/>
            <w:tcBorders/>
            <w:shd w:fill="auto" w:val="clear"/>
          </w:tcPr>
          <w:p>
            <w:pPr>
              <w:pStyle w:val="TableContents"/>
              <w:spacing w:before="0" w:after="283"/>
              <w:rPr>
                <w:rFonts w:ascii="Times New Roman" w:hAnsi="Times New Roman"/>
                <w:sz w:val="20"/>
              </w:rPr>
            </w:pPr>
            <w:r>
              <w:rPr>
                <w:rFonts w:ascii="Times New Roman" w:hAnsi="Times New Roman"/>
                <w:sz w:val="20"/>
              </w:rPr>
              <w:t>Income from continuing operations for diluted EPS</w:t>
            </w:r>
          </w:p>
        </w:tc>
        <w:tc>
          <w:tcPr>
            <w:tcW w:w="2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667" w:type="dxa"/>
            <w:tcBorders/>
            <w:shd w:fill="auto" w:val="clear"/>
            <w:vAlign w:val="bottom"/>
          </w:tcPr>
          <w:p>
            <w:pPr>
              <w:pStyle w:val="TableContents"/>
              <w:spacing w:before="0" w:after="283"/>
              <w:rPr/>
            </w:pPr>
            <w:r>
              <w:rPr/>
              <w:t>  </w:t>
            </w:r>
          </w:p>
        </w:tc>
      </w:tr>
      <w:tr>
        <w:trPr/>
        <w:tc>
          <w:tcPr>
            <w:tcW w:w="4848"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for basic and diluted EPS</w:t>
            </w:r>
          </w:p>
        </w:tc>
        <w:tc>
          <w:tcPr>
            <w:tcW w:w="2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667" w:type="dxa"/>
            <w:tcBorders/>
            <w:shd w:fill="CCEEFF" w:val="clear"/>
            <w:vAlign w:val="bottom"/>
          </w:tcPr>
          <w:p>
            <w:pPr>
              <w:pStyle w:val="TableContents"/>
              <w:spacing w:before="0" w:after="283"/>
              <w:rPr/>
            </w:pPr>
            <w:r>
              <w:rPr/>
              <w:t>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SAIC, INC. </w:t>
      </w:r>
    </w:p>
    <w:p>
      <w:pPr>
        <w:pStyle w:val="TextBody"/>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spacing w:before="0" w:after="0"/>
        <w:jc w:val="center"/>
        <w:rPr>
          <w:rFonts w:ascii="Times New Roman" w:hAnsi="Times New Roman"/>
          <w:b/>
          <w:sz w:val="20"/>
        </w:rPr>
      </w:pPr>
      <w:r>
        <w:rPr>
          <w:rFonts w:ascii="Times New Roman" w:hAnsi="Times New Roman"/>
          <w:b/>
          <w:sz w:val="20"/>
        </w:rPr>
        <w:t xml:space="preserve">(Unaudited, in millions)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718"/>
        <w:gridCol w:w="393"/>
        <w:gridCol w:w="151"/>
        <w:gridCol w:w="595"/>
        <w:gridCol w:w="125"/>
        <w:gridCol w:w="348"/>
        <w:gridCol w:w="151"/>
        <w:gridCol w:w="595"/>
        <w:gridCol w:w="129"/>
      </w:tblGrid>
      <w:tr>
        <w:trPr/>
        <w:tc>
          <w:tcPr>
            <w:tcW w:w="7718"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7718"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746"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January 31,</w:t>
            </w:r>
            <w:r>
              <w:rPr/>
              <w:br/>
            </w: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74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2009</w:t>
            </w:r>
          </w:p>
        </w:tc>
        <w:tc>
          <w:tcPr>
            <w:tcW w:w="129" w:type="dxa"/>
            <w:tcBorders/>
            <w:shd w:fill="auto" w:val="clear"/>
            <w:vAlign w:val="bottom"/>
          </w:tcPr>
          <w:p>
            <w:pPr>
              <w:pStyle w:val="TableContents"/>
              <w:spacing w:before="0" w:after="283"/>
              <w:rPr/>
            </w:pPr>
            <w:r>
              <w:rPr/>
              <w:t> </w:t>
            </w:r>
          </w:p>
        </w:tc>
      </w:tr>
      <w:tr>
        <w:trPr/>
        <w:tc>
          <w:tcPr>
            <w:tcW w:w="7718" w:type="dxa"/>
            <w:tcBorders/>
            <w:shd w:fill="CCEEFF" w:val="clear"/>
          </w:tcPr>
          <w:p>
            <w:pPr>
              <w:pStyle w:val="TableContents"/>
              <w:spacing w:before="0" w:after="283"/>
              <w:rPr>
                <w:rFonts w:ascii="Times New Roman" w:hAnsi="Times New Roman"/>
                <w:b/>
                <w:sz w:val="20"/>
              </w:rPr>
            </w:pPr>
            <w:r>
              <w:rPr>
                <w:rFonts w:ascii="Times New Roman" w:hAnsi="Times New Roman"/>
                <w:b/>
                <w:sz w:val="20"/>
              </w:rPr>
              <w:t>ASSETS</w:t>
            </w:r>
          </w:p>
        </w:tc>
        <w:tc>
          <w:tcPr>
            <w:tcW w:w="39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sz w:val="4"/>
                <w:szCs w:val="4"/>
              </w:rPr>
            </w:pPr>
            <w:r>
              <w:rPr>
                <w:sz w:val="4"/>
                <w:szCs w:val="4"/>
              </w:rPr>
            </w:r>
          </w:p>
        </w:tc>
        <w:tc>
          <w:tcPr>
            <w:tcW w:w="59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sz w:val="4"/>
                <w:szCs w:val="4"/>
              </w:rPr>
            </w:pPr>
            <w:r>
              <w:rPr>
                <w:sz w:val="4"/>
                <w:szCs w:val="4"/>
              </w:rPr>
            </w:r>
          </w:p>
        </w:tc>
        <w:tc>
          <w:tcPr>
            <w:tcW w:w="595"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7718"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w:t>
            </w:r>
          </w:p>
        </w:tc>
        <w:tc>
          <w:tcPr>
            <w:tcW w:w="39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7718"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39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861</w:t>
            </w:r>
          </w:p>
        </w:tc>
        <w:tc>
          <w:tcPr>
            <w:tcW w:w="125"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936</w:t>
            </w:r>
          </w:p>
        </w:tc>
        <w:tc>
          <w:tcPr>
            <w:tcW w:w="129" w:type="dxa"/>
            <w:tcBorders/>
            <w:shd w:fill="CCEEFF" w:val="clear"/>
            <w:vAlign w:val="bottom"/>
          </w:tcPr>
          <w:p>
            <w:pPr>
              <w:pStyle w:val="TableContents"/>
              <w:spacing w:before="0" w:after="283"/>
              <w:rPr/>
            </w:pPr>
            <w:r>
              <w:rPr/>
              <w:t>  </w:t>
            </w:r>
          </w:p>
        </w:tc>
      </w:tr>
      <w:tr>
        <w:trPr/>
        <w:tc>
          <w:tcPr>
            <w:tcW w:w="7718" w:type="dxa"/>
            <w:tcBorders/>
            <w:shd w:fill="auto" w:val="clear"/>
          </w:tcPr>
          <w:p>
            <w:pPr>
              <w:pStyle w:val="TableContents"/>
              <w:spacing w:before="0" w:after="283"/>
              <w:rPr>
                <w:rFonts w:ascii="Times New Roman" w:hAnsi="Times New Roman"/>
                <w:sz w:val="20"/>
              </w:rPr>
            </w:pPr>
            <w:r>
              <w:rPr>
                <w:rFonts w:ascii="Times New Roman" w:hAnsi="Times New Roman"/>
                <w:sz w:val="20"/>
              </w:rPr>
              <w:t>Receivables, net</w:t>
            </w:r>
          </w:p>
        </w:tc>
        <w:tc>
          <w:tcPr>
            <w:tcW w:w="39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2,044</w:t>
            </w:r>
          </w:p>
        </w:tc>
        <w:tc>
          <w:tcPr>
            <w:tcW w:w="12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1,889</w:t>
            </w:r>
          </w:p>
        </w:tc>
        <w:tc>
          <w:tcPr>
            <w:tcW w:w="129" w:type="dxa"/>
            <w:tcBorders/>
            <w:shd w:fill="auto" w:val="clear"/>
            <w:vAlign w:val="bottom"/>
          </w:tcPr>
          <w:p>
            <w:pPr>
              <w:pStyle w:val="TableContents"/>
              <w:spacing w:before="0" w:after="283"/>
              <w:rPr/>
            </w:pPr>
            <w:r>
              <w:rPr/>
              <w:t>  </w:t>
            </w:r>
          </w:p>
        </w:tc>
      </w:tr>
      <w:tr>
        <w:trPr/>
        <w:tc>
          <w:tcPr>
            <w:tcW w:w="7718" w:type="dxa"/>
            <w:tcBorders/>
            <w:shd w:fill="CCEEFF" w:val="clear"/>
          </w:tcPr>
          <w:p>
            <w:pPr>
              <w:pStyle w:val="TableContents"/>
              <w:spacing w:before="0" w:after="283"/>
              <w:rPr>
                <w:rFonts w:ascii="Times New Roman" w:hAnsi="Times New Roman"/>
                <w:sz w:val="20"/>
              </w:rPr>
            </w:pPr>
            <w:r>
              <w:rPr>
                <w:rFonts w:ascii="Times New Roman" w:hAnsi="Times New Roman"/>
                <w:sz w:val="20"/>
              </w:rPr>
              <w:t>Inventory, prepaid expenses and other current assets</w:t>
            </w:r>
          </w:p>
        </w:tc>
        <w:tc>
          <w:tcPr>
            <w:tcW w:w="39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288</w:t>
            </w:r>
          </w:p>
        </w:tc>
        <w:tc>
          <w:tcPr>
            <w:tcW w:w="125"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385</w:t>
            </w:r>
          </w:p>
        </w:tc>
        <w:tc>
          <w:tcPr>
            <w:tcW w:w="129" w:type="dxa"/>
            <w:tcBorders/>
            <w:shd w:fill="CCEEFF" w:val="clear"/>
            <w:vAlign w:val="bottom"/>
          </w:tcPr>
          <w:p>
            <w:pPr>
              <w:pStyle w:val="TableContents"/>
              <w:spacing w:before="0" w:after="283"/>
              <w:rPr/>
            </w:pPr>
            <w:r>
              <w:rPr/>
              <w:t>  </w:t>
            </w:r>
          </w:p>
        </w:tc>
      </w:tr>
      <w:tr>
        <w:trPr/>
        <w:tc>
          <w:tcPr>
            <w:tcW w:w="7718" w:type="dxa"/>
            <w:tcBorders/>
            <w:shd w:fill="auto" w:val="clear"/>
          </w:tcPr>
          <w:p>
            <w:pPr>
              <w:pStyle w:val="TableContents"/>
              <w:spacing w:before="0" w:after="283"/>
              <w:rPr>
                <w:rFonts w:ascii="Times New Roman" w:hAnsi="Times New Roman"/>
                <w:sz w:val="20"/>
              </w:rPr>
            </w:pPr>
            <w:r>
              <w:rPr>
                <w:rFonts w:ascii="Times New Roman" w:hAnsi="Times New Roman"/>
                <w:sz w:val="20"/>
              </w:rPr>
              <w:t>Assets of discontinued operations</w:t>
            </w:r>
          </w:p>
        </w:tc>
        <w:tc>
          <w:tcPr>
            <w:tcW w:w="39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9" w:type="dxa"/>
            <w:tcBorders/>
            <w:shd w:fill="auto" w:val="clear"/>
            <w:vAlign w:val="bottom"/>
          </w:tcPr>
          <w:p>
            <w:pPr>
              <w:pStyle w:val="TableContents"/>
              <w:spacing w:before="0" w:after="283"/>
              <w:rPr/>
            </w:pPr>
            <w:r>
              <w:rPr/>
              <w:t>  </w:t>
            </w:r>
          </w:p>
        </w:tc>
      </w:tr>
      <w:tr>
        <w:trPr/>
        <w:tc>
          <w:tcPr>
            <w:tcW w:w="7718"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51" w:type="dxa"/>
            <w:tcBorders>
              <w:top w:val="single" w:sz="2" w:space="0" w:color="000000"/>
            </w:tcBorders>
            <w:shd w:fill="auto" w:val="clear"/>
            <w:tcMar>
              <w:top w:w="28" w:type="dxa"/>
            </w:tcMar>
            <w:vAlign w:val="bottom"/>
          </w:tcPr>
          <w:p>
            <w:pPr>
              <w:pStyle w:val="TableContents"/>
              <w:spacing w:before="0" w:after="283"/>
              <w:rPr/>
            </w:pPr>
            <w:r>
              <w:rPr/>
              <w:t> </w:t>
            </w:r>
          </w:p>
        </w:tc>
        <w:tc>
          <w:tcPr>
            <w:tcW w:w="59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51" w:type="dxa"/>
            <w:tcBorders>
              <w:top w:val="single" w:sz="2" w:space="0" w:color="000000"/>
            </w:tcBorders>
            <w:shd w:fill="auto" w:val="clear"/>
            <w:tcMar>
              <w:top w:w="28" w:type="dxa"/>
            </w:tcMar>
            <w:vAlign w:val="bottom"/>
          </w:tcPr>
          <w:p>
            <w:pPr>
              <w:pStyle w:val="TableContents"/>
              <w:spacing w:before="0" w:after="283"/>
              <w:rPr/>
            </w:pPr>
            <w:r>
              <w:rPr/>
              <w:t> </w:t>
            </w:r>
          </w:p>
        </w:tc>
        <w:tc>
          <w:tcPr>
            <w:tcW w:w="595"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718"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39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3,193</w:t>
            </w:r>
          </w:p>
        </w:tc>
        <w:tc>
          <w:tcPr>
            <w:tcW w:w="125"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3,217</w:t>
            </w:r>
          </w:p>
        </w:tc>
        <w:tc>
          <w:tcPr>
            <w:tcW w:w="129" w:type="dxa"/>
            <w:tcBorders/>
            <w:shd w:fill="CCEEFF" w:val="clear"/>
            <w:vAlign w:val="bottom"/>
          </w:tcPr>
          <w:p>
            <w:pPr>
              <w:pStyle w:val="TableContents"/>
              <w:spacing w:before="0" w:after="283"/>
              <w:rPr/>
            </w:pPr>
            <w:r>
              <w:rPr/>
              <w:t>  </w:t>
            </w:r>
          </w:p>
        </w:tc>
      </w:tr>
      <w:tr>
        <w:trPr/>
        <w:tc>
          <w:tcPr>
            <w:tcW w:w="7718" w:type="dxa"/>
            <w:tcBorders/>
            <w:shd w:fill="auto" w:val="clear"/>
          </w:tcPr>
          <w:p>
            <w:pPr>
              <w:pStyle w:val="TableContents"/>
              <w:spacing w:before="0" w:after="283"/>
              <w:rPr>
                <w:rFonts w:ascii="Times New Roman" w:hAnsi="Times New Roman"/>
                <w:sz w:val="20"/>
              </w:rPr>
            </w:pPr>
            <w:r>
              <w:rPr>
                <w:rFonts w:ascii="Times New Roman" w:hAnsi="Times New Roman"/>
                <w:sz w:val="20"/>
              </w:rPr>
              <w:t>Property, plant and equipment, net</w:t>
            </w:r>
          </w:p>
        </w:tc>
        <w:tc>
          <w:tcPr>
            <w:tcW w:w="39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389</w:t>
            </w:r>
          </w:p>
        </w:tc>
        <w:tc>
          <w:tcPr>
            <w:tcW w:w="12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357</w:t>
            </w:r>
          </w:p>
        </w:tc>
        <w:tc>
          <w:tcPr>
            <w:tcW w:w="129" w:type="dxa"/>
            <w:tcBorders/>
            <w:shd w:fill="auto" w:val="clear"/>
            <w:vAlign w:val="bottom"/>
          </w:tcPr>
          <w:p>
            <w:pPr>
              <w:pStyle w:val="TableContents"/>
              <w:spacing w:before="0" w:after="283"/>
              <w:rPr/>
            </w:pPr>
            <w:r>
              <w:rPr/>
              <w:t>  </w:t>
            </w:r>
          </w:p>
        </w:tc>
      </w:tr>
      <w:tr>
        <w:trPr/>
        <w:tc>
          <w:tcPr>
            <w:tcW w:w="7718"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 net</w:t>
            </w:r>
          </w:p>
        </w:tc>
        <w:tc>
          <w:tcPr>
            <w:tcW w:w="39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w:t>
            </w:r>
          </w:p>
        </w:tc>
        <w:tc>
          <w:tcPr>
            <w:tcW w:w="125"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w:t>
            </w:r>
          </w:p>
        </w:tc>
        <w:tc>
          <w:tcPr>
            <w:tcW w:w="129" w:type="dxa"/>
            <w:tcBorders/>
            <w:shd w:fill="CCEEFF" w:val="clear"/>
            <w:vAlign w:val="bottom"/>
          </w:tcPr>
          <w:p>
            <w:pPr>
              <w:pStyle w:val="TableContents"/>
              <w:spacing w:before="0" w:after="283"/>
              <w:rPr/>
            </w:pPr>
            <w:r>
              <w:rPr/>
              <w:t>  </w:t>
            </w:r>
          </w:p>
        </w:tc>
      </w:tr>
      <w:tr>
        <w:trPr/>
        <w:tc>
          <w:tcPr>
            <w:tcW w:w="7718" w:type="dxa"/>
            <w:tcBorders/>
            <w:shd w:fill="auto" w:val="clear"/>
          </w:tcPr>
          <w:p>
            <w:pPr>
              <w:pStyle w:val="TableContents"/>
              <w:spacing w:before="0" w:after="283"/>
              <w:rPr>
                <w:rFonts w:ascii="Times New Roman" w:hAnsi="Times New Roman"/>
                <w:sz w:val="20"/>
              </w:rPr>
            </w:pPr>
            <w:r>
              <w:rPr>
                <w:rFonts w:ascii="Times New Roman" w:hAnsi="Times New Roman"/>
                <w:sz w:val="20"/>
              </w:rPr>
              <w:t>Goodwill</w:t>
            </w:r>
          </w:p>
        </w:tc>
        <w:tc>
          <w:tcPr>
            <w:tcW w:w="39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1,434</w:t>
            </w:r>
          </w:p>
        </w:tc>
        <w:tc>
          <w:tcPr>
            <w:tcW w:w="12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1,249</w:t>
            </w:r>
          </w:p>
        </w:tc>
        <w:tc>
          <w:tcPr>
            <w:tcW w:w="129" w:type="dxa"/>
            <w:tcBorders/>
            <w:shd w:fill="auto" w:val="clear"/>
            <w:vAlign w:val="bottom"/>
          </w:tcPr>
          <w:p>
            <w:pPr>
              <w:pStyle w:val="TableContents"/>
              <w:spacing w:before="0" w:after="283"/>
              <w:rPr/>
            </w:pPr>
            <w:r>
              <w:rPr/>
              <w:t>  </w:t>
            </w:r>
          </w:p>
        </w:tc>
      </w:tr>
      <w:tr>
        <w:trPr/>
        <w:tc>
          <w:tcPr>
            <w:tcW w:w="7718"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income taxes</w:t>
            </w:r>
          </w:p>
        </w:tc>
        <w:tc>
          <w:tcPr>
            <w:tcW w:w="39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w:t>
            </w:r>
          </w:p>
        </w:tc>
        <w:tc>
          <w:tcPr>
            <w:tcW w:w="125"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w:t>
            </w:r>
          </w:p>
        </w:tc>
        <w:tc>
          <w:tcPr>
            <w:tcW w:w="129" w:type="dxa"/>
            <w:tcBorders/>
            <w:shd w:fill="CCEEFF" w:val="clear"/>
            <w:vAlign w:val="bottom"/>
          </w:tcPr>
          <w:p>
            <w:pPr>
              <w:pStyle w:val="TableContents"/>
              <w:spacing w:before="0" w:after="283"/>
              <w:rPr/>
            </w:pPr>
            <w:r>
              <w:rPr/>
              <w:t>  </w:t>
            </w:r>
          </w:p>
        </w:tc>
      </w:tr>
      <w:tr>
        <w:trPr/>
        <w:tc>
          <w:tcPr>
            <w:tcW w:w="7718" w:type="dxa"/>
            <w:tcBorders/>
            <w:shd w:fill="auto" w:val="clear"/>
          </w:tcPr>
          <w:p>
            <w:pPr>
              <w:pStyle w:val="TableContents"/>
              <w:spacing w:before="0" w:after="283"/>
              <w:rPr>
                <w:rFonts w:ascii="Times New Roman" w:hAnsi="Times New Roman"/>
                <w:sz w:val="20"/>
              </w:rPr>
            </w:pPr>
            <w:r>
              <w:rPr>
                <w:rFonts w:ascii="Times New Roman" w:hAnsi="Times New Roman"/>
                <w:sz w:val="20"/>
              </w:rPr>
              <w:t>Other assets</w:t>
            </w:r>
          </w:p>
        </w:tc>
        <w:tc>
          <w:tcPr>
            <w:tcW w:w="39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c>
          <w:tcPr>
            <w:tcW w:w="12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129" w:type="dxa"/>
            <w:tcBorders/>
            <w:shd w:fill="auto" w:val="clear"/>
            <w:vAlign w:val="bottom"/>
          </w:tcPr>
          <w:p>
            <w:pPr>
              <w:pStyle w:val="TableContents"/>
              <w:spacing w:before="0" w:after="283"/>
              <w:rPr/>
            </w:pPr>
            <w:r>
              <w:rPr/>
              <w:t>  </w:t>
            </w:r>
          </w:p>
        </w:tc>
      </w:tr>
      <w:tr>
        <w:trPr/>
        <w:tc>
          <w:tcPr>
            <w:tcW w:w="7718"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51" w:type="dxa"/>
            <w:tcBorders>
              <w:top w:val="single" w:sz="2" w:space="0" w:color="000000"/>
            </w:tcBorders>
            <w:shd w:fill="auto" w:val="clear"/>
            <w:tcMar>
              <w:top w:w="28" w:type="dxa"/>
            </w:tcMar>
            <w:vAlign w:val="bottom"/>
          </w:tcPr>
          <w:p>
            <w:pPr>
              <w:pStyle w:val="TableContents"/>
              <w:spacing w:before="0" w:after="283"/>
              <w:rPr/>
            </w:pPr>
            <w:r>
              <w:rPr/>
              <w:t> </w:t>
            </w:r>
          </w:p>
        </w:tc>
        <w:tc>
          <w:tcPr>
            <w:tcW w:w="59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51" w:type="dxa"/>
            <w:tcBorders>
              <w:top w:val="single" w:sz="2" w:space="0" w:color="000000"/>
            </w:tcBorders>
            <w:shd w:fill="auto" w:val="clear"/>
            <w:tcMar>
              <w:top w:w="28" w:type="dxa"/>
            </w:tcMar>
            <w:vAlign w:val="bottom"/>
          </w:tcPr>
          <w:p>
            <w:pPr>
              <w:pStyle w:val="TableContents"/>
              <w:spacing w:before="0" w:after="283"/>
              <w:rPr/>
            </w:pPr>
            <w:r>
              <w:rPr/>
              <w:t> </w:t>
            </w:r>
          </w:p>
        </w:tc>
        <w:tc>
          <w:tcPr>
            <w:tcW w:w="595"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718" w:type="dxa"/>
            <w:tcBorders/>
            <w:shd w:fill="CCEEFF" w:val="clear"/>
          </w:tcPr>
          <w:p>
            <w:pPr>
              <w:pStyle w:val="TableContents"/>
              <w:spacing w:before="0" w:after="283"/>
              <w:rPr>
                <w:sz w:val="4"/>
                <w:szCs w:val="4"/>
              </w:rPr>
            </w:pPr>
            <w:r>
              <w:rPr>
                <w:sz w:val="4"/>
                <w:szCs w:val="4"/>
              </w:rPr>
            </w:r>
          </w:p>
        </w:tc>
        <w:tc>
          <w:tcPr>
            <w:tcW w:w="39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5,295</w:t>
            </w:r>
          </w:p>
        </w:tc>
        <w:tc>
          <w:tcPr>
            <w:tcW w:w="125"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5,048</w:t>
            </w:r>
          </w:p>
        </w:tc>
        <w:tc>
          <w:tcPr>
            <w:tcW w:w="129" w:type="dxa"/>
            <w:tcBorders/>
            <w:shd w:fill="CCEEFF" w:val="clear"/>
            <w:vAlign w:val="bottom"/>
          </w:tcPr>
          <w:p>
            <w:pPr>
              <w:pStyle w:val="TableContents"/>
              <w:spacing w:before="0" w:after="283"/>
              <w:rPr/>
            </w:pPr>
            <w:r>
              <w:rPr/>
              <w:t>  </w:t>
            </w:r>
          </w:p>
        </w:tc>
      </w:tr>
      <w:tr>
        <w:trPr/>
        <w:tc>
          <w:tcPr>
            <w:tcW w:w="7718"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51" w:type="dxa"/>
            <w:tcBorders>
              <w:top w:val="double" w:sz="6" w:space="0" w:color="000000"/>
            </w:tcBorders>
            <w:shd w:fill="auto" w:val="clear"/>
            <w:tcMar>
              <w:top w:w="28" w:type="dxa"/>
            </w:tcMar>
            <w:vAlign w:val="bottom"/>
          </w:tcPr>
          <w:p>
            <w:pPr>
              <w:pStyle w:val="TableContents"/>
              <w:spacing w:before="0" w:after="283"/>
              <w:rPr/>
            </w:pPr>
            <w:r>
              <w:rPr/>
              <w:t> </w:t>
            </w:r>
          </w:p>
        </w:tc>
        <w:tc>
          <w:tcPr>
            <w:tcW w:w="59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51" w:type="dxa"/>
            <w:tcBorders>
              <w:top w:val="double" w:sz="6" w:space="0" w:color="000000"/>
            </w:tcBorders>
            <w:shd w:fill="auto" w:val="clear"/>
            <w:tcMar>
              <w:top w:w="28" w:type="dxa"/>
            </w:tcMar>
            <w:vAlign w:val="bottom"/>
          </w:tcPr>
          <w:p>
            <w:pPr>
              <w:pStyle w:val="TableContents"/>
              <w:spacing w:before="0" w:after="283"/>
              <w:rPr/>
            </w:pPr>
            <w:r>
              <w:rPr/>
              <w:t> </w:t>
            </w:r>
          </w:p>
        </w:tc>
        <w:tc>
          <w:tcPr>
            <w:tcW w:w="595"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718" w:type="dxa"/>
            <w:tcBorders/>
            <w:shd w:fill="auto" w:val="clear"/>
          </w:tcPr>
          <w:p>
            <w:pPr>
              <w:pStyle w:val="TableContents"/>
              <w:spacing w:before="0" w:after="283"/>
              <w:rPr>
                <w:rFonts w:ascii="Times New Roman" w:hAnsi="Times New Roman"/>
                <w:b/>
                <w:sz w:val="20"/>
              </w:rPr>
            </w:pPr>
            <w:r>
              <w:rPr>
                <w:rFonts w:ascii="Times New Roman" w:hAnsi="Times New Roman"/>
                <w:b/>
                <w:sz w:val="20"/>
              </w:rPr>
              <w:t>LIABILITIES AND STOCKHOLDERS EQUITY</w:t>
            </w:r>
          </w:p>
        </w:tc>
        <w:tc>
          <w:tcPr>
            <w:tcW w:w="39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7718"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39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sz w:val="4"/>
                <w:szCs w:val="4"/>
              </w:rPr>
            </w:pPr>
            <w:r>
              <w:rPr>
                <w:sz w:val="4"/>
                <w:szCs w:val="4"/>
              </w:rPr>
            </w:r>
          </w:p>
        </w:tc>
        <w:tc>
          <w:tcPr>
            <w:tcW w:w="59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sz w:val="4"/>
                <w:szCs w:val="4"/>
              </w:rPr>
            </w:pPr>
            <w:r>
              <w:rPr>
                <w:sz w:val="4"/>
                <w:szCs w:val="4"/>
              </w:rPr>
            </w:r>
          </w:p>
        </w:tc>
        <w:tc>
          <w:tcPr>
            <w:tcW w:w="595"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7718"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accrued liabilities</w:t>
            </w:r>
          </w:p>
        </w:tc>
        <w:tc>
          <w:tcPr>
            <w:tcW w:w="39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1,191</w:t>
            </w:r>
          </w:p>
        </w:tc>
        <w:tc>
          <w:tcPr>
            <w:tcW w:w="12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1,178</w:t>
            </w:r>
          </w:p>
        </w:tc>
        <w:tc>
          <w:tcPr>
            <w:tcW w:w="129" w:type="dxa"/>
            <w:tcBorders/>
            <w:shd w:fill="auto" w:val="clear"/>
            <w:vAlign w:val="bottom"/>
          </w:tcPr>
          <w:p>
            <w:pPr>
              <w:pStyle w:val="TableContents"/>
              <w:spacing w:before="0" w:after="283"/>
              <w:rPr/>
            </w:pPr>
            <w:r>
              <w:rPr/>
              <w:t>  </w:t>
            </w:r>
          </w:p>
        </w:tc>
      </w:tr>
      <w:tr>
        <w:trPr/>
        <w:tc>
          <w:tcPr>
            <w:tcW w:w="7718" w:type="dxa"/>
            <w:tcBorders/>
            <w:shd w:fill="CCEEFF" w:val="clear"/>
          </w:tcPr>
          <w:p>
            <w:pPr>
              <w:pStyle w:val="TableContents"/>
              <w:spacing w:before="0" w:after="283"/>
              <w:rPr>
                <w:rFonts w:ascii="Times New Roman" w:hAnsi="Times New Roman"/>
                <w:sz w:val="20"/>
              </w:rPr>
            </w:pPr>
            <w:r>
              <w:rPr>
                <w:rFonts w:ascii="Times New Roman" w:hAnsi="Times New Roman"/>
                <w:sz w:val="20"/>
              </w:rPr>
              <w:t>Accrued payroll and employee benefits</w:t>
            </w:r>
          </w:p>
        </w:tc>
        <w:tc>
          <w:tcPr>
            <w:tcW w:w="39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512</w:t>
            </w:r>
          </w:p>
        </w:tc>
        <w:tc>
          <w:tcPr>
            <w:tcW w:w="125"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487</w:t>
            </w:r>
          </w:p>
        </w:tc>
        <w:tc>
          <w:tcPr>
            <w:tcW w:w="129" w:type="dxa"/>
            <w:tcBorders/>
            <w:shd w:fill="CCEEFF" w:val="clear"/>
            <w:vAlign w:val="bottom"/>
          </w:tcPr>
          <w:p>
            <w:pPr>
              <w:pStyle w:val="TableContents"/>
              <w:spacing w:before="0" w:after="283"/>
              <w:rPr/>
            </w:pPr>
            <w:r>
              <w:rPr/>
              <w:t>  </w:t>
            </w:r>
          </w:p>
        </w:tc>
      </w:tr>
      <w:tr>
        <w:trPr/>
        <w:tc>
          <w:tcPr>
            <w:tcW w:w="7718" w:type="dxa"/>
            <w:tcBorders/>
            <w:shd w:fill="auto" w:val="clear"/>
          </w:tcPr>
          <w:p>
            <w:pPr>
              <w:pStyle w:val="TableContents"/>
              <w:spacing w:before="0" w:after="283"/>
              <w:rPr>
                <w:rFonts w:ascii="Times New Roman" w:hAnsi="Times New Roman"/>
                <w:sz w:val="20"/>
              </w:rPr>
            </w:pPr>
            <w:r>
              <w:rPr>
                <w:rFonts w:ascii="Times New Roman" w:hAnsi="Times New Roman"/>
                <w:sz w:val="20"/>
              </w:rPr>
              <w:t>Notes payable and long-term debt, current portion</w:t>
            </w:r>
          </w:p>
        </w:tc>
        <w:tc>
          <w:tcPr>
            <w:tcW w:w="39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9" w:type="dxa"/>
            <w:tcBorders/>
            <w:shd w:fill="auto" w:val="clear"/>
            <w:vAlign w:val="bottom"/>
          </w:tcPr>
          <w:p>
            <w:pPr>
              <w:pStyle w:val="TableContents"/>
              <w:spacing w:before="0" w:after="283"/>
              <w:rPr/>
            </w:pPr>
            <w:r>
              <w:rPr/>
              <w:t>  </w:t>
            </w:r>
          </w:p>
        </w:tc>
      </w:tr>
      <w:tr>
        <w:trPr/>
        <w:tc>
          <w:tcPr>
            <w:tcW w:w="7718" w:type="dxa"/>
            <w:tcBorders/>
            <w:shd w:fill="CCEEFF" w:val="clear"/>
          </w:tcPr>
          <w:p>
            <w:pPr>
              <w:pStyle w:val="TableContents"/>
              <w:spacing w:before="0" w:after="283"/>
              <w:rPr>
                <w:rFonts w:ascii="Times New Roman" w:hAnsi="Times New Roman"/>
                <w:sz w:val="20"/>
              </w:rPr>
            </w:pPr>
            <w:r>
              <w:rPr>
                <w:rFonts w:ascii="Times New Roman" w:hAnsi="Times New Roman"/>
                <w:sz w:val="20"/>
              </w:rPr>
              <w:t>Liabilities of discontinued operations</w:t>
            </w:r>
          </w:p>
        </w:tc>
        <w:tc>
          <w:tcPr>
            <w:tcW w:w="39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9" w:type="dxa"/>
            <w:tcBorders/>
            <w:shd w:fill="CCEEFF" w:val="clear"/>
            <w:vAlign w:val="bottom"/>
          </w:tcPr>
          <w:p>
            <w:pPr>
              <w:pStyle w:val="TableContents"/>
              <w:spacing w:before="0" w:after="283"/>
              <w:rPr/>
            </w:pPr>
            <w:r>
              <w:rPr/>
              <w:t>  </w:t>
            </w:r>
          </w:p>
        </w:tc>
      </w:tr>
      <w:tr>
        <w:trPr/>
        <w:tc>
          <w:tcPr>
            <w:tcW w:w="7718"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51" w:type="dxa"/>
            <w:tcBorders>
              <w:top w:val="single" w:sz="2" w:space="0" w:color="000000"/>
            </w:tcBorders>
            <w:shd w:fill="auto" w:val="clear"/>
            <w:tcMar>
              <w:top w:w="28" w:type="dxa"/>
            </w:tcMar>
            <w:vAlign w:val="bottom"/>
          </w:tcPr>
          <w:p>
            <w:pPr>
              <w:pStyle w:val="TableContents"/>
              <w:spacing w:before="0" w:after="283"/>
              <w:rPr/>
            </w:pPr>
            <w:r>
              <w:rPr/>
              <w:t> </w:t>
            </w:r>
          </w:p>
        </w:tc>
        <w:tc>
          <w:tcPr>
            <w:tcW w:w="59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51" w:type="dxa"/>
            <w:tcBorders>
              <w:top w:val="single" w:sz="2" w:space="0" w:color="000000"/>
            </w:tcBorders>
            <w:shd w:fill="auto" w:val="clear"/>
            <w:tcMar>
              <w:top w:w="28" w:type="dxa"/>
            </w:tcMar>
            <w:vAlign w:val="bottom"/>
          </w:tcPr>
          <w:p>
            <w:pPr>
              <w:pStyle w:val="TableContents"/>
              <w:spacing w:before="0" w:after="283"/>
              <w:rPr/>
            </w:pPr>
            <w:r>
              <w:rPr/>
              <w:t> </w:t>
            </w:r>
          </w:p>
        </w:tc>
        <w:tc>
          <w:tcPr>
            <w:tcW w:w="595"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718"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39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1,706</w:t>
            </w:r>
          </w:p>
        </w:tc>
        <w:tc>
          <w:tcPr>
            <w:tcW w:w="12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1,683</w:t>
            </w:r>
          </w:p>
        </w:tc>
        <w:tc>
          <w:tcPr>
            <w:tcW w:w="129" w:type="dxa"/>
            <w:tcBorders/>
            <w:shd w:fill="auto" w:val="clear"/>
            <w:vAlign w:val="bottom"/>
          </w:tcPr>
          <w:p>
            <w:pPr>
              <w:pStyle w:val="TableContents"/>
              <w:spacing w:before="0" w:after="283"/>
              <w:rPr/>
            </w:pPr>
            <w:r>
              <w:rPr/>
              <w:t>  </w:t>
            </w:r>
          </w:p>
        </w:tc>
      </w:tr>
      <w:tr>
        <w:trPr/>
        <w:tc>
          <w:tcPr>
            <w:tcW w:w="7718" w:type="dxa"/>
            <w:tcBorders/>
            <w:shd w:fill="CCEEFF" w:val="clear"/>
          </w:tcPr>
          <w:p>
            <w:pPr>
              <w:pStyle w:val="TableContents"/>
              <w:spacing w:before="0" w:after="283"/>
              <w:rPr>
                <w:rFonts w:ascii="Times New Roman" w:hAnsi="Times New Roman"/>
                <w:sz w:val="20"/>
              </w:rPr>
            </w:pPr>
            <w:r>
              <w:rPr>
                <w:rFonts w:ascii="Times New Roman" w:hAnsi="Times New Roman"/>
                <w:sz w:val="20"/>
              </w:rPr>
              <w:t>Notes payable and long-term debt, net of current portion</w:t>
            </w:r>
          </w:p>
        </w:tc>
        <w:tc>
          <w:tcPr>
            <w:tcW w:w="39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1,103</w:t>
            </w:r>
          </w:p>
        </w:tc>
        <w:tc>
          <w:tcPr>
            <w:tcW w:w="125"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1,099</w:t>
            </w:r>
          </w:p>
        </w:tc>
        <w:tc>
          <w:tcPr>
            <w:tcW w:w="129" w:type="dxa"/>
            <w:tcBorders/>
            <w:shd w:fill="CCEEFF" w:val="clear"/>
            <w:vAlign w:val="bottom"/>
          </w:tcPr>
          <w:p>
            <w:pPr>
              <w:pStyle w:val="TableContents"/>
              <w:spacing w:before="0" w:after="283"/>
              <w:rPr/>
            </w:pPr>
            <w:r>
              <w:rPr/>
              <w:t>  </w:t>
            </w:r>
          </w:p>
        </w:tc>
      </w:tr>
      <w:tr>
        <w:trPr/>
        <w:tc>
          <w:tcPr>
            <w:tcW w:w="7718" w:type="dxa"/>
            <w:tcBorders/>
            <w:shd w:fill="auto" w:val="clear"/>
          </w:tcPr>
          <w:p>
            <w:pPr>
              <w:pStyle w:val="TableContents"/>
              <w:spacing w:before="0" w:after="283"/>
              <w:rPr>
                <w:rFonts w:ascii="Times New Roman" w:hAnsi="Times New Roman"/>
                <w:sz w:val="20"/>
              </w:rPr>
            </w:pPr>
            <w:r>
              <w:rPr>
                <w:rFonts w:ascii="Times New Roman" w:hAnsi="Times New Roman"/>
                <w:sz w:val="20"/>
              </w:rPr>
              <w:t>Other long-term liabilities</w:t>
            </w:r>
          </w:p>
        </w:tc>
        <w:tc>
          <w:tcPr>
            <w:tcW w:w="39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195</w:t>
            </w:r>
          </w:p>
        </w:tc>
        <w:tc>
          <w:tcPr>
            <w:tcW w:w="12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182</w:t>
            </w:r>
          </w:p>
        </w:tc>
        <w:tc>
          <w:tcPr>
            <w:tcW w:w="129" w:type="dxa"/>
            <w:tcBorders/>
            <w:shd w:fill="auto" w:val="clear"/>
            <w:vAlign w:val="bottom"/>
          </w:tcPr>
          <w:p>
            <w:pPr>
              <w:pStyle w:val="TableContents"/>
              <w:spacing w:before="0" w:after="283"/>
              <w:rPr/>
            </w:pPr>
            <w:r>
              <w:rPr/>
              <w:t>  </w:t>
            </w:r>
          </w:p>
        </w:tc>
      </w:tr>
      <w:tr>
        <w:trPr>
          <w:trHeight w:val="120" w:hRule="atLeast"/>
        </w:trPr>
        <w:tc>
          <w:tcPr>
            <w:tcW w:w="7718" w:type="dxa"/>
            <w:tcBorders/>
            <w:shd w:fill="auto" w:val="clear"/>
            <w:vAlign w:val="center"/>
          </w:tcPr>
          <w:p>
            <w:pPr>
              <w:pStyle w:val="TableContents"/>
              <w:spacing w:before="0" w:after="283"/>
              <w:rPr>
                <w:sz w:val="4"/>
                <w:szCs w:val="4"/>
              </w:rPr>
            </w:pPr>
            <w:r>
              <w:rPr>
                <w:sz w:val="4"/>
                <w:szCs w:val="4"/>
              </w:rPr>
            </w:r>
          </w:p>
        </w:tc>
        <w:tc>
          <w:tcPr>
            <w:tcW w:w="1264" w:type="dxa"/>
            <w:gridSpan w:val="4"/>
            <w:tcBorders/>
            <w:shd w:fill="auto" w:val="clear"/>
            <w:vAlign w:val="center"/>
          </w:tcPr>
          <w:p>
            <w:pPr>
              <w:pStyle w:val="TableContents"/>
              <w:spacing w:before="0" w:after="283"/>
              <w:rPr>
                <w:sz w:val="4"/>
                <w:szCs w:val="4"/>
              </w:rPr>
            </w:pPr>
            <w:r>
              <w:rPr>
                <w:sz w:val="4"/>
                <w:szCs w:val="4"/>
              </w:rPr>
            </w:r>
          </w:p>
        </w:tc>
        <w:tc>
          <w:tcPr>
            <w:tcW w:w="1223" w:type="dxa"/>
            <w:gridSpan w:val="4"/>
            <w:tcBorders/>
            <w:shd w:fill="auto" w:val="clear"/>
            <w:vAlign w:val="center"/>
          </w:tcPr>
          <w:p>
            <w:pPr>
              <w:pStyle w:val="TableContents"/>
              <w:spacing w:before="0" w:after="283"/>
              <w:rPr>
                <w:sz w:val="4"/>
                <w:szCs w:val="4"/>
              </w:rPr>
            </w:pPr>
            <w:r>
              <w:rPr>
                <w:sz w:val="4"/>
                <w:szCs w:val="4"/>
              </w:rPr>
            </w:r>
          </w:p>
        </w:tc>
      </w:tr>
      <w:tr>
        <w:trPr/>
        <w:tc>
          <w:tcPr>
            <w:tcW w:w="7718" w:type="dxa"/>
            <w:tcBorders/>
            <w:shd w:fill="CCEEFF" w:val="clear"/>
          </w:tcPr>
          <w:p>
            <w:pPr>
              <w:pStyle w:val="TableContents"/>
              <w:spacing w:before="0" w:after="283"/>
              <w:rPr>
                <w:rFonts w:ascii="Times New Roman" w:hAnsi="Times New Roman"/>
                <w:sz w:val="20"/>
              </w:rPr>
            </w:pPr>
            <w:r>
              <w:rPr>
                <w:rFonts w:ascii="Times New Roman" w:hAnsi="Times New Roman"/>
                <w:sz w:val="20"/>
              </w:rPr>
              <w:t>Stockholders equity:</w:t>
            </w:r>
          </w:p>
        </w:tc>
        <w:tc>
          <w:tcPr>
            <w:tcW w:w="39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sz w:val="4"/>
                <w:szCs w:val="4"/>
              </w:rPr>
            </w:pPr>
            <w:r>
              <w:rPr>
                <w:sz w:val="4"/>
                <w:szCs w:val="4"/>
              </w:rPr>
            </w:r>
          </w:p>
        </w:tc>
        <w:tc>
          <w:tcPr>
            <w:tcW w:w="59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sz w:val="4"/>
                <w:szCs w:val="4"/>
              </w:rPr>
            </w:pPr>
            <w:r>
              <w:rPr>
                <w:sz w:val="4"/>
                <w:szCs w:val="4"/>
              </w:rPr>
            </w:r>
          </w:p>
        </w:tc>
        <w:tc>
          <w:tcPr>
            <w:tcW w:w="595"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7718" w:type="dxa"/>
            <w:tcBorders/>
            <w:shd w:fill="auto" w:val="clear"/>
          </w:tcPr>
          <w:p>
            <w:pPr>
              <w:pStyle w:val="TableContents"/>
              <w:spacing w:before="0" w:after="283"/>
              <w:rPr>
                <w:rFonts w:ascii="Times New Roman" w:hAnsi="Times New Roman"/>
                <w:sz w:val="20"/>
              </w:rPr>
            </w:pPr>
            <w:r>
              <w:rPr>
                <w:rFonts w:ascii="Times New Roman" w:hAnsi="Times New Roman"/>
                <w:sz w:val="20"/>
              </w:rPr>
              <w:t>Preferred stock, $.0001 par value, 10 million and 1.5 billion shares authorized at January 31, 2010 and 2009, respectively, 0 and 196 million shares issued and outstanding at January 31, 2010 and 2009, respectively</w:t>
            </w:r>
          </w:p>
        </w:tc>
        <w:tc>
          <w:tcPr>
            <w:tcW w:w="39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auto" w:val="clear"/>
            <w:vAlign w:val="bottom"/>
          </w:tcPr>
          <w:p>
            <w:pPr>
              <w:pStyle w:val="TableContents"/>
              <w:spacing w:before="0" w:after="283"/>
              <w:rPr/>
            </w:pPr>
            <w:r>
              <w:rPr/>
              <w:t>  </w:t>
            </w:r>
          </w:p>
        </w:tc>
      </w:tr>
      <w:tr>
        <w:trPr/>
        <w:tc>
          <w:tcPr>
            <w:tcW w:w="7718" w:type="dxa"/>
            <w:tcBorders/>
            <w:shd w:fill="CCEEFF" w:val="clear"/>
          </w:tcPr>
          <w:p>
            <w:pPr>
              <w:pStyle w:val="TableContents"/>
              <w:spacing w:before="0" w:after="283"/>
              <w:rPr>
                <w:rFonts w:ascii="Times New Roman" w:hAnsi="Times New Roman"/>
                <w:sz w:val="20"/>
              </w:rPr>
            </w:pPr>
            <w:r>
              <w:rPr>
                <w:rFonts w:ascii="Times New Roman" w:hAnsi="Times New Roman"/>
                <w:sz w:val="20"/>
              </w:rPr>
              <w:t>Common stock, $.0001 par value, 2 billion shares authorized, 388 million and 210 million shares issued and outstanding at January 31, 2010 and 2009, respectively</w:t>
            </w:r>
          </w:p>
        </w:tc>
        <w:tc>
          <w:tcPr>
            <w:tcW w:w="39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CCEEFF" w:val="clear"/>
            <w:vAlign w:val="bottom"/>
          </w:tcPr>
          <w:p>
            <w:pPr>
              <w:pStyle w:val="TableContents"/>
              <w:spacing w:before="0" w:after="283"/>
              <w:rPr/>
            </w:pPr>
            <w:r>
              <w:rPr/>
              <w:t>  </w:t>
            </w:r>
          </w:p>
        </w:tc>
      </w:tr>
      <w:tr>
        <w:trPr/>
        <w:tc>
          <w:tcPr>
            <w:tcW w:w="7718" w:type="dxa"/>
            <w:tcBorders/>
            <w:shd w:fill="auto" w:val="clear"/>
          </w:tcPr>
          <w:p>
            <w:pPr>
              <w:pStyle w:val="TableContents"/>
              <w:spacing w:before="0" w:after="283"/>
              <w:rPr>
                <w:rFonts w:ascii="Times New Roman" w:hAnsi="Times New Roman"/>
                <w:sz w:val="20"/>
              </w:rPr>
            </w:pPr>
            <w:r>
              <w:rPr>
                <w:rFonts w:ascii="Times New Roman" w:hAnsi="Times New Roman"/>
                <w:sz w:val="20"/>
              </w:rPr>
              <w:t>Additional paid-in capital</w:t>
            </w:r>
          </w:p>
        </w:tc>
        <w:tc>
          <w:tcPr>
            <w:tcW w:w="39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2,096</w:t>
            </w:r>
          </w:p>
        </w:tc>
        <w:tc>
          <w:tcPr>
            <w:tcW w:w="12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1,950</w:t>
            </w:r>
          </w:p>
        </w:tc>
        <w:tc>
          <w:tcPr>
            <w:tcW w:w="129" w:type="dxa"/>
            <w:tcBorders/>
            <w:shd w:fill="auto" w:val="clear"/>
            <w:vAlign w:val="bottom"/>
          </w:tcPr>
          <w:p>
            <w:pPr>
              <w:pStyle w:val="TableContents"/>
              <w:spacing w:before="0" w:after="283"/>
              <w:rPr/>
            </w:pPr>
            <w:r>
              <w:rPr/>
              <w:t>  </w:t>
            </w:r>
          </w:p>
        </w:tc>
      </w:tr>
      <w:tr>
        <w:trPr/>
        <w:tc>
          <w:tcPr>
            <w:tcW w:w="7718" w:type="dxa"/>
            <w:tcBorders/>
            <w:shd w:fill="CCEEFF" w:val="clear"/>
          </w:tcPr>
          <w:p>
            <w:pPr>
              <w:pStyle w:val="TableContents"/>
              <w:spacing w:before="0" w:after="283"/>
              <w:rPr>
                <w:rFonts w:ascii="Times New Roman" w:hAnsi="Times New Roman"/>
                <w:sz w:val="20"/>
              </w:rPr>
            </w:pPr>
            <w:r>
              <w:rPr>
                <w:rFonts w:ascii="Times New Roman" w:hAnsi="Times New Roman"/>
                <w:sz w:val="20"/>
              </w:rPr>
              <w:t>Retained earnings</w:t>
            </w:r>
          </w:p>
        </w:tc>
        <w:tc>
          <w:tcPr>
            <w:tcW w:w="39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w:t>
            </w:r>
          </w:p>
        </w:tc>
        <w:tc>
          <w:tcPr>
            <w:tcW w:w="125"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w:t>
            </w:r>
          </w:p>
        </w:tc>
        <w:tc>
          <w:tcPr>
            <w:tcW w:w="129" w:type="dxa"/>
            <w:tcBorders/>
            <w:shd w:fill="CCEEFF" w:val="clear"/>
            <w:vAlign w:val="bottom"/>
          </w:tcPr>
          <w:p>
            <w:pPr>
              <w:pStyle w:val="TableContents"/>
              <w:spacing w:before="0" w:after="283"/>
              <w:rPr/>
            </w:pPr>
            <w:r>
              <w:rPr/>
              <w:t>  </w:t>
            </w:r>
          </w:p>
        </w:tc>
      </w:tr>
      <w:tr>
        <w:trPr/>
        <w:tc>
          <w:tcPr>
            <w:tcW w:w="7718"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other comprehensive loss</w:t>
            </w:r>
          </w:p>
        </w:tc>
        <w:tc>
          <w:tcPr>
            <w:tcW w:w="39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18"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51" w:type="dxa"/>
            <w:tcBorders>
              <w:top w:val="single" w:sz="2" w:space="0" w:color="000000"/>
            </w:tcBorders>
            <w:shd w:fill="auto" w:val="clear"/>
            <w:tcMar>
              <w:top w:w="28" w:type="dxa"/>
            </w:tcMar>
            <w:vAlign w:val="bottom"/>
          </w:tcPr>
          <w:p>
            <w:pPr>
              <w:pStyle w:val="TableContents"/>
              <w:spacing w:before="0" w:after="283"/>
              <w:rPr/>
            </w:pPr>
            <w:r>
              <w:rPr/>
              <w:t> </w:t>
            </w:r>
          </w:p>
        </w:tc>
        <w:tc>
          <w:tcPr>
            <w:tcW w:w="59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51" w:type="dxa"/>
            <w:tcBorders>
              <w:top w:val="single" w:sz="2" w:space="0" w:color="000000"/>
            </w:tcBorders>
            <w:shd w:fill="auto" w:val="clear"/>
            <w:tcMar>
              <w:top w:w="28" w:type="dxa"/>
            </w:tcMar>
            <w:vAlign w:val="bottom"/>
          </w:tcPr>
          <w:p>
            <w:pPr>
              <w:pStyle w:val="TableContents"/>
              <w:spacing w:before="0" w:after="283"/>
              <w:rPr/>
            </w:pPr>
            <w:r>
              <w:rPr/>
              <w:t> </w:t>
            </w:r>
          </w:p>
        </w:tc>
        <w:tc>
          <w:tcPr>
            <w:tcW w:w="595"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718" w:type="dxa"/>
            <w:tcBorders/>
            <w:shd w:fill="CCEEFF" w:val="clear"/>
          </w:tcPr>
          <w:p>
            <w:pPr>
              <w:pStyle w:val="TableContents"/>
              <w:spacing w:before="0" w:after="283"/>
              <w:rPr>
                <w:rFonts w:ascii="Times New Roman" w:hAnsi="Times New Roman"/>
                <w:sz w:val="20"/>
              </w:rPr>
            </w:pPr>
            <w:r>
              <w:rPr>
                <w:rFonts w:ascii="Times New Roman" w:hAnsi="Times New Roman"/>
                <w:sz w:val="20"/>
              </w:rPr>
              <w:t>Total stockholders equity</w:t>
            </w:r>
          </w:p>
        </w:tc>
        <w:tc>
          <w:tcPr>
            <w:tcW w:w="39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2,291</w:t>
            </w:r>
          </w:p>
        </w:tc>
        <w:tc>
          <w:tcPr>
            <w:tcW w:w="125"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2,084</w:t>
            </w:r>
          </w:p>
        </w:tc>
        <w:tc>
          <w:tcPr>
            <w:tcW w:w="129" w:type="dxa"/>
            <w:tcBorders/>
            <w:shd w:fill="CCEEFF" w:val="clear"/>
            <w:vAlign w:val="bottom"/>
          </w:tcPr>
          <w:p>
            <w:pPr>
              <w:pStyle w:val="TableContents"/>
              <w:spacing w:before="0" w:after="283"/>
              <w:rPr/>
            </w:pPr>
            <w:r>
              <w:rPr/>
              <w:t>  </w:t>
            </w:r>
          </w:p>
        </w:tc>
      </w:tr>
      <w:tr>
        <w:trPr/>
        <w:tc>
          <w:tcPr>
            <w:tcW w:w="7718"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51" w:type="dxa"/>
            <w:tcBorders>
              <w:top w:val="single" w:sz="2" w:space="0" w:color="000000"/>
            </w:tcBorders>
            <w:shd w:fill="auto" w:val="clear"/>
            <w:tcMar>
              <w:top w:w="28" w:type="dxa"/>
            </w:tcMar>
            <w:vAlign w:val="bottom"/>
          </w:tcPr>
          <w:p>
            <w:pPr>
              <w:pStyle w:val="TableContents"/>
              <w:spacing w:before="0" w:after="283"/>
              <w:rPr/>
            </w:pPr>
            <w:r>
              <w:rPr/>
              <w:t> </w:t>
            </w:r>
          </w:p>
        </w:tc>
        <w:tc>
          <w:tcPr>
            <w:tcW w:w="59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51" w:type="dxa"/>
            <w:tcBorders>
              <w:top w:val="single" w:sz="2" w:space="0" w:color="000000"/>
            </w:tcBorders>
            <w:shd w:fill="auto" w:val="clear"/>
            <w:tcMar>
              <w:top w:w="28" w:type="dxa"/>
            </w:tcMar>
            <w:vAlign w:val="bottom"/>
          </w:tcPr>
          <w:p>
            <w:pPr>
              <w:pStyle w:val="TableContents"/>
              <w:spacing w:before="0" w:after="283"/>
              <w:rPr/>
            </w:pPr>
            <w:r>
              <w:rPr/>
              <w:t> </w:t>
            </w:r>
          </w:p>
        </w:tc>
        <w:tc>
          <w:tcPr>
            <w:tcW w:w="595"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718" w:type="dxa"/>
            <w:tcBorders/>
            <w:shd w:fill="auto" w:val="clea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5,295</w:t>
            </w:r>
          </w:p>
        </w:tc>
        <w:tc>
          <w:tcPr>
            <w:tcW w:w="12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5,048</w:t>
            </w:r>
          </w:p>
        </w:tc>
        <w:tc>
          <w:tcPr>
            <w:tcW w:w="129" w:type="dxa"/>
            <w:tcBorders/>
            <w:shd w:fill="auto" w:val="clear"/>
            <w:vAlign w:val="bottom"/>
          </w:tcPr>
          <w:p>
            <w:pPr>
              <w:pStyle w:val="TableContents"/>
              <w:spacing w:before="0" w:after="283"/>
              <w:rPr/>
            </w:pPr>
            <w:r>
              <w:rPr/>
              <w:t>  </w:t>
            </w:r>
          </w:p>
        </w:tc>
      </w:tr>
      <w:tr>
        <w:trPr/>
        <w:tc>
          <w:tcPr>
            <w:tcW w:w="7718"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51" w:type="dxa"/>
            <w:tcBorders>
              <w:top w:val="double" w:sz="6" w:space="0" w:color="000000"/>
            </w:tcBorders>
            <w:shd w:fill="auto" w:val="clear"/>
            <w:tcMar>
              <w:top w:w="28" w:type="dxa"/>
            </w:tcMar>
            <w:vAlign w:val="bottom"/>
          </w:tcPr>
          <w:p>
            <w:pPr>
              <w:pStyle w:val="TableContents"/>
              <w:spacing w:before="0" w:after="283"/>
              <w:rPr/>
            </w:pPr>
            <w:r>
              <w:rPr/>
              <w:t> </w:t>
            </w:r>
          </w:p>
        </w:tc>
        <w:tc>
          <w:tcPr>
            <w:tcW w:w="59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51" w:type="dxa"/>
            <w:tcBorders>
              <w:top w:val="double" w:sz="6" w:space="0" w:color="000000"/>
            </w:tcBorders>
            <w:shd w:fill="auto" w:val="clear"/>
            <w:tcMar>
              <w:top w:w="28" w:type="dxa"/>
            </w:tcMar>
            <w:vAlign w:val="bottom"/>
          </w:tcPr>
          <w:p>
            <w:pPr>
              <w:pStyle w:val="TableContents"/>
              <w:spacing w:before="0" w:after="283"/>
              <w:rPr/>
            </w:pPr>
            <w:r>
              <w:rPr/>
              <w:t> </w:t>
            </w:r>
          </w:p>
        </w:tc>
        <w:tc>
          <w:tcPr>
            <w:tcW w:w="595"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0" w:after="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SAIC, INC. </w:t>
      </w:r>
    </w:p>
    <w:p>
      <w:pPr>
        <w:pStyle w:val="TextBody"/>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spacing w:before="0" w:after="0"/>
        <w:jc w:val="center"/>
        <w:rPr>
          <w:rFonts w:ascii="Times New Roman" w:hAnsi="Times New Roman"/>
          <w:b/>
          <w:sz w:val="20"/>
        </w:rPr>
      </w:pPr>
      <w:r>
        <w:rPr>
          <w:rFonts w:ascii="Times New Roman" w:hAnsi="Times New Roman"/>
          <w:b/>
          <w:sz w:val="20"/>
        </w:rPr>
        <w:t xml:space="preserve">(Unaudited, in millions)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499"/>
        <w:gridCol w:w="289"/>
        <w:gridCol w:w="127"/>
        <w:gridCol w:w="414"/>
        <w:gridCol w:w="127"/>
        <w:gridCol w:w="237"/>
        <w:gridCol w:w="127"/>
        <w:gridCol w:w="416"/>
        <w:gridCol w:w="125"/>
        <w:gridCol w:w="236"/>
        <w:gridCol w:w="124"/>
        <w:gridCol w:w="407"/>
        <w:gridCol w:w="125"/>
        <w:gridCol w:w="236"/>
        <w:gridCol w:w="125"/>
        <w:gridCol w:w="486"/>
        <w:gridCol w:w="125"/>
        <w:gridCol w:w="236"/>
        <w:gridCol w:w="125"/>
        <w:gridCol w:w="486"/>
        <w:gridCol w:w="133"/>
      </w:tblGrid>
      <w:tr>
        <w:trPr/>
        <w:tc>
          <w:tcPr>
            <w:tcW w:w="549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r>
        <w:trPr/>
        <w:tc>
          <w:tcPr>
            <w:tcW w:w="54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44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br/>
              <w:t>January 31</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2475" w:type="dxa"/>
            <w:gridSpan w:val="10"/>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Year Ended</w:t>
            </w:r>
            <w:r>
              <w:rPr/>
              <w:br/>
            </w:r>
            <w:r>
              <w:rPr>
                <w:rFonts w:ascii="Times New Roman" w:hAnsi="Times New Roman"/>
                <w:b/>
                <w:sz w:val="14"/>
              </w:rPr>
              <w:t>January 31</w:t>
            </w:r>
          </w:p>
        </w:tc>
        <w:tc>
          <w:tcPr>
            <w:tcW w:w="133" w:type="dxa"/>
            <w:tcBorders/>
            <w:shd w:fill="auto" w:val="clear"/>
            <w:vAlign w:val="bottom"/>
          </w:tcPr>
          <w:p>
            <w:pPr>
              <w:pStyle w:val="TableContents"/>
              <w:spacing w:before="0" w:after="283"/>
              <w:rPr/>
            </w:pPr>
            <w:r>
              <w:rPr/>
              <w:t> </w:t>
            </w:r>
          </w:p>
        </w:tc>
      </w:tr>
      <w:tr>
        <w:trPr/>
        <w:tc>
          <w:tcPr>
            <w:tcW w:w="549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54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7"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54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53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61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61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33" w:type="dxa"/>
            <w:tcBorders/>
            <w:shd w:fill="auto" w:val="clear"/>
            <w:vAlign w:val="bottom"/>
          </w:tcPr>
          <w:p>
            <w:pPr>
              <w:pStyle w:val="TableContents"/>
              <w:spacing w:before="0" w:after="283"/>
              <w:rPr/>
            </w:pPr>
            <w:r>
              <w:rPr/>
              <w:t> </w:t>
            </w:r>
          </w:p>
        </w:tc>
      </w:tr>
      <w:tr>
        <w:trPr/>
        <w:tc>
          <w:tcPr>
            <w:tcW w:w="5499"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operations:</w:t>
            </w:r>
          </w:p>
        </w:tc>
        <w:tc>
          <w:tcPr>
            <w:tcW w:w="28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sz w:val="4"/>
                <w:szCs w:val="4"/>
              </w:rPr>
            </w:pPr>
            <w:r>
              <w:rPr>
                <w:sz w:val="4"/>
                <w:szCs w:val="4"/>
              </w:rPr>
            </w:r>
          </w:p>
        </w:tc>
        <w:tc>
          <w:tcPr>
            <w:tcW w:w="414"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sz w:val="4"/>
                <w:szCs w:val="4"/>
              </w:rPr>
            </w:pPr>
            <w:r>
              <w:rPr>
                <w:sz w:val="4"/>
                <w:szCs w:val="4"/>
              </w:rPr>
            </w:r>
          </w:p>
        </w:tc>
        <w:tc>
          <w:tcPr>
            <w:tcW w:w="23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sz w:val="4"/>
                <w:szCs w:val="4"/>
              </w:rPr>
            </w:pPr>
            <w:r>
              <w:rPr>
                <w:sz w:val="4"/>
                <w:szCs w:val="4"/>
              </w:rPr>
            </w:r>
          </w:p>
        </w:tc>
        <w:tc>
          <w:tcPr>
            <w:tcW w:w="41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40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8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86"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sz w:val="4"/>
                <w:szCs w:val="4"/>
              </w:rPr>
            </w:pPr>
            <w:r>
              <w:rPr>
                <w:sz w:val="4"/>
                <w:szCs w:val="4"/>
              </w:rPr>
            </w:r>
          </w:p>
        </w:tc>
      </w:tr>
      <w:tr>
        <w:trPr/>
        <w:tc>
          <w:tcPr>
            <w:tcW w:w="5499"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28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127"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497</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452</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416</w:t>
            </w:r>
          </w:p>
        </w:tc>
        <w:tc>
          <w:tcPr>
            <w:tcW w:w="133" w:type="dxa"/>
            <w:tcBorders/>
            <w:shd w:fill="auto" w:val="clear"/>
            <w:vAlign w:val="bottom"/>
          </w:tcPr>
          <w:p>
            <w:pPr>
              <w:pStyle w:val="TableContents"/>
              <w:spacing w:before="0" w:after="283"/>
              <w:rPr/>
            </w:pPr>
            <w:r>
              <w:rPr/>
              <w:t>  </w:t>
            </w:r>
          </w:p>
        </w:tc>
      </w:tr>
      <w:tr>
        <w:trPr/>
        <w:tc>
          <w:tcPr>
            <w:tcW w:w="5499" w:type="dxa"/>
            <w:tcBorders/>
            <w:shd w:fill="CCEEFF" w:val="clear"/>
          </w:tcPr>
          <w:p>
            <w:pPr>
              <w:pStyle w:val="TableContents"/>
              <w:spacing w:before="0" w:after="283"/>
              <w:rPr>
                <w:rFonts w:ascii="Times New Roman" w:hAnsi="Times New Roman"/>
                <w:sz w:val="20"/>
              </w:rPr>
            </w:pPr>
            <w:r>
              <w:rPr>
                <w:rFonts w:ascii="Times New Roman" w:hAnsi="Times New Roman"/>
                <w:sz w:val="20"/>
              </w:rPr>
              <w:t>Loss (income) from discontinued operations</w:t>
            </w:r>
          </w:p>
        </w:tc>
        <w:tc>
          <w:tcPr>
            <w:tcW w:w="28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99" w:type="dxa"/>
            <w:tcBorders/>
            <w:shd w:fill="auto" w:val="clear"/>
          </w:tcPr>
          <w:p>
            <w:pPr>
              <w:pStyle w:val="TableContents"/>
              <w:spacing w:before="0" w:after="283"/>
              <w:rPr>
                <w:rFonts w:ascii="Times New Roman" w:hAnsi="Times New Roman"/>
                <w:sz w:val="20"/>
              </w:rPr>
            </w:pPr>
            <w:r>
              <w:rPr>
                <w:rFonts w:ascii="Times New Roman" w:hAnsi="Times New Roman"/>
                <w:sz w:val="20"/>
              </w:rPr>
              <w:t>Adjustments to reconcile net income to net cash provided by operations:</w:t>
            </w:r>
          </w:p>
        </w:tc>
        <w:tc>
          <w:tcPr>
            <w:tcW w:w="28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86"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r>
      <w:tr>
        <w:trPr/>
        <w:tc>
          <w:tcPr>
            <w:tcW w:w="5499"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28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7"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2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w:t>
            </w:r>
          </w:p>
        </w:tc>
        <w:tc>
          <w:tcPr>
            <w:tcW w:w="12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w:t>
            </w:r>
          </w:p>
        </w:tc>
        <w:tc>
          <w:tcPr>
            <w:tcW w:w="12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w:t>
            </w:r>
          </w:p>
        </w:tc>
        <w:tc>
          <w:tcPr>
            <w:tcW w:w="133" w:type="dxa"/>
            <w:tcBorders/>
            <w:shd w:fill="CCEEFF" w:val="clear"/>
            <w:vAlign w:val="bottom"/>
          </w:tcPr>
          <w:p>
            <w:pPr>
              <w:pStyle w:val="TableContents"/>
              <w:spacing w:before="0" w:after="283"/>
              <w:rPr/>
            </w:pPr>
            <w:r>
              <w:rPr/>
              <w:t>  </w:t>
            </w:r>
          </w:p>
        </w:tc>
      </w:tr>
      <w:tr>
        <w:trPr/>
        <w:tc>
          <w:tcPr>
            <w:tcW w:w="5499" w:type="dxa"/>
            <w:tcBorders/>
            <w:shd w:fill="auto" w:val="clear"/>
          </w:tcPr>
          <w:p>
            <w:pPr>
              <w:pStyle w:val="TableContents"/>
              <w:spacing w:before="0" w:after="283"/>
              <w:rPr>
                <w:rFonts w:ascii="Times New Roman" w:hAnsi="Times New Roman"/>
                <w:sz w:val="20"/>
              </w:rPr>
            </w:pPr>
            <w:r>
              <w:rPr>
                <w:rFonts w:ascii="Times New Roman" w:hAnsi="Times New Roman"/>
                <w:sz w:val="20"/>
              </w:rPr>
              <w:t>Stock-based compensation</w:t>
            </w:r>
          </w:p>
        </w:tc>
        <w:tc>
          <w:tcPr>
            <w:tcW w:w="28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7"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w:t>
            </w:r>
          </w:p>
        </w:tc>
        <w:tc>
          <w:tcPr>
            <w:tcW w:w="133" w:type="dxa"/>
            <w:tcBorders/>
            <w:shd w:fill="auto" w:val="clear"/>
            <w:vAlign w:val="bottom"/>
          </w:tcPr>
          <w:p>
            <w:pPr>
              <w:pStyle w:val="TableContents"/>
              <w:spacing w:before="0" w:after="283"/>
              <w:rPr/>
            </w:pPr>
            <w:r>
              <w:rPr/>
              <w:t>  </w:t>
            </w:r>
          </w:p>
        </w:tc>
      </w:tr>
      <w:tr>
        <w:trPr/>
        <w:tc>
          <w:tcPr>
            <w:tcW w:w="5499" w:type="dxa"/>
            <w:tcBorders/>
            <w:shd w:fill="CCEEFF" w:val="clear"/>
          </w:tcPr>
          <w:p>
            <w:pPr>
              <w:pStyle w:val="TableContents"/>
              <w:spacing w:before="0" w:after="283"/>
              <w:rPr>
                <w:rFonts w:ascii="Times New Roman" w:hAnsi="Times New Roman"/>
                <w:sz w:val="20"/>
              </w:rPr>
            </w:pPr>
            <w:r>
              <w:rPr>
                <w:rFonts w:ascii="Times New Roman" w:hAnsi="Times New Roman"/>
                <w:sz w:val="20"/>
              </w:rPr>
              <w:t>Excess tax benefits from stock-based compensation</w:t>
            </w:r>
          </w:p>
        </w:tc>
        <w:tc>
          <w:tcPr>
            <w:tcW w:w="28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99" w:type="dxa"/>
            <w:tcBorders/>
            <w:shd w:fill="auto" w:val="clear"/>
          </w:tcPr>
          <w:p>
            <w:pPr>
              <w:pStyle w:val="TableContents"/>
              <w:spacing w:before="0" w:after="283"/>
              <w:rPr>
                <w:rFonts w:ascii="Times New Roman" w:hAnsi="Times New Roman"/>
                <w:sz w:val="20"/>
              </w:rPr>
            </w:pPr>
            <w:r>
              <w:rPr>
                <w:rFonts w:ascii="Times New Roman" w:hAnsi="Times New Roman"/>
                <w:sz w:val="20"/>
              </w:rPr>
              <w:t>Impairment losses</w:t>
            </w:r>
          </w:p>
        </w:tc>
        <w:tc>
          <w:tcPr>
            <w:tcW w:w="28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7"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33" w:type="dxa"/>
            <w:tcBorders/>
            <w:shd w:fill="auto" w:val="clear"/>
            <w:vAlign w:val="bottom"/>
          </w:tcPr>
          <w:p>
            <w:pPr>
              <w:pStyle w:val="TableContents"/>
              <w:spacing w:before="0" w:after="283"/>
              <w:rPr/>
            </w:pPr>
            <w:r>
              <w:rPr/>
              <w:t>  </w:t>
            </w:r>
          </w:p>
        </w:tc>
      </w:tr>
      <w:tr>
        <w:trPr/>
        <w:tc>
          <w:tcPr>
            <w:tcW w:w="5499" w:type="dxa"/>
            <w:tcBorders/>
            <w:shd w:fill="CCEEFF" w:val="clear"/>
          </w:tcPr>
          <w:p>
            <w:pPr>
              <w:pStyle w:val="TableContents"/>
              <w:spacing w:before="0" w:after="283"/>
              <w:rPr>
                <w:rFonts w:ascii="Times New Roman" w:hAnsi="Times New Roman"/>
                <w:sz w:val="20"/>
              </w:rPr>
            </w:pPr>
            <w:r>
              <w:rPr>
                <w:rFonts w:ascii="Times New Roman" w:hAnsi="Times New Roman"/>
                <w:sz w:val="20"/>
              </w:rPr>
              <w:t>Other items</w:t>
            </w:r>
          </w:p>
        </w:tc>
        <w:tc>
          <w:tcPr>
            <w:tcW w:w="28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33" w:type="dxa"/>
            <w:tcBorders/>
            <w:shd w:fill="CCEEFF" w:val="clear"/>
            <w:vAlign w:val="bottom"/>
          </w:tcPr>
          <w:p>
            <w:pPr>
              <w:pStyle w:val="TableContents"/>
              <w:spacing w:before="0" w:after="283"/>
              <w:rPr/>
            </w:pPr>
            <w:r>
              <w:rPr/>
              <w:t>  </w:t>
            </w:r>
          </w:p>
        </w:tc>
      </w:tr>
      <w:tr>
        <w:trPr/>
        <w:tc>
          <w:tcPr>
            <w:tcW w:w="5499"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Increase (decrease) in cash and cash equivalents, excluding effects of acquisitions and divestitures, resulting from changes in: </w:t>
            </w:r>
          </w:p>
        </w:tc>
        <w:tc>
          <w:tcPr>
            <w:tcW w:w="28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86"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r>
      <w:tr>
        <w:trPr/>
        <w:tc>
          <w:tcPr>
            <w:tcW w:w="5499" w:type="dxa"/>
            <w:tcBorders/>
            <w:shd w:fill="CCEEFF" w:val="clear"/>
          </w:tcPr>
          <w:p>
            <w:pPr>
              <w:pStyle w:val="TableContents"/>
              <w:spacing w:before="0" w:after="283"/>
              <w:rPr>
                <w:rFonts w:ascii="Times New Roman" w:hAnsi="Times New Roman"/>
                <w:sz w:val="20"/>
              </w:rPr>
            </w:pPr>
            <w:r>
              <w:rPr>
                <w:rFonts w:ascii="Times New Roman" w:hAnsi="Times New Roman"/>
                <w:sz w:val="20"/>
              </w:rPr>
              <w:t>Receivables</w:t>
            </w:r>
          </w:p>
        </w:tc>
        <w:tc>
          <w:tcPr>
            <w:tcW w:w="28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127"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w:t>
            </w:r>
          </w:p>
        </w:tc>
        <w:tc>
          <w:tcPr>
            <w:tcW w:w="12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99" w:type="dxa"/>
            <w:tcBorders/>
            <w:shd w:fill="auto" w:val="clear"/>
          </w:tcPr>
          <w:p>
            <w:pPr>
              <w:pStyle w:val="TableContents"/>
              <w:spacing w:before="0" w:after="283"/>
              <w:rPr>
                <w:rFonts w:ascii="Times New Roman" w:hAnsi="Times New Roman"/>
                <w:sz w:val="20"/>
              </w:rPr>
            </w:pPr>
            <w:r>
              <w:rPr>
                <w:rFonts w:ascii="Times New Roman" w:hAnsi="Times New Roman"/>
                <w:sz w:val="20"/>
              </w:rPr>
              <w:t>Inventory, prepaid expenses and other current assets</w:t>
            </w:r>
          </w:p>
        </w:tc>
        <w:tc>
          <w:tcPr>
            <w:tcW w:w="28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99"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income taxes</w:t>
            </w:r>
          </w:p>
        </w:tc>
        <w:tc>
          <w:tcPr>
            <w:tcW w:w="28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99" w:type="dxa"/>
            <w:tcBorders/>
            <w:shd w:fill="auto" w:val="clear"/>
          </w:tcPr>
          <w:p>
            <w:pPr>
              <w:pStyle w:val="TableContents"/>
              <w:spacing w:before="0" w:after="283"/>
              <w:rPr>
                <w:rFonts w:ascii="Times New Roman" w:hAnsi="Times New Roman"/>
                <w:sz w:val="20"/>
              </w:rPr>
            </w:pPr>
            <w:r>
              <w:rPr>
                <w:rFonts w:ascii="Times New Roman" w:hAnsi="Times New Roman"/>
                <w:sz w:val="20"/>
              </w:rPr>
              <w:t>Other assets</w:t>
            </w:r>
          </w:p>
        </w:tc>
        <w:tc>
          <w:tcPr>
            <w:tcW w:w="28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99"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 and accrued liabilities</w:t>
            </w:r>
          </w:p>
        </w:tc>
        <w:tc>
          <w:tcPr>
            <w:tcW w:w="28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12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33" w:type="dxa"/>
            <w:tcBorders/>
            <w:shd w:fill="CCEEFF" w:val="clear"/>
            <w:vAlign w:val="bottom"/>
          </w:tcPr>
          <w:p>
            <w:pPr>
              <w:pStyle w:val="TableContents"/>
              <w:spacing w:before="0" w:after="283"/>
              <w:rPr/>
            </w:pPr>
            <w:r>
              <w:rPr/>
              <w:t>  </w:t>
            </w:r>
          </w:p>
        </w:tc>
      </w:tr>
      <w:tr>
        <w:trPr/>
        <w:tc>
          <w:tcPr>
            <w:tcW w:w="5499" w:type="dxa"/>
            <w:tcBorders/>
            <w:shd w:fill="auto" w:val="clear"/>
          </w:tcPr>
          <w:p>
            <w:pPr>
              <w:pStyle w:val="TableContents"/>
              <w:spacing w:before="0" w:after="283"/>
              <w:rPr>
                <w:rFonts w:ascii="Times New Roman" w:hAnsi="Times New Roman"/>
                <w:sz w:val="20"/>
              </w:rPr>
            </w:pPr>
            <w:r>
              <w:rPr>
                <w:rFonts w:ascii="Times New Roman" w:hAnsi="Times New Roman"/>
                <w:sz w:val="20"/>
              </w:rPr>
              <w:t>Accrued payroll and employee benefits</w:t>
            </w:r>
          </w:p>
        </w:tc>
        <w:tc>
          <w:tcPr>
            <w:tcW w:w="28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33" w:type="dxa"/>
            <w:tcBorders/>
            <w:shd w:fill="auto" w:val="clear"/>
            <w:vAlign w:val="bottom"/>
          </w:tcPr>
          <w:p>
            <w:pPr>
              <w:pStyle w:val="TableContents"/>
              <w:spacing w:before="0" w:after="283"/>
              <w:rPr/>
            </w:pPr>
            <w:r>
              <w:rPr/>
              <w:t>  </w:t>
            </w:r>
          </w:p>
        </w:tc>
      </w:tr>
      <w:tr>
        <w:trPr/>
        <w:tc>
          <w:tcPr>
            <w:tcW w:w="5499"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taxes payable</w:t>
            </w:r>
          </w:p>
        </w:tc>
        <w:tc>
          <w:tcPr>
            <w:tcW w:w="28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7"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2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33" w:type="dxa"/>
            <w:tcBorders/>
            <w:shd w:fill="CCEEFF" w:val="clear"/>
            <w:vAlign w:val="bottom"/>
          </w:tcPr>
          <w:p>
            <w:pPr>
              <w:pStyle w:val="TableContents"/>
              <w:spacing w:before="0" w:after="283"/>
              <w:rPr/>
            </w:pPr>
            <w:r>
              <w:rPr/>
              <w:t>  </w:t>
            </w:r>
          </w:p>
        </w:tc>
      </w:tr>
      <w:tr>
        <w:trPr/>
        <w:tc>
          <w:tcPr>
            <w:tcW w:w="5499" w:type="dxa"/>
            <w:tcBorders/>
            <w:shd w:fill="auto" w:val="clear"/>
          </w:tcPr>
          <w:p>
            <w:pPr>
              <w:pStyle w:val="TableContents"/>
              <w:spacing w:before="0" w:after="283"/>
              <w:rPr>
                <w:rFonts w:ascii="Times New Roman" w:hAnsi="Times New Roman"/>
                <w:sz w:val="20"/>
              </w:rPr>
            </w:pPr>
            <w:r>
              <w:rPr>
                <w:rFonts w:ascii="Times New Roman" w:hAnsi="Times New Roman"/>
                <w:sz w:val="20"/>
              </w:rPr>
              <w:t>Other long-term liabilities</w:t>
            </w:r>
          </w:p>
        </w:tc>
        <w:tc>
          <w:tcPr>
            <w:tcW w:w="28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7"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99"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7" w:type="dxa"/>
            <w:tcBorders>
              <w:top w:val="single" w:sz="2" w:space="0" w:color="000000"/>
            </w:tcBorders>
            <w:shd w:fill="auto" w:val="clear"/>
            <w:tcMar>
              <w:top w:w="28" w:type="dxa"/>
            </w:tcMar>
            <w:vAlign w:val="bottom"/>
          </w:tcPr>
          <w:p>
            <w:pPr>
              <w:pStyle w:val="TableContents"/>
              <w:spacing w:before="0" w:after="283"/>
              <w:rPr/>
            </w:pPr>
            <w:r>
              <w:rPr/>
              <w:t> </w:t>
            </w:r>
          </w:p>
        </w:tc>
        <w:tc>
          <w:tcPr>
            <w:tcW w:w="414" w:type="dxa"/>
            <w:tcBorders>
              <w:top w:val="single" w:sz="2" w:space="0" w:color="000000"/>
            </w:tcBorders>
            <w:shd w:fill="auto" w:val="clear"/>
            <w:tcMar>
              <w:top w:w="28" w:type="dxa"/>
            </w:tcMar>
            <w:vAlign w:val="bottom"/>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7" w:type="dxa"/>
            <w:tcBorders>
              <w:top w:val="single" w:sz="2" w:space="0" w:color="000000"/>
            </w:tcBorders>
            <w:shd w:fill="auto" w:val="clear"/>
            <w:tcMar>
              <w:top w:w="28" w:type="dxa"/>
            </w:tcMar>
            <w:vAlign w:val="bottom"/>
          </w:tcPr>
          <w:p>
            <w:pPr>
              <w:pStyle w:val="TableContents"/>
              <w:spacing w:before="0" w:after="283"/>
              <w:rPr/>
            </w:pPr>
            <w:r>
              <w:rPr/>
              <w:t> </w:t>
            </w:r>
          </w:p>
        </w:tc>
        <w:tc>
          <w:tcPr>
            <w:tcW w:w="41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0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6" w:type="dxa"/>
            <w:tcBorders>
              <w:top w:val="single" w:sz="2" w:space="0" w:color="000000"/>
            </w:tcBorders>
            <w:shd w:fill="auto" w:val="clear"/>
            <w:tcMar>
              <w:top w:w="28" w:type="dxa"/>
            </w:tcMar>
            <w:vAlign w:val="bottom"/>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5499" w:type="dxa"/>
            <w:tcBorders/>
            <w:shd w:fill="CCEEFF" w:val="clear"/>
          </w:tcPr>
          <w:p>
            <w:pPr>
              <w:pStyle w:val="TableContents"/>
              <w:spacing w:before="0" w:after="283"/>
              <w:rPr>
                <w:rFonts w:ascii="Times New Roman" w:hAnsi="Times New Roman"/>
                <w:sz w:val="20"/>
              </w:rPr>
            </w:pPr>
            <w:r>
              <w:rPr>
                <w:rFonts w:ascii="Times New Roman" w:hAnsi="Times New Roman"/>
                <w:sz w:val="20"/>
              </w:rPr>
              <w:t>Total cash flows provided by operations</w:t>
            </w:r>
          </w:p>
        </w:tc>
        <w:tc>
          <w:tcPr>
            <w:tcW w:w="28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w:t>
            </w:r>
          </w:p>
        </w:tc>
        <w:tc>
          <w:tcPr>
            <w:tcW w:w="127"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w:t>
            </w:r>
          </w:p>
        </w:tc>
        <w:tc>
          <w:tcPr>
            <w:tcW w:w="12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620</w:t>
            </w:r>
          </w:p>
        </w:tc>
        <w:tc>
          <w:tcPr>
            <w:tcW w:w="12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583</w:t>
            </w:r>
          </w:p>
        </w:tc>
        <w:tc>
          <w:tcPr>
            <w:tcW w:w="12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346</w:t>
            </w:r>
          </w:p>
        </w:tc>
        <w:tc>
          <w:tcPr>
            <w:tcW w:w="133" w:type="dxa"/>
            <w:tcBorders/>
            <w:shd w:fill="CCEEFF" w:val="clear"/>
            <w:vAlign w:val="bottom"/>
          </w:tcPr>
          <w:p>
            <w:pPr>
              <w:pStyle w:val="TableContents"/>
              <w:spacing w:before="0" w:after="283"/>
              <w:rPr/>
            </w:pPr>
            <w:r>
              <w:rPr/>
              <w:t>  </w:t>
            </w:r>
          </w:p>
        </w:tc>
      </w:tr>
      <w:tr>
        <w:trPr/>
        <w:tc>
          <w:tcPr>
            <w:tcW w:w="5499" w:type="dxa"/>
            <w:tcBorders/>
            <w:shd w:fill="auto" w:val="clear"/>
          </w:tcPr>
          <w:p>
            <w:pPr>
              <w:pStyle w:val="TableContents"/>
              <w:spacing w:before="0" w:after="283"/>
              <w:rPr>
                <w:rFonts w:ascii="Times New Roman" w:hAnsi="Times New Roman"/>
                <w:sz w:val="20"/>
              </w:rPr>
            </w:pPr>
            <w:r>
              <w:rPr>
                <w:rFonts w:ascii="Times New Roman" w:hAnsi="Times New Roman"/>
                <w:sz w:val="20"/>
              </w:rPr>
              <w:t>Cash flows from investing activities:</w:t>
            </w:r>
          </w:p>
        </w:tc>
        <w:tc>
          <w:tcPr>
            <w:tcW w:w="28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86"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r>
      <w:tr>
        <w:trPr/>
        <w:tc>
          <w:tcPr>
            <w:tcW w:w="5499" w:type="dxa"/>
            <w:tcBorders/>
            <w:shd w:fill="CCEEFF" w:val="clear"/>
          </w:tcPr>
          <w:p>
            <w:pPr>
              <w:pStyle w:val="TableContents"/>
              <w:spacing w:before="0" w:after="283"/>
              <w:rPr>
                <w:rFonts w:ascii="Times New Roman" w:hAnsi="Times New Roman"/>
                <w:sz w:val="20"/>
              </w:rPr>
            </w:pPr>
            <w:r>
              <w:rPr>
                <w:rFonts w:ascii="Times New Roman" w:hAnsi="Times New Roman"/>
                <w:sz w:val="20"/>
              </w:rPr>
              <w:t>Expenditures for property, plant and equipment</w:t>
            </w:r>
          </w:p>
        </w:tc>
        <w:tc>
          <w:tcPr>
            <w:tcW w:w="28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99" w:type="dxa"/>
            <w:tcBorders/>
            <w:shd w:fill="auto" w:val="clear"/>
          </w:tcPr>
          <w:p>
            <w:pPr>
              <w:pStyle w:val="TableContents"/>
              <w:spacing w:before="0" w:after="283"/>
              <w:rPr>
                <w:rFonts w:ascii="Times New Roman" w:hAnsi="Times New Roman"/>
                <w:sz w:val="20"/>
              </w:rPr>
            </w:pPr>
            <w:r>
              <w:rPr>
                <w:rFonts w:ascii="Times New Roman" w:hAnsi="Times New Roman"/>
                <w:sz w:val="20"/>
              </w:rPr>
              <w:t>Acquisitions of businesses, net of cash acquired</w:t>
            </w:r>
          </w:p>
        </w:tc>
        <w:tc>
          <w:tcPr>
            <w:tcW w:w="28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(144</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99" w:type="dxa"/>
            <w:tcBorders/>
            <w:shd w:fill="CCEEFF" w:val="clear"/>
          </w:tcPr>
          <w:p>
            <w:pPr>
              <w:pStyle w:val="TableContents"/>
              <w:spacing w:before="0" w:after="283"/>
              <w:rPr>
                <w:rFonts w:ascii="Times New Roman" w:hAnsi="Times New Roman"/>
                <w:sz w:val="20"/>
              </w:rPr>
            </w:pPr>
            <w:r>
              <w:rPr>
                <w:rFonts w:ascii="Times New Roman" w:hAnsi="Times New Roman"/>
                <w:sz w:val="20"/>
              </w:rPr>
              <w:t>Net receipts (payments) for purchase price adjustments related to prior year acquisitions</w:t>
            </w:r>
          </w:p>
        </w:tc>
        <w:tc>
          <w:tcPr>
            <w:tcW w:w="28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99"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28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7"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33" w:type="dxa"/>
            <w:tcBorders/>
            <w:shd w:fill="auto" w:val="clear"/>
            <w:vAlign w:val="bottom"/>
          </w:tcPr>
          <w:p>
            <w:pPr>
              <w:pStyle w:val="TableContents"/>
              <w:spacing w:before="0" w:after="283"/>
              <w:rPr/>
            </w:pPr>
            <w:r>
              <w:rPr/>
              <w:t>  </w:t>
            </w:r>
          </w:p>
        </w:tc>
      </w:tr>
      <w:tr>
        <w:trPr/>
        <w:tc>
          <w:tcPr>
            <w:tcW w:w="5499"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7" w:type="dxa"/>
            <w:tcBorders>
              <w:top w:val="single" w:sz="2" w:space="0" w:color="000000"/>
            </w:tcBorders>
            <w:shd w:fill="auto" w:val="clear"/>
            <w:tcMar>
              <w:top w:w="28" w:type="dxa"/>
            </w:tcMar>
            <w:vAlign w:val="bottom"/>
          </w:tcPr>
          <w:p>
            <w:pPr>
              <w:pStyle w:val="TableContents"/>
              <w:spacing w:before="0" w:after="283"/>
              <w:rPr/>
            </w:pPr>
            <w:r>
              <w:rPr/>
              <w:t> </w:t>
            </w:r>
          </w:p>
        </w:tc>
        <w:tc>
          <w:tcPr>
            <w:tcW w:w="414" w:type="dxa"/>
            <w:tcBorders>
              <w:top w:val="single" w:sz="2" w:space="0" w:color="000000"/>
            </w:tcBorders>
            <w:shd w:fill="auto" w:val="clear"/>
            <w:tcMar>
              <w:top w:w="28" w:type="dxa"/>
            </w:tcMar>
            <w:vAlign w:val="bottom"/>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7" w:type="dxa"/>
            <w:tcBorders>
              <w:top w:val="single" w:sz="2" w:space="0" w:color="000000"/>
            </w:tcBorders>
            <w:shd w:fill="auto" w:val="clear"/>
            <w:tcMar>
              <w:top w:w="28" w:type="dxa"/>
            </w:tcMar>
            <w:vAlign w:val="bottom"/>
          </w:tcPr>
          <w:p>
            <w:pPr>
              <w:pStyle w:val="TableContents"/>
              <w:spacing w:before="0" w:after="283"/>
              <w:rPr/>
            </w:pPr>
            <w:r>
              <w:rPr/>
              <w:t> </w:t>
            </w:r>
          </w:p>
        </w:tc>
        <w:tc>
          <w:tcPr>
            <w:tcW w:w="41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0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6" w:type="dxa"/>
            <w:tcBorders>
              <w:top w:val="single" w:sz="2" w:space="0" w:color="000000"/>
            </w:tcBorders>
            <w:shd w:fill="auto" w:val="clear"/>
            <w:tcMar>
              <w:top w:w="28" w:type="dxa"/>
            </w:tcMar>
            <w:vAlign w:val="bottom"/>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5499" w:type="dxa"/>
            <w:tcBorders/>
            <w:shd w:fill="CCEEFF" w:val="clear"/>
          </w:tcPr>
          <w:p>
            <w:pPr>
              <w:pStyle w:val="TableContents"/>
              <w:spacing w:before="0" w:after="283"/>
              <w:rPr>
                <w:rFonts w:ascii="Times New Roman" w:hAnsi="Times New Roman"/>
                <w:sz w:val="20"/>
              </w:rPr>
            </w:pPr>
            <w:r>
              <w:rPr>
                <w:rFonts w:ascii="Times New Roman" w:hAnsi="Times New Roman"/>
                <w:sz w:val="20"/>
              </w:rPr>
              <w:t>Total cash flows used in investing activities</w:t>
            </w:r>
          </w:p>
        </w:tc>
        <w:tc>
          <w:tcPr>
            <w:tcW w:w="28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99" w:type="dxa"/>
            <w:tcBorders/>
            <w:shd w:fill="auto" w:val="clear"/>
          </w:tcPr>
          <w:p>
            <w:pPr>
              <w:pStyle w:val="TableContents"/>
              <w:spacing w:before="0" w:after="283"/>
              <w:rPr>
                <w:rFonts w:ascii="Times New Roman" w:hAnsi="Times New Roman"/>
                <w:sz w:val="20"/>
              </w:rPr>
            </w:pPr>
            <w:r>
              <w:rPr>
                <w:rFonts w:ascii="Times New Roman" w:hAnsi="Times New Roman"/>
                <w:sz w:val="20"/>
              </w:rPr>
              <w:t>Cash flows from financing activities:</w:t>
            </w:r>
          </w:p>
        </w:tc>
        <w:tc>
          <w:tcPr>
            <w:tcW w:w="28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86"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r>
      <w:tr>
        <w:trPr/>
        <w:tc>
          <w:tcPr>
            <w:tcW w:w="5499" w:type="dxa"/>
            <w:tcBorders/>
            <w:shd w:fill="CCEEFF" w:val="clear"/>
          </w:tcPr>
          <w:p>
            <w:pPr>
              <w:pStyle w:val="TableContents"/>
              <w:spacing w:before="0" w:after="283"/>
              <w:rPr>
                <w:rFonts w:ascii="Times New Roman" w:hAnsi="Times New Roman"/>
                <w:sz w:val="20"/>
              </w:rPr>
            </w:pPr>
            <w:r>
              <w:rPr>
                <w:rFonts w:ascii="Times New Roman" w:hAnsi="Times New Roman"/>
                <w:sz w:val="20"/>
              </w:rPr>
              <w:t>Payments on notes payable and long-term debt</w:t>
            </w:r>
          </w:p>
        </w:tc>
        <w:tc>
          <w:tcPr>
            <w:tcW w:w="28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99" w:type="dxa"/>
            <w:tcBorders/>
            <w:shd w:fill="auto" w:val="clear"/>
          </w:tcPr>
          <w:p>
            <w:pPr>
              <w:pStyle w:val="TableContents"/>
              <w:spacing w:before="0" w:after="283"/>
              <w:rPr>
                <w:rFonts w:ascii="Times New Roman" w:hAnsi="Times New Roman"/>
                <w:sz w:val="20"/>
              </w:rPr>
            </w:pPr>
            <w:r>
              <w:rPr>
                <w:rFonts w:ascii="Times New Roman" w:hAnsi="Times New Roman"/>
                <w:sz w:val="20"/>
              </w:rPr>
              <w:t>Sales of stock and exercises of stock options</w:t>
            </w:r>
          </w:p>
        </w:tc>
        <w:tc>
          <w:tcPr>
            <w:tcW w:w="28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7"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w:t>
            </w:r>
          </w:p>
        </w:tc>
        <w:tc>
          <w:tcPr>
            <w:tcW w:w="133" w:type="dxa"/>
            <w:tcBorders/>
            <w:shd w:fill="auto" w:val="clear"/>
            <w:vAlign w:val="bottom"/>
          </w:tcPr>
          <w:p>
            <w:pPr>
              <w:pStyle w:val="TableContents"/>
              <w:spacing w:before="0" w:after="283"/>
              <w:rPr/>
            </w:pPr>
            <w:r>
              <w:rPr/>
              <w:t>  </w:t>
            </w:r>
          </w:p>
        </w:tc>
      </w:tr>
      <w:tr>
        <w:trPr/>
        <w:tc>
          <w:tcPr>
            <w:tcW w:w="5499" w:type="dxa"/>
            <w:tcBorders/>
            <w:shd w:fill="CCEEFF" w:val="clear"/>
          </w:tcPr>
          <w:p>
            <w:pPr>
              <w:pStyle w:val="TableContents"/>
              <w:spacing w:before="0" w:after="283"/>
              <w:rPr>
                <w:rFonts w:ascii="Times New Roman" w:hAnsi="Times New Roman"/>
                <w:sz w:val="20"/>
              </w:rPr>
            </w:pPr>
            <w:r>
              <w:rPr>
                <w:rFonts w:ascii="Times New Roman" w:hAnsi="Times New Roman"/>
                <w:sz w:val="20"/>
              </w:rPr>
              <w:t>Repurchases of stock</w:t>
            </w:r>
          </w:p>
        </w:tc>
        <w:tc>
          <w:tcPr>
            <w:tcW w:w="28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(309</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99" w:type="dxa"/>
            <w:tcBorders/>
            <w:shd w:fill="auto" w:val="clear"/>
          </w:tcPr>
          <w:p>
            <w:pPr>
              <w:pStyle w:val="TableContents"/>
              <w:spacing w:before="0" w:after="283"/>
              <w:rPr>
                <w:rFonts w:ascii="Times New Roman" w:hAnsi="Times New Roman"/>
                <w:sz w:val="20"/>
              </w:rPr>
            </w:pPr>
            <w:r>
              <w:rPr>
                <w:rFonts w:ascii="Times New Roman" w:hAnsi="Times New Roman"/>
                <w:sz w:val="20"/>
              </w:rPr>
              <w:t>Excess tax benefits from stock-based compensation</w:t>
            </w:r>
          </w:p>
        </w:tc>
        <w:tc>
          <w:tcPr>
            <w:tcW w:w="28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7"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33" w:type="dxa"/>
            <w:tcBorders/>
            <w:shd w:fill="auto" w:val="clear"/>
            <w:vAlign w:val="bottom"/>
          </w:tcPr>
          <w:p>
            <w:pPr>
              <w:pStyle w:val="TableContents"/>
              <w:spacing w:before="0" w:after="283"/>
              <w:rPr/>
            </w:pPr>
            <w:r>
              <w:rPr/>
              <w:t>  </w:t>
            </w:r>
          </w:p>
        </w:tc>
      </w:tr>
      <w:tr>
        <w:trPr/>
        <w:tc>
          <w:tcPr>
            <w:tcW w:w="5499"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28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3" w:type="dxa"/>
            <w:tcBorders/>
            <w:shd w:fill="CCEEFF" w:val="clear"/>
            <w:vAlign w:val="bottom"/>
          </w:tcPr>
          <w:p>
            <w:pPr>
              <w:pStyle w:val="TableContents"/>
              <w:spacing w:before="0" w:after="283"/>
              <w:rPr/>
            </w:pPr>
            <w:r>
              <w:rPr/>
              <w:t>  </w:t>
            </w:r>
          </w:p>
        </w:tc>
      </w:tr>
      <w:tr>
        <w:trPr/>
        <w:tc>
          <w:tcPr>
            <w:tcW w:w="5499"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7" w:type="dxa"/>
            <w:tcBorders>
              <w:top w:val="single" w:sz="2" w:space="0" w:color="000000"/>
            </w:tcBorders>
            <w:shd w:fill="auto" w:val="clear"/>
            <w:tcMar>
              <w:top w:w="28" w:type="dxa"/>
            </w:tcMar>
            <w:vAlign w:val="bottom"/>
          </w:tcPr>
          <w:p>
            <w:pPr>
              <w:pStyle w:val="TableContents"/>
              <w:spacing w:before="0" w:after="283"/>
              <w:rPr/>
            </w:pPr>
            <w:r>
              <w:rPr/>
              <w:t> </w:t>
            </w:r>
          </w:p>
        </w:tc>
        <w:tc>
          <w:tcPr>
            <w:tcW w:w="414" w:type="dxa"/>
            <w:tcBorders>
              <w:top w:val="single" w:sz="2" w:space="0" w:color="000000"/>
            </w:tcBorders>
            <w:shd w:fill="auto" w:val="clear"/>
            <w:tcMar>
              <w:top w:w="28" w:type="dxa"/>
            </w:tcMar>
            <w:vAlign w:val="bottom"/>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7" w:type="dxa"/>
            <w:tcBorders>
              <w:top w:val="single" w:sz="2" w:space="0" w:color="000000"/>
            </w:tcBorders>
            <w:shd w:fill="auto" w:val="clear"/>
            <w:tcMar>
              <w:top w:w="28" w:type="dxa"/>
            </w:tcMar>
            <w:vAlign w:val="bottom"/>
          </w:tcPr>
          <w:p>
            <w:pPr>
              <w:pStyle w:val="TableContents"/>
              <w:spacing w:before="0" w:after="283"/>
              <w:rPr/>
            </w:pPr>
            <w:r>
              <w:rPr/>
              <w:t> </w:t>
            </w:r>
          </w:p>
        </w:tc>
        <w:tc>
          <w:tcPr>
            <w:tcW w:w="41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0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6" w:type="dxa"/>
            <w:tcBorders>
              <w:top w:val="single" w:sz="2" w:space="0" w:color="000000"/>
            </w:tcBorders>
            <w:shd w:fill="auto" w:val="clear"/>
            <w:tcMar>
              <w:top w:w="28" w:type="dxa"/>
            </w:tcMar>
            <w:vAlign w:val="bottom"/>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5499" w:type="dxa"/>
            <w:tcBorders/>
            <w:shd w:fill="auto" w:val="clear"/>
          </w:tcPr>
          <w:p>
            <w:pPr>
              <w:pStyle w:val="TableContents"/>
              <w:spacing w:before="0" w:after="283"/>
              <w:rPr>
                <w:rFonts w:ascii="Times New Roman" w:hAnsi="Times New Roman"/>
                <w:sz w:val="20"/>
              </w:rPr>
            </w:pPr>
            <w:r>
              <w:rPr>
                <w:rFonts w:ascii="Times New Roman" w:hAnsi="Times New Roman"/>
                <w:sz w:val="20"/>
              </w:rPr>
              <w:t>Total cash flows used in financing activities</w:t>
            </w:r>
          </w:p>
        </w:tc>
        <w:tc>
          <w:tcPr>
            <w:tcW w:w="28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99"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7" w:type="dxa"/>
            <w:tcBorders>
              <w:top w:val="single" w:sz="2" w:space="0" w:color="000000"/>
            </w:tcBorders>
            <w:shd w:fill="auto" w:val="clear"/>
            <w:tcMar>
              <w:top w:w="28" w:type="dxa"/>
            </w:tcMar>
            <w:vAlign w:val="bottom"/>
          </w:tcPr>
          <w:p>
            <w:pPr>
              <w:pStyle w:val="TableContents"/>
              <w:spacing w:before="0" w:after="283"/>
              <w:rPr/>
            </w:pPr>
            <w:r>
              <w:rPr/>
              <w:t> </w:t>
            </w:r>
          </w:p>
        </w:tc>
        <w:tc>
          <w:tcPr>
            <w:tcW w:w="414" w:type="dxa"/>
            <w:tcBorders>
              <w:top w:val="single" w:sz="2" w:space="0" w:color="000000"/>
            </w:tcBorders>
            <w:shd w:fill="auto" w:val="clear"/>
            <w:tcMar>
              <w:top w:w="28" w:type="dxa"/>
            </w:tcMar>
            <w:vAlign w:val="bottom"/>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7" w:type="dxa"/>
            <w:tcBorders>
              <w:top w:val="single" w:sz="2" w:space="0" w:color="000000"/>
            </w:tcBorders>
            <w:shd w:fill="auto" w:val="clear"/>
            <w:tcMar>
              <w:top w:w="28" w:type="dxa"/>
            </w:tcMar>
            <w:vAlign w:val="bottom"/>
          </w:tcPr>
          <w:p>
            <w:pPr>
              <w:pStyle w:val="TableContents"/>
              <w:spacing w:before="0" w:after="283"/>
              <w:rPr/>
            </w:pPr>
            <w:r>
              <w:rPr/>
              <w:t> </w:t>
            </w:r>
          </w:p>
        </w:tc>
        <w:tc>
          <w:tcPr>
            <w:tcW w:w="41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0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6" w:type="dxa"/>
            <w:tcBorders>
              <w:top w:val="single" w:sz="2" w:space="0" w:color="000000"/>
            </w:tcBorders>
            <w:shd w:fill="auto" w:val="clear"/>
            <w:tcMar>
              <w:top w:w="28" w:type="dxa"/>
            </w:tcMar>
            <w:vAlign w:val="bottom"/>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5499" w:type="dxa"/>
            <w:tcBorders/>
            <w:shd w:fill="CCEEFF" w:val="clear"/>
          </w:tcPr>
          <w:p>
            <w:pPr>
              <w:pStyle w:val="TableContents"/>
              <w:spacing w:before="0" w:after="283"/>
              <w:rPr>
                <w:rFonts w:ascii="Times New Roman" w:hAnsi="Times New Roman"/>
                <w:sz w:val="20"/>
              </w:rPr>
            </w:pPr>
            <w:r>
              <w:rPr>
                <w:rFonts w:ascii="Times New Roman" w:hAnsi="Times New Roman"/>
                <w:sz w:val="20"/>
              </w:rPr>
              <w:t>Increase (decrease) in cash and cash equivalents from continuing operations</w:t>
            </w:r>
          </w:p>
        </w:tc>
        <w:tc>
          <w:tcPr>
            <w:tcW w:w="28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w:t>
            </w:r>
          </w:p>
        </w:tc>
        <w:tc>
          <w:tcPr>
            <w:tcW w:w="12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99"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7" w:type="dxa"/>
            <w:tcBorders>
              <w:top w:val="single" w:sz="2" w:space="0" w:color="000000"/>
            </w:tcBorders>
            <w:shd w:fill="auto" w:val="clear"/>
            <w:tcMar>
              <w:top w:w="28" w:type="dxa"/>
            </w:tcMar>
            <w:vAlign w:val="bottom"/>
          </w:tcPr>
          <w:p>
            <w:pPr>
              <w:pStyle w:val="TableContents"/>
              <w:spacing w:before="0" w:after="283"/>
              <w:rPr/>
            </w:pPr>
            <w:r>
              <w:rPr/>
              <w:t> </w:t>
            </w:r>
          </w:p>
        </w:tc>
        <w:tc>
          <w:tcPr>
            <w:tcW w:w="414" w:type="dxa"/>
            <w:tcBorders>
              <w:top w:val="single" w:sz="2" w:space="0" w:color="000000"/>
            </w:tcBorders>
            <w:shd w:fill="auto" w:val="clear"/>
            <w:tcMar>
              <w:top w:w="28" w:type="dxa"/>
            </w:tcMar>
            <w:vAlign w:val="bottom"/>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7" w:type="dxa"/>
            <w:tcBorders>
              <w:top w:val="single" w:sz="2" w:space="0" w:color="000000"/>
            </w:tcBorders>
            <w:shd w:fill="auto" w:val="clear"/>
            <w:tcMar>
              <w:top w:w="28" w:type="dxa"/>
            </w:tcMar>
            <w:vAlign w:val="bottom"/>
          </w:tcPr>
          <w:p>
            <w:pPr>
              <w:pStyle w:val="TableContents"/>
              <w:spacing w:before="0" w:after="283"/>
              <w:rPr/>
            </w:pPr>
            <w:r>
              <w:rPr/>
              <w:t> </w:t>
            </w:r>
          </w:p>
        </w:tc>
        <w:tc>
          <w:tcPr>
            <w:tcW w:w="41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0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6" w:type="dxa"/>
            <w:tcBorders>
              <w:top w:val="single" w:sz="2" w:space="0" w:color="000000"/>
            </w:tcBorders>
            <w:shd w:fill="auto" w:val="clear"/>
            <w:tcMar>
              <w:top w:w="28" w:type="dxa"/>
            </w:tcMar>
            <w:vAlign w:val="bottom"/>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5499" w:type="dxa"/>
            <w:tcBorders/>
            <w:shd w:fill="auto" w:val="clear"/>
          </w:tcPr>
          <w:p>
            <w:pPr>
              <w:pStyle w:val="TableContents"/>
              <w:spacing w:before="0" w:after="283"/>
              <w:rPr>
                <w:rFonts w:ascii="Times New Roman" w:hAnsi="Times New Roman"/>
                <w:sz w:val="20"/>
              </w:rPr>
            </w:pPr>
            <w:r>
              <w:rPr>
                <w:rFonts w:ascii="Times New Roman" w:hAnsi="Times New Roman"/>
                <w:sz w:val="20"/>
              </w:rPr>
              <w:t>Cash flows from discontinued operations:</w:t>
            </w:r>
          </w:p>
        </w:tc>
        <w:tc>
          <w:tcPr>
            <w:tcW w:w="28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86"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r>
      <w:tr>
        <w:trPr/>
        <w:tc>
          <w:tcPr>
            <w:tcW w:w="5499" w:type="dxa"/>
            <w:tcBorders/>
            <w:shd w:fill="CCEEFF" w:val="clear"/>
          </w:tcPr>
          <w:p>
            <w:pPr>
              <w:pStyle w:val="TableContents"/>
              <w:spacing w:before="0" w:after="283"/>
              <w:rPr>
                <w:rFonts w:ascii="Times New Roman" w:hAnsi="Times New Roman"/>
                <w:sz w:val="20"/>
              </w:rPr>
            </w:pPr>
            <w:r>
              <w:rPr>
                <w:rFonts w:ascii="Times New Roman" w:hAnsi="Times New Roman"/>
                <w:sz w:val="20"/>
              </w:rPr>
              <w:t>Cash provided by (used in) operating activities of discontinued operations</w:t>
            </w:r>
          </w:p>
        </w:tc>
        <w:tc>
          <w:tcPr>
            <w:tcW w:w="28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7"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99" w:type="dxa"/>
            <w:tcBorders/>
            <w:shd w:fill="auto" w:val="clear"/>
          </w:tcPr>
          <w:p>
            <w:pPr>
              <w:pStyle w:val="TableContents"/>
              <w:spacing w:before="0" w:after="283"/>
              <w:rPr>
                <w:rFonts w:ascii="Times New Roman" w:hAnsi="Times New Roman"/>
                <w:sz w:val="20"/>
              </w:rPr>
            </w:pPr>
            <w:r>
              <w:rPr>
                <w:rFonts w:ascii="Times New Roman" w:hAnsi="Times New Roman"/>
                <w:sz w:val="20"/>
              </w:rPr>
              <w:t>Cash provided by (used in) investing activities of discontinued operations</w:t>
            </w:r>
          </w:p>
        </w:tc>
        <w:tc>
          <w:tcPr>
            <w:tcW w:w="28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7"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3" w:type="dxa"/>
            <w:tcBorders/>
            <w:shd w:fill="auto" w:val="clear"/>
            <w:vAlign w:val="bottom"/>
          </w:tcPr>
          <w:p>
            <w:pPr>
              <w:pStyle w:val="TableContents"/>
              <w:spacing w:before="0" w:after="283"/>
              <w:rPr/>
            </w:pPr>
            <w:r>
              <w:rPr/>
              <w:t>  </w:t>
            </w:r>
          </w:p>
        </w:tc>
      </w:tr>
      <w:tr>
        <w:trPr/>
        <w:tc>
          <w:tcPr>
            <w:tcW w:w="5499"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7" w:type="dxa"/>
            <w:tcBorders>
              <w:top w:val="single" w:sz="2" w:space="0" w:color="000000"/>
            </w:tcBorders>
            <w:shd w:fill="auto" w:val="clear"/>
            <w:tcMar>
              <w:top w:w="28" w:type="dxa"/>
            </w:tcMar>
            <w:vAlign w:val="bottom"/>
          </w:tcPr>
          <w:p>
            <w:pPr>
              <w:pStyle w:val="TableContents"/>
              <w:spacing w:before="0" w:after="283"/>
              <w:rPr/>
            </w:pPr>
            <w:r>
              <w:rPr/>
              <w:t> </w:t>
            </w:r>
          </w:p>
        </w:tc>
        <w:tc>
          <w:tcPr>
            <w:tcW w:w="414" w:type="dxa"/>
            <w:tcBorders>
              <w:top w:val="single" w:sz="2" w:space="0" w:color="000000"/>
            </w:tcBorders>
            <w:shd w:fill="auto" w:val="clear"/>
            <w:tcMar>
              <w:top w:w="28" w:type="dxa"/>
            </w:tcMar>
            <w:vAlign w:val="bottom"/>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7" w:type="dxa"/>
            <w:tcBorders>
              <w:top w:val="single" w:sz="2" w:space="0" w:color="000000"/>
            </w:tcBorders>
            <w:shd w:fill="auto" w:val="clear"/>
            <w:tcMar>
              <w:top w:w="28" w:type="dxa"/>
            </w:tcMar>
            <w:vAlign w:val="bottom"/>
          </w:tcPr>
          <w:p>
            <w:pPr>
              <w:pStyle w:val="TableContents"/>
              <w:spacing w:before="0" w:after="283"/>
              <w:rPr/>
            </w:pPr>
            <w:r>
              <w:rPr/>
              <w:t> </w:t>
            </w:r>
          </w:p>
        </w:tc>
        <w:tc>
          <w:tcPr>
            <w:tcW w:w="41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0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6" w:type="dxa"/>
            <w:tcBorders>
              <w:top w:val="single" w:sz="2" w:space="0" w:color="000000"/>
            </w:tcBorders>
            <w:shd w:fill="auto" w:val="clear"/>
            <w:tcMar>
              <w:top w:w="28" w:type="dxa"/>
            </w:tcMar>
            <w:vAlign w:val="bottom"/>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5499" w:type="dxa"/>
            <w:tcBorders/>
            <w:shd w:fill="CCEEFF" w:val="clear"/>
          </w:tcPr>
          <w:p>
            <w:pPr>
              <w:pStyle w:val="TableContents"/>
              <w:spacing w:before="0" w:after="283"/>
              <w:rPr>
                <w:rFonts w:ascii="Times New Roman" w:hAnsi="Times New Roman"/>
                <w:sz w:val="20"/>
              </w:rPr>
            </w:pPr>
            <w:r>
              <w:rPr>
                <w:rFonts w:ascii="Times New Roman" w:hAnsi="Times New Roman"/>
                <w:sz w:val="20"/>
              </w:rPr>
              <w:t>Increase (decrease) in cash and cash equivalents from discontinued operations</w:t>
            </w:r>
          </w:p>
        </w:tc>
        <w:tc>
          <w:tcPr>
            <w:tcW w:w="28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7"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99"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7" w:type="dxa"/>
            <w:tcBorders>
              <w:top w:val="single" w:sz="2" w:space="0" w:color="000000"/>
            </w:tcBorders>
            <w:shd w:fill="auto" w:val="clear"/>
            <w:tcMar>
              <w:top w:w="28" w:type="dxa"/>
            </w:tcMar>
            <w:vAlign w:val="bottom"/>
          </w:tcPr>
          <w:p>
            <w:pPr>
              <w:pStyle w:val="TableContents"/>
              <w:spacing w:before="0" w:after="283"/>
              <w:rPr/>
            </w:pPr>
            <w:r>
              <w:rPr/>
              <w:t> </w:t>
            </w:r>
          </w:p>
        </w:tc>
        <w:tc>
          <w:tcPr>
            <w:tcW w:w="414" w:type="dxa"/>
            <w:tcBorders>
              <w:top w:val="single" w:sz="2" w:space="0" w:color="000000"/>
            </w:tcBorders>
            <w:shd w:fill="auto" w:val="clear"/>
            <w:tcMar>
              <w:top w:w="28" w:type="dxa"/>
            </w:tcMar>
            <w:vAlign w:val="bottom"/>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7" w:type="dxa"/>
            <w:tcBorders>
              <w:top w:val="single" w:sz="2" w:space="0" w:color="000000"/>
            </w:tcBorders>
            <w:shd w:fill="auto" w:val="clear"/>
            <w:tcMar>
              <w:top w:w="28" w:type="dxa"/>
            </w:tcMar>
            <w:vAlign w:val="bottom"/>
          </w:tcPr>
          <w:p>
            <w:pPr>
              <w:pStyle w:val="TableContents"/>
              <w:spacing w:before="0" w:after="283"/>
              <w:rPr/>
            </w:pPr>
            <w:r>
              <w:rPr/>
              <w:t> </w:t>
            </w:r>
          </w:p>
        </w:tc>
        <w:tc>
          <w:tcPr>
            <w:tcW w:w="41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0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6" w:type="dxa"/>
            <w:tcBorders>
              <w:top w:val="single" w:sz="2" w:space="0" w:color="000000"/>
            </w:tcBorders>
            <w:shd w:fill="auto" w:val="clear"/>
            <w:tcMar>
              <w:top w:w="28" w:type="dxa"/>
            </w:tcMar>
            <w:vAlign w:val="bottom"/>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5499" w:type="dxa"/>
            <w:tcBorders/>
            <w:shd w:fill="auto" w:val="clear"/>
          </w:tcPr>
          <w:p>
            <w:pPr>
              <w:pStyle w:val="TableContents"/>
              <w:spacing w:before="0" w:after="283"/>
              <w:rPr>
                <w:rFonts w:ascii="Times New Roman" w:hAnsi="Times New Roman"/>
                <w:sz w:val="20"/>
              </w:rPr>
            </w:pPr>
            <w:r>
              <w:rPr>
                <w:rFonts w:ascii="Times New Roman" w:hAnsi="Times New Roman"/>
                <w:sz w:val="20"/>
              </w:rPr>
              <w:t>Effect of foreign currency exchange rate changes on cash and cash equivalents</w:t>
            </w:r>
          </w:p>
        </w:tc>
        <w:tc>
          <w:tcPr>
            <w:tcW w:w="28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3" w:type="dxa"/>
            <w:tcBorders/>
            <w:shd w:fill="auto" w:val="clear"/>
            <w:vAlign w:val="bottom"/>
          </w:tcPr>
          <w:p>
            <w:pPr>
              <w:pStyle w:val="TableContents"/>
              <w:spacing w:before="0" w:after="283"/>
              <w:rPr/>
            </w:pPr>
            <w:r>
              <w:rPr/>
              <w:t>  </w:t>
            </w:r>
          </w:p>
        </w:tc>
      </w:tr>
      <w:tr>
        <w:trPr/>
        <w:tc>
          <w:tcPr>
            <w:tcW w:w="5499"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7" w:type="dxa"/>
            <w:tcBorders>
              <w:top w:val="single" w:sz="2" w:space="0" w:color="000000"/>
            </w:tcBorders>
            <w:shd w:fill="auto" w:val="clear"/>
            <w:tcMar>
              <w:top w:w="28" w:type="dxa"/>
            </w:tcMar>
            <w:vAlign w:val="bottom"/>
          </w:tcPr>
          <w:p>
            <w:pPr>
              <w:pStyle w:val="TableContents"/>
              <w:spacing w:before="0" w:after="283"/>
              <w:rPr/>
            </w:pPr>
            <w:r>
              <w:rPr/>
              <w:t> </w:t>
            </w:r>
          </w:p>
        </w:tc>
        <w:tc>
          <w:tcPr>
            <w:tcW w:w="414" w:type="dxa"/>
            <w:tcBorders>
              <w:top w:val="single" w:sz="2" w:space="0" w:color="000000"/>
            </w:tcBorders>
            <w:shd w:fill="auto" w:val="clear"/>
            <w:tcMar>
              <w:top w:w="28" w:type="dxa"/>
            </w:tcMar>
            <w:vAlign w:val="bottom"/>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7" w:type="dxa"/>
            <w:tcBorders>
              <w:top w:val="single" w:sz="2" w:space="0" w:color="000000"/>
            </w:tcBorders>
            <w:shd w:fill="auto" w:val="clear"/>
            <w:tcMar>
              <w:top w:w="28" w:type="dxa"/>
            </w:tcMar>
            <w:vAlign w:val="bottom"/>
          </w:tcPr>
          <w:p>
            <w:pPr>
              <w:pStyle w:val="TableContents"/>
              <w:spacing w:before="0" w:after="283"/>
              <w:rPr/>
            </w:pPr>
            <w:r>
              <w:rPr/>
              <w:t> </w:t>
            </w:r>
          </w:p>
        </w:tc>
        <w:tc>
          <w:tcPr>
            <w:tcW w:w="41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0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6" w:type="dxa"/>
            <w:tcBorders>
              <w:top w:val="single" w:sz="2" w:space="0" w:color="000000"/>
            </w:tcBorders>
            <w:shd w:fill="auto" w:val="clear"/>
            <w:tcMar>
              <w:top w:w="28" w:type="dxa"/>
            </w:tcMar>
            <w:vAlign w:val="bottom"/>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5499" w:type="dxa"/>
            <w:tcBorders/>
            <w:shd w:fill="CCEEFF" w:val="clear"/>
          </w:tcPr>
          <w:p>
            <w:pPr>
              <w:pStyle w:val="TableContents"/>
              <w:spacing w:before="0" w:after="283"/>
              <w:rPr>
                <w:rFonts w:ascii="Times New Roman" w:hAnsi="Times New Roman"/>
                <w:sz w:val="20"/>
              </w:rPr>
            </w:pPr>
            <w:r>
              <w:rPr>
                <w:rFonts w:ascii="Times New Roman" w:hAnsi="Times New Roman"/>
                <w:sz w:val="20"/>
              </w:rPr>
              <w:t>Total increase (decrease) in cash and cash equivalents</w:t>
            </w:r>
          </w:p>
        </w:tc>
        <w:tc>
          <w:tcPr>
            <w:tcW w:w="28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w:t>
            </w:r>
          </w:p>
        </w:tc>
        <w:tc>
          <w:tcPr>
            <w:tcW w:w="12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99"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7" w:type="dxa"/>
            <w:tcBorders>
              <w:top w:val="single" w:sz="2" w:space="0" w:color="000000"/>
            </w:tcBorders>
            <w:shd w:fill="auto" w:val="clear"/>
            <w:tcMar>
              <w:top w:w="28" w:type="dxa"/>
            </w:tcMar>
            <w:vAlign w:val="bottom"/>
          </w:tcPr>
          <w:p>
            <w:pPr>
              <w:pStyle w:val="TableContents"/>
              <w:spacing w:before="0" w:after="283"/>
              <w:rPr/>
            </w:pPr>
            <w:r>
              <w:rPr/>
              <w:t> </w:t>
            </w:r>
          </w:p>
        </w:tc>
        <w:tc>
          <w:tcPr>
            <w:tcW w:w="414" w:type="dxa"/>
            <w:tcBorders>
              <w:top w:val="single" w:sz="2" w:space="0" w:color="000000"/>
            </w:tcBorders>
            <w:shd w:fill="auto" w:val="clear"/>
            <w:tcMar>
              <w:top w:w="28" w:type="dxa"/>
            </w:tcMar>
            <w:vAlign w:val="bottom"/>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7" w:type="dxa"/>
            <w:tcBorders>
              <w:top w:val="single" w:sz="2" w:space="0" w:color="000000"/>
            </w:tcBorders>
            <w:shd w:fill="auto" w:val="clear"/>
            <w:tcMar>
              <w:top w:w="28" w:type="dxa"/>
            </w:tcMar>
            <w:vAlign w:val="bottom"/>
          </w:tcPr>
          <w:p>
            <w:pPr>
              <w:pStyle w:val="TableContents"/>
              <w:spacing w:before="0" w:after="283"/>
              <w:rPr/>
            </w:pPr>
            <w:r>
              <w:rPr/>
              <w:t> </w:t>
            </w:r>
          </w:p>
        </w:tc>
        <w:tc>
          <w:tcPr>
            <w:tcW w:w="41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0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6" w:type="dxa"/>
            <w:tcBorders>
              <w:top w:val="single" w:sz="2" w:space="0" w:color="000000"/>
            </w:tcBorders>
            <w:shd w:fill="auto" w:val="clear"/>
            <w:tcMar>
              <w:top w:w="28" w:type="dxa"/>
            </w:tcMar>
            <w:vAlign w:val="bottom"/>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5499"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 at beginning of period</w:t>
            </w:r>
          </w:p>
        </w:tc>
        <w:tc>
          <w:tcPr>
            <w:tcW w:w="28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991</w:t>
            </w:r>
          </w:p>
        </w:tc>
        <w:tc>
          <w:tcPr>
            <w:tcW w:w="127"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812</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936</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1,096</w:t>
            </w:r>
          </w:p>
        </w:tc>
        <w:tc>
          <w:tcPr>
            <w:tcW w:w="12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1,113</w:t>
            </w:r>
          </w:p>
        </w:tc>
        <w:tc>
          <w:tcPr>
            <w:tcW w:w="133" w:type="dxa"/>
            <w:tcBorders/>
            <w:shd w:fill="auto" w:val="clear"/>
            <w:vAlign w:val="bottom"/>
          </w:tcPr>
          <w:p>
            <w:pPr>
              <w:pStyle w:val="TableContents"/>
              <w:spacing w:before="0" w:after="283"/>
              <w:rPr/>
            </w:pPr>
            <w:r>
              <w:rPr/>
              <w:t>  </w:t>
            </w:r>
          </w:p>
        </w:tc>
      </w:tr>
      <w:tr>
        <w:trPr/>
        <w:tc>
          <w:tcPr>
            <w:tcW w:w="5499"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7" w:type="dxa"/>
            <w:tcBorders>
              <w:top w:val="single" w:sz="2" w:space="0" w:color="000000"/>
            </w:tcBorders>
            <w:shd w:fill="auto" w:val="clear"/>
            <w:tcMar>
              <w:top w:w="28" w:type="dxa"/>
            </w:tcMar>
            <w:vAlign w:val="bottom"/>
          </w:tcPr>
          <w:p>
            <w:pPr>
              <w:pStyle w:val="TableContents"/>
              <w:spacing w:before="0" w:after="283"/>
              <w:rPr/>
            </w:pPr>
            <w:r>
              <w:rPr/>
              <w:t> </w:t>
            </w:r>
          </w:p>
        </w:tc>
        <w:tc>
          <w:tcPr>
            <w:tcW w:w="414" w:type="dxa"/>
            <w:tcBorders>
              <w:top w:val="single" w:sz="2" w:space="0" w:color="000000"/>
            </w:tcBorders>
            <w:shd w:fill="auto" w:val="clear"/>
            <w:tcMar>
              <w:top w:w="28" w:type="dxa"/>
            </w:tcMar>
            <w:vAlign w:val="bottom"/>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7" w:type="dxa"/>
            <w:tcBorders>
              <w:top w:val="single" w:sz="2" w:space="0" w:color="000000"/>
            </w:tcBorders>
            <w:shd w:fill="auto" w:val="clear"/>
            <w:tcMar>
              <w:top w:w="28" w:type="dxa"/>
            </w:tcMar>
            <w:vAlign w:val="bottom"/>
          </w:tcPr>
          <w:p>
            <w:pPr>
              <w:pStyle w:val="TableContents"/>
              <w:spacing w:before="0" w:after="283"/>
              <w:rPr/>
            </w:pPr>
            <w:r>
              <w:rPr/>
              <w:t> </w:t>
            </w:r>
          </w:p>
        </w:tc>
        <w:tc>
          <w:tcPr>
            <w:tcW w:w="41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0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6" w:type="dxa"/>
            <w:tcBorders>
              <w:top w:val="single" w:sz="2" w:space="0" w:color="000000"/>
            </w:tcBorders>
            <w:shd w:fill="auto" w:val="clear"/>
            <w:tcMar>
              <w:top w:w="28" w:type="dxa"/>
            </w:tcMar>
            <w:vAlign w:val="bottom"/>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5499"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 at end of period</w:t>
            </w:r>
          </w:p>
        </w:tc>
        <w:tc>
          <w:tcPr>
            <w:tcW w:w="28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861</w:t>
            </w:r>
          </w:p>
        </w:tc>
        <w:tc>
          <w:tcPr>
            <w:tcW w:w="127"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936</w:t>
            </w:r>
          </w:p>
        </w:tc>
        <w:tc>
          <w:tcPr>
            <w:tcW w:w="12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861</w:t>
            </w:r>
          </w:p>
        </w:tc>
        <w:tc>
          <w:tcPr>
            <w:tcW w:w="12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936</w:t>
            </w:r>
          </w:p>
        </w:tc>
        <w:tc>
          <w:tcPr>
            <w:tcW w:w="12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1,096</w:t>
            </w:r>
          </w:p>
        </w:tc>
        <w:tc>
          <w:tcPr>
            <w:tcW w:w="133" w:type="dxa"/>
            <w:tcBorders/>
            <w:shd w:fill="CCEEFF" w:val="clear"/>
            <w:vAlign w:val="bottom"/>
          </w:tcPr>
          <w:p>
            <w:pPr>
              <w:pStyle w:val="TableContents"/>
              <w:spacing w:before="0" w:after="283"/>
              <w:rPr/>
            </w:pPr>
            <w:r>
              <w:rPr/>
              <w:t>  </w:t>
            </w:r>
          </w:p>
        </w:tc>
      </w:tr>
      <w:tr>
        <w:trPr/>
        <w:tc>
          <w:tcPr>
            <w:tcW w:w="5499"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7" w:type="dxa"/>
            <w:tcBorders>
              <w:top w:val="double" w:sz="6" w:space="0" w:color="000000"/>
            </w:tcBorders>
            <w:shd w:fill="auto" w:val="clear"/>
            <w:tcMar>
              <w:top w:w="28" w:type="dxa"/>
            </w:tcMar>
            <w:vAlign w:val="bottom"/>
          </w:tcPr>
          <w:p>
            <w:pPr>
              <w:pStyle w:val="TableContents"/>
              <w:spacing w:before="0" w:after="283"/>
              <w:rPr/>
            </w:pPr>
            <w:r>
              <w:rPr/>
              <w:t> </w:t>
            </w:r>
          </w:p>
        </w:tc>
        <w:tc>
          <w:tcPr>
            <w:tcW w:w="414" w:type="dxa"/>
            <w:tcBorders>
              <w:top w:val="double" w:sz="6" w:space="0" w:color="000000"/>
            </w:tcBorders>
            <w:shd w:fill="auto" w:val="clear"/>
            <w:tcMar>
              <w:top w:w="28" w:type="dxa"/>
            </w:tcMar>
            <w:vAlign w:val="bottom"/>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7" w:type="dxa"/>
            <w:tcBorders>
              <w:top w:val="double" w:sz="6" w:space="0" w:color="000000"/>
            </w:tcBorders>
            <w:shd w:fill="auto" w:val="clear"/>
            <w:tcMar>
              <w:top w:w="28" w:type="dxa"/>
            </w:tcMar>
            <w:vAlign w:val="bottom"/>
          </w:tcPr>
          <w:p>
            <w:pPr>
              <w:pStyle w:val="TableContents"/>
              <w:spacing w:before="0" w:after="283"/>
              <w:rPr/>
            </w:pPr>
            <w:r>
              <w:rPr/>
              <w:t> </w:t>
            </w:r>
          </w:p>
        </w:tc>
        <w:tc>
          <w:tcPr>
            <w:tcW w:w="41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407"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8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86" w:type="dxa"/>
            <w:tcBorders>
              <w:top w:val="double" w:sz="6" w:space="0" w:color="000000"/>
            </w:tcBorders>
            <w:shd w:fill="auto" w:val="clear"/>
            <w:tcMar>
              <w:top w:w="28" w:type="dxa"/>
            </w:tcMar>
            <w:vAlign w:val="bottom"/>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SAIC, INC. </w:t>
      </w:r>
    </w:p>
    <w:p>
      <w:pPr>
        <w:pStyle w:val="TextBody"/>
        <w:spacing w:before="0" w:after="0"/>
        <w:jc w:val="center"/>
        <w:rPr>
          <w:rFonts w:ascii="Times New Roman" w:hAnsi="Times New Roman"/>
          <w:b/>
          <w:sz w:val="20"/>
        </w:rPr>
      </w:pPr>
      <w:r>
        <w:rPr>
          <w:rFonts w:ascii="Times New Roman" w:hAnsi="Times New Roman"/>
          <w:b/>
          <w:sz w:val="20"/>
        </w:rPr>
        <w:t xml:space="preserve">INTERNAL REVENUE GROWTH PERCENTAGE CALCULATIONS (NON-GAAP RECONCILIATION) </w:t>
      </w:r>
    </w:p>
    <w:p>
      <w:pPr>
        <w:pStyle w:val="TextBody"/>
        <w:spacing w:before="0" w:after="0"/>
        <w:jc w:val="center"/>
        <w:rPr>
          <w:rFonts w:ascii="Times New Roman" w:hAnsi="Times New Roman"/>
          <w:b/>
          <w:sz w:val="20"/>
        </w:rPr>
      </w:pPr>
      <w:r>
        <w:rPr>
          <w:rFonts w:ascii="Times New Roman" w:hAnsi="Times New Roman"/>
          <w:b/>
          <w:sz w:val="20"/>
        </w:rPr>
        <w:t xml:space="preserve">(Unaudited, $ in millions) </w:t>
      </w:r>
    </w:p>
    <w:p>
      <w:pPr>
        <w:pStyle w:val="TextBody"/>
        <w:spacing w:before="180" w:after="0"/>
        <w:rPr>
          <w:rFonts w:ascii="Times New Roman" w:hAnsi="Times New Roman"/>
          <w:sz w:val="20"/>
        </w:rPr>
      </w:pPr>
      <w:r>
        <w:rPr>
          <w:rFonts w:ascii="Times New Roman" w:hAnsi="Times New Roman"/>
          <w:sz w:val="20"/>
        </w:rPr>
        <w:t xml:space="preserve">In this release, SAIC, Inc. refers to internal revenue growth percentage, which is a non-GAAP financial measure that is reconciled to the most directly comparable GAAP financial measure. The company calculates its internal revenue growth percentage by comparing reported revenue for the current year period to the revenue for the prior year period adjusted to include the actual revenue of acquired businesses for the comparable prior year period before acquisition. This calculation has the effect of adding revenue for the acquired businesses for the comparable prior year period to the companys prior year period reported revenue. </w:t>
      </w:r>
    </w:p>
    <w:p>
      <w:pPr>
        <w:pStyle w:val="TextBody"/>
        <w:spacing w:before="180" w:after="0"/>
        <w:rPr>
          <w:rFonts w:ascii="Times New Roman" w:hAnsi="Times New Roman"/>
          <w:sz w:val="20"/>
        </w:rPr>
      </w:pPr>
      <w:r>
        <w:rPr>
          <w:rFonts w:ascii="Times New Roman" w:hAnsi="Times New Roman"/>
          <w:sz w:val="20"/>
        </w:rPr>
        <w:t xml:space="preserve">SAIC, Inc. uses internal revenue growth percentage as an indicator of how successful it is at growing its base business and how successful it is at growing the revenues of the businesses that it acquires. The integration of acquired businesses allows current management to leverage business development capabilities, drive internal resource collaboration, utilize access to markets and qualifications, and refine strategies to realize synergies, which benefits both acquired and existing businesses. As a result, the performance of the combined enterprise post-acquisition is an important measurement. In addition, as a means of rewarding the successful integration and growth of acquired businesses, and not acquisitions themselves, incentive compensation for executives and the broader employee population is based, in part, on achievement of revenue targets linked to internal revenue growth. </w:t>
      </w:r>
    </w:p>
    <w:p>
      <w:pPr>
        <w:pStyle w:val="TextBody"/>
        <w:spacing w:before="180" w:after="0"/>
        <w:rPr>
          <w:rFonts w:ascii="Times New Roman" w:hAnsi="Times New Roman"/>
          <w:sz w:val="20"/>
        </w:rPr>
      </w:pPr>
      <w:r>
        <w:rPr>
          <w:rFonts w:ascii="Times New Roman" w:hAnsi="Times New Roman"/>
          <w:sz w:val="20"/>
        </w:rPr>
        <w:t xml:space="preserve">The limitation of this non-GAAP financial measure as compared to the most directly comparable GAAP financial measure is that internal revenue growth percentage is one of two components of the total revenue growth percentage, which is the most directly comparable GAAP financial measure. The company addresses this limitation by presenting the total revenue growth percentage next to or near disclosures of internal revenue growth percentage. This financial measure is not meant to be considered in isolation or as a substitute for comparable GAAP measures and should be read only in conjunction with SAIC, Inc.s consolidated financial statements prepared in accordance with GAAP. The method that the company uses to calculate internal revenue growth percentage is not necessarily comparable to similarly titled financial measures presented by other companies. </w:t>
      </w:r>
    </w:p>
    <w:p>
      <w:pPr>
        <w:pStyle w:val="TextBody"/>
        <w:spacing w:before="180" w:after="0"/>
        <w:rPr>
          <w:rFonts w:ascii="Times New Roman" w:hAnsi="Times New Roman"/>
          <w:sz w:val="20"/>
        </w:rPr>
      </w:pPr>
      <w:r>
        <w:rPr>
          <w:rFonts w:ascii="Times New Roman" w:hAnsi="Times New Roman"/>
          <w:sz w:val="20"/>
        </w:rPr>
        <w:t xml:space="preserve">Internal revenue growth percentages for the three months and year ended January 31, 2010 were calculated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429"/>
        <w:gridCol w:w="674"/>
        <w:gridCol w:w="256"/>
        <w:gridCol w:w="1021"/>
        <w:gridCol w:w="230"/>
        <w:gridCol w:w="621"/>
        <w:gridCol w:w="129"/>
        <w:gridCol w:w="611"/>
        <w:gridCol w:w="234"/>
      </w:tblGrid>
      <w:tr>
        <w:trPr/>
        <w:tc>
          <w:tcPr>
            <w:tcW w:w="642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6429"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rPr/>
            </w:pPr>
            <w:r>
              <w:rPr/>
              <w:t>  </w:t>
            </w:r>
          </w:p>
        </w:tc>
        <w:tc>
          <w:tcPr>
            <w:tcW w:w="1277"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Three Months Ended</w:t>
            </w:r>
            <w:r>
              <w:rPr/>
              <w:br/>
            </w:r>
            <w:r>
              <w:rPr>
                <w:rFonts w:ascii="Times New Roman" w:hAnsi="Times New Roman"/>
                <w:b/>
                <w:sz w:val="14"/>
              </w:rPr>
              <w:t>January 31,</w:t>
            </w:r>
            <w:r>
              <w:rPr/>
              <w:br/>
            </w:r>
            <w:r>
              <w:rPr>
                <w:rFonts w:ascii="Times New Roman" w:hAnsi="Times New Roman"/>
                <w:b/>
                <w:sz w:val="14"/>
              </w:rPr>
              <w:t>2010</w:t>
            </w:r>
          </w:p>
        </w:tc>
        <w:tc>
          <w:tcPr>
            <w:tcW w:w="23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rPr/>
            </w:pPr>
            <w:r>
              <w:rPr/>
              <w:t> </w:t>
            </w:r>
          </w:p>
        </w:tc>
        <w:tc>
          <w:tcPr>
            <w:tcW w:w="74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Year Ended</w:t>
            </w:r>
            <w:r>
              <w:rPr/>
              <w:br/>
            </w:r>
            <w:r>
              <w:rPr>
                <w:rFonts w:ascii="Times New Roman" w:hAnsi="Times New Roman"/>
                <w:b/>
                <w:sz w:val="14"/>
              </w:rPr>
              <w:t>January 31,</w:t>
              <w:br/>
              <w:t>2010</w:t>
            </w:r>
          </w:p>
        </w:tc>
        <w:tc>
          <w:tcPr>
            <w:tcW w:w="234" w:type="dxa"/>
            <w:tcBorders/>
            <w:shd w:fill="auto" w:val="clear"/>
            <w:vAlign w:val="bottom"/>
          </w:tcPr>
          <w:p>
            <w:pPr>
              <w:pStyle w:val="TableContents"/>
              <w:spacing w:before="0" w:after="283"/>
              <w:rPr/>
            </w:pPr>
            <w:r>
              <w:rPr/>
              <w:t> </w:t>
            </w:r>
          </w:p>
        </w:tc>
      </w:tr>
      <w:tr>
        <w:trPr/>
        <w:tc>
          <w:tcPr>
            <w:tcW w:w="6429" w:type="dxa"/>
            <w:tcBorders/>
            <w:shd w:fill="CCEEFF" w:val="clear"/>
          </w:tcPr>
          <w:p>
            <w:pPr>
              <w:pStyle w:val="TableContents"/>
              <w:spacing w:before="0" w:after="283"/>
              <w:rPr>
                <w:rFonts w:ascii="Times New Roman" w:hAnsi="Times New Roman"/>
                <w:b/>
                <w:sz w:val="20"/>
              </w:rPr>
            </w:pPr>
            <w:r>
              <w:rPr>
                <w:rFonts w:ascii="Times New Roman" w:hAnsi="Times New Roman"/>
                <w:b/>
                <w:sz w:val="20"/>
              </w:rPr>
              <w:t>Government segment:</w:t>
            </w:r>
          </w:p>
        </w:tc>
        <w:tc>
          <w:tcPr>
            <w:tcW w:w="674"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sz w:val="4"/>
                <w:szCs w:val="4"/>
              </w:rPr>
            </w:pPr>
            <w:r>
              <w:rPr>
                <w:sz w:val="4"/>
                <w:szCs w:val="4"/>
              </w:rPr>
            </w:r>
          </w:p>
        </w:tc>
        <w:tc>
          <w:tcPr>
            <w:tcW w:w="1021"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62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611" w:type="dxa"/>
            <w:tcBorders/>
            <w:shd w:fill="CCEEFF" w:val="clear"/>
            <w:vAlign w:val="bottom"/>
          </w:tcPr>
          <w:p>
            <w:pPr>
              <w:pStyle w:val="TableContents"/>
              <w:spacing w:before="0" w:after="283"/>
              <w:rPr>
                <w:sz w:val="4"/>
                <w:szCs w:val="4"/>
              </w:rPr>
            </w:pPr>
            <w:r>
              <w:rPr>
                <w:sz w:val="4"/>
                <w:szCs w:val="4"/>
              </w:rPr>
            </w:r>
          </w:p>
        </w:tc>
        <w:tc>
          <w:tcPr>
            <w:tcW w:w="234" w:type="dxa"/>
            <w:tcBorders/>
            <w:shd w:fill="CCEEFF" w:val="clear"/>
            <w:vAlign w:val="bottom"/>
          </w:tcPr>
          <w:p>
            <w:pPr>
              <w:pStyle w:val="TableContents"/>
              <w:spacing w:before="0" w:after="283"/>
              <w:rPr>
                <w:sz w:val="4"/>
                <w:szCs w:val="4"/>
              </w:rPr>
            </w:pPr>
            <w:r>
              <w:rPr>
                <w:sz w:val="4"/>
                <w:szCs w:val="4"/>
              </w:rPr>
            </w:r>
          </w:p>
        </w:tc>
      </w:tr>
      <w:tr>
        <w:trPr/>
        <w:tc>
          <w:tcPr>
            <w:tcW w:w="6429" w:type="dxa"/>
            <w:tcBorders/>
            <w:shd w:fill="auto" w:val="clear"/>
          </w:tcPr>
          <w:p>
            <w:pPr>
              <w:pStyle w:val="TableContents"/>
              <w:spacing w:before="0" w:after="283"/>
              <w:rPr>
                <w:rFonts w:ascii="Times New Roman" w:hAnsi="Times New Roman"/>
                <w:sz w:val="20"/>
              </w:rPr>
            </w:pPr>
            <w:r>
              <w:rPr>
                <w:rFonts w:ascii="Times New Roman" w:hAnsi="Times New Roman"/>
                <w:sz w:val="20"/>
              </w:rPr>
              <w:t>Prior year periods revenues, as reported</w:t>
            </w:r>
          </w:p>
        </w:tc>
        <w:tc>
          <w:tcPr>
            <w:tcW w:w="674"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2,406</w:t>
            </w:r>
          </w:p>
        </w:tc>
        <w:tc>
          <w:tcPr>
            <w:tcW w:w="23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9,582</w:t>
            </w:r>
          </w:p>
        </w:tc>
        <w:tc>
          <w:tcPr>
            <w:tcW w:w="234" w:type="dxa"/>
            <w:tcBorders/>
            <w:shd w:fill="auto" w:val="clear"/>
            <w:vAlign w:val="bottom"/>
          </w:tcPr>
          <w:p>
            <w:pPr>
              <w:pStyle w:val="TableContents"/>
              <w:spacing w:before="0" w:after="283"/>
              <w:rPr/>
            </w:pPr>
            <w:r>
              <w:rPr/>
              <w:t>  </w:t>
            </w:r>
          </w:p>
        </w:tc>
      </w:tr>
      <w:tr>
        <w:trPr/>
        <w:tc>
          <w:tcPr>
            <w:tcW w:w="6429"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 of acquired businesses for the comparable prior year period</w:t>
            </w:r>
          </w:p>
        </w:tc>
        <w:tc>
          <w:tcPr>
            <w:tcW w:w="674"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230"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w:t>
            </w:r>
          </w:p>
        </w:tc>
        <w:tc>
          <w:tcPr>
            <w:tcW w:w="234" w:type="dxa"/>
            <w:tcBorders/>
            <w:shd w:fill="CCEEFF" w:val="clear"/>
            <w:vAlign w:val="bottom"/>
          </w:tcPr>
          <w:p>
            <w:pPr>
              <w:pStyle w:val="TableContents"/>
              <w:spacing w:before="0" w:after="283"/>
              <w:rPr/>
            </w:pPr>
            <w:r>
              <w:rPr/>
              <w:t>  </w:t>
            </w:r>
          </w:p>
        </w:tc>
      </w:tr>
      <w:tr>
        <w:trPr/>
        <w:tc>
          <w:tcPr>
            <w:tcW w:w="6429" w:type="dxa"/>
            <w:tcBorders/>
            <w:shd w:fill="auto" w:val="clear"/>
            <w:vAlign w:val="bottom"/>
          </w:tcPr>
          <w:p>
            <w:pPr>
              <w:pStyle w:val="TableContents"/>
              <w:spacing w:before="0" w:after="283"/>
              <w:rPr>
                <w:sz w:val="4"/>
                <w:szCs w:val="4"/>
              </w:rPr>
            </w:pPr>
            <w:r>
              <w:rPr>
                <w:sz w:val="4"/>
                <w:szCs w:val="4"/>
              </w:rPr>
            </w:r>
          </w:p>
        </w:tc>
        <w:tc>
          <w:tcPr>
            <w:tcW w:w="674" w:type="dxa"/>
            <w:tcBorders/>
            <w:shd w:fill="auto" w:val="clear"/>
            <w:vAlign w:val="bottom"/>
          </w:tcPr>
          <w:p>
            <w:pPr>
              <w:pStyle w:val="TableContents"/>
              <w:spacing w:before="0" w:after="283"/>
              <w:rPr/>
            </w:pPr>
            <w:r>
              <w:rPr/>
              <w:t>  </w:t>
            </w:r>
          </w:p>
        </w:tc>
        <w:tc>
          <w:tcPr>
            <w:tcW w:w="256" w:type="dxa"/>
            <w:tcBorders>
              <w:top w:val="single" w:sz="2" w:space="0" w:color="000000"/>
            </w:tcBorders>
            <w:shd w:fill="auto" w:val="clear"/>
            <w:tcMar>
              <w:top w:w="28" w:type="dxa"/>
            </w:tcMar>
            <w:vAlign w:val="bottom"/>
          </w:tcPr>
          <w:p>
            <w:pPr>
              <w:pStyle w:val="TableContents"/>
              <w:spacing w:before="0" w:after="283"/>
              <w:rPr/>
            </w:pPr>
            <w:r>
              <w:rPr/>
              <w:t> </w:t>
            </w:r>
          </w:p>
        </w:tc>
        <w:tc>
          <w:tcPr>
            <w:tcW w:w="1021"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621" w:type="dxa"/>
            <w:tcBorders/>
            <w:shd w:fill="auto" w:val="clear"/>
            <w:vAlign w:val="bottom"/>
          </w:tcPr>
          <w:p>
            <w:pPr>
              <w:pStyle w:val="TableContents"/>
              <w:spacing w:before="0" w:after="283"/>
              <w:rPr/>
            </w:pPr>
            <w:r>
              <w:rPr/>
              <w:t> </w:t>
            </w:r>
          </w:p>
        </w:tc>
        <w:tc>
          <w:tcPr>
            <w:tcW w:w="129" w:type="dxa"/>
            <w:tcBorders>
              <w:top w:val="single" w:sz="2" w:space="0" w:color="000000"/>
            </w:tcBorders>
            <w:shd w:fill="auto" w:val="clear"/>
            <w:tcMar>
              <w:top w:w="28" w:type="dxa"/>
            </w:tcMar>
            <w:vAlign w:val="bottom"/>
          </w:tcPr>
          <w:p>
            <w:pPr>
              <w:pStyle w:val="TableContents"/>
              <w:spacing w:before="0" w:after="283"/>
              <w:rPr/>
            </w:pPr>
            <w:r>
              <w:rPr/>
              <w:t> </w:t>
            </w:r>
          </w:p>
        </w:tc>
        <w:tc>
          <w:tcPr>
            <w:tcW w:w="611" w:type="dxa"/>
            <w:tcBorders>
              <w:top w:val="single" w:sz="2" w:space="0" w:color="000000"/>
            </w:tcBorders>
            <w:shd w:fill="auto" w:val="clear"/>
            <w:tcMar>
              <w:top w:w="28" w:type="dxa"/>
            </w:tcMar>
            <w:vAlign w:val="bottom"/>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6429" w:type="dxa"/>
            <w:tcBorders/>
            <w:shd w:fill="auto" w:val="clear"/>
          </w:tcPr>
          <w:p>
            <w:pPr>
              <w:pStyle w:val="TableContents"/>
              <w:spacing w:before="0" w:after="283"/>
              <w:rPr>
                <w:rFonts w:ascii="Times New Roman" w:hAnsi="Times New Roman"/>
                <w:sz w:val="20"/>
              </w:rPr>
            </w:pPr>
            <w:r>
              <w:rPr>
                <w:rFonts w:ascii="Times New Roman" w:hAnsi="Times New Roman"/>
                <w:sz w:val="20"/>
              </w:rPr>
              <w:t>Prior year periods revenues, as adjusted</w:t>
            </w:r>
          </w:p>
        </w:tc>
        <w:tc>
          <w:tcPr>
            <w:tcW w:w="674"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2,478</w:t>
            </w:r>
          </w:p>
        </w:tc>
        <w:tc>
          <w:tcPr>
            <w:tcW w:w="23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9,776</w:t>
            </w:r>
          </w:p>
        </w:tc>
        <w:tc>
          <w:tcPr>
            <w:tcW w:w="234" w:type="dxa"/>
            <w:tcBorders/>
            <w:shd w:fill="auto" w:val="clear"/>
            <w:vAlign w:val="bottom"/>
          </w:tcPr>
          <w:p>
            <w:pPr>
              <w:pStyle w:val="TableContents"/>
              <w:spacing w:before="0" w:after="283"/>
              <w:rPr/>
            </w:pPr>
            <w:r>
              <w:rPr/>
              <w:t>  </w:t>
            </w:r>
          </w:p>
        </w:tc>
      </w:tr>
      <w:tr>
        <w:trPr/>
        <w:tc>
          <w:tcPr>
            <w:tcW w:w="6429"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year periods revenues, as reported</w:t>
            </w:r>
          </w:p>
        </w:tc>
        <w:tc>
          <w:tcPr>
            <w:tcW w:w="674"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2,571</w:t>
            </w:r>
          </w:p>
        </w:tc>
        <w:tc>
          <w:tcPr>
            <w:tcW w:w="230"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10,390</w:t>
            </w:r>
          </w:p>
        </w:tc>
        <w:tc>
          <w:tcPr>
            <w:tcW w:w="234" w:type="dxa"/>
            <w:tcBorders/>
            <w:shd w:fill="CCEEFF" w:val="clear"/>
            <w:vAlign w:val="bottom"/>
          </w:tcPr>
          <w:p>
            <w:pPr>
              <w:pStyle w:val="TableContents"/>
              <w:spacing w:before="0" w:after="283"/>
              <w:rPr/>
            </w:pPr>
            <w:r>
              <w:rPr/>
              <w:t>  </w:t>
            </w:r>
          </w:p>
        </w:tc>
      </w:tr>
      <w:tr>
        <w:trPr/>
        <w:tc>
          <w:tcPr>
            <w:tcW w:w="6429" w:type="dxa"/>
            <w:tcBorders/>
            <w:shd w:fill="auto" w:val="clear"/>
            <w:vAlign w:val="bottom"/>
          </w:tcPr>
          <w:p>
            <w:pPr>
              <w:pStyle w:val="TableContents"/>
              <w:spacing w:before="0" w:after="283"/>
              <w:rPr>
                <w:sz w:val="4"/>
                <w:szCs w:val="4"/>
              </w:rPr>
            </w:pPr>
            <w:r>
              <w:rPr>
                <w:sz w:val="4"/>
                <w:szCs w:val="4"/>
              </w:rPr>
            </w:r>
          </w:p>
        </w:tc>
        <w:tc>
          <w:tcPr>
            <w:tcW w:w="674" w:type="dxa"/>
            <w:tcBorders/>
            <w:shd w:fill="auto" w:val="clear"/>
            <w:vAlign w:val="bottom"/>
          </w:tcPr>
          <w:p>
            <w:pPr>
              <w:pStyle w:val="TableContents"/>
              <w:spacing w:before="0" w:after="283"/>
              <w:rPr/>
            </w:pPr>
            <w:r>
              <w:rPr/>
              <w:t>  </w:t>
            </w:r>
          </w:p>
        </w:tc>
        <w:tc>
          <w:tcPr>
            <w:tcW w:w="256" w:type="dxa"/>
            <w:tcBorders>
              <w:top w:val="single" w:sz="2" w:space="0" w:color="000000"/>
            </w:tcBorders>
            <w:shd w:fill="auto" w:val="clear"/>
            <w:tcMar>
              <w:top w:w="28" w:type="dxa"/>
            </w:tcMar>
            <w:vAlign w:val="bottom"/>
          </w:tcPr>
          <w:p>
            <w:pPr>
              <w:pStyle w:val="TableContents"/>
              <w:spacing w:before="0" w:after="283"/>
              <w:rPr/>
            </w:pPr>
            <w:r>
              <w:rPr/>
              <w:t> </w:t>
            </w:r>
          </w:p>
        </w:tc>
        <w:tc>
          <w:tcPr>
            <w:tcW w:w="1021"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621" w:type="dxa"/>
            <w:tcBorders/>
            <w:shd w:fill="auto" w:val="clear"/>
            <w:vAlign w:val="bottom"/>
          </w:tcPr>
          <w:p>
            <w:pPr>
              <w:pStyle w:val="TableContents"/>
              <w:spacing w:before="0" w:after="283"/>
              <w:rPr/>
            </w:pPr>
            <w:r>
              <w:rPr/>
              <w:t> </w:t>
            </w:r>
          </w:p>
        </w:tc>
        <w:tc>
          <w:tcPr>
            <w:tcW w:w="129" w:type="dxa"/>
            <w:tcBorders>
              <w:top w:val="single" w:sz="2" w:space="0" w:color="000000"/>
            </w:tcBorders>
            <w:shd w:fill="auto" w:val="clear"/>
            <w:tcMar>
              <w:top w:w="28" w:type="dxa"/>
            </w:tcMar>
            <w:vAlign w:val="bottom"/>
          </w:tcPr>
          <w:p>
            <w:pPr>
              <w:pStyle w:val="TableContents"/>
              <w:spacing w:before="0" w:after="283"/>
              <w:rPr/>
            </w:pPr>
            <w:r>
              <w:rPr/>
              <w:t> </w:t>
            </w:r>
          </w:p>
        </w:tc>
        <w:tc>
          <w:tcPr>
            <w:tcW w:w="611" w:type="dxa"/>
            <w:tcBorders>
              <w:top w:val="single" w:sz="2" w:space="0" w:color="000000"/>
            </w:tcBorders>
            <w:shd w:fill="auto" w:val="clear"/>
            <w:tcMar>
              <w:top w:w="28" w:type="dxa"/>
            </w:tcMar>
            <w:vAlign w:val="bottom"/>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6429" w:type="dxa"/>
            <w:tcBorders/>
            <w:shd w:fill="auto" w:val="clear"/>
          </w:tcPr>
          <w:p>
            <w:pPr>
              <w:pStyle w:val="TableContents"/>
              <w:spacing w:before="0" w:after="283"/>
              <w:rPr>
                <w:rFonts w:ascii="Times New Roman" w:hAnsi="Times New Roman"/>
                <w:sz w:val="20"/>
              </w:rPr>
            </w:pPr>
            <w:r>
              <w:rPr>
                <w:rFonts w:ascii="Times New Roman" w:hAnsi="Times New Roman"/>
                <w:sz w:val="20"/>
              </w:rPr>
              <w:t>Internal revenue growth</w:t>
            </w:r>
          </w:p>
        </w:tc>
        <w:tc>
          <w:tcPr>
            <w:tcW w:w="674"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w:t>
            </w:r>
          </w:p>
        </w:tc>
        <w:tc>
          <w:tcPr>
            <w:tcW w:w="23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614</w:t>
            </w:r>
          </w:p>
        </w:tc>
        <w:tc>
          <w:tcPr>
            <w:tcW w:w="234" w:type="dxa"/>
            <w:tcBorders/>
            <w:shd w:fill="auto" w:val="clear"/>
            <w:vAlign w:val="bottom"/>
          </w:tcPr>
          <w:p>
            <w:pPr>
              <w:pStyle w:val="TableContents"/>
              <w:spacing w:before="0" w:after="283"/>
              <w:rPr/>
            </w:pPr>
            <w:r>
              <w:rPr/>
              <w:t>  </w:t>
            </w:r>
          </w:p>
        </w:tc>
      </w:tr>
      <w:tr>
        <w:trPr/>
        <w:tc>
          <w:tcPr>
            <w:tcW w:w="6429" w:type="dxa"/>
            <w:tcBorders/>
            <w:shd w:fill="auto" w:val="clear"/>
            <w:vAlign w:val="bottom"/>
          </w:tcPr>
          <w:p>
            <w:pPr>
              <w:pStyle w:val="TableContents"/>
              <w:spacing w:before="0" w:after="283"/>
              <w:rPr>
                <w:sz w:val="4"/>
                <w:szCs w:val="4"/>
              </w:rPr>
            </w:pPr>
            <w:r>
              <w:rPr>
                <w:sz w:val="4"/>
                <w:szCs w:val="4"/>
              </w:rPr>
            </w:r>
          </w:p>
        </w:tc>
        <w:tc>
          <w:tcPr>
            <w:tcW w:w="674" w:type="dxa"/>
            <w:tcBorders/>
            <w:shd w:fill="auto" w:val="clear"/>
            <w:vAlign w:val="bottom"/>
          </w:tcPr>
          <w:p>
            <w:pPr>
              <w:pStyle w:val="TableContents"/>
              <w:spacing w:before="0" w:after="283"/>
              <w:rPr/>
            </w:pPr>
            <w:r>
              <w:rPr/>
              <w:t>  </w:t>
            </w:r>
          </w:p>
        </w:tc>
        <w:tc>
          <w:tcPr>
            <w:tcW w:w="256" w:type="dxa"/>
            <w:tcBorders>
              <w:top w:val="single" w:sz="2" w:space="0" w:color="000000"/>
            </w:tcBorders>
            <w:shd w:fill="auto" w:val="clear"/>
            <w:tcMar>
              <w:top w:w="28" w:type="dxa"/>
            </w:tcMar>
            <w:vAlign w:val="bottom"/>
          </w:tcPr>
          <w:p>
            <w:pPr>
              <w:pStyle w:val="TableContents"/>
              <w:spacing w:before="0" w:after="283"/>
              <w:rPr/>
            </w:pPr>
            <w:r>
              <w:rPr/>
              <w:t> </w:t>
            </w:r>
          </w:p>
        </w:tc>
        <w:tc>
          <w:tcPr>
            <w:tcW w:w="1021"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621" w:type="dxa"/>
            <w:tcBorders/>
            <w:shd w:fill="auto" w:val="clear"/>
            <w:vAlign w:val="bottom"/>
          </w:tcPr>
          <w:p>
            <w:pPr>
              <w:pStyle w:val="TableContents"/>
              <w:spacing w:before="0" w:after="283"/>
              <w:rPr/>
            </w:pPr>
            <w:r>
              <w:rPr/>
              <w:t> </w:t>
            </w:r>
          </w:p>
        </w:tc>
        <w:tc>
          <w:tcPr>
            <w:tcW w:w="129" w:type="dxa"/>
            <w:tcBorders>
              <w:top w:val="single" w:sz="2" w:space="0" w:color="000000"/>
            </w:tcBorders>
            <w:shd w:fill="auto" w:val="clear"/>
            <w:tcMar>
              <w:top w:w="28" w:type="dxa"/>
            </w:tcMar>
            <w:vAlign w:val="bottom"/>
          </w:tcPr>
          <w:p>
            <w:pPr>
              <w:pStyle w:val="TableContents"/>
              <w:spacing w:before="0" w:after="283"/>
              <w:rPr/>
            </w:pPr>
            <w:r>
              <w:rPr/>
              <w:t> </w:t>
            </w:r>
          </w:p>
        </w:tc>
        <w:tc>
          <w:tcPr>
            <w:tcW w:w="611" w:type="dxa"/>
            <w:tcBorders>
              <w:top w:val="single" w:sz="2" w:space="0" w:color="000000"/>
            </w:tcBorders>
            <w:shd w:fill="auto" w:val="clear"/>
            <w:tcMar>
              <w:top w:w="28" w:type="dxa"/>
            </w:tcMar>
            <w:vAlign w:val="bottom"/>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6429" w:type="dxa"/>
            <w:tcBorders/>
            <w:shd w:fill="CCEEFF" w:val="clear"/>
          </w:tcPr>
          <w:p>
            <w:pPr>
              <w:pStyle w:val="TableContents"/>
              <w:spacing w:before="0" w:after="283"/>
              <w:rPr>
                <w:rFonts w:ascii="Times New Roman" w:hAnsi="Times New Roman"/>
                <w:sz w:val="20"/>
              </w:rPr>
            </w:pPr>
            <w:r>
              <w:rPr>
                <w:rFonts w:ascii="Times New Roman" w:hAnsi="Times New Roman"/>
                <w:sz w:val="20"/>
              </w:rPr>
              <w:t>Internal revenue growth percentage</w:t>
            </w:r>
          </w:p>
        </w:tc>
        <w:tc>
          <w:tcPr>
            <w:tcW w:w="674"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2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29" w:type="dxa"/>
            <w:tcBorders/>
            <w:shd w:fill="auto" w:val="clear"/>
            <w:vAlign w:val="bottom"/>
          </w:tcPr>
          <w:p>
            <w:pPr>
              <w:pStyle w:val="TableContents"/>
              <w:spacing w:before="0" w:after="283"/>
              <w:rPr>
                <w:sz w:val="4"/>
                <w:szCs w:val="4"/>
              </w:rPr>
            </w:pPr>
            <w:r>
              <w:rPr>
                <w:sz w:val="4"/>
                <w:szCs w:val="4"/>
              </w:rPr>
            </w:r>
          </w:p>
        </w:tc>
        <w:tc>
          <w:tcPr>
            <w:tcW w:w="674" w:type="dxa"/>
            <w:tcBorders/>
            <w:shd w:fill="auto" w:val="clear"/>
            <w:vAlign w:val="bottom"/>
          </w:tcPr>
          <w:p>
            <w:pPr>
              <w:pStyle w:val="TableContents"/>
              <w:spacing w:before="0" w:after="283"/>
              <w:rPr/>
            </w:pPr>
            <w:r>
              <w:rPr/>
              <w:t>  </w:t>
            </w:r>
          </w:p>
        </w:tc>
        <w:tc>
          <w:tcPr>
            <w:tcW w:w="256" w:type="dxa"/>
            <w:tcBorders>
              <w:top w:val="double" w:sz="6" w:space="0" w:color="000000"/>
            </w:tcBorders>
            <w:shd w:fill="auto" w:val="clear"/>
            <w:tcMar>
              <w:top w:w="28" w:type="dxa"/>
            </w:tcMar>
            <w:vAlign w:val="bottom"/>
          </w:tcPr>
          <w:p>
            <w:pPr>
              <w:pStyle w:val="TableContents"/>
              <w:spacing w:before="0" w:after="283"/>
              <w:rPr/>
            </w:pPr>
            <w:r>
              <w:rPr/>
              <w:t> </w:t>
            </w:r>
          </w:p>
        </w:tc>
        <w:tc>
          <w:tcPr>
            <w:tcW w:w="1021" w:type="dxa"/>
            <w:tcBorders>
              <w:top w:val="double" w:sz="6"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621" w:type="dxa"/>
            <w:tcBorders/>
            <w:shd w:fill="auto" w:val="clear"/>
            <w:vAlign w:val="bottom"/>
          </w:tcPr>
          <w:p>
            <w:pPr>
              <w:pStyle w:val="TableContents"/>
              <w:spacing w:before="0" w:after="283"/>
              <w:rPr/>
            </w:pPr>
            <w:r>
              <w:rPr/>
              <w:t> </w:t>
            </w:r>
          </w:p>
        </w:tc>
        <w:tc>
          <w:tcPr>
            <w:tcW w:w="129" w:type="dxa"/>
            <w:tcBorders>
              <w:top w:val="double" w:sz="6" w:space="0" w:color="000000"/>
            </w:tcBorders>
            <w:shd w:fill="auto" w:val="clear"/>
            <w:tcMar>
              <w:top w:w="28" w:type="dxa"/>
            </w:tcMar>
            <w:vAlign w:val="bottom"/>
          </w:tcPr>
          <w:p>
            <w:pPr>
              <w:pStyle w:val="TableContents"/>
              <w:spacing w:before="0" w:after="283"/>
              <w:rPr/>
            </w:pPr>
            <w:r>
              <w:rPr/>
              <w:t> </w:t>
            </w:r>
          </w:p>
        </w:tc>
        <w:tc>
          <w:tcPr>
            <w:tcW w:w="611" w:type="dxa"/>
            <w:tcBorders>
              <w:top w:val="double" w:sz="6" w:space="0" w:color="000000"/>
            </w:tcBorders>
            <w:shd w:fill="auto" w:val="clear"/>
            <w:tcMar>
              <w:top w:w="28" w:type="dxa"/>
            </w:tcMar>
            <w:vAlign w:val="bottom"/>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r>
      <w:tr>
        <w:trPr>
          <w:trHeight w:val="120" w:hRule="atLeast"/>
        </w:trPr>
        <w:tc>
          <w:tcPr>
            <w:tcW w:w="6429" w:type="dxa"/>
            <w:tcBorders/>
            <w:shd w:fill="auto" w:val="clear"/>
            <w:vAlign w:val="center"/>
          </w:tcPr>
          <w:p>
            <w:pPr>
              <w:pStyle w:val="TableContents"/>
              <w:spacing w:before="0" w:after="283"/>
              <w:rPr>
                <w:sz w:val="4"/>
                <w:szCs w:val="4"/>
              </w:rPr>
            </w:pPr>
            <w:r>
              <w:rPr>
                <w:sz w:val="4"/>
                <w:szCs w:val="4"/>
              </w:rPr>
            </w:r>
          </w:p>
        </w:tc>
        <w:tc>
          <w:tcPr>
            <w:tcW w:w="2181" w:type="dxa"/>
            <w:gridSpan w:val="4"/>
            <w:tcBorders/>
            <w:shd w:fill="auto" w:val="clear"/>
            <w:vAlign w:val="center"/>
          </w:tcPr>
          <w:p>
            <w:pPr>
              <w:pStyle w:val="TableContents"/>
              <w:spacing w:before="0" w:after="283"/>
              <w:rPr>
                <w:sz w:val="4"/>
                <w:szCs w:val="4"/>
              </w:rPr>
            </w:pPr>
            <w:r>
              <w:rPr>
                <w:sz w:val="4"/>
                <w:szCs w:val="4"/>
              </w:rPr>
            </w:r>
          </w:p>
        </w:tc>
        <w:tc>
          <w:tcPr>
            <w:tcW w:w="1595" w:type="dxa"/>
            <w:gridSpan w:val="4"/>
            <w:tcBorders/>
            <w:shd w:fill="auto" w:val="clear"/>
            <w:vAlign w:val="center"/>
          </w:tcPr>
          <w:p>
            <w:pPr>
              <w:pStyle w:val="TableContents"/>
              <w:spacing w:before="0" w:after="283"/>
              <w:rPr>
                <w:sz w:val="4"/>
                <w:szCs w:val="4"/>
              </w:rPr>
            </w:pPr>
            <w:r>
              <w:rPr>
                <w:sz w:val="4"/>
                <w:szCs w:val="4"/>
              </w:rPr>
            </w:r>
          </w:p>
        </w:tc>
      </w:tr>
      <w:tr>
        <w:trPr/>
        <w:tc>
          <w:tcPr>
            <w:tcW w:w="6429" w:type="dxa"/>
            <w:tcBorders/>
            <w:shd w:fill="auto" w:val="clear"/>
          </w:tcPr>
          <w:p>
            <w:pPr>
              <w:pStyle w:val="TableContents"/>
              <w:spacing w:before="0" w:after="283"/>
              <w:rPr>
                <w:rFonts w:ascii="Times New Roman" w:hAnsi="Times New Roman"/>
                <w:b/>
                <w:sz w:val="20"/>
              </w:rPr>
            </w:pPr>
            <w:r>
              <w:rPr>
                <w:rFonts w:ascii="Times New Roman" w:hAnsi="Times New Roman"/>
                <w:b/>
                <w:sz w:val="20"/>
              </w:rPr>
              <w:t>Commercial segment:</w:t>
            </w:r>
          </w:p>
        </w:tc>
        <w:tc>
          <w:tcPr>
            <w:tcW w:w="674"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sz w:val="4"/>
                <w:szCs w:val="4"/>
              </w:rPr>
            </w:pPr>
            <w:r>
              <w:rPr>
                <w:sz w:val="4"/>
                <w:szCs w:val="4"/>
              </w:rPr>
            </w:r>
          </w:p>
        </w:tc>
        <w:tc>
          <w:tcPr>
            <w:tcW w:w="1021"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62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sz w:val="4"/>
                <w:szCs w:val="4"/>
              </w:rPr>
            </w:pPr>
            <w:r>
              <w:rPr>
                <w:sz w:val="4"/>
                <w:szCs w:val="4"/>
              </w:rPr>
            </w:r>
          </w:p>
        </w:tc>
        <w:tc>
          <w:tcPr>
            <w:tcW w:w="611"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r>
      <w:tr>
        <w:trPr/>
        <w:tc>
          <w:tcPr>
            <w:tcW w:w="6429" w:type="dxa"/>
            <w:tcBorders/>
            <w:shd w:fill="CCEEFF" w:val="clear"/>
          </w:tcPr>
          <w:p>
            <w:pPr>
              <w:pStyle w:val="TableContents"/>
              <w:spacing w:before="0" w:after="283"/>
              <w:rPr>
                <w:rFonts w:ascii="Times New Roman" w:hAnsi="Times New Roman"/>
                <w:sz w:val="20"/>
              </w:rPr>
            </w:pPr>
            <w:r>
              <w:rPr>
                <w:rFonts w:ascii="Times New Roman" w:hAnsi="Times New Roman"/>
                <w:sz w:val="20"/>
              </w:rPr>
              <w:t>Prior year periods revenues, as reported</w:t>
            </w:r>
          </w:p>
        </w:tc>
        <w:tc>
          <w:tcPr>
            <w:tcW w:w="674"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w:t>
            </w:r>
          </w:p>
        </w:tc>
        <w:tc>
          <w:tcPr>
            <w:tcW w:w="230"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491</w:t>
            </w:r>
          </w:p>
        </w:tc>
        <w:tc>
          <w:tcPr>
            <w:tcW w:w="234" w:type="dxa"/>
            <w:tcBorders/>
            <w:shd w:fill="CCEEFF" w:val="clear"/>
            <w:vAlign w:val="bottom"/>
          </w:tcPr>
          <w:p>
            <w:pPr>
              <w:pStyle w:val="TableContents"/>
              <w:spacing w:before="0" w:after="283"/>
              <w:rPr/>
            </w:pPr>
            <w:r>
              <w:rPr/>
              <w:t>  </w:t>
            </w:r>
          </w:p>
        </w:tc>
      </w:tr>
      <w:tr>
        <w:trPr/>
        <w:tc>
          <w:tcPr>
            <w:tcW w:w="6429" w:type="dxa"/>
            <w:tcBorders/>
            <w:shd w:fill="auto" w:val="clear"/>
          </w:tcPr>
          <w:p>
            <w:pPr>
              <w:pStyle w:val="TableContents"/>
              <w:spacing w:before="0" w:after="283"/>
              <w:rPr>
                <w:rFonts w:ascii="Times New Roman" w:hAnsi="Times New Roman"/>
                <w:sz w:val="20"/>
              </w:rPr>
            </w:pPr>
            <w:r>
              <w:rPr>
                <w:rFonts w:ascii="Times New Roman" w:hAnsi="Times New Roman"/>
                <w:sz w:val="20"/>
              </w:rPr>
              <w:t>Revenues of acquired businesses for the comparable prior year period</w:t>
            </w:r>
          </w:p>
        </w:tc>
        <w:tc>
          <w:tcPr>
            <w:tcW w:w="674"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234" w:type="dxa"/>
            <w:tcBorders/>
            <w:shd w:fill="auto" w:val="clear"/>
            <w:vAlign w:val="bottom"/>
          </w:tcPr>
          <w:p>
            <w:pPr>
              <w:pStyle w:val="TableContents"/>
              <w:spacing w:before="0" w:after="283"/>
              <w:rPr/>
            </w:pPr>
            <w:r>
              <w:rPr/>
              <w:t>  </w:t>
            </w:r>
          </w:p>
        </w:tc>
      </w:tr>
      <w:tr>
        <w:trPr/>
        <w:tc>
          <w:tcPr>
            <w:tcW w:w="6429" w:type="dxa"/>
            <w:tcBorders/>
            <w:shd w:fill="auto" w:val="clear"/>
            <w:vAlign w:val="bottom"/>
          </w:tcPr>
          <w:p>
            <w:pPr>
              <w:pStyle w:val="TableContents"/>
              <w:spacing w:before="0" w:after="283"/>
              <w:rPr>
                <w:sz w:val="4"/>
                <w:szCs w:val="4"/>
              </w:rPr>
            </w:pPr>
            <w:r>
              <w:rPr>
                <w:sz w:val="4"/>
                <w:szCs w:val="4"/>
              </w:rPr>
            </w:r>
          </w:p>
        </w:tc>
        <w:tc>
          <w:tcPr>
            <w:tcW w:w="674" w:type="dxa"/>
            <w:tcBorders/>
            <w:shd w:fill="auto" w:val="clear"/>
            <w:vAlign w:val="bottom"/>
          </w:tcPr>
          <w:p>
            <w:pPr>
              <w:pStyle w:val="TableContents"/>
              <w:spacing w:before="0" w:after="283"/>
              <w:rPr/>
            </w:pPr>
            <w:r>
              <w:rPr/>
              <w:t>  </w:t>
            </w:r>
          </w:p>
        </w:tc>
        <w:tc>
          <w:tcPr>
            <w:tcW w:w="256" w:type="dxa"/>
            <w:tcBorders>
              <w:top w:val="single" w:sz="2" w:space="0" w:color="000000"/>
            </w:tcBorders>
            <w:shd w:fill="auto" w:val="clear"/>
            <w:tcMar>
              <w:top w:w="28" w:type="dxa"/>
            </w:tcMar>
            <w:vAlign w:val="bottom"/>
          </w:tcPr>
          <w:p>
            <w:pPr>
              <w:pStyle w:val="TableContents"/>
              <w:spacing w:before="0" w:after="283"/>
              <w:rPr/>
            </w:pPr>
            <w:r>
              <w:rPr/>
              <w:t> </w:t>
            </w:r>
          </w:p>
        </w:tc>
        <w:tc>
          <w:tcPr>
            <w:tcW w:w="1021"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621" w:type="dxa"/>
            <w:tcBorders/>
            <w:shd w:fill="auto" w:val="clear"/>
            <w:vAlign w:val="bottom"/>
          </w:tcPr>
          <w:p>
            <w:pPr>
              <w:pStyle w:val="TableContents"/>
              <w:spacing w:before="0" w:after="283"/>
              <w:rPr/>
            </w:pPr>
            <w:r>
              <w:rPr/>
              <w:t> </w:t>
            </w:r>
          </w:p>
        </w:tc>
        <w:tc>
          <w:tcPr>
            <w:tcW w:w="129" w:type="dxa"/>
            <w:tcBorders>
              <w:top w:val="single" w:sz="2" w:space="0" w:color="000000"/>
            </w:tcBorders>
            <w:shd w:fill="auto" w:val="clear"/>
            <w:tcMar>
              <w:top w:w="28" w:type="dxa"/>
            </w:tcMar>
            <w:vAlign w:val="bottom"/>
          </w:tcPr>
          <w:p>
            <w:pPr>
              <w:pStyle w:val="TableContents"/>
              <w:spacing w:before="0" w:after="283"/>
              <w:rPr/>
            </w:pPr>
            <w:r>
              <w:rPr/>
              <w:t> </w:t>
            </w:r>
          </w:p>
        </w:tc>
        <w:tc>
          <w:tcPr>
            <w:tcW w:w="611" w:type="dxa"/>
            <w:tcBorders>
              <w:top w:val="single" w:sz="2" w:space="0" w:color="000000"/>
            </w:tcBorders>
            <w:shd w:fill="auto" w:val="clear"/>
            <w:tcMar>
              <w:top w:w="28" w:type="dxa"/>
            </w:tcMar>
            <w:vAlign w:val="bottom"/>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6429" w:type="dxa"/>
            <w:tcBorders/>
            <w:shd w:fill="CCEEFF" w:val="clear"/>
          </w:tcPr>
          <w:p>
            <w:pPr>
              <w:pStyle w:val="TableContents"/>
              <w:spacing w:before="0" w:after="283"/>
              <w:rPr>
                <w:rFonts w:ascii="Times New Roman" w:hAnsi="Times New Roman"/>
                <w:sz w:val="20"/>
              </w:rPr>
            </w:pPr>
            <w:r>
              <w:rPr>
                <w:rFonts w:ascii="Times New Roman" w:hAnsi="Times New Roman"/>
                <w:sz w:val="20"/>
              </w:rPr>
              <w:t>Prior year periods revenues, as adjusted</w:t>
            </w:r>
          </w:p>
        </w:tc>
        <w:tc>
          <w:tcPr>
            <w:tcW w:w="674"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w:t>
            </w:r>
          </w:p>
        </w:tc>
        <w:tc>
          <w:tcPr>
            <w:tcW w:w="230"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497</w:t>
            </w:r>
          </w:p>
        </w:tc>
        <w:tc>
          <w:tcPr>
            <w:tcW w:w="234" w:type="dxa"/>
            <w:tcBorders/>
            <w:shd w:fill="CCEEFF" w:val="clear"/>
            <w:vAlign w:val="bottom"/>
          </w:tcPr>
          <w:p>
            <w:pPr>
              <w:pStyle w:val="TableContents"/>
              <w:spacing w:before="0" w:after="283"/>
              <w:rPr/>
            </w:pPr>
            <w:r>
              <w:rPr/>
              <w:t>  </w:t>
            </w:r>
          </w:p>
        </w:tc>
      </w:tr>
      <w:tr>
        <w:trPr/>
        <w:tc>
          <w:tcPr>
            <w:tcW w:w="6429" w:type="dxa"/>
            <w:tcBorders/>
            <w:shd w:fill="auto" w:val="clear"/>
          </w:tcPr>
          <w:p>
            <w:pPr>
              <w:pStyle w:val="TableContents"/>
              <w:spacing w:before="0" w:after="283"/>
              <w:rPr>
                <w:rFonts w:ascii="Times New Roman" w:hAnsi="Times New Roman"/>
                <w:sz w:val="20"/>
              </w:rPr>
            </w:pPr>
            <w:r>
              <w:rPr>
                <w:rFonts w:ascii="Times New Roman" w:hAnsi="Times New Roman"/>
                <w:sz w:val="20"/>
              </w:rPr>
              <w:t>Current year periods revenues, as reported</w:t>
            </w:r>
          </w:p>
        </w:tc>
        <w:tc>
          <w:tcPr>
            <w:tcW w:w="674"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w:t>
            </w:r>
          </w:p>
        </w:tc>
        <w:tc>
          <w:tcPr>
            <w:tcW w:w="23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462</w:t>
            </w:r>
          </w:p>
        </w:tc>
        <w:tc>
          <w:tcPr>
            <w:tcW w:w="234" w:type="dxa"/>
            <w:tcBorders/>
            <w:shd w:fill="auto" w:val="clear"/>
            <w:vAlign w:val="bottom"/>
          </w:tcPr>
          <w:p>
            <w:pPr>
              <w:pStyle w:val="TableContents"/>
              <w:spacing w:before="0" w:after="283"/>
              <w:rPr/>
            </w:pPr>
            <w:r>
              <w:rPr/>
              <w:t>  </w:t>
            </w:r>
          </w:p>
        </w:tc>
      </w:tr>
      <w:tr>
        <w:trPr/>
        <w:tc>
          <w:tcPr>
            <w:tcW w:w="6429" w:type="dxa"/>
            <w:tcBorders/>
            <w:shd w:fill="auto" w:val="clear"/>
            <w:vAlign w:val="bottom"/>
          </w:tcPr>
          <w:p>
            <w:pPr>
              <w:pStyle w:val="TableContents"/>
              <w:spacing w:before="0" w:after="283"/>
              <w:rPr>
                <w:sz w:val="4"/>
                <w:szCs w:val="4"/>
              </w:rPr>
            </w:pPr>
            <w:r>
              <w:rPr>
                <w:sz w:val="4"/>
                <w:szCs w:val="4"/>
              </w:rPr>
            </w:r>
          </w:p>
        </w:tc>
        <w:tc>
          <w:tcPr>
            <w:tcW w:w="674" w:type="dxa"/>
            <w:tcBorders/>
            <w:shd w:fill="auto" w:val="clear"/>
            <w:vAlign w:val="bottom"/>
          </w:tcPr>
          <w:p>
            <w:pPr>
              <w:pStyle w:val="TableContents"/>
              <w:spacing w:before="0" w:after="283"/>
              <w:rPr/>
            </w:pPr>
            <w:r>
              <w:rPr/>
              <w:t>  </w:t>
            </w:r>
          </w:p>
        </w:tc>
        <w:tc>
          <w:tcPr>
            <w:tcW w:w="256" w:type="dxa"/>
            <w:tcBorders>
              <w:top w:val="single" w:sz="2" w:space="0" w:color="000000"/>
            </w:tcBorders>
            <w:shd w:fill="auto" w:val="clear"/>
            <w:tcMar>
              <w:top w:w="28" w:type="dxa"/>
            </w:tcMar>
            <w:vAlign w:val="bottom"/>
          </w:tcPr>
          <w:p>
            <w:pPr>
              <w:pStyle w:val="TableContents"/>
              <w:spacing w:before="0" w:after="283"/>
              <w:rPr/>
            </w:pPr>
            <w:r>
              <w:rPr/>
              <w:t> </w:t>
            </w:r>
          </w:p>
        </w:tc>
        <w:tc>
          <w:tcPr>
            <w:tcW w:w="1021"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621" w:type="dxa"/>
            <w:tcBorders/>
            <w:shd w:fill="auto" w:val="clear"/>
            <w:vAlign w:val="bottom"/>
          </w:tcPr>
          <w:p>
            <w:pPr>
              <w:pStyle w:val="TableContents"/>
              <w:spacing w:before="0" w:after="283"/>
              <w:rPr/>
            </w:pPr>
            <w:r>
              <w:rPr/>
              <w:t> </w:t>
            </w:r>
          </w:p>
        </w:tc>
        <w:tc>
          <w:tcPr>
            <w:tcW w:w="129" w:type="dxa"/>
            <w:tcBorders>
              <w:top w:val="single" w:sz="2" w:space="0" w:color="000000"/>
            </w:tcBorders>
            <w:shd w:fill="auto" w:val="clear"/>
            <w:tcMar>
              <w:top w:w="28" w:type="dxa"/>
            </w:tcMar>
            <w:vAlign w:val="bottom"/>
          </w:tcPr>
          <w:p>
            <w:pPr>
              <w:pStyle w:val="TableContents"/>
              <w:spacing w:before="0" w:after="283"/>
              <w:rPr/>
            </w:pPr>
            <w:r>
              <w:rPr/>
              <w:t> </w:t>
            </w:r>
          </w:p>
        </w:tc>
        <w:tc>
          <w:tcPr>
            <w:tcW w:w="611" w:type="dxa"/>
            <w:tcBorders>
              <w:top w:val="single" w:sz="2" w:space="0" w:color="000000"/>
            </w:tcBorders>
            <w:shd w:fill="auto" w:val="clear"/>
            <w:tcMar>
              <w:top w:w="28" w:type="dxa"/>
            </w:tcMar>
            <w:vAlign w:val="bottom"/>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6429" w:type="dxa"/>
            <w:tcBorders/>
            <w:shd w:fill="CCEEFF" w:val="clear"/>
          </w:tcPr>
          <w:p>
            <w:pPr>
              <w:pStyle w:val="TableContents"/>
              <w:spacing w:before="0" w:after="283"/>
              <w:rPr>
                <w:rFonts w:ascii="Times New Roman" w:hAnsi="Times New Roman"/>
                <w:sz w:val="20"/>
              </w:rPr>
            </w:pPr>
            <w:r>
              <w:rPr>
                <w:rFonts w:ascii="Times New Roman" w:hAnsi="Times New Roman"/>
                <w:sz w:val="20"/>
              </w:rPr>
              <w:t>Internal revenue growth</w:t>
            </w:r>
          </w:p>
        </w:tc>
        <w:tc>
          <w:tcPr>
            <w:tcW w:w="674"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2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29" w:type="dxa"/>
            <w:tcBorders/>
            <w:shd w:fill="auto" w:val="clear"/>
            <w:vAlign w:val="bottom"/>
          </w:tcPr>
          <w:p>
            <w:pPr>
              <w:pStyle w:val="TableContents"/>
              <w:spacing w:before="0" w:after="283"/>
              <w:rPr>
                <w:sz w:val="4"/>
                <w:szCs w:val="4"/>
              </w:rPr>
            </w:pPr>
            <w:r>
              <w:rPr>
                <w:sz w:val="4"/>
                <w:szCs w:val="4"/>
              </w:rPr>
            </w:r>
          </w:p>
        </w:tc>
        <w:tc>
          <w:tcPr>
            <w:tcW w:w="674" w:type="dxa"/>
            <w:tcBorders/>
            <w:shd w:fill="auto" w:val="clear"/>
            <w:vAlign w:val="bottom"/>
          </w:tcPr>
          <w:p>
            <w:pPr>
              <w:pStyle w:val="TableContents"/>
              <w:spacing w:before="0" w:after="283"/>
              <w:rPr/>
            </w:pPr>
            <w:r>
              <w:rPr/>
              <w:t>  </w:t>
            </w:r>
          </w:p>
        </w:tc>
        <w:tc>
          <w:tcPr>
            <w:tcW w:w="256" w:type="dxa"/>
            <w:tcBorders>
              <w:top w:val="single" w:sz="2" w:space="0" w:color="000000"/>
            </w:tcBorders>
            <w:shd w:fill="auto" w:val="clear"/>
            <w:tcMar>
              <w:top w:w="28" w:type="dxa"/>
            </w:tcMar>
            <w:vAlign w:val="bottom"/>
          </w:tcPr>
          <w:p>
            <w:pPr>
              <w:pStyle w:val="TableContents"/>
              <w:spacing w:before="0" w:after="283"/>
              <w:rPr/>
            </w:pPr>
            <w:r>
              <w:rPr/>
              <w:t> </w:t>
            </w:r>
          </w:p>
        </w:tc>
        <w:tc>
          <w:tcPr>
            <w:tcW w:w="1021"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621" w:type="dxa"/>
            <w:tcBorders/>
            <w:shd w:fill="auto" w:val="clear"/>
            <w:vAlign w:val="bottom"/>
          </w:tcPr>
          <w:p>
            <w:pPr>
              <w:pStyle w:val="TableContents"/>
              <w:spacing w:before="0" w:after="283"/>
              <w:rPr/>
            </w:pPr>
            <w:r>
              <w:rPr/>
              <w:t> </w:t>
            </w:r>
          </w:p>
        </w:tc>
        <w:tc>
          <w:tcPr>
            <w:tcW w:w="129" w:type="dxa"/>
            <w:tcBorders>
              <w:top w:val="single" w:sz="2" w:space="0" w:color="000000"/>
            </w:tcBorders>
            <w:shd w:fill="auto" w:val="clear"/>
            <w:tcMar>
              <w:top w:w="28" w:type="dxa"/>
            </w:tcMar>
            <w:vAlign w:val="bottom"/>
          </w:tcPr>
          <w:p>
            <w:pPr>
              <w:pStyle w:val="TableContents"/>
              <w:spacing w:before="0" w:after="283"/>
              <w:rPr/>
            </w:pPr>
            <w:r>
              <w:rPr/>
              <w:t> </w:t>
            </w:r>
          </w:p>
        </w:tc>
        <w:tc>
          <w:tcPr>
            <w:tcW w:w="611" w:type="dxa"/>
            <w:tcBorders>
              <w:top w:val="single" w:sz="2" w:space="0" w:color="000000"/>
            </w:tcBorders>
            <w:shd w:fill="auto" w:val="clear"/>
            <w:tcMar>
              <w:top w:w="28" w:type="dxa"/>
            </w:tcMar>
            <w:vAlign w:val="bottom"/>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6429" w:type="dxa"/>
            <w:tcBorders/>
            <w:shd w:fill="auto" w:val="clear"/>
          </w:tcPr>
          <w:p>
            <w:pPr>
              <w:pStyle w:val="TableContents"/>
              <w:spacing w:before="0" w:after="283"/>
              <w:rPr>
                <w:rFonts w:ascii="Times New Roman" w:hAnsi="Times New Roman"/>
                <w:sz w:val="20"/>
              </w:rPr>
            </w:pPr>
            <w:r>
              <w:rPr>
                <w:rFonts w:ascii="Times New Roman" w:hAnsi="Times New Roman"/>
                <w:sz w:val="20"/>
              </w:rPr>
              <w:t>Internal revenue growth percentage</w:t>
            </w:r>
          </w:p>
        </w:tc>
        <w:tc>
          <w:tcPr>
            <w:tcW w:w="674"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2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29" w:type="dxa"/>
            <w:tcBorders/>
            <w:shd w:fill="auto" w:val="clear"/>
            <w:vAlign w:val="bottom"/>
          </w:tcPr>
          <w:p>
            <w:pPr>
              <w:pStyle w:val="TableContents"/>
              <w:spacing w:before="0" w:after="283"/>
              <w:rPr>
                <w:sz w:val="4"/>
                <w:szCs w:val="4"/>
              </w:rPr>
            </w:pPr>
            <w:r>
              <w:rPr>
                <w:sz w:val="4"/>
                <w:szCs w:val="4"/>
              </w:rPr>
            </w:r>
          </w:p>
        </w:tc>
        <w:tc>
          <w:tcPr>
            <w:tcW w:w="674" w:type="dxa"/>
            <w:tcBorders/>
            <w:shd w:fill="auto" w:val="clear"/>
            <w:vAlign w:val="bottom"/>
          </w:tcPr>
          <w:p>
            <w:pPr>
              <w:pStyle w:val="TableContents"/>
              <w:spacing w:before="0" w:after="283"/>
              <w:rPr/>
            </w:pPr>
            <w:r>
              <w:rPr/>
              <w:t>  </w:t>
            </w:r>
          </w:p>
        </w:tc>
        <w:tc>
          <w:tcPr>
            <w:tcW w:w="256" w:type="dxa"/>
            <w:tcBorders>
              <w:top w:val="double" w:sz="6" w:space="0" w:color="000000"/>
            </w:tcBorders>
            <w:shd w:fill="auto" w:val="clear"/>
            <w:tcMar>
              <w:top w:w="28" w:type="dxa"/>
            </w:tcMar>
            <w:vAlign w:val="bottom"/>
          </w:tcPr>
          <w:p>
            <w:pPr>
              <w:pStyle w:val="TableContents"/>
              <w:spacing w:before="0" w:after="283"/>
              <w:rPr/>
            </w:pPr>
            <w:r>
              <w:rPr/>
              <w:t> </w:t>
            </w:r>
          </w:p>
        </w:tc>
        <w:tc>
          <w:tcPr>
            <w:tcW w:w="1021" w:type="dxa"/>
            <w:tcBorders>
              <w:top w:val="double" w:sz="6"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621" w:type="dxa"/>
            <w:tcBorders/>
            <w:shd w:fill="auto" w:val="clear"/>
            <w:vAlign w:val="bottom"/>
          </w:tcPr>
          <w:p>
            <w:pPr>
              <w:pStyle w:val="TableContents"/>
              <w:spacing w:before="0" w:after="283"/>
              <w:rPr/>
            </w:pPr>
            <w:r>
              <w:rPr/>
              <w:t> </w:t>
            </w:r>
          </w:p>
        </w:tc>
        <w:tc>
          <w:tcPr>
            <w:tcW w:w="129" w:type="dxa"/>
            <w:tcBorders>
              <w:top w:val="double" w:sz="6" w:space="0" w:color="000000"/>
            </w:tcBorders>
            <w:shd w:fill="auto" w:val="clear"/>
            <w:tcMar>
              <w:top w:w="28" w:type="dxa"/>
            </w:tcMar>
            <w:vAlign w:val="bottom"/>
          </w:tcPr>
          <w:p>
            <w:pPr>
              <w:pStyle w:val="TableContents"/>
              <w:spacing w:before="0" w:after="283"/>
              <w:rPr/>
            </w:pPr>
            <w:r>
              <w:rPr/>
              <w:t> </w:t>
            </w:r>
          </w:p>
        </w:tc>
        <w:tc>
          <w:tcPr>
            <w:tcW w:w="611" w:type="dxa"/>
            <w:tcBorders>
              <w:top w:val="double" w:sz="6" w:space="0" w:color="000000"/>
            </w:tcBorders>
            <w:shd w:fill="auto" w:val="clear"/>
            <w:tcMar>
              <w:top w:w="28" w:type="dxa"/>
            </w:tcMar>
            <w:vAlign w:val="bottom"/>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r>
      <w:tr>
        <w:trPr>
          <w:trHeight w:val="120" w:hRule="atLeast"/>
        </w:trPr>
        <w:tc>
          <w:tcPr>
            <w:tcW w:w="6429" w:type="dxa"/>
            <w:tcBorders/>
            <w:shd w:fill="auto" w:val="clear"/>
            <w:vAlign w:val="center"/>
          </w:tcPr>
          <w:p>
            <w:pPr>
              <w:pStyle w:val="TableContents"/>
              <w:spacing w:before="0" w:after="283"/>
              <w:rPr>
                <w:sz w:val="4"/>
                <w:szCs w:val="4"/>
              </w:rPr>
            </w:pPr>
            <w:r>
              <w:rPr>
                <w:sz w:val="4"/>
                <w:szCs w:val="4"/>
              </w:rPr>
            </w:r>
          </w:p>
        </w:tc>
        <w:tc>
          <w:tcPr>
            <w:tcW w:w="2181" w:type="dxa"/>
            <w:gridSpan w:val="4"/>
            <w:tcBorders/>
            <w:shd w:fill="auto" w:val="clear"/>
            <w:vAlign w:val="center"/>
          </w:tcPr>
          <w:p>
            <w:pPr>
              <w:pStyle w:val="TableContents"/>
              <w:spacing w:before="0" w:after="283"/>
              <w:rPr>
                <w:sz w:val="4"/>
                <w:szCs w:val="4"/>
              </w:rPr>
            </w:pPr>
            <w:r>
              <w:rPr>
                <w:sz w:val="4"/>
                <w:szCs w:val="4"/>
              </w:rPr>
            </w:r>
          </w:p>
        </w:tc>
        <w:tc>
          <w:tcPr>
            <w:tcW w:w="1595" w:type="dxa"/>
            <w:gridSpan w:val="4"/>
            <w:tcBorders/>
            <w:shd w:fill="auto" w:val="clear"/>
            <w:vAlign w:val="center"/>
          </w:tcPr>
          <w:p>
            <w:pPr>
              <w:pStyle w:val="TableContents"/>
              <w:spacing w:before="0" w:after="283"/>
              <w:rPr>
                <w:sz w:val="4"/>
                <w:szCs w:val="4"/>
              </w:rPr>
            </w:pPr>
            <w:r>
              <w:rPr>
                <w:sz w:val="4"/>
                <w:szCs w:val="4"/>
              </w:rPr>
            </w:r>
          </w:p>
        </w:tc>
      </w:tr>
      <w:tr>
        <w:trPr/>
        <w:tc>
          <w:tcPr>
            <w:tcW w:w="6429"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w:t>
            </w:r>
          </w:p>
        </w:tc>
        <w:tc>
          <w:tcPr>
            <w:tcW w:w="674"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sz w:val="4"/>
                <w:szCs w:val="4"/>
              </w:rPr>
            </w:pPr>
            <w:r>
              <w:rPr>
                <w:sz w:val="4"/>
                <w:szCs w:val="4"/>
              </w:rPr>
            </w:r>
          </w:p>
        </w:tc>
        <w:tc>
          <w:tcPr>
            <w:tcW w:w="1021"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62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611" w:type="dxa"/>
            <w:tcBorders/>
            <w:shd w:fill="CCEEFF" w:val="clear"/>
            <w:vAlign w:val="bottom"/>
          </w:tcPr>
          <w:p>
            <w:pPr>
              <w:pStyle w:val="TableContents"/>
              <w:spacing w:before="0" w:after="283"/>
              <w:rPr>
                <w:sz w:val="4"/>
                <w:szCs w:val="4"/>
              </w:rPr>
            </w:pPr>
            <w:r>
              <w:rPr>
                <w:sz w:val="4"/>
                <w:szCs w:val="4"/>
              </w:rPr>
            </w:r>
          </w:p>
        </w:tc>
        <w:tc>
          <w:tcPr>
            <w:tcW w:w="234" w:type="dxa"/>
            <w:tcBorders/>
            <w:shd w:fill="CCEEFF" w:val="clear"/>
            <w:vAlign w:val="bottom"/>
          </w:tcPr>
          <w:p>
            <w:pPr>
              <w:pStyle w:val="TableContents"/>
              <w:spacing w:before="0" w:after="283"/>
              <w:rPr>
                <w:sz w:val="4"/>
                <w:szCs w:val="4"/>
              </w:rPr>
            </w:pPr>
            <w:r>
              <w:rPr>
                <w:sz w:val="4"/>
                <w:szCs w:val="4"/>
              </w:rPr>
            </w:r>
          </w:p>
        </w:tc>
      </w:tr>
      <w:tr>
        <w:trPr/>
        <w:tc>
          <w:tcPr>
            <w:tcW w:w="6429" w:type="dxa"/>
            <w:tcBorders/>
            <w:shd w:fill="auto" w:val="clear"/>
          </w:tcPr>
          <w:p>
            <w:pPr>
              <w:pStyle w:val="TableContents"/>
              <w:spacing w:before="0" w:after="283"/>
              <w:rPr>
                <w:rFonts w:ascii="Times New Roman" w:hAnsi="Times New Roman"/>
                <w:sz w:val="20"/>
              </w:rPr>
            </w:pPr>
            <w:r>
              <w:rPr>
                <w:rFonts w:ascii="Times New Roman" w:hAnsi="Times New Roman"/>
                <w:sz w:val="20"/>
              </w:rPr>
              <w:t>Prior year periods revenues, as reported</w:t>
            </w:r>
          </w:p>
        </w:tc>
        <w:tc>
          <w:tcPr>
            <w:tcW w:w="674"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2,518</w:t>
            </w:r>
          </w:p>
        </w:tc>
        <w:tc>
          <w:tcPr>
            <w:tcW w:w="23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10,070</w:t>
            </w:r>
          </w:p>
        </w:tc>
        <w:tc>
          <w:tcPr>
            <w:tcW w:w="234" w:type="dxa"/>
            <w:tcBorders/>
            <w:shd w:fill="auto" w:val="clear"/>
            <w:vAlign w:val="bottom"/>
          </w:tcPr>
          <w:p>
            <w:pPr>
              <w:pStyle w:val="TableContents"/>
              <w:spacing w:before="0" w:after="283"/>
              <w:rPr/>
            </w:pPr>
            <w:r>
              <w:rPr/>
              <w:t>  </w:t>
            </w:r>
          </w:p>
        </w:tc>
      </w:tr>
      <w:tr>
        <w:trPr/>
        <w:tc>
          <w:tcPr>
            <w:tcW w:w="6429"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 of acquired businesses for the comparable prior year period</w:t>
            </w:r>
          </w:p>
        </w:tc>
        <w:tc>
          <w:tcPr>
            <w:tcW w:w="674"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230"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234" w:type="dxa"/>
            <w:tcBorders/>
            <w:shd w:fill="CCEEFF" w:val="clear"/>
            <w:vAlign w:val="bottom"/>
          </w:tcPr>
          <w:p>
            <w:pPr>
              <w:pStyle w:val="TableContents"/>
              <w:spacing w:before="0" w:after="283"/>
              <w:rPr/>
            </w:pPr>
            <w:r>
              <w:rPr/>
              <w:t>  </w:t>
            </w:r>
          </w:p>
        </w:tc>
      </w:tr>
      <w:tr>
        <w:trPr/>
        <w:tc>
          <w:tcPr>
            <w:tcW w:w="6429" w:type="dxa"/>
            <w:tcBorders/>
            <w:shd w:fill="auto" w:val="clear"/>
            <w:vAlign w:val="bottom"/>
          </w:tcPr>
          <w:p>
            <w:pPr>
              <w:pStyle w:val="TableContents"/>
              <w:spacing w:before="0" w:after="283"/>
              <w:rPr>
                <w:sz w:val="4"/>
                <w:szCs w:val="4"/>
              </w:rPr>
            </w:pPr>
            <w:r>
              <w:rPr>
                <w:sz w:val="4"/>
                <w:szCs w:val="4"/>
              </w:rPr>
            </w:r>
          </w:p>
        </w:tc>
        <w:tc>
          <w:tcPr>
            <w:tcW w:w="674" w:type="dxa"/>
            <w:tcBorders/>
            <w:shd w:fill="auto" w:val="clear"/>
            <w:vAlign w:val="bottom"/>
          </w:tcPr>
          <w:p>
            <w:pPr>
              <w:pStyle w:val="TableContents"/>
              <w:spacing w:before="0" w:after="283"/>
              <w:rPr/>
            </w:pPr>
            <w:r>
              <w:rPr/>
              <w:t>  </w:t>
            </w:r>
          </w:p>
        </w:tc>
        <w:tc>
          <w:tcPr>
            <w:tcW w:w="256" w:type="dxa"/>
            <w:tcBorders>
              <w:top w:val="single" w:sz="2" w:space="0" w:color="000000"/>
            </w:tcBorders>
            <w:shd w:fill="auto" w:val="clear"/>
            <w:tcMar>
              <w:top w:w="28" w:type="dxa"/>
            </w:tcMar>
            <w:vAlign w:val="bottom"/>
          </w:tcPr>
          <w:p>
            <w:pPr>
              <w:pStyle w:val="TableContents"/>
              <w:spacing w:before="0" w:after="283"/>
              <w:rPr/>
            </w:pPr>
            <w:r>
              <w:rPr/>
              <w:t> </w:t>
            </w:r>
          </w:p>
        </w:tc>
        <w:tc>
          <w:tcPr>
            <w:tcW w:w="1021"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621" w:type="dxa"/>
            <w:tcBorders/>
            <w:shd w:fill="auto" w:val="clear"/>
            <w:vAlign w:val="bottom"/>
          </w:tcPr>
          <w:p>
            <w:pPr>
              <w:pStyle w:val="TableContents"/>
              <w:spacing w:before="0" w:after="283"/>
              <w:rPr/>
            </w:pPr>
            <w:r>
              <w:rPr/>
              <w:t> </w:t>
            </w:r>
          </w:p>
        </w:tc>
        <w:tc>
          <w:tcPr>
            <w:tcW w:w="129" w:type="dxa"/>
            <w:tcBorders>
              <w:top w:val="single" w:sz="2" w:space="0" w:color="000000"/>
            </w:tcBorders>
            <w:shd w:fill="auto" w:val="clear"/>
            <w:tcMar>
              <w:top w:w="28" w:type="dxa"/>
            </w:tcMar>
            <w:vAlign w:val="bottom"/>
          </w:tcPr>
          <w:p>
            <w:pPr>
              <w:pStyle w:val="TableContents"/>
              <w:spacing w:before="0" w:after="283"/>
              <w:rPr/>
            </w:pPr>
            <w:r>
              <w:rPr/>
              <w:t> </w:t>
            </w:r>
          </w:p>
        </w:tc>
        <w:tc>
          <w:tcPr>
            <w:tcW w:w="611" w:type="dxa"/>
            <w:tcBorders>
              <w:top w:val="single" w:sz="2" w:space="0" w:color="000000"/>
            </w:tcBorders>
            <w:shd w:fill="auto" w:val="clear"/>
            <w:tcMar>
              <w:top w:w="28" w:type="dxa"/>
            </w:tcMar>
            <w:vAlign w:val="bottom"/>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6429" w:type="dxa"/>
            <w:tcBorders/>
            <w:shd w:fill="auto" w:val="clear"/>
          </w:tcPr>
          <w:p>
            <w:pPr>
              <w:pStyle w:val="TableContents"/>
              <w:spacing w:before="0" w:after="283"/>
              <w:rPr>
                <w:rFonts w:ascii="Times New Roman" w:hAnsi="Times New Roman"/>
                <w:sz w:val="20"/>
              </w:rPr>
            </w:pPr>
            <w:r>
              <w:rPr>
                <w:rFonts w:ascii="Times New Roman" w:hAnsi="Times New Roman"/>
                <w:sz w:val="20"/>
              </w:rPr>
              <w:t>Prior year periods revenues, as adjusted</w:t>
            </w:r>
          </w:p>
        </w:tc>
        <w:tc>
          <w:tcPr>
            <w:tcW w:w="674"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2,590</w:t>
            </w:r>
          </w:p>
        </w:tc>
        <w:tc>
          <w:tcPr>
            <w:tcW w:w="23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10,270</w:t>
            </w:r>
          </w:p>
        </w:tc>
        <w:tc>
          <w:tcPr>
            <w:tcW w:w="234" w:type="dxa"/>
            <w:tcBorders/>
            <w:shd w:fill="auto" w:val="clear"/>
            <w:vAlign w:val="bottom"/>
          </w:tcPr>
          <w:p>
            <w:pPr>
              <w:pStyle w:val="TableContents"/>
              <w:spacing w:before="0" w:after="283"/>
              <w:rPr/>
            </w:pPr>
            <w:r>
              <w:rPr/>
              <w:t>  </w:t>
            </w:r>
          </w:p>
        </w:tc>
      </w:tr>
      <w:tr>
        <w:trPr/>
        <w:tc>
          <w:tcPr>
            <w:tcW w:w="6429"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year periods revenues, as reported</w:t>
            </w:r>
          </w:p>
        </w:tc>
        <w:tc>
          <w:tcPr>
            <w:tcW w:w="674"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2,683</w:t>
            </w:r>
          </w:p>
        </w:tc>
        <w:tc>
          <w:tcPr>
            <w:tcW w:w="230"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10,846</w:t>
            </w:r>
          </w:p>
        </w:tc>
        <w:tc>
          <w:tcPr>
            <w:tcW w:w="234" w:type="dxa"/>
            <w:tcBorders/>
            <w:shd w:fill="CCEEFF" w:val="clear"/>
            <w:vAlign w:val="bottom"/>
          </w:tcPr>
          <w:p>
            <w:pPr>
              <w:pStyle w:val="TableContents"/>
              <w:spacing w:before="0" w:after="283"/>
              <w:rPr/>
            </w:pPr>
            <w:r>
              <w:rPr/>
              <w:t>  </w:t>
            </w:r>
          </w:p>
        </w:tc>
      </w:tr>
      <w:tr>
        <w:trPr/>
        <w:tc>
          <w:tcPr>
            <w:tcW w:w="6429" w:type="dxa"/>
            <w:tcBorders/>
            <w:shd w:fill="auto" w:val="clear"/>
            <w:vAlign w:val="bottom"/>
          </w:tcPr>
          <w:p>
            <w:pPr>
              <w:pStyle w:val="TableContents"/>
              <w:spacing w:before="0" w:after="283"/>
              <w:rPr>
                <w:sz w:val="4"/>
                <w:szCs w:val="4"/>
              </w:rPr>
            </w:pPr>
            <w:r>
              <w:rPr>
                <w:sz w:val="4"/>
                <w:szCs w:val="4"/>
              </w:rPr>
            </w:r>
          </w:p>
        </w:tc>
        <w:tc>
          <w:tcPr>
            <w:tcW w:w="674" w:type="dxa"/>
            <w:tcBorders/>
            <w:shd w:fill="auto" w:val="clear"/>
            <w:vAlign w:val="bottom"/>
          </w:tcPr>
          <w:p>
            <w:pPr>
              <w:pStyle w:val="TableContents"/>
              <w:spacing w:before="0" w:after="283"/>
              <w:rPr/>
            </w:pPr>
            <w:r>
              <w:rPr/>
              <w:t>  </w:t>
            </w:r>
          </w:p>
        </w:tc>
        <w:tc>
          <w:tcPr>
            <w:tcW w:w="256" w:type="dxa"/>
            <w:tcBorders>
              <w:top w:val="single" w:sz="2" w:space="0" w:color="000000"/>
            </w:tcBorders>
            <w:shd w:fill="auto" w:val="clear"/>
            <w:tcMar>
              <w:top w:w="28" w:type="dxa"/>
            </w:tcMar>
            <w:vAlign w:val="bottom"/>
          </w:tcPr>
          <w:p>
            <w:pPr>
              <w:pStyle w:val="TableContents"/>
              <w:spacing w:before="0" w:after="283"/>
              <w:rPr/>
            </w:pPr>
            <w:r>
              <w:rPr/>
              <w:t> </w:t>
            </w:r>
          </w:p>
        </w:tc>
        <w:tc>
          <w:tcPr>
            <w:tcW w:w="1021"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621" w:type="dxa"/>
            <w:tcBorders/>
            <w:shd w:fill="auto" w:val="clear"/>
            <w:vAlign w:val="bottom"/>
          </w:tcPr>
          <w:p>
            <w:pPr>
              <w:pStyle w:val="TableContents"/>
              <w:spacing w:before="0" w:after="283"/>
              <w:rPr/>
            </w:pPr>
            <w:r>
              <w:rPr/>
              <w:t> </w:t>
            </w:r>
          </w:p>
        </w:tc>
        <w:tc>
          <w:tcPr>
            <w:tcW w:w="129" w:type="dxa"/>
            <w:tcBorders>
              <w:top w:val="single" w:sz="2" w:space="0" w:color="000000"/>
            </w:tcBorders>
            <w:shd w:fill="auto" w:val="clear"/>
            <w:tcMar>
              <w:top w:w="28" w:type="dxa"/>
            </w:tcMar>
            <w:vAlign w:val="bottom"/>
          </w:tcPr>
          <w:p>
            <w:pPr>
              <w:pStyle w:val="TableContents"/>
              <w:spacing w:before="0" w:after="283"/>
              <w:rPr/>
            </w:pPr>
            <w:r>
              <w:rPr/>
              <w:t> </w:t>
            </w:r>
          </w:p>
        </w:tc>
        <w:tc>
          <w:tcPr>
            <w:tcW w:w="611" w:type="dxa"/>
            <w:tcBorders>
              <w:top w:val="single" w:sz="2" w:space="0" w:color="000000"/>
            </w:tcBorders>
            <w:shd w:fill="auto" w:val="clear"/>
            <w:tcMar>
              <w:top w:w="28" w:type="dxa"/>
            </w:tcMar>
            <w:vAlign w:val="bottom"/>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6429" w:type="dxa"/>
            <w:tcBorders/>
            <w:shd w:fill="auto" w:val="clear"/>
          </w:tcPr>
          <w:p>
            <w:pPr>
              <w:pStyle w:val="TableContents"/>
              <w:spacing w:before="0" w:after="283"/>
              <w:rPr>
                <w:rFonts w:ascii="Times New Roman" w:hAnsi="Times New Roman"/>
                <w:sz w:val="20"/>
              </w:rPr>
            </w:pPr>
            <w:r>
              <w:rPr>
                <w:rFonts w:ascii="Times New Roman" w:hAnsi="Times New Roman"/>
                <w:sz w:val="20"/>
              </w:rPr>
              <w:t>Internal revenue growth</w:t>
            </w:r>
          </w:p>
        </w:tc>
        <w:tc>
          <w:tcPr>
            <w:tcW w:w="674"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w:t>
            </w:r>
          </w:p>
        </w:tc>
        <w:tc>
          <w:tcPr>
            <w:tcW w:w="23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576</w:t>
            </w:r>
          </w:p>
        </w:tc>
        <w:tc>
          <w:tcPr>
            <w:tcW w:w="234" w:type="dxa"/>
            <w:tcBorders/>
            <w:shd w:fill="auto" w:val="clear"/>
            <w:vAlign w:val="bottom"/>
          </w:tcPr>
          <w:p>
            <w:pPr>
              <w:pStyle w:val="TableContents"/>
              <w:spacing w:before="0" w:after="283"/>
              <w:rPr/>
            </w:pPr>
            <w:r>
              <w:rPr/>
              <w:t>  </w:t>
            </w:r>
          </w:p>
        </w:tc>
      </w:tr>
      <w:tr>
        <w:trPr/>
        <w:tc>
          <w:tcPr>
            <w:tcW w:w="6429" w:type="dxa"/>
            <w:tcBorders/>
            <w:shd w:fill="auto" w:val="clear"/>
            <w:vAlign w:val="bottom"/>
          </w:tcPr>
          <w:p>
            <w:pPr>
              <w:pStyle w:val="TableContents"/>
              <w:spacing w:before="0" w:after="283"/>
              <w:rPr>
                <w:sz w:val="4"/>
                <w:szCs w:val="4"/>
              </w:rPr>
            </w:pPr>
            <w:r>
              <w:rPr>
                <w:sz w:val="4"/>
                <w:szCs w:val="4"/>
              </w:rPr>
            </w:r>
          </w:p>
        </w:tc>
        <w:tc>
          <w:tcPr>
            <w:tcW w:w="674" w:type="dxa"/>
            <w:tcBorders/>
            <w:shd w:fill="auto" w:val="clear"/>
            <w:vAlign w:val="bottom"/>
          </w:tcPr>
          <w:p>
            <w:pPr>
              <w:pStyle w:val="TableContents"/>
              <w:spacing w:before="0" w:after="283"/>
              <w:rPr/>
            </w:pPr>
            <w:r>
              <w:rPr/>
              <w:t>  </w:t>
            </w:r>
          </w:p>
        </w:tc>
        <w:tc>
          <w:tcPr>
            <w:tcW w:w="256" w:type="dxa"/>
            <w:tcBorders>
              <w:top w:val="single" w:sz="2" w:space="0" w:color="000000"/>
            </w:tcBorders>
            <w:shd w:fill="auto" w:val="clear"/>
            <w:tcMar>
              <w:top w:w="28" w:type="dxa"/>
            </w:tcMar>
            <w:vAlign w:val="bottom"/>
          </w:tcPr>
          <w:p>
            <w:pPr>
              <w:pStyle w:val="TableContents"/>
              <w:spacing w:before="0" w:after="283"/>
              <w:rPr/>
            </w:pPr>
            <w:r>
              <w:rPr/>
              <w:t> </w:t>
            </w:r>
          </w:p>
        </w:tc>
        <w:tc>
          <w:tcPr>
            <w:tcW w:w="1021"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621" w:type="dxa"/>
            <w:tcBorders/>
            <w:shd w:fill="auto" w:val="clear"/>
            <w:vAlign w:val="bottom"/>
          </w:tcPr>
          <w:p>
            <w:pPr>
              <w:pStyle w:val="TableContents"/>
              <w:spacing w:before="0" w:after="283"/>
              <w:rPr/>
            </w:pPr>
            <w:r>
              <w:rPr/>
              <w:t> </w:t>
            </w:r>
          </w:p>
        </w:tc>
        <w:tc>
          <w:tcPr>
            <w:tcW w:w="129" w:type="dxa"/>
            <w:tcBorders>
              <w:top w:val="single" w:sz="2" w:space="0" w:color="000000"/>
            </w:tcBorders>
            <w:shd w:fill="auto" w:val="clear"/>
            <w:tcMar>
              <w:top w:w="28" w:type="dxa"/>
            </w:tcMar>
            <w:vAlign w:val="bottom"/>
          </w:tcPr>
          <w:p>
            <w:pPr>
              <w:pStyle w:val="TableContents"/>
              <w:spacing w:before="0" w:after="283"/>
              <w:rPr/>
            </w:pPr>
            <w:r>
              <w:rPr/>
              <w:t> </w:t>
            </w:r>
          </w:p>
        </w:tc>
        <w:tc>
          <w:tcPr>
            <w:tcW w:w="611" w:type="dxa"/>
            <w:tcBorders>
              <w:top w:val="single" w:sz="2" w:space="0" w:color="000000"/>
            </w:tcBorders>
            <w:shd w:fill="auto" w:val="clear"/>
            <w:tcMar>
              <w:top w:w="28" w:type="dxa"/>
            </w:tcMar>
            <w:vAlign w:val="bottom"/>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6429" w:type="dxa"/>
            <w:tcBorders/>
            <w:shd w:fill="CCEEFF" w:val="clear"/>
          </w:tcPr>
          <w:p>
            <w:pPr>
              <w:pStyle w:val="TableContents"/>
              <w:spacing w:before="0" w:after="283"/>
              <w:rPr>
                <w:rFonts w:ascii="Times New Roman" w:hAnsi="Times New Roman"/>
                <w:sz w:val="20"/>
              </w:rPr>
            </w:pPr>
            <w:r>
              <w:rPr>
                <w:rFonts w:ascii="Times New Roman" w:hAnsi="Times New Roman"/>
                <w:sz w:val="20"/>
              </w:rPr>
              <w:t>Internal revenue growth percentage</w:t>
            </w:r>
          </w:p>
        </w:tc>
        <w:tc>
          <w:tcPr>
            <w:tcW w:w="674"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2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29" w:type="dxa"/>
            <w:tcBorders/>
            <w:shd w:fill="auto" w:val="clear"/>
            <w:vAlign w:val="bottom"/>
          </w:tcPr>
          <w:p>
            <w:pPr>
              <w:pStyle w:val="TableContents"/>
              <w:spacing w:before="0" w:after="283"/>
              <w:rPr>
                <w:sz w:val="4"/>
                <w:szCs w:val="4"/>
              </w:rPr>
            </w:pPr>
            <w:r>
              <w:rPr>
                <w:sz w:val="4"/>
                <w:szCs w:val="4"/>
              </w:rPr>
            </w:r>
          </w:p>
        </w:tc>
        <w:tc>
          <w:tcPr>
            <w:tcW w:w="674" w:type="dxa"/>
            <w:tcBorders/>
            <w:shd w:fill="auto" w:val="clear"/>
            <w:vAlign w:val="bottom"/>
          </w:tcPr>
          <w:p>
            <w:pPr>
              <w:pStyle w:val="TableContents"/>
              <w:spacing w:before="0" w:after="283"/>
              <w:rPr/>
            </w:pPr>
            <w:r>
              <w:rPr/>
              <w:t>  </w:t>
            </w:r>
          </w:p>
        </w:tc>
        <w:tc>
          <w:tcPr>
            <w:tcW w:w="256" w:type="dxa"/>
            <w:tcBorders>
              <w:top w:val="double" w:sz="6" w:space="0" w:color="000000"/>
            </w:tcBorders>
            <w:shd w:fill="auto" w:val="clear"/>
            <w:tcMar>
              <w:top w:w="28" w:type="dxa"/>
            </w:tcMar>
            <w:vAlign w:val="bottom"/>
          </w:tcPr>
          <w:p>
            <w:pPr>
              <w:pStyle w:val="TableContents"/>
              <w:spacing w:before="0" w:after="283"/>
              <w:rPr/>
            </w:pPr>
            <w:r>
              <w:rPr/>
              <w:t> </w:t>
            </w:r>
          </w:p>
        </w:tc>
        <w:tc>
          <w:tcPr>
            <w:tcW w:w="1021" w:type="dxa"/>
            <w:tcBorders>
              <w:top w:val="double" w:sz="6"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621" w:type="dxa"/>
            <w:tcBorders/>
            <w:shd w:fill="auto" w:val="clear"/>
            <w:vAlign w:val="bottom"/>
          </w:tcPr>
          <w:p>
            <w:pPr>
              <w:pStyle w:val="TableContents"/>
              <w:spacing w:before="0" w:after="283"/>
              <w:rPr/>
            </w:pPr>
            <w:r>
              <w:rPr/>
              <w:t> </w:t>
            </w:r>
          </w:p>
        </w:tc>
        <w:tc>
          <w:tcPr>
            <w:tcW w:w="129" w:type="dxa"/>
            <w:tcBorders>
              <w:top w:val="double" w:sz="6" w:space="0" w:color="000000"/>
            </w:tcBorders>
            <w:shd w:fill="auto" w:val="clear"/>
            <w:tcMar>
              <w:top w:w="28" w:type="dxa"/>
            </w:tcMar>
            <w:vAlign w:val="bottom"/>
          </w:tcPr>
          <w:p>
            <w:pPr>
              <w:pStyle w:val="TableContents"/>
              <w:spacing w:before="0" w:after="283"/>
              <w:rPr/>
            </w:pPr>
            <w:r>
              <w:rPr/>
              <w:t> </w:t>
            </w:r>
          </w:p>
        </w:tc>
        <w:tc>
          <w:tcPr>
            <w:tcW w:w="611" w:type="dxa"/>
            <w:tcBorders>
              <w:top w:val="double" w:sz="6" w:space="0" w:color="000000"/>
            </w:tcBorders>
            <w:shd w:fill="auto" w:val="clear"/>
            <w:tcMar>
              <w:top w:w="28" w:type="dxa"/>
            </w:tcMar>
            <w:vAlign w:val="bottom"/>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SAIC, INC. </w:t>
      </w:r>
    </w:p>
    <w:p>
      <w:pPr>
        <w:pStyle w:val="TextBody"/>
        <w:spacing w:before="0" w:after="0"/>
        <w:jc w:val="center"/>
        <w:rPr>
          <w:rFonts w:ascii="Times New Roman" w:hAnsi="Times New Roman"/>
          <w:b/>
          <w:sz w:val="20"/>
        </w:rPr>
      </w:pPr>
      <w:r>
        <w:rPr>
          <w:rFonts w:ascii="Times New Roman" w:hAnsi="Times New Roman"/>
          <w:b/>
          <w:sz w:val="20"/>
        </w:rPr>
        <w:t xml:space="preserve">Fiscal Year 2011 Guidance Excluding Impact of Scottish Power Contract Expiration (Non-GAAP Reconciliation) </w:t>
      </w:r>
    </w:p>
    <w:p>
      <w:pPr>
        <w:pStyle w:val="TextBody"/>
        <w:spacing w:before="0" w:after="0"/>
        <w:jc w:val="center"/>
        <w:rPr>
          <w:rFonts w:ascii="Times New Roman" w:hAnsi="Times New Roman"/>
          <w:b/>
          <w:sz w:val="20"/>
        </w:rPr>
      </w:pPr>
      <w:r>
        <w:rPr>
          <w:rFonts w:ascii="Times New Roman" w:hAnsi="Times New Roman"/>
          <w:b/>
          <w:sz w:val="20"/>
        </w:rPr>
        <w:t xml:space="preserve">(Unaudited) </w:t>
      </w:r>
    </w:p>
    <w:p>
      <w:pPr>
        <w:pStyle w:val="TextBody"/>
        <w:spacing w:before="180" w:after="0"/>
        <w:rPr>
          <w:rFonts w:ascii="Times New Roman" w:hAnsi="Times New Roman"/>
          <w:sz w:val="20"/>
        </w:rPr>
      </w:pPr>
      <w:r>
        <w:rPr>
          <w:rFonts w:ascii="Times New Roman" w:hAnsi="Times New Roman"/>
          <w:sz w:val="20"/>
        </w:rPr>
        <w:t xml:space="preserve">In this release, SAIC, Inc. refers to expectations of operating margin improvement and growth in diluted earnings per share (EPS) from continuing operations excluding charges from the expiration of the Scottish Power IT outsourcing contract, which are non-GAAP financial measures. The company calculates these measures by excluding those expected charges from operating income and diluted earnings per share from continuing operations, the most directly comparable GAAP financial measures. Those reconciliations, which are provided below, have the impact of reducing operating margin improvement and diluted earnings per share from continuing operations growth. </w:t>
      </w:r>
    </w:p>
    <w:p>
      <w:pPr>
        <w:pStyle w:val="TextBody"/>
        <w:spacing w:before="180" w:after="0"/>
        <w:rPr>
          <w:rFonts w:ascii="Times New Roman" w:hAnsi="Times New Roman"/>
          <w:sz w:val="20"/>
        </w:rPr>
      </w:pPr>
      <w:r>
        <w:rPr>
          <w:rFonts w:ascii="Times New Roman" w:hAnsi="Times New Roman"/>
          <w:sz w:val="20"/>
        </w:rPr>
        <w:t xml:space="preserve">We use these non-GAAP measures to provide investors with visibility to how we expect our business to perform excluding the impact of the expected charges arising from the expiration of the Scottish Power IT outsourcing contract. The limitation of these non-GAAP measures as compared to the most directly comparable GAAP financial measures is that we expect to incur charges associated with this contract expiration which are not reflected in these non-GAAP measures. We address this limitation by presenting this reconciliation to the most directly comparable GAAP measures. These financial measures are not meant to be considered in isolation or as a substitute for comparable GAAP measures and should be read only in connection with our consolidated financial statements prepared in accordance with GAAP. </w:t>
      </w:r>
    </w:p>
    <w:p>
      <w:pPr>
        <w:pStyle w:val="TextBody"/>
        <w:spacing w:before="270" w:after="0"/>
        <w:rPr>
          <w:rFonts w:ascii="Times New Roman" w:hAnsi="Times New Roman"/>
          <w:b/>
          <w:sz w:val="20"/>
        </w:rPr>
      </w:pPr>
      <w:r>
        <w:rPr>
          <w:rFonts w:ascii="Times New Roman" w:hAnsi="Times New Roman"/>
          <w:b/>
          <w:sz w:val="20"/>
        </w:rPr>
        <w:t xml:space="preserve">Reconciliation of Expected Operating Margin Improvement for the Year Ended January 31, 2011: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372"/>
        <w:gridCol w:w="219"/>
        <w:gridCol w:w="1081"/>
        <w:gridCol w:w="125"/>
        <w:gridCol w:w="199"/>
        <w:gridCol w:w="1081"/>
        <w:gridCol w:w="128"/>
      </w:tblGrid>
      <w:tr>
        <w:trPr/>
        <w:tc>
          <w:tcPr>
            <w:tcW w:w="7372"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7372"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081"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Low End</w:t>
            </w:r>
          </w:p>
        </w:tc>
        <w:tc>
          <w:tcPr>
            <w:tcW w:w="12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081"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High End</w:t>
            </w:r>
          </w:p>
        </w:tc>
        <w:tc>
          <w:tcPr>
            <w:tcW w:w="128" w:type="dxa"/>
            <w:tcBorders/>
            <w:shd w:fill="auto" w:val="clear"/>
            <w:vAlign w:val="bottom"/>
          </w:tcPr>
          <w:p>
            <w:pPr>
              <w:pStyle w:val="TableContents"/>
              <w:spacing w:before="0" w:after="283"/>
              <w:rPr/>
            </w:pPr>
            <w:r>
              <w:rPr/>
              <w:t> </w:t>
            </w:r>
          </w:p>
        </w:tc>
      </w:tr>
      <w:tr>
        <w:trPr/>
        <w:tc>
          <w:tcPr>
            <w:tcW w:w="7372" w:type="dxa"/>
            <w:tcBorders/>
            <w:shd w:fill="CCEEFF" w:val="clear"/>
          </w:tcPr>
          <w:p>
            <w:pPr>
              <w:pStyle w:val="TableContents"/>
              <w:spacing w:before="0" w:after="283"/>
              <w:rPr>
                <w:rFonts w:ascii="Times New Roman" w:hAnsi="Times New Roman"/>
                <w:sz w:val="20"/>
              </w:rPr>
            </w:pPr>
            <w:r>
              <w:rPr>
                <w:rFonts w:ascii="Times New Roman" w:hAnsi="Times New Roman"/>
                <w:sz w:val="20"/>
              </w:rPr>
              <w:t>Expected Operating Margin Improvement Excluding Impact of Scottish Power Contract Expiration</w:t>
            </w:r>
          </w:p>
        </w:tc>
        <w:tc>
          <w:tcPr>
            <w:tcW w:w="219"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 basis pts.</w:t>
            </w:r>
          </w:p>
        </w:tc>
        <w:tc>
          <w:tcPr>
            <w:tcW w:w="125"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 basis pts.</w:t>
            </w:r>
          </w:p>
        </w:tc>
        <w:tc>
          <w:tcPr>
            <w:tcW w:w="128" w:type="dxa"/>
            <w:tcBorders/>
            <w:shd w:fill="CCEEFF" w:val="clear"/>
            <w:vAlign w:val="bottom"/>
          </w:tcPr>
          <w:p>
            <w:pPr>
              <w:pStyle w:val="TableContents"/>
              <w:spacing w:before="0" w:after="283"/>
              <w:rPr/>
            </w:pPr>
            <w:r>
              <w:rPr/>
              <w:t>  </w:t>
            </w:r>
          </w:p>
        </w:tc>
      </w:tr>
      <w:tr>
        <w:trPr/>
        <w:tc>
          <w:tcPr>
            <w:tcW w:w="7372" w:type="dxa"/>
            <w:tcBorders/>
            <w:shd w:fill="auto" w:val="clear"/>
          </w:tcPr>
          <w:p>
            <w:pPr>
              <w:pStyle w:val="TableContents"/>
              <w:spacing w:before="0" w:after="283"/>
              <w:rPr>
                <w:rFonts w:ascii="Times New Roman" w:hAnsi="Times New Roman"/>
                <w:sz w:val="20"/>
              </w:rPr>
            </w:pPr>
            <w:r>
              <w:rPr>
                <w:rFonts w:ascii="Times New Roman" w:hAnsi="Times New Roman"/>
                <w:sz w:val="20"/>
              </w:rPr>
              <w:t>Less: Expected Impact of Scottish Power Contract Expiration*</w:t>
            </w:r>
          </w:p>
        </w:tc>
        <w:tc>
          <w:tcPr>
            <w:tcW w:w="219"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 basis pts.</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9"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 basis pts.</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372" w:type="dxa"/>
            <w:tcBorders/>
            <w:shd w:fill="auto" w:val="clear"/>
            <w:vAlign w:val="bottom"/>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pPr>
            <w:r>
              <w:rPr/>
              <w:t>  </w:t>
            </w:r>
          </w:p>
        </w:tc>
        <w:tc>
          <w:tcPr>
            <w:tcW w:w="108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081"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372" w:type="dxa"/>
            <w:tcBorders/>
            <w:shd w:fill="CCEEFF" w:val="clear"/>
          </w:tcPr>
          <w:p>
            <w:pPr>
              <w:pStyle w:val="TableContents"/>
              <w:spacing w:before="0" w:after="283"/>
              <w:rPr>
                <w:rFonts w:ascii="Times New Roman" w:hAnsi="Times New Roman"/>
                <w:sz w:val="20"/>
              </w:rPr>
            </w:pPr>
            <w:r>
              <w:rPr>
                <w:rFonts w:ascii="Times New Roman" w:hAnsi="Times New Roman"/>
                <w:sz w:val="20"/>
              </w:rPr>
              <w:t>Expected Operating Margin Improvement on a GAAP basis</w:t>
            </w:r>
          </w:p>
        </w:tc>
        <w:tc>
          <w:tcPr>
            <w:tcW w:w="219"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 basis pts.</w:t>
            </w:r>
          </w:p>
        </w:tc>
        <w:tc>
          <w:tcPr>
            <w:tcW w:w="125"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 basis pts.</w:t>
            </w:r>
          </w:p>
        </w:tc>
        <w:tc>
          <w:tcPr>
            <w:tcW w:w="128" w:type="dxa"/>
            <w:tcBorders/>
            <w:shd w:fill="CCEEFF" w:val="clear"/>
            <w:vAlign w:val="bottom"/>
          </w:tcPr>
          <w:p>
            <w:pPr>
              <w:pStyle w:val="TableContents"/>
              <w:spacing w:before="0" w:after="283"/>
              <w:rPr/>
            </w:pPr>
            <w:r>
              <w:rPr/>
              <w:t>  </w:t>
            </w:r>
          </w:p>
        </w:tc>
      </w:tr>
      <w:tr>
        <w:trPr/>
        <w:tc>
          <w:tcPr>
            <w:tcW w:w="7372" w:type="dxa"/>
            <w:tcBorders/>
            <w:shd w:fill="auto" w:val="clear"/>
            <w:vAlign w:val="bottom"/>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pPr>
            <w:r>
              <w:rPr/>
              <w:t>  </w:t>
            </w:r>
          </w:p>
        </w:tc>
        <w:tc>
          <w:tcPr>
            <w:tcW w:w="1081"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081"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270" w:after="0"/>
        <w:rPr>
          <w:rFonts w:ascii="Times New Roman" w:hAnsi="Times New Roman"/>
          <w:b/>
          <w:sz w:val="20"/>
        </w:rPr>
      </w:pPr>
      <w:r>
        <w:rPr>
          <w:rFonts w:ascii="Times New Roman" w:hAnsi="Times New Roman"/>
          <w:b/>
          <w:sz w:val="20"/>
        </w:rPr>
        <w:t xml:space="preserve">Reconciliation of Expected Diluted Earnings Per Share From Continuing Operations Growth for the Year Ended January 31, 2011: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555"/>
        <w:gridCol w:w="527"/>
        <w:gridCol w:w="545"/>
        <w:gridCol w:w="230"/>
        <w:gridCol w:w="527"/>
        <w:gridCol w:w="590"/>
        <w:gridCol w:w="231"/>
      </w:tblGrid>
      <w:tr>
        <w:trPr/>
        <w:tc>
          <w:tcPr>
            <w:tcW w:w="7555"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bottom"/>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7555"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rPr/>
            </w:pPr>
            <w:r>
              <w:rPr/>
              <w:t>  </w:t>
            </w:r>
          </w:p>
        </w:tc>
        <w:tc>
          <w:tcPr>
            <w:tcW w:w="545"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Low End</w:t>
            </w:r>
          </w:p>
        </w:tc>
        <w:tc>
          <w:tcPr>
            <w:tcW w:w="230"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rPr/>
            </w:pPr>
            <w:r>
              <w:rPr/>
              <w:t> </w:t>
            </w:r>
          </w:p>
        </w:tc>
        <w:tc>
          <w:tcPr>
            <w:tcW w:w="590"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High End</w:t>
            </w:r>
          </w:p>
        </w:tc>
        <w:tc>
          <w:tcPr>
            <w:tcW w:w="231" w:type="dxa"/>
            <w:tcBorders/>
            <w:shd w:fill="auto" w:val="clear"/>
            <w:vAlign w:val="bottom"/>
          </w:tcPr>
          <w:p>
            <w:pPr>
              <w:pStyle w:val="TableContents"/>
              <w:spacing w:before="0" w:after="283"/>
              <w:rPr/>
            </w:pPr>
            <w:r>
              <w:rPr/>
              <w:t> </w:t>
            </w:r>
          </w:p>
        </w:tc>
      </w:tr>
      <w:tr>
        <w:trPr/>
        <w:tc>
          <w:tcPr>
            <w:tcW w:w="7555" w:type="dxa"/>
            <w:tcBorders/>
            <w:shd w:fill="CCEEFF" w:val="clear"/>
          </w:tcPr>
          <w:p>
            <w:pPr>
              <w:pStyle w:val="TableContents"/>
              <w:spacing w:before="0" w:after="283"/>
              <w:rPr>
                <w:rFonts w:ascii="Times New Roman" w:hAnsi="Times New Roman"/>
                <w:sz w:val="20"/>
              </w:rPr>
            </w:pPr>
            <w:r>
              <w:rPr>
                <w:rFonts w:ascii="Times New Roman" w:hAnsi="Times New Roman"/>
                <w:sz w:val="20"/>
              </w:rPr>
              <w:t>Expected Diluted EPS from Continuing Operations Growth Excluding Impact of Scottish Power Contract Expiration</w:t>
            </w:r>
          </w:p>
        </w:tc>
        <w:tc>
          <w:tcPr>
            <w:tcW w:w="527"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27"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2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555" w:type="dxa"/>
            <w:tcBorders/>
            <w:shd w:fill="auto" w:val="clear"/>
          </w:tcPr>
          <w:p>
            <w:pPr>
              <w:pStyle w:val="TableContents"/>
              <w:spacing w:before="0" w:after="283"/>
              <w:rPr>
                <w:rFonts w:ascii="Times New Roman" w:hAnsi="Times New Roman"/>
                <w:sz w:val="20"/>
              </w:rPr>
            </w:pPr>
            <w:r>
              <w:rPr>
                <w:rFonts w:ascii="Times New Roman" w:hAnsi="Times New Roman"/>
                <w:sz w:val="20"/>
              </w:rPr>
              <w:t>Less: Expected Impact of Scottish Power Contract Expiration*</w:t>
            </w:r>
          </w:p>
        </w:tc>
        <w:tc>
          <w:tcPr>
            <w:tcW w:w="527"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27"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2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555" w:type="dxa"/>
            <w:tcBorders/>
            <w:shd w:fill="auto" w:val="clear"/>
            <w:vAlign w:val="bottom"/>
          </w:tcPr>
          <w:p>
            <w:pPr>
              <w:pStyle w:val="TableContents"/>
              <w:spacing w:before="0" w:after="283"/>
              <w:rPr>
                <w:sz w:val="4"/>
                <w:szCs w:val="4"/>
              </w:rPr>
            </w:pPr>
            <w:r>
              <w:rPr>
                <w:sz w:val="4"/>
                <w:szCs w:val="4"/>
              </w:rPr>
            </w:r>
          </w:p>
        </w:tc>
        <w:tc>
          <w:tcPr>
            <w:tcW w:w="527" w:type="dxa"/>
            <w:tcBorders/>
            <w:shd w:fill="auto" w:val="clear"/>
            <w:vAlign w:val="bottom"/>
          </w:tcPr>
          <w:p>
            <w:pPr>
              <w:pStyle w:val="TableContents"/>
              <w:spacing w:before="0" w:after="283"/>
              <w:rPr/>
            </w:pPr>
            <w:r>
              <w:rPr/>
              <w:t>  </w:t>
            </w:r>
          </w:p>
        </w:tc>
        <w:tc>
          <w:tcPr>
            <w:tcW w:w="545"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527" w:type="dxa"/>
            <w:tcBorders/>
            <w:shd w:fill="auto" w:val="cle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r>
      <w:tr>
        <w:trPr/>
        <w:tc>
          <w:tcPr>
            <w:tcW w:w="7555" w:type="dxa"/>
            <w:tcBorders/>
            <w:shd w:fill="CCEEFF" w:val="clear"/>
          </w:tcPr>
          <w:p>
            <w:pPr>
              <w:pStyle w:val="TableContents"/>
              <w:spacing w:before="0" w:after="283"/>
              <w:rPr>
                <w:rFonts w:ascii="Times New Roman" w:hAnsi="Times New Roman"/>
                <w:sz w:val="20"/>
              </w:rPr>
            </w:pPr>
            <w:r>
              <w:rPr>
                <w:rFonts w:ascii="Times New Roman" w:hAnsi="Times New Roman"/>
                <w:sz w:val="20"/>
              </w:rPr>
              <w:t>Expected Diluted EPS from Continuing Operations Growth on a GAAP basis</w:t>
            </w:r>
          </w:p>
        </w:tc>
        <w:tc>
          <w:tcPr>
            <w:tcW w:w="527"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27"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2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555" w:type="dxa"/>
            <w:tcBorders/>
            <w:shd w:fill="auto" w:val="clear"/>
            <w:vAlign w:val="bottom"/>
          </w:tcPr>
          <w:p>
            <w:pPr>
              <w:pStyle w:val="TableContents"/>
              <w:spacing w:before="0" w:after="283"/>
              <w:rPr>
                <w:sz w:val="4"/>
                <w:szCs w:val="4"/>
              </w:rPr>
            </w:pPr>
            <w:r>
              <w:rPr>
                <w:sz w:val="4"/>
                <w:szCs w:val="4"/>
              </w:rPr>
            </w:r>
          </w:p>
        </w:tc>
        <w:tc>
          <w:tcPr>
            <w:tcW w:w="527" w:type="dxa"/>
            <w:tcBorders/>
            <w:shd w:fill="auto" w:val="clear"/>
            <w:vAlign w:val="bottom"/>
          </w:tcPr>
          <w:p>
            <w:pPr>
              <w:pStyle w:val="TableContents"/>
              <w:spacing w:before="0" w:after="283"/>
              <w:rPr/>
            </w:pPr>
            <w:r>
              <w:rPr/>
              <w:t>  </w:t>
            </w:r>
          </w:p>
        </w:tc>
        <w:tc>
          <w:tcPr>
            <w:tcW w:w="545" w:type="dxa"/>
            <w:tcBorders>
              <w:top w:val="double" w:sz="6"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527" w:type="dxa"/>
            <w:tcBorders/>
            <w:shd w:fill="auto" w:val="clear"/>
            <w:vAlign w:val="bottom"/>
          </w:tcPr>
          <w:p>
            <w:pPr>
              <w:pStyle w:val="TableContents"/>
              <w:spacing w:before="0" w:after="283"/>
              <w:rPr/>
            </w:pPr>
            <w:r>
              <w:rPr/>
              <w:t> </w:t>
            </w:r>
          </w:p>
        </w:tc>
        <w:tc>
          <w:tcPr>
            <w:tcW w:w="590" w:type="dxa"/>
            <w:tcBorders>
              <w:top w:val="double" w:sz="6" w:space="0" w:color="000000"/>
            </w:tcBorders>
            <w:shd w:fill="auto" w:val="clear"/>
            <w:tcMar>
              <w:top w:w="28" w:type="dxa"/>
            </w:tcMar>
            <w:vAlign w:val="bottom"/>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Expected impact computed utilizing mid-point of estimated pre-tax charge of $20 to $30 million </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4885</Words>
  <CharactersWithSpaces>32006</CharactersWithSpaces>
  <Paragraphs>2735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Press Release</dc:title>
</cp:coreProperties>
</file>