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740410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 10-Q</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April 4, 2025</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6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13" w:lineRule="exact"/>
        <w:rPr>
          <w:sz w:val="24"/>
          <w:szCs w:val="24"/>
          <w:color w:val="auto"/>
        </w:rPr>
      </w:pPr>
    </w:p>
    <w:p>
      <w:pPr>
        <w:sectPr>
          <w:pgSz w:w="11900" w:h="16838" w:orient="portrait"/>
          <w:cols w:equalWidth="0" w:num="2">
            <w:col w:w="6240" w:space="620"/>
            <w:col w:w="4360"/>
          </w:cols>
          <w:pgMar w:left="320" w:top="144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Commission file number 001-33072</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Leidos Holdings,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color w:val="auto"/>
        </w:rPr>
        <w:t>(I.R.S. Employer Identification No.)</w:t>
      </w:r>
    </w:p>
    <w:p>
      <w:pPr>
        <w:spacing w:after="0" w:line="185" w:lineRule="exact"/>
        <w:rPr>
          <w:sz w:val="24"/>
          <w:szCs w:val="24"/>
          <w:color w:val="auto"/>
        </w:rPr>
      </w:pPr>
    </w:p>
    <w:p>
      <w:pPr>
        <w:sectPr>
          <w:pgSz w:w="11900" w:h="16838" w:orient="portrait"/>
          <w:cols w:equalWidth="0" w:num="2">
            <w:col w:w="6940" w:space="720"/>
            <w:col w:w="3560"/>
          </w:cols>
          <w:pgMar w:left="320" w:top="1440" w:right="35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auto"/>
        </w:rPr>
        <w:t>1750 Presidents Street,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20190</w:t>
      </w:r>
    </w:p>
    <w:p>
      <w:pPr>
        <w:spacing w:after="0" w:line="102" w:lineRule="exact"/>
        <w:rPr>
          <w:sz w:val="24"/>
          <w:szCs w:val="24"/>
          <w:color w:val="auto"/>
        </w:rPr>
      </w:pPr>
    </w:p>
    <w:p>
      <w:pPr>
        <w:sectPr>
          <w:pgSz w:w="11900" w:h="16838" w:orient="portrait"/>
          <w:cols w:equalWidth="0" w:num="4">
            <w:col w:w="2660" w:space="220"/>
            <w:col w:w="580" w:space="220"/>
            <w:col w:w="4140" w:space="720"/>
            <w:col w:w="2680"/>
          </w:cols>
          <w:pgMar w:left="320" w:top="1440" w:right="359"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700" w:space="720"/>
            <w:col w:w="2800"/>
          </w:cols>
          <w:pgMar w:left="320" w:top="1440" w:right="359" w:bottom="1440" w:gutter="0" w:footer="0" w:header="0"/>
          <w:type w:val="continuous"/>
        </w:sectPr>
      </w:pP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(571) 526-6000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1440" w:right="359" w:bottom="1440" w:gutter="0" w:footer="0" w:header="0"/>
          <w:type w:val="continuous"/>
        </w:sectPr>
      </w:pPr>
    </w:p>
    <w:p>
      <w:pPr>
        <w:spacing w:after="0" w:line="77"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77" w:lineRule="exact"/>
        <w:rPr>
          <w:sz w:val="24"/>
          <w:szCs w:val="24"/>
          <w:color w:val="auto"/>
        </w:rPr>
      </w:pPr>
    </w:p>
    <w:p>
      <w:pPr>
        <w:sectPr>
          <w:pgSz w:w="11900" w:h="16838" w:orient="portrait"/>
          <w:cols w:equalWidth="0" w:num="3">
            <w:col w:w="4320" w:space="720"/>
            <w:col w:w="1760" w:space="720"/>
            <w:col w:w="3700"/>
          </w:cols>
          <w:pgMar w:left="320" w:top="1440" w:right="35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3">
            <w:col w:w="4680" w:space="720"/>
            <w:col w:w="1820" w:space="720"/>
            <w:col w:w="3280"/>
          </w:cols>
          <w:pgMar w:left="320" w:top="1440" w:right="359" w:bottom="1440" w:gutter="0" w:footer="0" w:header="0"/>
          <w:type w:val="continuous"/>
        </w:sectPr>
      </w:pPr>
    </w:p>
    <w:p>
      <w:pPr>
        <w:spacing w:after="0" w:line="48"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640" w:type="dxa"/>
        <w:tblCellMar>
          <w:top w:w="0" w:type="dxa"/>
          <w:left w:w="0" w:type="dxa"/>
          <w:bottom w:w="0" w:type="dxa"/>
          <w:right w:w="0" w:type="dxa"/>
        </w:tblCellMar>
      </w:tblP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6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5"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2"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The number of shares issued and outstanding of each of the issuer’s classes of common stock as of April 29, 2025, was 128,718,872 shares of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B15BAC"/>
        </w:rPr>
        <w:t>LEIDOS HOLDINGS, INC.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89"/>
        </w:trPr>
        <w:tc>
          <w:tcPr>
            <w:tcW w:w="800" w:type="dxa"/>
            <w:vAlign w:val="bottom"/>
            <w:tcBorders>
              <w:bottom w:val="single" w:sz="8" w:color="901588"/>
            </w:tcBorders>
          </w:tcPr>
          <w:p>
            <w:pPr>
              <w:spacing w:after="0"/>
              <w:rPr>
                <w:sz w:val="7"/>
                <w:szCs w:val="7"/>
                <w:color w:val="auto"/>
              </w:rPr>
            </w:pPr>
          </w:p>
        </w:tc>
        <w:tc>
          <w:tcPr>
            <w:tcW w:w="8320" w:type="dxa"/>
            <w:vAlign w:val="bottom"/>
            <w:tcBorders>
              <w:bottom w:val="single" w:sz="8" w:color="901588"/>
            </w:tcBorders>
          </w:tcPr>
          <w:p>
            <w:pPr>
              <w:spacing w:after="0"/>
              <w:rPr>
                <w:sz w:val="7"/>
                <w:szCs w:val="7"/>
                <w:color w:val="auto"/>
              </w:rPr>
            </w:pPr>
          </w:p>
        </w:tc>
        <w:tc>
          <w:tcPr>
            <w:tcW w:w="2120" w:type="dxa"/>
            <w:vAlign w:val="bottom"/>
            <w:tcBorders>
              <w:bottom w:val="single" w:sz="8" w:color="901588"/>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Financial Statements (Unaudited)</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Balance Sheets</w:t>
            </w:r>
          </w:p>
        </w:tc>
        <w:tc>
          <w:tcPr>
            <w:tcW w:w="2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Equity</w:t>
            </w:r>
          </w:p>
        </w:tc>
        <w:tc>
          <w:tcPr>
            <w:tcW w:w="2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Notes to Condensed Consolidated Financial Statements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1–Basis of Presentation and Summary of Significant Accounting Policies</w:t>
            </w:r>
          </w:p>
        </w:tc>
        <w:tc>
          <w:tcPr>
            <w:tcW w:w="2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2–Revenues</w:t>
            </w:r>
          </w:p>
        </w:tc>
        <w:tc>
          <w:tcPr>
            <w:tcW w:w="2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3–Acquisitions, Goodwill and Intangible Assets</w:t>
            </w:r>
          </w:p>
        </w:tc>
        <w:tc>
          <w:tcPr>
            <w:tcW w:w="21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4–Fair Value Measurements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5–Derivative Instruments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6–Debt</w:t>
            </w:r>
          </w:p>
        </w:tc>
        <w:tc>
          <w:tcPr>
            <w:tcW w:w="2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7–Accumulated Other Comprehensive Income (Loss)</w:t>
            </w: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8–Earnings Per Share</w:t>
            </w: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9–Income Taxes</w:t>
            </w: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10–Business Segments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11–Commitments and Contingencies</w:t>
            </w:r>
          </w:p>
        </w:tc>
        <w:tc>
          <w:tcPr>
            <w:tcW w:w="2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8320" w:type="dxa"/>
            <w:vAlign w:val="bottom"/>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Overview</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Business Environment and Trends</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Results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Bookings and Backlog</w:t>
            </w: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Liquidity and Capital Resources</w:t>
            </w: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Off-Balance Sheet Arrangements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Guarantor and Issuer of Guaranteed Securities</w:t>
            </w:r>
          </w:p>
        </w:tc>
        <w:tc>
          <w:tcPr>
            <w:tcW w:w="2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Contractual Obligations and Commitments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Critical Accounting Policies and Estimates</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Recently Adopted and Issued Accounting Standards</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7"/>
        </w:trPr>
        <w:tc>
          <w:tcPr>
            <w:tcW w:w="800" w:type="dxa"/>
            <w:vAlign w:val="bottom"/>
          </w:tcPr>
          <w:p>
            <w:pPr>
              <w:ind w:left="20"/>
              <w:spacing w:after="0"/>
              <w:rPr>
                <w:sz w:val="20"/>
                <w:szCs w:val="20"/>
                <w:color w:val="auto"/>
              </w:rPr>
            </w:pPr>
            <w:r>
              <w:rPr>
                <w:rFonts w:ascii="Arial" w:cs="Arial" w:eastAsia="Arial" w:hAnsi="Arial"/>
                <w:sz w:val="16"/>
                <w:szCs w:val="16"/>
                <w:color w:val="auto"/>
              </w:rPr>
              <w:t>Item 3.</w:t>
            </w:r>
          </w:p>
        </w:tc>
        <w:tc>
          <w:tcPr>
            <w:tcW w:w="8320" w:type="dxa"/>
            <w:vAlign w:val="bottom"/>
          </w:tcPr>
          <w:p>
            <w:pPr>
              <w:ind w:left="180"/>
              <w:spacing w:after="0"/>
              <w:rPr>
                <w:sz w:val="20"/>
                <w:szCs w:val="20"/>
                <w:color w:val="auto"/>
              </w:rPr>
            </w:pPr>
            <w:r>
              <w:rPr>
                <w:rFonts w:ascii="Arial" w:cs="Arial" w:eastAsia="Arial" w:hAnsi="Arial"/>
                <w:sz w:val="16"/>
                <w:szCs w:val="16"/>
                <w:color w:val="auto"/>
              </w:rPr>
              <w:t>Quantitative and Qualitative Disclosures About Market Risk</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4.</w:t>
            </w:r>
          </w:p>
        </w:tc>
        <w:tc>
          <w:tcPr>
            <w:tcW w:w="8320" w:type="dxa"/>
            <w:vAlign w:val="bottom"/>
          </w:tcPr>
          <w:p>
            <w:pPr>
              <w:ind w:left="180"/>
              <w:spacing w:after="0"/>
              <w:rPr>
                <w:sz w:val="20"/>
                <w:szCs w:val="20"/>
                <w:color w:val="auto"/>
              </w:rPr>
            </w:pPr>
            <w:r>
              <w:rPr>
                <w:rFonts w:ascii="Arial" w:cs="Arial" w:eastAsia="Arial" w:hAnsi="Arial"/>
                <w:sz w:val="16"/>
                <w:szCs w:val="16"/>
                <w:color w:val="auto"/>
              </w:rPr>
              <w:t>Controls and Procedures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0"/>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0" w:type="dxa"/>
            <w:vAlign w:val="bottom"/>
            <w:tcBorders>
              <w:bottom w:val="single" w:sz="8" w:color="901588"/>
            </w:tcBorders>
          </w:tcPr>
          <w:p>
            <w:pPr>
              <w:spacing w:after="0"/>
              <w:rPr>
                <w:sz w:val="7"/>
                <w:szCs w:val="7"/>
                <w:color w:val="auto"/>
              </w:rPr>
            </w:pPr>
          </w:p>
        </w:tc>
        <w:tc>
          <w:tcPr>
            <w:tcW w:w="8320" w:type="dxa"/>
            <w:vAlign w:val="bottom"/>
            <w:tcBorders>
              <w:bottom w:val="single" w:sz="8" w:color="901588"/>
            </w:tcBorders>
          </w:tcPr>
          <w:p>
            <w:pPr>
              <w:spacing w:after="0"/>
              <w:rPr>
                <w:sz w:val="7"/>
                <w:szCs w:val="7"/>
                <w:color w:val="auto"/>
              </w:rPr>
            </w:pPr>
          </w:p>
        </w:tc>
        <w:tc>
          <w:tcPr>
            <w:tcW w:w="2120" w:type="dxa"/>
            <w:vAlign w:val="bottom"/>
            <w:tcBorders>
              <w:bottom w:val="single" w:sz="8" w:color="901588"/>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Legal Proceedings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800" w:type="dxa"/>
            <w:vAlign w:val="bottom"/>
          </w:tcPr>
          <w:p>
            <w:pPr>
              <w:ind w:left="20"/>
              <w:spacing w:after="0"/>
              <w:rPr>
                <w:sz w:val="20"/>
                <w:szCs w:val="20"/>
                <w:color w:val="auto"/>
              </w:rPr>
            </w:pPr>
            <w:r>
              <w:rPr>
                <w:rFonts w:ascii="Arial" w:cs="Arial" w:eastAsia="Arial" w:hAnsi="Arial"/>
                <w:sz w:val="16"/>
                <w:szCs w:val="16"/>
                <w:color w:val="auto"/>
              </w:rPr>
              <w:t>Item 1A.</w:t>
            </w:r>
          </w:p>
        </w:tc>
        <w:tc>
          <w:tcPr>
            <w:tcW w:w="8320" w:type="dxa"/>
            <w:vAlign w:val="bottom"/>
          </w:tcPr>
          <w:p>
            <w:pPr>
              <w:ind w:left="180"/>
              <w:spacing w:after="0"/>
              <w:rPr>
                <w:sz w:val="20"/>
                <w:szCs w:val="20"/>
                <w:color w:val="auto"/>
              </w:rPr>
            </w:pPr>
            <w:r>
              <w:rPr>
                <w:rFonts w:ascii="Arial" w:cs="Arial" w:eastAsia="Arial" w:hAnsi="Arial"/>
                <w:sz w:val="16"/>
                <w:szCs w:val="16"/>
                <w:color w:val="auto"/>
              </w:rPr>
              <w:t>Risk Factors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8320" w:type="dxa"/>
            <w:vAlign w:val="bottom"/>
          </w:tcPr>
          <w:p>
            <w:pPr>
              <w:ind w:left="180"/>
              <w:spacing w:after="0"/>
              <w:rPr>
                <w:sz w:val="20"/>
                <w:szCs w:val="20"/>
                <w:color w:val="auto"/>
              </w:rPr>
            </w:pPr>
            <w:r>
              <w:rPr>
                <w:rFonts w:ascii="Arial" w:cs="Arial" w:eastAsia="Arial" w:hAnsi="Arial"/>
                <w:sz w:val="16"/>
                <w:szCs w:val="16"/>
                <w:color w:val="auto"/>
              </w:rPr>
              <w:t>Unregistered Sales of Equity Securities and Use of Proceeds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ind w:left="20"/>
              <w:spacing w:after="0"/>
              <w:rPr>
                <w:sz w:val="20"/>
                <w:szCs w:val="20"/>
                <w:color w:val="auto"/>
              </w:rPr>
            </w:pPr>
            <w:r>
              <w:rPr>
                <w:rFonts w:ascii="Arial" w:cs="Arial" w:eastAsia="Arial" w:hAnsi="Arial"/>
                <w:sz w:val="16"/>
                <w:szCs w:val="16"/>
                <w:color w:val="auto"/>
              </w:rPr>
              <w:t>Item 3.</w:t>
            </w:r>
          </w:p>
        </w:tc>
        <w:tc>
          <w:tcPr>
            <w:tcW w:w="6240" w:type="dxa"/>
            <w:vAlign w:val="bottom"/>
          </w:tcPr>
          <w:p>
            <w:pPr>
              <w:ind w:left="60"/>
              <w:spacing w:after="0"/>
              <w:rPr>
                <w:sz w:val="20"/>
                <w:szCs w:val="20"/>
                <w:color w:val="auto"/>
              </w:rPr>
            </w:pPr>
            <w:r>
              <w:rPr>
                <w:rFonts w:ascii="Arial" w:cs="Arial" w:eastAsia="Arial" w:hAnsi="Arial"/>
                <w:sz w:val="16"/>
                <w:szCs w:val="16"/>
                <w:color w:val="auto"/>
              </w:rPr>
              <w:t>Defaults Upon Senior Securities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20"/>
              <w:spacing w:after="0"/>
              <w:rPr>
                <w:sz w:val="20"/>
                <w:szCs w:val="20"/>
                <w:color w:val="auto"/>
              </w:rPr>
            </w:pPr>
            <w:r>
              <w:rPr>
                <w:rFonts w:ascii="Arial" w:cs="Arial" w:eastAsia="Arial" w:hAnsi="Arial"/>
                <w:sz w:val="16"/>
                <w:szCs w:val="16"/>
                <w:color w:val="auto"/>
              </w:rPr>
              <w:t>Item 4.</w:t>
            </w:r>
          </w:p>
        </w:tc>
        <w:tc>
          <w:tcPr>
            <w:tcW w:w="6240" w:type="dxa"/>
            <w:vAlign w:val="bottom"/>
          </w:tcPr>
          <w:p>
            <w:pPr>
              <w:ind w:left="60"/>
              <w:spacing w:after="0"/>
              <w:rPr>
                <w:sz w:val="20"/>
                <w:szCs w:val="20"/>
                <w:color w:val="auto"/>
              </w:rPr>
            </w:pPr>
            <w:r>
              <w:rPr>
                <w:rFonts w:ascii="Arial" w:cs="Arial" w:eastAsia="Arial" w:hAnsi="Arial"/>
                <w:sz w:val="16"/>
                <w:szCs w:val="16"/>
                <w:color w:val="auto"/>
              </w:rPr>
              <w:t>Mine Safety Disclosures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20"/>
              <w:spacing w:after="0"/>
              <w:rPr>
                <w:sz w:val="20"/>
                <w:szCs w:val="20"/>
                <w:color w:val="auto"/>
              </w:rPr>
            </w:pPr>
            <w:r>
              <w:rPr>
                <w:rFonts w:ascii="Arial" w:cs="Arial" w:eastAsia="Arial" w:hAnsi="Arial"/>
                <w:sz w:val="16"/>
                <w:szCs w:val="16"/>
                <w:color w:val="auto"/>
              </w:rPr>
              <w:t>Item 5.</w:t>
            </w:r>
          </w:p>
        </w:tc>
        <w:tc>
          <w:tcPr>
            <w:tcW w:w="6240" w:type="dxa"/>
            <w:vAlign w:val="bottom"/>
          </w:tcPr>
          <w:p>
            <w:pPr>
              <w:ind w:left="60"/>
              <w:spacing w:after="0"/>
              <w:rPr>
                <w:sz w:val="20"/>
                <w:szCs w:val="20"/>
                <w:color w:val="auto"/>
              </w:rPr>
            </w:pPr>
            <w:r>
              <w:rPr>
                <w:rFonts w:ascii="Arial" w:cs="Arial" w:eastAsia="Arial" w:hAnsi="Arial"/>
                <w:sz w:val="16"/>
                <w:szCs w:val="16"/>
                <w:color w:val="auto"/>
              </w:rPr>
              <w:t>Other Information</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920" w:type="dxa"/>
            <w:vAlign w:val="bottom"/>
          </w:tcPr>
          <w:p>
            <w:pPr>
              <w:ind w:left="20"/>
              <w:spacing w:after="0"/>
              <w:rPr>
                <w:sz w:val="20"/>
                <w:szCs w:val="20"/>
                <w:color w:val="auto"/>
              </w:rPr>
            </w:pPr>
            <w:r>
              <w:rPr>
                <w:rFonts w:ascii="Arial" w:cs="Arial" w:eastAsia="Arial" w:hAnsi="Arial"/>
                <w:sz w:val="16"/>
                <w:szCs w:val="16"/>
                <w:color w:val="auto"/>
              </w:rPr>
              <w:t>Item 6.</w:t>
            </w:r>
          </w:p>
        </w:tc>
        <w:tc>
          <w:tcPr>
            <w:tcW w:w="6240" w:type="dxa"/>
            <w:vAlign w:val="bottom"/>
          </w:tcPr>
          <w:p>
            <w:pPr>
              <w:ind w:left="60"/>
              <w:spacing w:after="0"/>
              <w:rPr>
                <w:sz w:val="20"/>
                <w:szCs w:val="20"/>
                <w:color w:val="auto"/>
              </w:rPr>
            </w:pPr>
            <w:r>
              <w:rPr>
                <w:rFonts w:ascii="Arial" w:cs="Arial" w:eastAsia="Arial" w:hAnsi="Arial"/>
                <w:sz w:val="16"/>
                <w:szCs w:val="16"/>
                <w:color w:val="auto"/>
              </w:rPr>
              <w:t>Exhibits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8"/>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6240" w:type="dxa"/>
            <w:vAlign w:val="bottom"/>
          </w:tcPr>
          <w:p>
            <w:pPr>
              <w:spacing w:after="0"/>
              <w:rPr>
                <w:sz w:val="24"/>
                <w:szCs w:val="24"/>
                <w:color w:val="auto"/>
              </w:rPr>
            </w:pPr>
          </w:p>
        </w:tc>
        <w:tc>
          <w:tcPr>
            <w:tcW w:w="40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446"/>
        </w:trPr>
        <w:tc>
          <w:tcPr>
            <w:tcW w:w="9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I—Financial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2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January 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share and per share data)</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right w:val="single" w:sz="8" w:color="F4E8F3"/>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F4E8F3"/>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842</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Receivables, net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2,906</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Inventory, net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347</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Other current assets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454</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Total current assets</w:t>
            </w:r>
          </w:p>
        </w:tc>
        <w:tc>
          <w:tcPr>
            <w:tcW w:w="540" w:type="dxa"/>
            <w:vAlign w:val="bottom"/>
            <w:tcBorders>
              <w:top w:val="single" w:sz="8" w:color="901588"/>
              <w:bottom w:val="single" w:sz="8" w:color="F4E8F3"/>
            </w:tcBorders>
            <w:shd w:val="clear" w:color="auto" w:fill="F4E8F3"/>
          </w:tcPr>
          <w:p>
            <w:pPr>
              <w:spacing w:after="0"/>
              <w:rPr>
                <w:sz w:val="22"/>
                <w:szCs w:val="22"/>
                <w:color w:val="auto"/>
              </w:rPr>
            </w:pP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4,549</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977</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Intangible assets, net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489</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Goodwill</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6,098</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Operating lease right-of-use assets, net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541</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Other long-term assets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543</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 assets</w:t>
            </w:r>
          </w:p>
        </w:tc>
        <w:tc>
          <w:tcPr>
            <w:tcW w:w="540" w:type="dxa"/>
            <w:vAlign w:val="bottom"/>
            <w:tcBorders>
              <w:top w:val="single" w:sz="8" w:color="901588"/>
              <w:bottom w:val="single" w:sz="8" w:color="F4E8F3"/>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13,197</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13,010</w:t>
            </w:r>
          </w:p>
        </w:tc>
        <w:tc>
          <w:tcPr>
            <w:tcW w:w="0" w:type="dxa"/>
            <w:vAlign w:val="bottom"/>
          </w:tcPr>
          <w:p>
            <w:pPr>
              <w:spacing w:after="0"/>
              <w:rPr>
                <w:sz w:val="1"/>
                <w:szCs w:val="1"/>
                <w:color w:val="auto"/>
              </w:rPr>
            </w:pPr>
          </w:p>
        </w:tc>
      </w:tr>
      <w:tr>
        <w:trPr>
          <w:trHeight w:val="230"/>
        </w:trPr>
        <w:tc>
          <w:tcPr>
            <w:tcW w:w="81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tcBorders>
              <w:top w:val="single" w:sz="8" w:color="B2B2B2"/>
              <w:bottom w:val="single" w:sz="8" w:color="B2B2B2"/>
            </w:tcBorders>
            <w:shd w:val="clear" w:color="auto" w:fill="F4E8F3"/>
          </w:tcPr>
          <w:p>
            <w:pPr>
              <w:spacing w:after="0"/>
              <w:rPr>
                <w:sz w:val="20"/>
                <w:szCs w:val="20"/>
                <w:color w:val="auto"/>
              </w:rPr>
            </w:pPr>
          </w:p>
        </w:tc>
        <w:tc>
          <w:tcPr>
            <w:tcW w:w="1020" w:type="dxa"/>
            <w:vAlign w:val="bottom"/>
            <w:tcBorders>
              <w:top w:val="single" w:sz="8" w:color="B2B2B2"/>
              <w:bottom w:val="single" w:sz="8" w:color="B2B2B2"/>
              <w:right w:val="single" w:sz="8" w:color="F4E8F3"/>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420" w:type="dxa"/>
            <w:vAlign w:val="bottom"/>
            <w:tcBorders>
              <w:top w:val="single" w:sz="8" w:color="B2B2B2"/>
              <w:bottom w:val="single" w:sz="8" w:color="B2B2B2"/>
            </w:tcBorders>
          </w:tcPr>
          <w:p>
            <w:pPr>
              <w:spacing w:after="0"/>
              <w:rPr>
                <w:sz w:val="20"/>
                <w:szCs w:val="20"/>
                <w:color w:val="auto"/>
              </w:rPr>
            </w:pPr>
          </w:p>
        </w:tc>
        <w:tc>
          <w:tcPr>
            <w:tcW w:w="1060" w:type="dxa"/>
            <w:vAlign w:val="bottom"/>
            <w:tcBorders>
              <w:top w:val="single" w:sz="8" w:color="B2B2B2"/>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540" w:type="dxa"/>
            <w:vAlign w:val="bottom"/>
            <w:tcBorders>
              <w:bottom w:val="single" w:sz="8" w:color="F4E8F3"/>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2,178</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Accrued payroll and employee benefits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664</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top w:val="single" w:sz="8" w:color="901588"/>
              <w:bottom w:val="single" w:sz="8" w:color="F4E8F3"/>
            </w:tcBorders>
            <w:shd w:val="clear" w:color="auto" w:fill="F4E8F3"/>
          </w:tcPr>
          <w:p>
            <w:pPr>
              <w:spacing w:after="0"/>
              <w:rPr>
                <w:sz w:val="22"/>
                <w:szCs w:val="22"/>
                <w:color w:val="auto"/>
              </w:rPr>
            </w:pP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2,961</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3,560</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Long-term debt, net of current portion</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5,014</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603</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317</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top w:val="single" w:sz="8" w:color="901588"/>
              <w:bottom w:val="single" w:sz="8" w:color="F4E8F3"/>
            </w:tcBorders>
            <w:shd w:val="clear" w:color="auto" w:fill="F4E8F3"/>
          </w:tcPr>
          <w:p>
            <w:pPr>
              <w:spacing w:after="0"/>
              <w:rPr>
                <w:sz w:val="22"/>
                <w:szCs w:val="22"/>
                <w:color w:val="auto"/>
              </w:rPr>
            </w:pP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8,895</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8,550</w:t>
            </w:r>
          </w:p>
        </w:tc>
        <w:tc>
          <w:tcPr>
            <w:tcW w:w="0" w:type="dxa"/>
            <w:vAlign w:val="bottom"/>
          </w:tcPr>
          <w:p>
            <w:pPr>
              <w:spacing w:after="0"/>
              <w:rPr>
                <w:sz w:val="1"/>
                <w:szCs w:val="1"/>
                <w:color w:val="auto"/>
              </w:rPr>
            </w:pPr>
          </w:p>
        </w:tc>
      </w:tr>
      <w:tr>
        <w:trPr>
          <w:trHeight w:val="230"/>
        </w:trPr>
        <w:tc>
          <w:tcPr>
            <w:tcW w:w="81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Commitments and contingencies (Note 11)</w:t>
            </w:r>
          </w:p>
        </w:tc>
        <w:tc>
          <w:tcPr>
            <w:tcW w:w="540" w:type="dxa"/>
            <w:vAlign w:val="bottom"/>
            <w:tcBorders>
              <w:top w:val="single" w:sz="8" w:color="B2B2B2"/>
              <w:bottom w:val="single" w:sz="8" w:color="B2B2B2"/>
            </w:tcBorders>
            <w:shd w:val="clear" w:color="auto" w:fill="F4E8F3"/>
          </w:tcPr>
          <w:p>
            <w:pPr>
              <w:spacing w:after="0"/>
              <w:rPr>
                <w:sz w:val="20"/>
                <w:szCs w:val="20"/>
                <w:color w:val="auto"/>
              </w:rPr>
            </w:pPr>
          </w:p>
        </w:tc>
        <w:tc>
          <w:tcPr>
            <w:tcW w:w="1020" w:type="dxa"/>
            <w:vAlign w:val="bottom"/>
            <w:tcBorders>
              <w:top w:val="single" w:sz="8" w:color="B2B2B2"/>
              <w:bottom w:val="single" w:sz="8" w:color="B2B2B2"/>
              <w:right w:val="single" w:sz="8" w:color="F4E8F3"/>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420" w:type="dxa"/>
            <w:vAlign w:val="bottom"/>
            <w:tcBorders>
              <w:top w:val="single" w:sz="8" w:color="B2B2B2"/>
              <w:bottom w:val="single" w:sz="8" w:color="B2B2B2"/>
            </w:tcBorders>
          </w:tcPr>
          <w:p>
            <w:pPr>
              <w:spacing w:after="0"/>
              <w:rPr>
                <w:sz w:val="20"/>
                <w:szCs w:val="20"/>
                <w:color w:val="auto"/>
              </w:rPr>
            </w:pPr>
          </w:p>
        </w:tc>
        <w:tc>
          <w:tcPr>
            <w:tcW w:w="1060" w:type="dxa"/>
            <w:vAlign w:val="bottom"/>
            <w:tcBorders>
              <w:top w:val="single" w:sz="8" w:color="B2B2B2"/>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right w:val="single" w:sz="8" w:color="F4E8F3"/>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Common stock, $0.0001 par value, 500,000,000 shares authorized, 128,715,893 and 131,163,899 shares</w:t>
            </w:r>
          </w:p>
        </w:tc>
        <w:tc>
          <w:tcPr>
            <w:tcW w:w="540" w:type="dxa"/>
            <w:vAlign w:val="bottom"/>
            <w:shd w:val="clear" w:color="auto" w:fill="F4E8F3"/>
          </w:tcPr>
          <w:p>
            <w:pPr>
              <w:spacing w:after="0"/>
              <w:rPr>
                <w:sz w:val="17"/>
                <w:szCs w:val="17"/>
                <w:color w:val="auto"/>
              </w:rPr>
            </w:pPr>
          </w:p>
        </w:tc>
        <w:tc>
          <w:tcPr>
            <w:tcW w:w="1020" w:type="dxa"/>
            <w:vAlign w:val="bottom"/>
            <w:tcBorders>
              <w:right w:val="single" w:sz="8" w:color="F4E8F3"/>
            </w:tcBorders>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8120" w:type="dxa"/>
            <w:vAlign w:val="bottom"/>
          </w:tcPr>
          <w:p>
            <w:pPr>
              <w:ind w:left="20"/>
              <w:spacing w:after="0"/>
              <w:rPr>
                <w:sz w:val="20"/>
                <w:szCs w:val="20"/>
                <w:color w:val="auto"/>
              </w:rPr>
            </w:pPr>
            <w:r>
              <w:rPr>
                <w:rFonts w:ascii="Arial" w:cs="Arial" w:eastAsia="Arial" w:hAnsi="Arial"/>
                <w:sz w:val="16"/>
                <w:szCs w:val="16"/>
                <w:color w:val="auto"/>
              </w:rPr>
              <w:t>issued and outstanding at April 4, 2025, and January 3, 2025, respectively</w:t>
            </w:r>
          </w:p>
        </w:tc>
        <w:tc>
          <w:tcPr>
            <w:tcW w:w="540" w:type="dxa"/>
            <w:vAlign w:val="bottom"/>
            <w:tcBorders>
              <w:bottom w:val="single" w:sz="8" w:color="F4E8F3"/>
            </w:tcBorders>
            <w:shd w:val="clear" w:color="auto" w:fill="F4E8F3"/>
          </w:tcPr>
          <w:p>
            <w:pPr>
              <w:spacing w:after="0"/>
              <w:rPr>
                <w:sz w:val="21"/>
                <w:szCs w:val="21"/>
                <w:color w:val="auto"/>
              </w:rPr>
            </w:pPr>
          </w:p>
        </w:tc>
        <w:tc>
          <w:tcPr>
            <w:tcW w:w="1020" w:type="dxa"/>
            <w:vAlign w:val="bottom"/>
            <w:tcBorders>
              <w:bottom w:val="single" w:sz="8" w:color="F4E8F3"/>
              <w:right w:val="single" w:sz="8" w:color="F4E8F3"/>
            </w:tcBorders>
            <w:vMerge w:val="continue"/>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619</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3,721</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 Leidos stockholders’ equity</w:t>
            </w:r>
          </w:p>
        </w:tc>
        <w:tc>
          <w:tcPr>
            <w:tcW w:w="540" w:type="dxa"/>
            <w:vAlign w:val="bottom"/>
            <w:tcBorders>
              <w:top w:val="single" w:sz="8" w:color="901588"/>
              <w:bottom w:val="single" w:sz="8" w:color="F4E8F3"/>
            </w:tcBorders>
            <w:shd w:val="clear" w:color="auto" w:fill="F4E8F3"/>
          </w:tcPr>
          <w:p>
            <w:pPr>
              <w:spacing w:after="0"/>
              <w:rPr>
                <w:sz w:val="22"/>
                <w:szCs w:val="22"/>
                <w:color w:val="auto"/>
              </w:rPr>
            </w:pP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4,257</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4,412</w:t>
            </w:r>
          </w:p>
        </w:tc>
        <w:tc>
          <w:tcPr>
            <w:tcW w:w="0" w:type="dxa"/>
            <w:vAlign w:val="bottom"/>
          </w:tcPr>
          <w:p>
            <w:pPr>
              <w:spacing w:after="0"/>
              <w:rPr>
                <w:sz w:val="1"/>
                <w:szCs w:val="1"/>
                <w:color w:val="auto"/>
              </w:rPr>
            </w:pPr>
          </w:p>
        </w:tc>
      </w:tr>
      <w:tr>
        <w:trPr>
          <w:trHeight w:val="263"/>
        </w:trPr>
        <w:tc>
          <w:tcPr>
            <w:tcW w:w="812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540" w:type="dxa"/>
            <w:vAlign w:val="bottom"/>
            <w:tcBorders>
              <w:top w:val="single" w:sz="8" w:color="B2B2B2"/>
              <w:bottom w:val="single" w:sz="8" w:color="F4E8F3"/>
            </w:tcBorders>
            <w:shd w:val="clear" w:color="auto" w:fill="F4E8F3"/>
          </w:tcPr>
          <w:p>
            <w:pPr>
              <w:spacing w:after="0"/>
              <w:rPr>
                <w:sz w:val="22"/>
                <w:szCs w:val="22"/>
                <w:color w:val="auto"/>
              </w:rPr>
            </w:pPr>
          </w:p>
        </w:tc>
        <w:tc>
          <w:tcPr>
            <w:tcW w:w="1020" w:type="dxa"/>
            <w:vAlign w:val="bottom"/>
            <w:tcBorders>
              <w:top w:val="single" w:sz="8" w:color="B2B2B2"/>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4"/>
        </w:trPr>
        <w:tc>
          <w:tcPr>
            <w:tcW w:w="81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top w:val="single" w:sz="8" w:color="901588"/>
              <w:bottom w:val="single" w:sz="8" w:color="F4E8F3"/>
            </w:tcBorders>
            <w:shd w:val="clear" w:color="auto" w:fill="F4E8F3"/>
          </w:tcPr>
          <w:p>
            <w:pPr>
              <w:spacing w:after="0"/>
              <w:rPr>
                <w:sz w:val="22"/>
                <w:szCs w:val="22"/>
                <w:color w:val="auto"/>
              </w:rPr>
            </w:pP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4,302</w:t>
            </w:r>
          </w:p>
        </w:tc>
        <w:tc>
          <w:tcPr>
            <w:tcW w:w="8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4,460</w:t>
            </w:r>
          </w:p>
        </w:tc>
        <w:tc>
          <w:tcPr>
            <w:tcW w:w="0" w:type="dxa"/>
            <w:vAlign w:val="bottom"/>
          </w:tcPr>
          <w:p>
            <w:pPr>
              <w:spacing w:after="0"/>
              <w:rPr>
                <w:sz w:val="1"/>
                <w:szCs w:val="1"/>
                <w:color w:val="auto"/>
              </w:rPr>
            </w:pPr>
          </w:p>
        </w:tc>
      </w:tr>
      <w:tr>
        <w:trPr>
          <w:trHeight w:val="304"/>
        </w:trPr>
        <w:tc>
          <w:tcPr>
            <w:tcW w:w="81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top w:val="single" w:sz="8" w:color="901588"/>
              <w:bottom w:val="single" w:sz="8" w:color="F4E8F3"/>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901588"/>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13,197</w:t>
            </w:r>
          </w:p>
        </w:tc>
        <w:tc>
          <w:tcPr>
            <w:tcW w:w="80" w:type="dxa"/>
            <w:vAlign w:val="bottom"/>
            <w:tcBorders>
              <w:top w:val="single" w:sz="8" w:color="B2B2B2"/>
            </w:tcBorders>
          </w:tcPr>
          <w:p>
            <w:pPr>
              <w:spacing w:after="0"/>
              <w:rPr>
                <w:sz w:val="24"/>
                <w:szCs w:val="24"/>
                <w:color w:val="auto"/>
              </w:rPr>
            </w:pPr>
          </w:p>
        </w:tc>
        <w:tc>
          <w:tcPr>
            <w:tcW w:w="420" w:type="dxa"/>
            <w:vAlign w:val="bottom"/>
            <w:tcBorders>
              <w:top w:val="single" w:sz="8" w:color="901588"/>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13,010</w:t>
            </w:r>
          </w:p>
        </w:tc>
        <w:tc>
          <w:tcPr>
            <w:tcW w:w="0" w:type="dxa"/>
            <w:vAlign w:val="bottom"/>
          </w:tcPr>
          <w:p>
            <w:pPr>
              <w:spacing w:after="0"/>
              <w:rPr>
                <w:sz w:val="1"/>
                <w:szCs w:val="1"/>
                <w:color w:val="auto"/>
              </w:rPr>
            </w:pPr>
          </w:p>
        </w:tc>
      </w:tr>
      <w:tr>
        <w:trPr>
          <w:trHeight w:val="20"/>
        </w:trPr>
        <w:tc>
          <w:tcPr>
            <w:tcW w:w="8120" w:type="dxa"/>
            <w:vAlign w:val="bottom"/>
            <w:tcBorders>
              <w:top w:val="single" w:sz="8" w:color="901588"/>
            </w:tcBorders>
          </w:tcPr>
          <w:p>
            <w:pPr>
              <w:spacing w:after="0" w:line="20" w:lineRule="exact"/>
              <w:rPr>
                <w:sz w:val="1"/>
                <w:szCs w:val="1"/>
                <w:color w:val="auto"/>
              </w:rPr>
            </w:pPr>
          </w:p>
        </w:tc>
        <w:tc>
          <w:tcPr>
            <w:tcW w:w="540" w:type="dxa"/>
            <w:vAlign w:val="bottom"/>
            <w:tcBorders>
              <w:top w:val="single" w:sz="8" w:color="901588"/>
            </w:tcBorders>
            <w:shd w:val="clear" w:color="auto" w:fill="901588"/>
          </w:tcPr>
          <w:p>
            <w:pPr>
              <w:spacing w:after="0" w:line="20" w:lineRule="exact"/>
              <w:rPr>
                <w:sz w:val="1"/>
                <w:szCs w:val="1"/>
                <w:color w:val="auto"/>
              </w:rPr>
            </w:pPr>
          </w:p>
        </w:tc>
        <w:tc>
          <w:tcPr>
            <w:tcW w:w="1020" w:type="dxa"/>
            <w:vAlign w:val="bottom"/>
            <w:tcBorders>
              <w:top w:val="single" w:sz="8" w:color="901588"/>
              <w:right w:val="single" w:sz="8" w:color="901588"/>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901588"/>
            </w:tcBorders>
            <w:shd w:val="clear" w:color="auto" w:fill="901588"/>
          </w:tcPr>
          <w:p>
            <w:pPr>
              <w:spacing w:after="0" w:line="20" w:lineRule="exact"/>
              <w:rPr>
                <w:sz w:val="1"/>
                <w:szCs w:val="1"/>
                <w:color w:val="auto"/>
              </w:rPr>
            </w:pPr>
          </w:p>
        </w:tc>
        <w:tc>
          <w:tcPr>
            <w:tcW w:w="1060" w:type="dxa"/>
            <w:vAlign w:val="bottom"/>
            <w:tcBorders>
              <w:top w:val="single" w:sz="8" w:color="901588"/>
            </w:tcBorders>
            <w:shd w:val="clear" w:color="auto" w:fill="901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320"/>
        <w:spacing w:after="0"/>
        <w:tabs>
          <w:tab w:leader="none" w:pos="1112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20" w:type="dxa"/>
            <w:vAlign w:val="bottom"/>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1940" w:type="dxa"/>
            <w:vAlign w:val="bottom"/>
            <w:tcBorders>
              <w:bottom w:val="single" w:sz="8" w:color="901588"/>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901588"/>
            </w:tcBorders>
          </w:tcPr>
          <w:p>
            <w:pPr>
              <w:spacing w:after="0"/>
              <w:rPr>
                <w:sz w:val="19"/>
                <w:szCs w:val="19"/>
                <w:color w:val="auto"/>
              </w:rPr>
            </w:pPr>
          </w:p>
        </w:tc>
      </w:tr>
      <w:tr>
        <w:trPr>
          <w:trHeight w:val="213"/>
        </w:trPr>
        <w:tc>
          <w:tcPr>
            <w:tcW w:w="8120" w:type="dxa"/>
            <w:vAlign w:val="bottom"/>
          </w:tcPr>
          <w:p>
            <w:pPr>
              <w:spacing w:after="0"/>
              <w:rPr>
                <w:sz w:val="18"/>
                <w:szCs w:val="18"/>
                <w:color w:val="auto"/>
              </w:rPr>
            </w:pPr>
          </w:p>
        </w:tc>
        <w:tc>
          <w:tcPr>
            <w:tcW w:w="440" w:type="dxa"/>
            <w:vAlign w:val="bottom"/>
            <w:shd w:val="clear" w:color="auto" w:fill="F4E8F3"/>
          </w:tcPr>
          <w:p>
            <w:pPr>
              <w:spacing w:after="0"/>
              <w:rPr>
                <w:sz w:val="18"/>
                <w:szCs w:val="18"/>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March 29,</w:t>
            </w:r>
          </w:p>
        </w:tc>
      </w:tr>
      <w:tr>
        <w:trPr>
          <w:trHeight w:val="22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per share data)</w:t>
            </w:r>
          </w:p>
        </w:tc>
        <w:tc>
          <w:tcPr>
            <w:tcW w:w="440" w:type="dxa"/>
            <w:vAlign w:val="bottom"/>
            <w:tcBorders>
              <w:bottom w:val="single" w:sz="8" w:color="901588"/>
            </w:tcBorders>
            <w:shd w:val="clear" w:color="auto" w:fill="F4E8F3"/>
          </w:tcPr>
          <w:p>
            <w:pPr>
              <w:spacing w:after="0"/>
              <w:rPr>
                <w:sz w:val="19"/>
                <w:szCs w:val="19"/>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4,245</w:t>
            </w:r>
          </w:p>
        </w:tc>
        <w:tc>
          <w:tcPr>
            <w:tcW w:w="820" w:type="dxa"/>
            <w:vAlign w:val="bottom"/>
            <w:tcBorders>
              <w:bottom w:val="single" w:sz="8" w:color="B2B2B2"/>
            </w:tcBorders>
            <w:gridSpan w:val="2"/>
          </w:tcPr>
          <w:p>
            <w:pPr>
              <w:jc w:val="right"/>
              <w:ind w:right="6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3,975</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revenues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3,488</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3,337</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226</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530</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415</w:t>
            </w:r>
          </w:p>
        </w:tc>
      </w:tr>
      <w:tr>
        <w:trPr>
          <w:trHeight w:val="234"/>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income (expense):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expense, net</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(expense) income, net</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478</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368</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365</w:t>
            </w: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8120" w:type="dxa"/>
            <w:vAlign w:val="bottom"/>
          </w:tcPr>
          <w:p>
            <w:pPr>
              <w:ind w:left="140"/>
              <w:spacing w:after="0"/>
              <w:rPr>
                <w:sz w:val="20"/>
                <w:szCs w:val="20"/>
                <w:color w:val="auto"/>
              </w:rPr>
            </w:pPr>
            <w:r>
              <w:rPr>
                <w:rFonts w:ascii="Arial" w:cs="Arial" w:eastAsia="Arial" w:hAnsi="Arial"/>
                <w:sz w:val="16"/>
                <w:szCs w:val="16"/>
                <w:color w:val="auto"/>
              </w:rPr>
              <w:t>Less: net income (loss) attributable to</w:t>
            </w:r>
          </w:p>
        </w:tc>
        <w:tc>
          <w:tcPr>
            <w:tcW w:w="440" w:type="dxa"/>
            <w:vAlign w:val="bottom"/>
            <w:shd w:val="clear" w:color="auto" w:fill="F4E8F3"/>
          </w:tcPr>
          <w:p>
            <w:pPr>
              <w:spacing w:after="0"/>
              <w:rPr>
                <w:sz w:val="18"/>
                <w:szCs w:val="18"/>
                <w:color w:val="auto"/>
              </w:rPr>
            </w:pPr>
          </w:p>
        </w:tc>
        <w:tc>
          <w:tcPr>
            <w:tcW w:w="1120" w:type="dxa"/>
            <w:vAlign w:val="bottom"/>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901588"/>
            </w:tcBorders>
            <w:shd w:val="clear" w:color="auto" w:fill="F4E8F3"/>
          </w:tcPr>
          <w:p>
            <w:pPr>
              <w:spacing w:after="0"/>
              <w:rPr>
                <w:sz w:val="19"/>
                <w:szCs w:val="19"/>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B2B2B2"/>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77"/>
        </w:trPr>
        <w:tc>
          <w:tcPr>
            <w:tcW w:w="812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4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363</w:t>
            </w:r>
          </w:p>
        </w:tc>
        <w:tc>
          <w:tcPr>
            <w:tcW w:w="8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27"/>
        </w:trPr>
        <w:tc>
          <w:tcPr>
            <w:tcW w:w="8120" w:type="dxa"/>
            <w:vAlign w:val="bottom"/>
            <w:tcBorders>
              <w:top w:val="single" w:sz="8" w:color="B2B2B2"/>
              <w:bottom w:val="single" w:sz="8" w:color="B2B2B2"/>
            </w:tcBorders>
          </w:tcPr>
          <w:p>
            <w:pPr>
              <w:spacing w:after="0"/>
              <w:rPr>
                <w:sz w:val="19"/>
                <w:szCs w:val="19"/>
                <w:color w:val="auto"/>
              </w:rPr>
            </w:pPr>
          </w:p>
        </w:tc>
        <w:tc>
          <w:tcPr>
            <w:tcW w:w="440" w:type="dxa"/>
            <w:vAlign w:val="bottom"/>
            <w:tcBorders>
              <w:top w:val="single" w:sz="8" w:color="901588"/>
              <w:bottom w:val="single" w:sz="8" w:color="B2B2B2"/>
            </w:tcBorders>
            <w:shd w:val="clear" w:color="auto" w:fill="F4E8F3"/>
          </w:tcPr>
          <w:p>
            <w:pPr>
              <w:spacing w:after="0"/>
              <w:rPr>
                <w:sz w:val="19"/>
                <w:szCs w:val="19"/>
                <w:color w:val="auto"/>
              </w:rPr>
            </w:pPr>
          </w:p>
        </w:tc>
        <w:tc>
          <w:tcPr>
            <w:tcW w:w="1120" w:type="dxa"/>
            <w:vAlign w:val="bottom"/>
            <w:tcBorders>
              <w:top w:val="single" w:sz="8" w:color="901588"/>
              <w:bottom w:val="single" w:sz="8" w:color="B2B2B2"/>
            </w:tcBorders>
            <w:shd w:val="clear" w:color="auto" w:fill="F4E8F3"/>
          </w:tcPr>
          <w:p>
            <w:pPr>
              <w:spacing w:after="0"/>
              <w:rPr>
                <w:sz w:val="19"/>
                <w:szCs w:val="19"/>
                <w:color w:val="auto"/>
              </w:rPr>
            </w:pPr>
          </w:p>
        </w:tc>
        <w:tc>
          <w:tcPr>
            <w:tcW w:w="80" w:type="dxa"/>
            <w:vAlign w:val="bottom"/>
            <w:tcBorders>
              <w:top w:val="single" w:sz="8" w:color="B2B2B2"/>
              <w:bottom w:val="single" w:sz="8" w:color="B2B2B2"/>
            </w:tcBorders>
          </w:tcPr>
          <w:p>
            <w:pPr>
              <w:spacing w:after="0"/>
              <w:rPr>
                <w:sz w:val="19"/>
                <w:szCs w:val="19"/>
                <w:color w:val="auto"/>
              </w:rPr>
            </w:pPr>
          </w:p>
        </w:tc>
        <w:tc>
          <w:tcPr>
            <w:tcW w:w="740" w:type="dxa"/>
            <w:vAlign w:val="bottom"/>
            <w:tcBorders>
              <w:top w:val="single" w:sz="8" w:color="901588"/>
              <w:bottom w:val="single" w:sz="8" w:color="B2B2B2"/>
            </w:tcBorders>
          </w:tcPr>
          <w:p>
            <w:pPr>
              <w:spacing w:after="0"/>
              <w:rPr>
                <w:sz w:val="19"/>
                <w:szCs w:val="19"/>
                <w:color w:val="auto"/>
              </w:rPr>
            </w:pPr>
          </w:p>
        </w:tc>
        <w:tc>
          <w:tcPr>
            <w:tcW w:w="740" w:type="dxa"/>
            <w:vAlign w:val="bottom"/>
            <w:tcBorders>
              <w:top w:val="single" w:sz="8" w:color="901588"/>
              <w:bottom w:val="single" w:sz="8" w:color="B2B2B2"/>
            </w:tcBorders>
          </w:tcPr>
          <w:p>
            <w:pPr>
              <w:spacing w:after="0"/>
              <w:rPr>
                <w:sz w:val="19"/>
                <w:szCs w:val="19"/>
                <w:color w:val="auto"/>
              </w:rPr>
            </w:pPr>
          </w:p>
        </w:tc>
      </w:tr>
      <w:tr>
        <w:trPr>
          <w:trHeight w:val="23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2.79</w:t>
            </w:r>
          </w:p>
        </w:tc>
        <w:tc>
          <w:tcPr>
            <w:tcW w:w="820" w:type="dxa"/>
            <w:vAlign w:val="bottom"/>
            <w:tcBorders>
              <w:bottom w:val="single" w:sz="8" w:color="B2B2B2"/>
            </w:tcBorders>
            <w:gridSpan w:val="2"/>
          </w:tcPr>
          <w:p>
            <w:pPr>
              <w:jc w:val="right"/>
              <w:ind w:right="6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2.09</w:t>
            </w:r>
          </w:p>
        </w:tc>
      </w:tr>
      <w:tr>
        <w:trPr>
          <w:trHeight w:val="23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2.77</w:t>
            </w:r>
          </w:p>
        </w:tc>
        <w:tc>
          <w:tcPr>
            <w:tcW w:w="8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20" w:type="dxa"/>
            <w:vAlign w:val="bottom"/>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2260" w:type="dxa"/>
            <w:vAlign w:val="bottom"/>
            <w:tcBorders>
              <w:bottom w:val="single" w:sz="8" w:color="901588"/>
            </w:tcBorders>
            <w:gridSpan w:val="3"/>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901588"/>
            </w:tcBorders>
          </w:tcPr>
          <w:p>
            <w:pPr>
              <w:spacing w:after="0"/>
              <w:rPr>
                <w:sz w:val="19"/>
                <w:szCs w:val="19"/>
                <w:color w:val="auto"/>
              </w:rPr>
            </w:pPr>
          </w:p>
        </w:tc>
      </w:tr>
      <w:tr>
        <w:trPr>
          <w:trHeight w:val="213"/>
        </w:trPr>
        <w:tc>
          <w:tcPr>
            <w:tcW w:w="8120" w:type="dxa"/>
            <w:vAlign w:val="bottom"/>
          </w:tcPr>
          <w:p>
            <w:pPr>
              <w:spacing w:after="0"/>
              <w:rPr>
                <w:sz w:val="18"/>
                <w:szCs w:val="18"/>
                <w:color w:val="auto"/>
              </w:rPr>
            </w:pPr>
          </w:p>
        </w:tc>
        <w:tc>
          <w:tcPr>
            <w:tcW w:w="440" w:type="dxa"/>
            <w:vAlign w:val="bottom"/>
            <w:shd w:val="clear" w:color="auto" w:fill="F4E8F3"/>
          </w:tcPr>
          <w:p>
            <w:pPr>
              <w:spacing w:after="0"/>
              <w:rPr>
                <w:sz w:val="18"/>
                <w:szCs w:val="18"/>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March 29,</w:t>
            </w:r>
          </w:p>
        </w:tc>
      </w:tr>
      <w:tr>
        <w:trPr>
          <w:trHeight w:val="22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40" w:type="dxa"/>
            <w:vAlign w:val="bottom"/>
            <w:tcBorders>
              <w:bottom w:val="single" w:sz="8" w:color="901588"/>
            </w:tcBorders>
            <w:shd w:val="clear" w:color="auto" w:fill="F4E8F3"/>
          </w:tcPr>
          <w:p>
            <w:pPr>
              <w:spacing w:after="0"/>
              <w:rPr>
                <w:sz w:val="19"/>
                <w:szCs w:val="19"/>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365</w:t>
            </w:r>
          </w:p>
        </w:tc>
        <w:tc>
          <w:tcPr>
            <w:tcW w:w="1140" w:type="dxa"/>
            <w:vAlign w:val="bottom"/>
            <w:tcBorders>
              <w:bottom w:val="single" w:sz="8" w:color="B2B2B2"/>
            </w:tcBorders>
            <w:gridSpan w:val="2"/>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283</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Unrecognized (loss) gain on derivative instruments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Pension adjustments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other comprehensive income (loss), net of taxes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392</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812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Less: net income (loss) attributable to non-controlling interest</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B2B2B2"/>
            </w:tcBorders>
          </w:tcPr>
          <w:p>
            <w:pPr>
              <w:spacing w:after="0"/>
              <w:rPr>
                <w:sz w:val="20"/>
                <w:szCs w:val="20"/>
                <w:color w:val="auto"/>
              </w:rPr>
            </w:pPr>
          </w:p>
        </w:tc>
        <w:tc>
          <w:tcPr>
            <w:tcW w:w="106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97"/>
        </w:trPr>
        <w:tc>
          <w:tcPr>
            <w:tcW w:w="8120" w:type="dxa"/>
            <w:vAlign w:val="bottom"/>
            <w:tcBorders>
              <w:bottom w:val="single" w:sz="8" w:color="901588"/>
            </w:tcBorders>
          </w:tcPr>
          <w:p>
            <w:pPr>
              <w:ind w:left="40"/>
              <w:spacing w:after="0"/>
              <w:rPr>
                <w:sz w:val="20"/>
                <w:szCs w:val="20"/>
                <w:color w:val="auto"/>
              </w:rPr>
            </w:pPr>
            <w:r>
              <w:rPr>
                <w:rFonts w:ascii="Arial" w:cs="Arial" w:eastAsia="Arial" w:hAnsi="Arial"/>
                <w:sz w:val="16"/>
                <w:szCs w:val="16"/>
                <w:color w:val="auto"/>
              </w:rPr>
              <w:t>Comprehensive income attributable to Leidos common stockholders</w:t>
            </w:r>
          </w:p>
        </w:tc>
        <w:tc>
          <w:tcPr>
            <w:tcW w:w="44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390</w:t>
            </w:r>
          </w:p>
        </w:tc>
        <w:tc>
          <w:tcPr>
            <w:tcW w:w="1140" w:type="dxa"/>
            <w:vAlign w:val="bottom"/>
            <w:tcBorders>
              <w:bottom w:val="single" w:sz="8" w:color="901588"/>
            </w:tcBorders>
            <w:gridSpan w:val="2"/>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260</w:t>
            </w:r>
          </w:p>
        </w:tc>
      </w:tr>
      <w:tr>
        <w:trPr>
          <w:trHeight w:val="381"/>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16"/>
        </w:trPr>
        <w:tc>
          <w:tcPr>
            <w:tcW w:w="8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901588"/>
              </w:rPr>
              <w:t>3</w:t>
            </w:r>
          </w:p>
        </w:tc>
      </w:tr>
      <w:tr>
        <w:trPr>
          <w:trHeight w:val="333"/>
        </w:trPr>
        <w:tc>
          <w:tcPr>
            <w:tcW w:w="8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gridSpan w:val="2"/>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901588"/>
            </w:tcBorders>
            <w:gridSpan w:val="2"/>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3"/>
          </w:tcPr>
          <w:p>
            <w:pPr>
              <w:ind w:lef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January 3, 2025</w:t>
            </w: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4,460</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Issuances of stock</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Repurchases of stock and other</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Dividends of $0.40 per share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capital distributions to non-controlling</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96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4"/>
                <w:szCs w:val="14"/>
                <w:b w:val="1"/>
                <w:bCs w:val="1"/>
                <w:color w:val="auto"/>
              </w:rPr>
              <w:t>Balance at April 4, 2025</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129</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3,721</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(83)</w:t>
            </w: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4,257</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4,302</w:t>
            </w:r>
          </w:p>
        </w:tc>
        <w:tc>
          <w:tcPr>
            <w:tcW w:w="0" w:type="dxa"/>
            <w:vAlign w:val="bottom"/>
          </w:tcPr>
          <w:p>
            <w:pPr>
              <w:spacing w:after="0"/>
              <w:rPr>
                <w:sz w:val="1"/>
                <w:szCs w:val="1"/>
                <w:color w:val="auto"/>
              </w:rPr>
            </w:pPr>
          </w:p>
        </w:tc>
      </w:tr>
      <w:tr>
        <w:trPr>
          <w:trHeight w:val="478"/>
        </w:trPr>
        <w:tc>
          <w:tcPr>
            <w:tcW w:w="294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80" w:type="dxa"/>
            <w:vAlign w:val="bottom"/>
            <w:tcBorders>
              <w:top w:val="single" w:sz="8" w:color="901588"/>
            </w:tcBorders>
          </w:tcPr>
          <w:p>
            <w:pPr>
              <w:spacing w:after="0"/>
              <w:rPr>
                <w:sz w:val="24"/>
                <w:szCs w:val="24"/>
                <w:color w:val="auto"/>
              </w:rPr>
            </w:pPr>
          </w:p>
        </w:tc>
        <w:tc>
          <w:tcPr>
            <w:tcW w:w="80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80" w:type="dxa"/>
            <w:vAlign w:val="bottom"/>
            <w:tcBorders>
              <w:top w:val="single" w:sz="8" w:color="901588"/>
            </w:tcBorders>
          </w:tcPr>
          <w:p>
            <w:pPr>
              <w:spacing w:after="0"/>
              <w:rPr>
                <w:sz w:val="24"/>
                <w:szCs w:val="24"/>
                <w:color w:val="auto"/>
              </w:rPr>
            </w:pPr>
          </w:p>
        </w:tc>
        <w:tc>
          <w:tcPr>
            <w:tcW w:w="6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1280" w:type="dxa"/>
            <w:vAlign w:val="bottom"/>
            <w:tcBorders>
              <w:top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top w:val="single" w:sz="8" w:color="901588"/>
            </w:tcBorders>
          </w:tcPr>
          <w:p>
            <w:pPr>
              <w:spacing w:after="0"/>
              <w:rPr>
                <w:sz w:val="24"/>
                <w:szCs w:val="24"/>
                <w:color w:val="auto"/>
              </w:rPr>
            </w:pPr>
          </w:p>
        </w:tc>
        <w:tc>
          <w:tcPr>
            <w:tcW w:w="104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84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1060" w:type="dxa"/>
            <w:vAlign w:val="bottom"/>
            <w:tcBorders>
              <w:top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gridSpan w:val="2"/>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901588"/>
            </w:tcBorders>
            <w:gridSpan w:val="2"/>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4"/>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3"/>
          </w:tcPr>
          <w:p>
            <w:pPr>
              <w:ind w:lef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December 29, 2023</w:t>
            </w: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4,201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1"/>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income (loss)</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Other comprehensive loss, net of taxes</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Issuances of stock</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Repurchases of stock and other</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Dividends of $0.38 per share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Net capital distributions to non-controlling</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March 29, 2024</w:t>
            </w: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2320" w:type="dxa"/>
            <w:vAlign w:val="bottom"/>
            <w:tcBorders>
              <w:bottom w:val="single" w:sz="8" w:color="901588"/>
            </w:tcBorders>
            <w:gridSpan w:val="3"/>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46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March 29,</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6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11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operations: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365</w:t>
            </w:r>
          </w:p>
        </w:tc>
        <w:tc>
          <w:tcPr>
            <w:tcW w:w="1220" w:type="dxa"/>
            <w:vAlign w:val="bottom"/>
            <w:tcBorders>
              <w:bottom w:val="single" w:sz="8" w:color="B2B2B2"/>
            </w:tcBorders>
            <w:gridSpan w:val="2"/>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283</w:t>
            </w:r>
          </w:p>
        </w:tc>
      </w:tr>
      <w:tr>
        <w:trPr>
          <w:trHeight w:val="234"/>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Stock-based compensation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Deferred income taxes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Change in assets and liabilities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Receivables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(281)</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Other current assets and other long-term assets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w:t>
            </w:r>
          </w:p>
        </w:tc>
      </w:tr>
      <w:tr>
        <w:trPr>
          <w:trHeight w:val="236"/>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Accrued payroll and employee benefits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(148)</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Income taxes receivable/payable</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91</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113</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debt issuance</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Repayments of borrowings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(529)</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 payments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(528)</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issuances of stock</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(228)</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(131)</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991</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792</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924</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661</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restricted cash at end of period</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tcBorders>
              <w:bottom w:val="single" w:sz="8" w:color="B2B2B2"/>
            </w:tcBorders>
          </w:tcPr>
          <w:p>
            <w:pPr>
              <w:spacing w:after="0"/>
              <w:rPr>
                <w:sz w:val="20"/>
                <w:szCs w:val="20"/>
                <w:color w:val="auto"/>
              </w:rPr>
            </w:pPr>
          </w:p>
        </w:tc>
        <w:tc>
          <w:tcPr>
            <w:tcW w:w="11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114</w:t>
            </w:r>
          </w:p>
        </w:tc>
      </w:tr>
      <w:tr>
        <w:trPr>
          <w:trHeight w:val="297"/>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842</w:t>
            </w:r>
          </w:p>
        </w:tc>
        <w:tc>
          <w:tcPr>
            <w:tcW w:w="1220" w:type="dxa"/>
            <w:vAlign w:val="bottom"/>
            <w:tcBorders>
              <w:bottom w:val="single" w:sz="8" w:color="901588"/>
            </w:tcBorders>
            <w:gridSpan w:val="2"/>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547</w:t>
            </w:r>
          </w:p>
        </w:tc>
      </w:tr>
      <w:tr>
        <w:trPr>
          <w:trHeight w:val="381"/>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15"/>
        </w:trPr>
        <w:tc>
          <w:tcPr>
            <w:tcW w:w="8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901588"/>
              </w:rPr>
              <w:t>5</w:t>
            </w:r>
          </w:p>
        </w:tc>
      </w:tr>
      <w:tr>
        <w:trPr>
          <w:trHeight w:val="333"/>
        </w:trPr>
        <w:tc>
          <w:tcPr>
            <w:tcW w:w="8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46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March 29,</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6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Supplementary cash flow information: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80" w:type="dxa"/>
            <w:vAlign w:val="bottom"/>
            <w:tcBorders>
              <w:bottom w:val="single" w:sz="8" w:color="B2B2B2"/>
            </w:tcBorders>
          </w:tcPr>
          <w:p>
            <w:pPr>
              <w:jc w:val="right"/>
              <w:ind w:righ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interest</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w:t>
            </w:r>
          </w:p>
        </w:tc>
        <w:tc>
          <w:tcPr>
            <w:tcW w:w="8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investing activity:</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Property, plant and equipment additions</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901588"/>
            </w:tcBorders>
          </w:tcPr>
          <w:p>
            <w:pPr>
              <w:jc w:val="right"/>
              <w:ind w:right="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1–Basis of Presentation and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NATURE OF OPERATIONS AND BASIS OF PRESENTATION</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47,000 global employees, Leidos'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w:t>
      </w:r>
    </w:p>
    <w:p>
      <w:pPr>
        <w:spacing w:after="0" w:line="8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have a controlling interest in Mission Support Alliance, LLC ("MSA"), a joint venture with Centerra Group, LLC. We also have a controlling interest in Hanford Mission Integration Solutions, LLC ("HMIS"), the legal entity for the follow-on contract to MSA's contract and a joint venture with Centerra Group, LLC and Parsons Government Services, Inc. The financial results for MSA and HMIS are consolidated into our unaudited condensed consolidated financial statements. The unaudited condensed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unaudited condensed consolidated financial statements for the periods presented. Intercompany accounts and transactions between consolidated companies have been eliminated in consolidation.</w:t>
      </w:r>
    </w:p>
    <w:p>
      <w:pPr>
        <w:spacing w:after="0" w:line="8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of the U.S. Securities and Exchange Commission and accounting principles generally accepted in the United States of America ("GAAP"). Certain disclosures normally included in financial statements prepared in accordance with GAAP have been condensed or omitted pursuant to such rules. The preparation of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assets and lease liabilities, fair value and impairment of intangible assets and goodwill, income taxes, stock-based compensation expense and contingencies. These estimates have been prepared by management on the basis of the most current and best available information; however, actual results could differ materially from those estimates.</w:t>
      </w:r>
    </w:p>
    <w:p>
      <w:pPr>
        <w:spacing w:after="0" w:line="87" w:lineRule="exact"/>
        <w:rPr>
          <w:sz w:val="20"/>
          <w:szCs w:val="20"/>
          <w:color w:val="auto"/>
        </w:rPr>
      </w:pPr>
    </w:p>
    <w:p>
      <w:pPr>
        <w:jc w:val="both"/>
        <w:ind w:right="120"/>
        <w:spacing w:after="0" w:line="289" w:lineRule="auto"/>
        <w:rPr>
          <w:sz w:val="20"/>
          <w:szCs w:val="20"/>
          <w:color w:val="auto"/>
        </w:rPr>
      </w:pPr>
      <w:r>
        <w:rPr>
          <w:rFonts w:ascii="Arial" w:cs="Arial" w:eastAsia="Arial" w:hAnsi="Arial"/>
          <w:sz w:val="16"/>
          <w:szCs w:val="16"/>
          <w:color w:val="auto"/>
        </w:rPr>
        <w:t>Certain amounts in the prior year financial statements have been reclassified to conform to the current year presentation. We changed our Cash and Cash Equivalents policy to exclude outstanding payments from “Cash and cash equivalents” on the condensed consolidated balance sheets. Prior year financial information has been updated to conform to our current presentation on the condensed consolidated balance sheet and condensed consolidated statement of cash flows. See the Cash and Cash Equivalents section below for further discussion of the change and the impact on the financial statements.</w:t>
      </w:r>
    </w:p>
    <w:p>
      <w:pPr>
        <w:spacing w:after="0" w:line="59" w:lineRule="exact"/>
        <w:rPr>
          <w:sz w:val="20"/>
          <w:szCs w:val="20"/>
          <w:color w:val="auto"/>
        </w:rPr>
      </w:pPr>
    </w:p>
    <w:p>
      <w:pPr>
        <w:jc w:val="both"/>
        <w:ind w:right="24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adjustments, which consist of normal recurring adjustments, necessary for a fair presentation thereof. The results reported in these unaudited condensed consolidated financial statements are not necessarily indicative of the results that may be expected for the entire year. These unaudited condensed consolidated financial statements should be read in conjunction with the consolidated financial statements and notes thereto included in the Annual Report on Form 10-K filed on February 11, 2025.</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7</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5060"/>
        <w:spacing w:after="0" w:line="417" w:lineRule="auto"/>
        <w:rPr>
          <w:sz w:val="20"/>
          <w:szCs w:val="20"/>
          <w:color w:val="auto"/>
        </w:rPr>
      </w:pPr>
      <w:r>
        <w:rPr>
          <w:rFonts w:ascii="Arial" w:cs="Arial" w:eastAsia="Arial" w:hAnsi="Arial"/>
          <w:sz w:val="18"/>
          <w:szCs w:val="18"/>
          <w:b w:val="1"/>
          <w:bCs w:val="1"/>
          <w:color w:val="901588"/>
        </w:rPr>
        <w:t>ACCOUNTING STANDARDS UPDATES ISSUED BUT NOT YET ADOPTED ASU 2023-09 Income Taxes</w:t>
      </w:r>
    </w:p>
    <w:p>
      <w:pPr>
        <w:spacing w:after="0" w:line="1"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auto"/>
        </w:rPr>
        <w:t>In December 2023, the FASB issued ASU 2023-09, to enhance the transparency and usefulness of income tax disclosures. The update requires enhancements to the annual rate reconciliation, including disclosure of specific categories and additional information for reconciling items meeting a quantitative threshold. The update also requires disclosure of income taxes paid disaggregated by federal, state and foreign taxes, and individual jurisdictions meeting a quantitative threshold.</w:t>
      </w:r>
    </w:p>
    <w:p>
      <w:pPr>
        <w:spacing w:after="0" w:line="7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amendments in this update are effective for public business entities for annual periods beginning after December 15, 2024, and may be adopted on a prospective or retrospective basis. Early adoption is permitted. We are currently evaluating the impacts of this update and plan to adopt these amendments using the prospective approach for annual disclosures in fiscal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2024-03 Disaggregation of Income Statement Expenses</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w:t>
      </w:r>
    </w:p>
    <w:p>
      <w:pPr>
        <w:spacing w:after="0" w:line="71"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The amendments in this update are effective for public entities for annual periods beginning after December 15, 2026, and interim periods beginning after December 15, 2027. The amendments may be adopted either prospectively or retrospectively. Early adoption is permitted. We are currently evaluating the impacts of this update and plan to adopt these amendments for annual disclosures in fiscal 2027 and interim disclosures in fiscal 2028.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CHANGES IN ESTIMATES ON CONTRACTS</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Changes in estimates on contracts were as follows: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82"/>
        </w:trPr>
        <w:tc>
          <w:tcPr>
            <w:tcW w:w="8000" w:type="dxa"/>
            <w:vAlign w:val="bottom"/>
          </w:tcPr>
          <w:p>
            <w:pPr>
              <w:spacing w:after="0"/>
              <w:rPr>
                <w:sz w:val="24"/>
                <w:szCs w:val="24"/>
                <w:color w:val="auto"/>
              </w:rPr>
            </w:pPr>
          </w:p>
        </w:tc>
        <w:tc>
          <w:tcPr>
            <w:tcW w:w="460" w:type="dxa"/>
            <w:vAlign w:val="bottom"/>
            <w:tcBorders>
              <w:bottom w:val="single" w:sz="8" w:color="901588"/>
            </w:tcBorders>
          </w:tcPr>
          <w:p>
            <w:pPr>
              <w:spacing w:after="0"/>
              <w:rPr>
                <w:sz w:val="24"/>
                <w:szCs w:val="24"/>
                <w:color w:val="auto"/>
              </w:rPr>
            </w:pPr>
          </w:p>
        </w:tc>
        <w:tc>
          <w:tcPr>
            <w:tcW w:w="2000" w:type="dxa"/>
            <w:vAlign w:val="bottom"/>
            <w:tcBorders>
              <w:bottom w:val="single" w:sz="8" w:color="901588"/>
            </w:tcBorders>
            <w:gridSpan w:val="3"/>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901588"/>
            </w:tcBorders>
          </w:tcPr>
          <w:p>
            <w:pPr>
              <w:spacing w:after="0"/>
              <w:rPr>
                <w:sz w:val="24"/>
                <w:szCs w:val="24"/>
                <w:color w:val="auto"/>
              </w:rPr>
            </w:pPr>
          </w:p>
        </w:tc>
      </w:tr>
      <w:tr>
        <w:trPr>
          <w:trHeight w:val="199"/>
        </w:trPr>
        <w:tc>
          <w:tcPr>
            <w:tcW w:w="800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March 29,</w:t>
            </w:r>
          </w:p>
        </w:tc>
      </w:tr>
      <w:tr>
        <w:trPr>
          <w:trHeight w:val="237"/>
        </w:trPr>
        <w:tc>
          <w:tcPr>
            <w:tcW w:w="80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9"/>
        </w:trPr>
        <w:tc>
          <w:tcPr>
            <w:tcW w:w="80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Favorable impact</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900" w:type="dxa"/>
            <w:vAlign w:val="bottom"/>
            <w:tcBorders>
              <w:bottom w:val="single" w:sz="8" w:color="B2B2B2"/>
            </w:tcBorders>
            <w:gridSpan w:val="2"/>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80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Unfavorable impact</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B2B2B2"/>
            </w:tcBorders>
          </w:tcPr>
          <w:p>
            <w:pPr>
              <w:spacing w:after="0"/>
              <w:rPr>
                <w:sz w:val="20"/>
                <w:szCs w:val="20"/>
                <w:color w:val="auto"/>
              </w:rPr>
            </w:pPr>
          </w:p>
        </w:tc>
        <w:tc>
          <w:tcPr>
            <w:tcW w:w="80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(25)</w:t>
            </w:r>
          </w:p>
        </w:tc>
      </w:tr>
      <w:tr>
        <w:trPr>
          <w:trHeight w:val="280"/>
        </w:trPr>
        <w:tc>
          <w:tcPr>
            <w:tcW w:w="8000" w:type="dxa"/>
            <w:vAlign w:val="bottom"/>
          </w:tcPr>
          <w:p>
            <w:pPr>
              <w:ind w:left="20"/>
              <w:spacing w:after="0"/>
              <w:rPr>
                <w:sz w:val="20"/>
                <w:szCs w:val="20"/>
                <w:color w:val="auto"/>
              </w:rPr>
            </w:pPr>
            <w:r>
              <w:rPr>
                <w:rFonts w:ascii="Arial" w:cs="Arial" w:eastAsia="Arial" w:hAnsi="Arial"/>
                <w:sz w:val="16"/>
                <w:szCs w:val="16"/>
                <w:color w:val="auto"/>
              </w:rPr>
              <w:t>Net impact to income before income taxes</w:t>
            </w:r>
          </w:p>
        </w:tc>
        <w:tc>
          <w:tcPr>
            <w:tcW w:w="460" w:type="dxa"/>
            <w:vAlign w:val="bottom"/>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c>
          <w:tcPr>
            <w:tcW w:w="9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00" w:type="dxa"/>
            <w:vAlign w:val="bottom"/>
            <w:tcBorders>
              <w:top w:val="single" w:sz="8" w:color="B2B2B2"/>
              <w:bottom w:val="single" w:sz="8" w:color="B2B2B2"/>
            </w:tcBorders>
          </w:tcPr>
          <w:p>
            <w:pPr>
              <w:spacing w:after="0"/>
              <w:rPr>
                <w:sz w:val="20"/>
                <w:szCs w:val="20"/>
                <w:color w:val="auto"/>
              </w:rPr>
            </w:pPr>
          </w:p>
        </w:tc>
        <w:tc>
          <w:tcPr>
            <w:tcW w:w="460" w:type="dxa"/>
            <w:vAlign w:val="bottom"/>
            <w:tcBorders>
              <w:top w:val="single" w:sz="8" w:color="901588"/>
              <w:bottom w:val="single" w:sz="8" w:color="B2B2B2"/>
            </w:tcBorders>
            <w:shd w:val="clear" w:color="auto" w:fill="F4E8F3"/>
          </w:tcPr>
          <w:p>
            <w:pPr>
              <w:spacing w:after="0"/>
              <w:rPr>
                <w:sz w:val="20"/>
                <w:szCs w:val="20"/>
                <w:color w:val="auto"/>
              </w:rPr>
            </w:pPr>
          </w:p>
        </w:tc>
        <w:tc>
          <w:tcPr>
            <w:tcW w:w="110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800" w:type="dxa"/>
            <w:vAlign w:val="bottom"/>
            <w:tcBorders>
              <w:top w:val="single" w:sz="8" w:color="901588"/>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tcPr>
          <w:p>
            <w:pPr>
              <w:spacing w:after="0"/>
              <w:rPr>
                <w:sz w:val="20"/>
                <w:szCs w:val="20"/>
                <w:color w:val="auto"/>
              </w:rPr>
            </w:pPr>
          </w:p>
        </w:tc>
      </w:tr>
      <w:tr>
        <w:trPr>
          <w:trHeight w:val="233"/>
        </w:trPr>
        <w:tc>
          <w:tcPr>
            <w:tcW w:w="80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Impact on diluted EPS attributable to Leidos common stockholders</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0.17</w:t>
            </w:r>
          </w:p>
        </w:tc>
        <w:tc>
          <w:tcPr>
            <w:tcW w:w="900" w:type="dxa"/>
            <w:vAlign w:val="bottom"/>
            <w:tcBorders>
              <w:bottom w:val="single" w:sz="8" w:color="901588"/>
            </w:tcBorders>
            <w:gridSpan w:val="2"/>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impact on diluted earnings per share ("EPS") attributable to Leidos common stockholders is calculated using the statutory tax 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Recognized from Prior Obligations</w:t>
      </w:r>
    </w:p>
    <w:p>
      <w:pPr>
        <w:spacing w:after="0" w:line="12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We recognized revenue of $27 million and reduced revenue by $2 million from performance obligations satisfied in previous periods for the three months ended April 4, 2025, and March 29, 2024, respectively. The changes primarily relate to revisions of variable consideration including award and incentive fees, and revisions to estimates at completion resulting from changes in contract scope, mitigation of contract risks or true-ups of contract estimates at the end of contract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AND CASH EQUIVALENTS</w:t>
      </w:r>
    </w:p>
    <w:p>
      <w:pPr>
        <w:spacing w:after="0" w:line="12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cash equivalents are primarily comprised of investments in several large institutional money market accounts, with original maturity of three months or less. Effective as of the first quarter of fiscal 2025, we changed our policy to exclude outstanding payments from “Cash and cash equivalents” on the condensed consolidated balance sheets. To reflect the change in accounting policy, we recast "Cash and cash equivalents" and "Accounts payable and accrued liabilities" on the condensed consolidated balance sheet as of of January 3, 2025, reducing both balances by $94 million from the previously</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reported amounts. The recast of the condensed consolidated statement of cash flows for the three months ended March 29, 2024, resulted in an increase of $50 million to net cash provided by operations. Net cash provided by operations on the condensed consolidated statement of cash flows for the three months ended April 4, 2025, was not materially impacted by the change in accounting policy.</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believe this presentation enhances the usefulness of financial reporting and enhances comparability to align with industry practice. There is no impact to our condensed consolidated statements of operations, including EPS, condensed consolidated statements of comprehensive income, or condensed consolidated statements of equity. All periods presented have been adjusted.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RESTRICTED CASH</w:t>
      </w:r>
    </w:p>
    <w:p>
      <w:pPr>
        <w:spacing w:after="0" w:line="12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We have restricted cash balances, primarily representing advances from customers that are restricted for use on certain expenditures related to that customer's contract. Restricted cash balances are included as "Other current assets" in the condensed consolidated balance sheets. Our restricted cash balances were $82 million and $141 million at April 4, 2025, and January 3,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REMAINING PERFORMANCE OBLIGATIONS</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indefinite delivery/indefinite quantity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6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As of April 4, 2025, we had $17 billion of RPO and expect to recognize approximately 65% and 81% over the next 12 months and 24 months, respectively, with the remainder to be recognized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DISAGGREGATION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 disaggregate revenues by customer-type, contract-type and geographic location for each of our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customer-type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300" w:type="dxa"/>
            <w:vAlign w:val="bottom"/>
            <w:tcBorders>
              <w:bottom w:val="single" w:sz="8" w:color="901588"/>
            </w:tcBorders>
            <w:gridSpan w:val="8"/>
          </w:tcPr>
          <w:p>
            <w:pPr>
              <w:jc w:val="right"/>
              <w:ind w:right="159"/>
              <w:spacing w:after="0"/>
              <w:rPr>
                <w:sz w:val="20"/>
                <w:szCs w:val="20"/>
                <w:color w:val="auto"/>
              </w:rPr>
            </w:pPr>
            <w:r>
              <w:rPr>
                <w:rFonts w:ascii="Arial" w:cs="Arial" w:eastAsia="Arial" w:hAnsi="Arial"/>
                <w:sz w:val="16"/>
                <w:szCs w:val="16"/>
                <w:b w:val="1"/>
                <w:bCs w:val="1"/>
                <w:color w:val="auto"/>
              </w:rPr>
              <w:t>Three Months Ended April 4, 2025</w:t>
            </w:r>
          </w:p>
        </w:tc>
        <w:tc>
          <w:tcPr>
            <w:tcW w:w="88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1,326</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269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454</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2,059</w:t>
            </w:r>
          </w:p>
        </w:tc>
      </w:tr>
      <w:tr>
        <w:trPr>
          <w:trHeight w:val="240"/>
        </w:trPr>
        <w:tc>
          <w:tcPr>
            <w:tcW w:w="354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516</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999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1,636</w:t>
            </w:r>
          </w:p>
        </w:tc>
      </w:tr>
      <w:tr>
        <w:trPr>
          <w:trHeight w:val="23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25</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18</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460</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533</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1,867</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60" w:type="dxa"/>
            <w:vAlign w:val="bottom"/>
            <w:tcBorders>
              <w:bottom w:val="single" w:sz="8" w:color="901588"/>
            </w:tcBorders>
            <w:gridSpan w:val="2"/>
            <w:shd w:val="clear" w:color="auto" w:fill="F4E8F3"/>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1,286</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00" w:type="dxa"/>
            <w:vAlign w:val="bottom"/>
            <w:tcBorders>
              <w:bottom w:val="single" w:sz="8" w:color="F4E8F3"/>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4,228</w:t>
            </w:r>
          </w:p>
        </w:tc>
      </w:tr>
      <w:tr>
        <w:trPr>
          <w:trHeight w:val="440"/>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300" w:type="dxa"/>
            <w:vAlign w:val="bottom"/>
            <w:tcBorders>
              <w:top w:val="single" w:sz="8" w:color="901588"/>
              <w:bottom w:val="single" w:sz="8" w:color="901588"/>
            </w:tcBorders>
            <w:gridSpan w:val="8"/>
          </w:tcPr>
          <w:p>
            <w:pPr>
              <w:jc w:val="right"/>
              <w:ind w:right="99"/>
              <w:spacing w:after="0"/>
              <w:rPr>
                <w:sz w:val="20"/>
                <w:szCs w:val="20"/>
                <w:color w:val="auto"/>
              </w:rPr>
            </w:pPr>
            <w:r>
              <w:rPr>
                <w:rFonts w:ascii="Arial" w:cs="Arial" w:eastAsia="Arial" w:hAnsi="Arial"/>
                <w:sz w:val="16"/>
                <w:szCs w:val="16"/>
                <w:color w:val="auto"/>
              </w:rPr>
              <w:t>Three Months Ended March 29, 2024</w:t>
            </w:r>
          </w:p>
        </w:tc>
        <w:tc>
          <w:tcPr>
            <w:tcW w:w="88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860" w:type="dxa"/>
            <w:vAlign w:val="bottom"/>
            <w:tcBorders>
              <w:top w:val="single" w:sz="8" w:color="901588"/>
              <w:bottom w:val="single" w:sz="8" w:color="901588"/>
            </w:tcBorders>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220"/>
              <w:spacing w:after="0"/>
              <w:rPr>
                <w:sz w:val="20"/>
                <w:szCs w:val="20"/>
                <w:color w:val="auto"/>
              </w:rPr>
            </w:pPr>
            <w:r>
              <w:rPr>
                <w:rFonts w:ascii="Arial" w:cs="Arial" w:eastAsia="Arial" w:hAnsi="Arial"/>
                <w:sz w:val="16"/>
                <w:szCs w:val="16"/>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1,221</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257</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1,913</w:t>
            </w: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1"/>
                <w:szCs w:val="21"/>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525</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917</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1,537</w:t>
            </w:r>
          </w:p>
        </w:tc>
      </w:tr>
      <w:tr>
        <w:trPr>
          <w:trHeight w:val="230"/>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501</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1,779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3,951</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top w:val="single" w:sz="8" w:color="901588"/>
              <w:bottom w:val="single" w:sz="8" w:color="901588"/>
            </w:tcBorders>
          </w:tcPr>
          <w:p>
            <w:pPr>
              <w:spacing w:after="0" w:line="20" w:lineRule="exact"/>
              <w:rPr>
                <w:sz w:val="1"/>
                <w:szCs w:val="1"/>
                <w:color w:val="auto"/>
              </w:rPr>
            </w:pPr>
          </w:p>
        </w:tc>
        <w:tc>
          <w:tcPr>
            <w:tcW w:w="15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top w:val="single" w:sz="8" w:color="901588"/>
              <w:bottom w:val="single" w:sz="8" w:color="901588"/>
            </w:tcBorders>
          </w:tcPr>
          <w:p>
            <w:pPr>
              <w:spacing w:after="0" w:line="20" w:lineRule="exact"/>
              <w:rPr>
                <w:sz w:val="1"/>
                <w:szCs w:val="1"/>
                <w:color w:val="auto"/>
              </w:rPr>
            </w:pPr>
          </w:p>
        </w:tc>
        <w:tc>
          <w:tcPr>
            <w:tcW w:w="120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top w:val="single" w:sz="8" w:color="901588"/>
              <w:bottom w:val="single" w:sz="8" w:color="901588"/>
            </w:tcBorders>
          </w:tcPr>
          <w:p>
            <w:pPr>
              <w:spacing w:after="0" w:line="20" w:lineRule="exact"/>
              <w:rPr>
                <w:sz w:val="1"/>
                <w:szCs w:val="1"/>
                <w:color w:val="auto"/>
              </w:rPr>
            </w:pPr>
          </w:p>
        </w:tc>
        <w:tc>
          <w:tcPr>
            <w:tcW w:w="88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top w:val="single" w:sz="8" w:color="901588"/>
              <w:bottom w:val="single" w:sz="8" w:color="901588"/>
            </w:tcBorders>
          </w:tcPr>
          <w:p>
            <w:pPr>
              <w:spacing w:after="0" w:line="20" w:lineRule="exact"/>
              <w:rPr>
                <w:sz w:val="1"/>
                <w:szCs w:val="1"/>
                <w:color w:val="auto"/>
              </w:rPr>
            </w:pPr>
          </w:p>
        </w:tc>
        <w:tc>
          <w:tcPr>
            <w:tcW w:w="860" w:type="dxa"/>
            <w:vAlign w:val="bottom"/>
            <w:tcBorders>
              <w:top w:val="single" w:sz="8" w:color="901588"/>
              <w:bottom w:val="single" w:sz="8" w:color="901588"/>
            </w:tcBorders>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DoD and U.S. Intelligence Community, as well as state and local government agencies.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9</w:t>
            </w:r>
          </w:p>
        </w:tc>
      </w:tr>
      <w:tr>
        <w:trPr>
          <w:trHeight w:val="319"/>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contract-type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300" w:type="dxa"/>
            <w:vAlign w:val="bottom"/>
            <w:tcBorders>
              <w:bottom w:val="single" w:sz="8" w:color="901588"/>
            </w:tcBorders>
            <w:gridSpan w:val="8"/>
          </w:tcPr>
          <w:p>
            <w:pPr>
              <w:jc w:val="center"/>
              <w:ind w:left="179"/>
              <w:spacing w:after="0"/>
              <w:rPr>
                <w:sz w:val="20"/>
                <w:szCs w:val="20"/>
                <w:color w:val="auto"/>
              </w:rPr>
            </w:pPr>
            <w:r>
              <w:rPr>
                <w:rFonts w:ascii="Arial" w:cs="Arial" w:eastAsia="Arial" w:hAnsi="Arial"/>
                <w:sz w:val="16"/>
                <w:szCs w:val="16"/>
                <w:b w:val="1"/>
                <w:bCs w:val="1"/>
                <w:color w:val="auto"/>
              </w:rPr>
              <w:t>Three Months Ended April 4, 2025</w:t>
            </w:r>
          </w:p>
        </w:tc>
        <w:tc>
          <w:tcPr>
            <w:tcW w:w="88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0"/>
        </w:trPr>
        <w:tc>
          <w:tcPr>
            <w:tcW w:w="356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2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9"/>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0"/>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1,013</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471</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309</w:t>
            </w:r>
          </w:p>
        </w:tc>
        <w:tc>
          <w:tcPr>
            <w:tcW w:w="10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gridSpan w:val="2"/>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1,888</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497</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759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359</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1,769</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357</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56</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571</w:t>
            </w:r>
          </w:p>
        </w:tc>
      </w:tr>
      <w:tr>
        <w:trPr>
          <w:trHeight w:val="305"/>
        </w:trPr>
        <w:tc>
          <w:tcPr>
            <w:tcW w:w="356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1,867</w:t>
            </w:r>
          </w:p>
        </w:tc>
        <w:tc>
          <w:tcPr>
            <w:tcW w:w="20" w:type="dxa"/>
            <w:vAlign w:val="bottom"/>
            <w:tcBorders>
              <w:bottom w:val="single" w:sz="8" w:color="901588"/>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1,286</w:t>
            </w:r>
          </w:p>
        </w:tc>
        <w:tc>
          <w:tcPr>
            <w:tcW w:w="20" w:type="dxa"/>
            <w:vAlign w:val="bottom"/>
            <w:tcBorders>
              <w:bottom w:val="single" w:sz="8" w:color="901588"/>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00" w:type="dxa"/>
            <w:vAlign w:val="bottom"/>
            <w:tcBorders>
              <w:bottom w:val="single" w:sz="8" w:color="F4E8F3"/>
            </w:tcBorders>
            <w:shd w:val="clear" w:color="auto" w:fill="F4E8F3"/>
          </w:tcPr>
          <w:p>
            <w:pPr>
              <w:spacing w:after="0"/>
              <w:rPr>
                <w:sz w:val="24"/>
                <w:szCs w:val="24"/>
                <w:color w:val="auto"/>
              </w:rPr>
            </w:pPr>
          </w:p>
        </w:tc>
        <w:tc>
          <w:tcPr>
            <w:tcW w:w="500" w:type="dxa"/>
            <w:vAlign w:val="bottom"/>
            <w:tcBorders>
              <w:bottom w:val="single" w:sz="8" w:color="901588"/>
            </w:tcBorders>
            <w:gridSpan w:val="2"/>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4,228</w:t>
            </w:r>
          </w:p>
        </w:tc>
      </w:tr>
      <w:tr>
        <w:trPr>
          <w:trHeight w:val="426"/>
        </w:trPr>
        <w:tc>
          <w:tcPr>
            <w:tcW w:w="354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6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300" w:type="dxa"/>
            <w:vAlign w:val="bottom"/>
            <w:tcBorders>
              <w:top w:val="single" w:sz="8" w:color="901588"/>
              <w:bottom w:val="single" w:sz="8" w:color="901588"/>
            </w:tcBorders>
            <w:gridSpan w:val="8"/>
          </w:tcPr>
          <w:p>
            <w:pPr>
              <w:jc w:val="center"/>
              <w:ind w:left="179"/>
              <w:spacing w:after="0"/>
              <w:rPr>
                <w:sz w:val="20"/>
                <w:szCs w:val="20"/>
                <w:color w:val="auto"/>
              </w:rPr>
            </w:pPr>
            <w:r>
              <w:rPr>
                <w:rFonts w:ascii="Arial" w:cs="Arial" w:eastAsia="Arial" w:hAnsi="Arial"/>
                <w:sz w:val="16"/>
                <w:szCs w:val="16"/>
                <w:color w:val="auto"/>
              </w:rPr>
              <w:t>Three Months Ended March 29, 2024</w:t>
            </w:r>
          </w:p>
        </w:tc>
        <w:tc>
          <w:tcPr>
            <w:tcW w:w="88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840" w:type="dxa"/>
            <w:vAlign w:val="bottom"/>
            <w:tcBorders>
              <w:top w:val="single" w:sz="8" w:color="901588"/>
              <w:bottom w:val="single" w:sz="8" w:color="901588"/>
            </w:tcBorders>
          </w:tcPr>
          <w:p>
            <w:pPr>
              <w:spacing w:after="0"/>
              <w:rPr>
                <w:sz w:val="24"/>
                <w:szCs w:val="24"/>
                <w:color w:val="auto"/>
              </w:rPr>
            </w:pPr>
          </w:p>
        </w:tc>
      </w:tr>
      <w:tr>
        <w:trPr>
          <w:trHeight w:val="215"/>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6"/>
                <w:szCs w:val="16"/>
                <w:color w:val="auto"/>
              </w:rPr>
              <w:t>National Security &amp;</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356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19"/>
                <w:szCs w:val="19"/>
                <w:color w:val="auto"/>
              </w:rPr>
            </w:pPr>
          </w:p>
        </w:tc>
        <w:tc>
          <w:tcPr>
            <w:tcW w:w="16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Digital</w:t>
            </w:r>
          </w:p>
        </w:tc>
        <w:tc>
          <w:tcPr>
            <w:tcW w:w="24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Health &amp; Civil</w:t>
            </w:r>
          </w:p>
        </w:tc>
        <w:tc>
          <w:tcPr>
            <w:tcW w:w="22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946</w:t>
            </w:r>
          </w:p>
        </w:tc>
        <w:tc>
          <w:tcPr>
            <w:tcW w:w="20" w:type="dxa"/>
            <w:vAlign w:val="bottom"/>
            <w:tcBorders>
              <w:bottom w:val="single" w:sz="8" w:color="B2B2B2"/>
            </w:tcBorders>
          </w:tcPr>
          <w:p>
            <w:pPr>
              <w:spacing w:after="0"/>
              <w:rPr>
                <w:sz w:val="19"/>
                <w:szCs w:val="19"/>
                <w:color w:val="auto"/>
              </w:rPr>
            </w:pPr>
          </w:p>
        </w:tc>
        <w:tc>
          <w:tcPr>
            <w:tcW w:w="6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447</w:t>
            </w:r>
          </w:p>
        </w:tc>
        <w:tc>
          <w:tcPr>
            <w:tcW w:w="20" w:type="dxa"/>
            <w:vAlign w:val="bottom"/>
            <w:tcBorders>
              <w:bottom w:val="single" w:sz="8" w:color="B2B2B2"/>
            </w:tcBorders>
          </w:tcPr>
          <w:p>
            <w:pPr>
              <w:spacing w:after="0"/>
              <w:rPr>
                <w:sz w:val="19"/>
                <w:szCs w:val="19"/>
                <w:color w:val="auto"/>
              </w:rPr>
            </w:pPr>
          </w:p>
        </w:tc>
        <w:tc>
          <w:tcPr>
            <w:tcW w:w="6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B2B2B2"/>
            </w:tcBorders>
          </w:tcPr>
          <w:p>
            <w:pPr>
              <w:spacing w:after="0"/>
              <w:rPr>
                <w:sz w:val="19"/>
                <w:szCs w:val="19"/>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1,779</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492</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690</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1,640</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341</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532</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1,779</w:t>
            </w:r>
          </w:p>
        </w:tc>
        <w:tc>
          <w:tcPr>
            <w:tcW w:w="20" w:type="dxa"/>
            <w:vAlign w:val="bottom"/>
            <w:tcBorders>
              <w:bottom w:val="single" w:sz="8" w:color="901588"/>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1,190</w:t>
            </w:r>
          </w:p>
        </w:tc>
        <w:tc>
          <w:tcPr>
            <w:tcW w:w="20" w:type="dxa"/>
            <w:vAlign w:val="bottom"/>
            <w:tcBorders>
              <w:bottom w:val="single" w:sz="8" w:color="901588"/>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bottom w:val="single" w:sz="8" w:color="901588"/>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3,951</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740" w:type="dxa"/>
            <w:vAlign w:val="bottom"/>
            <w:tcBorders>
              <w:bottom w:val="single" w:sz="8" w:color="901588"/>
            </w:tcBorders>
            <w:gridSpan w:val="3"/>
          </w:tcPr>
          <w:p>
            <w:pPr>
              <w:spacing w:after="0" w:line="20" w:lineRule="exact"/>
              <w:rPr>
                <w:sz w:val="1"/>
                <w:szCs w:val="1"/>
                <w:color w:val="auto"/>
              </w:rPr>
            </w:pPr>
          </w:p>
        </w:tc>
        <w:tc>
          <w:tcPr>
            <w:tcW w:w="80" w:type="dxa"/>
            <w:vAlign w:val="bottom"/>
            <w:tcBorders>
              <w:bottom w:val="single" w:sz="8" w:color="901588"/>
            </w:tcBorders>
            <w:gridSpan w:val="2"/>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r>
      <w:tr>
        <w:trPr>
          <w:trHeight w:val="397"/>
        </w:trPr>
        <w:tc>
          <w:tcPr>
            <w:tcW w:w="5380" w:type="dxa"/>
            <w:vAlign w:val="bottom"/>
            <w:gridSpan w:val="7"/>
          </w:tcPr>
          <w:p>
            <w:pPr>
              <w:spacing w:after="0"/>
              <w:rPr>
                <w:sz w:val="20"/>
                <w:szCs w:val="20"/>
                <w:color w:val="auto"/>
              </w:rPr>
            </w:pPr>
            <w:r>
              <w:rPr>
                <w:rFonts w:ascii="Arial" w:cs="Arial" w:eastAsia="Arial" w:hAnsi="Arial"/>
                <w:sz w:val="16"/>
                <w:szCs w:val="16"/>
                <w:color w:val="auto"/>
              </w:rPr>
              <w:t>Disaggregated revenues by geographic location were as follows: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0"/>
        </w:trPr>
        <w:tc>
          <w:tcPr>
            <w:tcW w:w="3540" w:type="dxa"/>
            <w:vAlign w:val="bottom"/>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300" w:type="dxa"/>
            <w:vAlign w:val="bottom"/>
            <w:tcBorders>
              <w:bottom w:val="single" w:sz="8" w:color="901588"/>
            </w:tcBorders>
            <w:gridSpan w:val="8"/>
          </w:tcPr>
          <w:p>
            <w:pPr>
              <w:jc w:val="center"/>
              <w:ind w:left="139"/>
              <w:spacing w:after="0"/>
              <w:rPr>
                <w:sz w:val="20"/>
                <w:szCs w:val="20"/>
                <w:color w:val="auto"/>
              </w:rPr>
            </w:pPr>
            <w:r>
              <w:rPr>
                <w:rFonts w:ascii="Arial" w:cs="Arial" w:eastAsia="Arial" w:hAnsi="Arial"/>
                <w:sz w:val="16"/>
                <w:szCs w:val="16"/>
                <w:b w:val="1"/>
                <w:bCs w:val="1"/>
                <w:color w:val="auto"/>
              </w:rPr>
              <w:t>Three Months Ended April 4, 2025</w:t>
            </w:r>
          </w:p>
        </w:tc>
        <w:tc>
          <w:tcPr>
            <w:tcW w:w="88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840" w:type="dxa"/>
            <w:vAlign w:val="bottom"/>
            <w:tcBorders>
              <w:bottom w:val="single" w:sz="8" w:color="901588"/>
            </w:tcBorders>
          </w:tcPr>
          <w:p>
            <w:pPr>
              <w:spacing w:after="0"/>
              <w:rPr>
                <w:sz w:val="24"/>
                <w:szCs w:val="24"/>
                <w:color w:val="auto"/>
              </w:rPr>
            </w:pPr>
          </w:p>
        </w:tc>
      </w:tr>
      <w:tr>
        <w:trPr>
          <w:trHeight w:val="199"/>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0"/>
        </w:trPr>
        <w:tc>
          <w:tcPr>
            <w:tcW w:w="356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2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6"/>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1,859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1,285</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238</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499</w:t>
            </w:r>
          </w:p>
        </w:tc>
        <w:tc>
          <w:tcPr>
            <w:tcW w:w="10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gridSpan w:val="2"/>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3,881</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329</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347</w:t>
            </w:r>
          </w:p>
        </w:tc>
      </w:tr>
      <w:tr>
        <w:trPr>
          <w:trHeight w:val="300"/>
        </w:trPr>
        <w:tc>
          <w:tcPr>
            <w:tcW w:w="3560" w:type="dxa"/>
            <w:vAlign w:val="bottom"/>
            <w:tcBorders>
              <w:bottom w:val="single" w:sz="8" w:color="901588"/>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1,867</w:t>
            </w:r>
          </w:p>
        </w:tc>
        <w:tc>
          <w:tcPr>
            <w:tcW w:w="20" w:type="dxa"/>
            <w:vAlign w:val="bottom"/>
            <w:tcBorders>
              <w:bottom w:val="single" w:sz="8" w:color="901588"/>
            </w:tcBorders>
            <w:shd w:val="clear" w:color="auto" w:fill="F4E8F3"/>
          </w:tcPr>
          <w:p>
            <w:pPr>
              <w:spacing w:after="0"/>
              <w:rPr>
                <w:sz w:val="24"/>
                <w:szCs w:val="24"/>
                <w:color w:val="auto"/>
              </w:rPr>
            </w:pPr>
          </w:p>
        </w:tc>
        <w:tc>
          <w:tcPr>
            <w:tcW w:w="6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1,286</w:t>
            </w:r>
          </w:p>
        </w:tc>
        <w:tc>
          <w:tcPr>
            <w:tcW w:w="20" w:type="dxa"/>
            <w:vAlign w:val="bottom"/>
            <w:tcBorders>
              <w:bottom w:val="single" w:sz="8" w:color="901588"/>
            </w:tcBorders>
            <w:shd w:val="clear" w:color="auto" w:fill="F4E8F3"/>
          </w:tcPr>
          <w:p>
            <w:pPr>
              <w:spacing w:after="0"/>
              <w:rPr>
                <w:sz w:val="24"/>
                <w:szCs w:val="24"/>
                <w:color w:val="auto"/>
              </w:rPr>
            </w:pPr>
          </w:p>
        </w:tc>
        <w:tc>
          <w:tcPr>
            <w:tcW w:w="6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Borders>
              <w:bottom w:val="single" w:sz="8" w:color="901588"/>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00" w:type="dxa"/>
            <w:vAlign w:val="bottom"/>
            <w:tcBorders>
              <w:bottom w:val="single" w:sz="8" w:color="901588"/>
            </w:tcBorders>
            <w:shd w:val="clear" w:color="auto" w:fill="F4E8F3"/>
          </w:tcPr>
          <w:p>
            <w:pPr>
              <w:spacing w:after="0"/>
              <w:rPr>
                <w:sz w:val="24"/>
                <w:szCs w:val="24"/>
                <w:color w:val="auto"/>
              </w:rPr>
            </w:pPr>
          </w:p>
        </w:tc>
        <w:tc>
          <w:tcPr>
            <w:tcW w:w="500" w:type="dxa"/>
            <w:vAlign w:val="bottom"/>
            <w:tcBorders>
              <w:bottom w:val="single" w:sz="8" w:color="901588"/>
            </w:tcBorders>
            <w:gridSpan w:val="2"/>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4,228</w:t>
            </w:r>
          </w:p>
        </w:tc>
      </w:tr>
      <w:tr>
        <w:trPr>
          <w:trHeight w:val="427"/>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300" w:type="dxa"/>
            <w:vAlign w:val="bottom"/>
            <w:tcBorders>
              <w:bottom w:val="single" w:sz="8" w:color="901588"/>
            </w:tcBorders>
            <w:gridSpan w:val="8"/>
          </w:tcPr>
          <w:p>
            <w:pPr>
              <w:jc w:val="center"/>
              <w:ind w:left="179"/>
              <w:spacing w:after="0"/>
              <w:rPr>
                <w:sz w:val="20"/>
                <w:szCs w:val="20"/>
                <w:color w:val="auto"/>
              </w:rPr>
            </w:pPr>
            <w:r>
              <w:rPr>
                <w:rFonts w:ascii="Arial" w:cs="Arial" w:eastAsia="Arial" w:hAnsi="Arial"/>
                <w:sz w:val="16"/>
                <w:szCs w:val="16"/>
                <w:color w:val="auto"/>
              </w:rPr>
              <w:t>Three Months Ended March 29, 2024</w:t>
            </w:r>
          </w:p>
        </w:tc>
        <w:tc>
          <w:tcPr>
            <w:tcW w:w="88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840" w:type="dxa"/>
            <w:vAlign w:val="bottom"/>
            <w:tcBorders>
              <w:bottom w:val="single" w:sz="8" w:color="901588"/>
            </w:tcBorders>
          </w:tcPr>
          <w:p>
            <w:pPr>
              <w:spacing w:after="0"/>
              <w:rPr>
                <w:sz w:val="24"/>
                <w:szCs w:val="24"/>
                <w:color w:val="auto"/>
              </w:rPr>
            </w:pPr>
          </w:p>
        </w:tc>
      </w:tr>
      <w:tr>
        <w:trPr>
          <w:trHeight w:val="215"/>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6"/>
                <w:szCs w:val="16"/>
                <w:color w:val="auto"/>
              </w:rPr>
              <w:t>National Security &amp;</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356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19"/>
                <w:szCs w:val="19"/>
                <w:color w:val="auto"/>
              </w:rPr>
            </w:pPr>
          </w:p>
        </w:tc>
        <w:tc>
          <w:tcPr>
            <w:tcW w:w="16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Digital</w:t>
            </w:r>
          </w:p>
        </w:tc>
        <w:tc>
          <w:tcPr>
            <w:tcW w:w="24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Health &amp; Civil</w:t>
            </w:r>
          </w:p>
        </w:tc>
        <w:tc>
          <w:tcPr>
            <w:tcW w:w="22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1,770</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3,635</w:t>
            </w:r>
          </w:p>
        </w:tc>
      </w:tr>
      <w:tr>
        <w:trPr>
          <w:trHeight w:val="237"/>
        </w:trPr>
        <w:tc>
          <w:tcPr>
            <w:tcW w:w="35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316</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1,779</w:t>
            </w:r>
          </w:p>
        </w:tc>
        <w:tc>
          <w:tcPr>
            <w:tcW w:w="20" w:type="dxa"/>
            <w:vAlign w:val="bottom"/>
            <w:tcBorders>
              <w:bottom w:val="single" w:sz="8" w:color="901588"/>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1,190</w:t>
            </w:r>
          </w:p>
        </w:tc>
        <w:tc>
          <w:tcPr>
            <w:tcW w:w="20" w:type="dxa"/>
            <w:vAlign w:val="bottom"/>
            <w:tcBorders>
              <w:bottom w:val="single" w:sz="8" w:color="901588"/>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1"/>
                <w:szCs w:val="21"/>
                <w:color w:val="auto"/>
              </w:rPr>
            </w:pPr>
          </w:p>
        </w:tc>
        <w:tc>
          <w:tcPr>
            <w:tcW w:w="500" w:type="dxa"/>
            <w:vAlign w:val="bottom"/>
            <w:tcBorders>
              <w:bottom w:val="single" w:sz="8" w:color="901588"/>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3,951</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Revenues by customer-type, contract-type and geographic location exclude lease income of $17 million and $24 million for the three months ended April 4, 2025, and March 29, 2024, respectively.</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ASSETS AND LIABILITIES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Contract assets consist of unbilled receivables, which is the amount of revenue recognized that exceeds the amount billed to the customer. Unbilled receivables exclude amounts billable where the right to consideration is solely subject to the passage of time. Contract liabilities consist of deferred revenue, which represents cash advances received prior to performance for programs and billings in excess of revenue recognized.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contract assets and contract liabilities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40"/>
        </w:trPr>
        <w:tc>
          <w:tcPr>
            <w:tcW w:w="3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b w:val="1"/>
                <w:bCs w:val="1"/>
                <w:color w:val="auto"/>
              </w:rPr>
              <w:t>Balance sheet line item</w:t>
            </w:r>
          </w:p>
        </w:tc>
        <w:tc>
          <w:tcPr>
            <w:tcW w:w="54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assets - 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39"/>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Unbilled receivables</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Receivables, net</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865</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842</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Accounts payable and accrued liabilities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368</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333</w:t>
            </w:r>
          </w:p>
        </w:tc>
      </w:tr>
      <w:tr>
        <w:trPr>
          <w:trHeight w:val="230"/>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non-current: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5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w:t>
            </w:r>
          </w:p>
        </w:tc>
      </w:tr>
    </w:tbl>
    <w:p>
      <w:pPr>
        <w:spacing w:after="0" w:line="180"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Certain contracts record revenue net of cost of revenues, and therefore, the respective deferred revenue balance will not fully convert to revenue.</w:t>
      </w:r>
    </w:p>
    <w:p>
      <w:pPr>
        <w:spacing w:after="0" w:line="9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increase in unbilled receivables was primarily due revenue recognized on certain contracts, partially offset the timing of billings on certain contracts. The increase in deferred revenue was primarily due to the timing of advanced payments from customers, offset by revenue recognized during the period.</w:t>
      </w:r>
    </w:p>
    <w:p>
      <w:pPr>
        <w:spacing w:after="0" w:line="60"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For the three months ended April 4, 2025, $137 million of revenue recognized was included as a contract liability at January 3, 2025. For the three months ended March 29, 2024, $157 million of revenue recognized was included as a contract liability at December 29, 2023.</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3–Acquisitions,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BUSINESS ACQUISITION</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10, 2025, we entered into a definitive agreement to acquire a full spectrum cyber company for a preliminary purchase price of $300 million, subject to working capital and other customary adjustments. The transaction is expected to be completed in the second quarter of 2025, subject to the satisfaction or waiver of customary closing conditions. The company develops offensive and defensive cyber platforms and other solutions for the U.S. Government.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carrying amount of goodwill by reportable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National Security</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40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gridSpan w:val="2"/>
          </w:tcPr>
          <w:p>
            <w:pPr>
              <w:ind w:left="280"/>
              <w:spacing w:after="0"/>
              <w:rPr>
                <w:sz w:val="20"/>
                <w:szCs w:val="20"/>
                <w:color w:val="auto"/>
              </w:rPr>
            </w:pPr>
            <w:r>
              <w:rPr>
                <w:rFonts w:ascii="Arial" w:cs="Arial" w:eastAsia="Arial" w:hAnsi="Arial"/>
                <w:sz w:val="16"/>
                <w:szCs w:val="16"/>
                <w:b w:val="1"/>
                <w:bCs w:val="1"/>
                <w:color w:val="auto"/>
              </w:rPr>
              <w:t>&amp; Digital</w:t>
            </w:r>
          </w:p>
        </w:tc>
        <w:tc>
          <w:tcPr>
            <w:tcW w:w="14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gridSpan w:val="2"/>
          </w:tcPr>
          <w:p>
            <w:pPr>
              <w:ind w:left="4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19"/>
                <w:szCs w:val="19"/>
                <w:color w:val="auto"/>
              </w:rPr>
            </w:pPr>
          </w:p>
        </w:tc>
        <w:tc>
          <w:tcPr>
            <w:tcW w:w="13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Borders>
              <w:bottom w:val="single" w:sz="8" w:color="901588"/>
            </w:tcBorders>
          </w:tcPr>
          <w:p>
            <w:pPr>
              <w:spacing w:after="0"/>
              <w:rPr>
                <w:sz w:val="19"/>
                <w:szCs w:val="19"/>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0"/>
        </w:trPr>
        <w:tc>
          <w:tcPr>
            <w:tcW w:w="408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Goodwill at December 29, 2023</w:t>
            </w:r>
            <w:r>
              <w:rPr>
                <w:rFonts w:ascii="Arial" w:cs="Arial" w:eastAsia="Arial" w:hAnsi="Arial"/>
                <w:sz w:val="21"/>
                <w:szCs w:val="21"/>
                <w:color w:val="auto"/>
                <w:vertAlign w:val="superscript"/>
              </w:rPr>
              <w:t>(1)</w:t>
            </w:r>
          </w:p>
        </w:tc>
        <w:tc>
          <w:tcPr>
            <w:tcW w:w="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6,112</w:t>
            </w:r>
          </w:p>
        </w:tc>
      </w:tr>
      <w:tr>
        <w:trPr>
          <w:trHeight w:val="230"/>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08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Goodwill at January 3, 2025</w:t>
            </w:r>
            <w:r>
              <w:rPr>
                <w:rFonts w:ascii="Arial" w:cs="Arial" w:eastAsia="Arial" w:hAnsi="Arial"/>
                <w:sz w:val="21"/>
                <w:szCs w:val="21"/>
                <w:color w:val="auto"/>
                <w:vertAlign w:val="superscript"/>
              </w:rPr>
              <w:t>(1)</w:t>
            </w:r>
          </w:p>
        </w:tc>
        <w:tc>
          <w:tcPr>
            <w:tcW w:w="420" w:type="dxa"/>
            <w:vAlign w:val="bottom"/>
            <w:tcBorders>
              <w:top w:val="single" w:sz="8" w:color="901588"/>
              <w:bottom w:val="single" w:sz="8" w:color="B2B2B2"/>
            </w:tcBorders>
          </w:tcPr>
          <w:p>
            <w:pPr>
              <w:spacing w:after="0"/>
              <w:rPr>
                <w:sz w:val="21"/>
                <w:szCs w:val="21"/>
                <w:color w:val="auto"/>
              </w:rPr>
            </w:pPr>
          </w:p>
        </w:tc>
        <w:tc>
          <w:tcPr>
            <w:tcW w:w="9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top w:val="single" w:sz="8" w:color="B2B2B2"/>
              <w:bottom w:val="single" w:sz="8" w:color="B2B2B2"/>
            </w:tcBorders>
          </w:tcPr>
          <w:p>
            <w:pPr>
              <w:spacing w:after="0"/>
              <w:rPr>
                <w:sz w:val="21"/>
                <w:szCs w:val="21"/>
                <w:color w:val="auto"/>
              </w:rPr>
            </w:pPr>
          </w:p>
        </w:tc>
        <w:tc>
          <w:tcPr>
            <w:tcW w:w="140" w:type="dxa"/>
            <w:vAlign w:val="bottom"/>
            <w:tcBorders>
              <w:top w:val="single" w:sz="8" w:color="901588"/>
              <w:bottom w:val="single" w:sz="8" w:color="B2B2B2"/>
            </w:tcBorders>
          </w:tcPr>
          <w:p>
            <w:pPr>
              <w:spacing w:after="0"/>
              <w:rPr>
                <w:sz w:val="21"/>
                <w:szCs w:val="21"/>
                <w:color w:val="auto"/>
              </w:rPr>
            </w:pPr>
          </w:p>
        </w:tc>
        <w:tc>
          <w:tcPr>
            <w:tcW w:w="11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spacing w:after="0"/>
              <w:rPr>
                <w:sz w:val="21"/>
                <w:szCs w:val="21"/>
                <w:color w:val="auto"/>
              </w:rPr>
            </w:pPr>
          </w:p>
        </w:tc>
        <w:tc>
          <w:tcPr>
            <w:tcW w:w="12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772</w:t>
            </w:r>
          </w:p>
        </w:tc>
        <w:tc>
          <w:tcPr>
            <w:tcW w:w="80" w:type="dxa"/>
            <w:vAlign w:val="bottom"/>
            <w:tcBorders>
              <w:top w:val="single" w:sz="8" w:color="B2B2B2"/>
              <w:bottom w:val="single" w:sz="8" w:color="B2B2B2"/>
            </w:tcBorders>
          </w:tcPr>
          <w:p>
            <w:pPr>
              <w:spacing w:after="0"/>
              <w:rPr>
                <w:sz w:val="21"/>
                <w:szCs w:val="21"/>
                <w:color w:val="auto"/>
              </w:rPr>
            </w:pPr>
          </w:p>
        </w:tc>
        <w:tc>
          <w:tcPr>
            <w:tcW w:w="300" w:type="dxa"/>
            <w:vAlign w:val="bottom"/>
            <w:tcBorders>
              <w:top w:val="single" w:sz="8" w:color="901588"/>
              <w:bottom w:val="single" w:sz="8" w:color="B2B2B2"/>
            </w:tcBorders>
          </w:tcPr>
          <w:p>
            <w:pPr>
              <w:spacing w:after="0"/>
              <w:rPr>
                <w:sz w:val="21"/>
                <w:szCs w:val="21"/>
                <w:color w:val="auto"/>
              </w:rPr>
            </w:pPr>
          </w:p>
        </w:tc>
        <w:tc>
          <w:tcPr>
            <w:tcW w:w="8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top w:val="single" w:sz="8" w:color="B2B2B2"/>
              <w:bottom w:val="single" w:sz="8" w:color="B2B2B2"/>
            </w:tcBorders>
          </w:tcPr>
          <w:p>
            <w:pPr>
              <w:spacing w:after="0"/>
              <w:rPr>
                <w:sz w:val="21"/>
                <w:szCs w:val="21"/>
                <w:color w:val="auto"/>
              </w:rPr>
            </w:pPr>
          </w:p>
        </w:tc>
        <w:tc>
          <w:tcPr>
            <w:tcW w:w="480" w:type="dxa"/>
            <w:vAlign w:val="bottom"/>
            <w:tcBorders>
              <w:top w:val="single" w:sz="8" w:color="901588"/>
              <w:bottom w:val="single" w:sz="8" w:color="B2B2B2"/>
            </w:tcBorders>
          </w:tcPr>
          <w:p>
            <w:pPr>
              <w:spacing w:after="0"/>
              <w:rPr>
                <w:sz w:val="21"/>
                <w:szCs w:val="21"/>
                <w:color w:val="auto"/>
              </w:rPr>
            </w:pP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6,084</w:t>
            </w:r>
          </w:p>
        </w:tc>
      </w:tr>
      <w:tr>
        <w:trPr>
          <w:trHeight w:val="230"/>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8"/>
        </w:trPr>
        <w:tc>
          <w:tcPr>
            <w:tcW w:w="408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Goodwill at April 4, 2025</w:t>
            </w:r>
            <w:r>
              <w:rPr>
                <w:rFonts w:ascii="Arial" w:cs="Arial" w:eastAsia="Arial" w:hAnsi="Arial"/>
                <w:sz w:val="21"/>
                <w:szCs w:val="21"/>
                <w:b w:val="1"/>
                <w:bCs w:val="1"/>
                <w:color w:val="auto"/>
                <w:vertAlign w:val="superscript"/>
              </w:rPr>
              <w:t>(1)</w:t>
            </w:r>
          </w:p>
        </w:tc>
        <w:tc>
          <w:tcPr>
            <w:tcW w:w="420" w:type="dxa"/>
            <w:vAlign w:val="bottom"/>
            <w:tcBorders>
              <w:top w:val="single" w:sz="8" w:color="901588"/>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2,758</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1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1,366</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220" w:type="dxa"/>
            <w:vAlign w:val="bottom"/>
            <w:tcBorders>
              <w:top w:val="single" w:sz="8" w:color="901588"/>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786</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300" w:type="dxa"/>
            <w:vAlign w:val="bottom"/>
            <w:tcBorders>
              <w:top w:val="single" w:sz="8" w:color="901588"/>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480" w:type="dxa"/>
            <w:vAlign w:val="bottom"/>
            <w:tcBorders>
              <w:top w:val="single" w:sz="8" w:color="901588"/>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6,098</w:t>
            </w:r>
          </w:p>
        </w:tc>
      </w:tr>
      <w:tr>
        <w:trPr>
          <w:trHeight w:val="20"/>
        </w:trPr>
        <w:tc>
          <w:tcPr>
            <w:tcW w:w="408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F4E8F3"/>
            </w:tcBorders>
            <w:shd w:val="clear" w:color="auto" w:fill="901588"/>
          </w:tcPr>
          <w:p>
            <w:pPr>
              <w:spacing w:after="0" w:line="20" w:lineRule="exact"/>
              <w:rPr>
                <w:sz w:val="1"/>
                <w:szCs w:val="1"/>
                <w:color w:val="auto"/>
              </w:rPr>
            </w:pPr>
          </w:p>
        </w:tc>
        <w:tc>
          <w:tcPr>
            <w:tcW w:w="9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40" w:type="dxa"/>
            <w:vAlign w:val="bottom"/>
            <w:tcBorders>
              <w:top w:val="single" w:sz="8" w:color="F4E8F3"/>
            </w:tcBorders>
            <w:shd w:val="clear" w:color="auto" w:fill="901588"/>
          </w:tcPr>
          <w:p>
            <w:pPr>
              <w:spacing w:after="0" w:line="20" w:lineRule="exact"/>
              <w:rPr>
                <w:sz w:val="1"/>
                <w:szCs w:val="1"/>
                <w:color w:val="auto"/>
              </w:rPr>
            </w:pPr>
          </w:p>
        </w:tc>
        <w:tc>
          <w:tcPr>
            <w:tcW w:w="11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20" w:type="dxa"/>
            <w:vAlign w:val="bottom"/>
            <w:tcBorders>
              <w:top w:val="single" w:sz="8" w:color="F4E8F3"/>
            </w:tcBorders>
            <w:shd w:val="clear" w:color="auto" w:fill="901588"/>
          </w:tcPr>
          <w:p>
            <w:pPr>
              <w:spacing w:after="0" w:line="20" w:lineRule="exact"/>
              <w:rPr>
                <w:sz w:val="1"/>
                <w:szCs w:val="1"/>
                <w:color w:val="auto"/>
              </w:rPr>
            </w:pPr>
          </w:p>
        </w:tc>
        <w:tc>
          <w:tcPr>
            <w:tcW w:w="124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86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480" w:type="dxa"/>
            <w:vAlign w:val="bottom"/>
            <w:tcBorders>
              <w:top w:val="single" w:sz="8" w:color="F4E8F3"/>
            </w:tcBorders>
            <w:shd w:val="clear" w:color="auto" w:fill="901588"/>
          </w:tcPr>
          <w:p>
            <w:pPr>
              <w:spacing w:after="0" w:line="20" w:lineRule="exact"/>
              <w:rPr>
                <w:sz w:val="1"/>
                <w:szCs w:val="1"/>
                <w:color w:val="auto"/>
              </w:rPr>
            </w:pPr>
          </w:p>
        </w:tc>
        <w:tc>
          <w:tcPr>
            <w:tcW w:w="820" w:type="dxa"/>
            <w:vAlign w:val="bottom"/>
            <w:tcBorders>
              <w:top w:val="single" w:sz="8" w:color="F4E8F3"/>
            </w:tcBorders>
            <w:shd w:val="clear" w:color="auto" w:fill="901588"/>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 of $596 million within the Commercial &amp; International segment.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11</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evaluate qualitative factors that could cause us to consider whether the estimated fair value of each of our reporting units may be lower than the carrying value and trigger a quantitative assessment, including, but not limited to (i) macroeconomic conditions, (ii) industry and market considerations, (iii) our overall financial performance, including an analysis of our current and projected cash flows, revenues and earnings, (iv) a sustained decrease in share price and (v) other relevant entity-specific events including changes in management, strategy, partners or litigation.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April 4, 2025, and March 29, 2024, there were no impairments to goodwill.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78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60" w:type="dxa"/>
            <w:vAlign w:val="bottom"/>
            <w:tcBorders>
              <w:bottom w:val="single" w:sz="8" w:color="901588"/>
            </w:tcBorders>
            <w:shd w:val="clear" w:color="auto" w:fill="F4E8F3"/>
          </w:tcPr>
          <w:p>
            <w:pPr>
              <w:spacing w:after="0"/>
              <w:rPr>
                <w:sz w:val="21"/>
                <w:szCs w:val="21"/>
                <w:color w:val="auto"/>
              </w:rPr>
            </w:pPr>
          </w:p>
        </w:tc>
        <w:tc>
          <w:tcPr>
            <w:tcW w:w="12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April 4, 2025</w:t>
            </w:r>
          </w:p>
        </w:tc>
        <w:tc>
          <w:tcPr>
            <w:tcW w:w="100" w:type="dxa"/>
            <w:vAlign w:val="bottom"/>
            <w:tcBorders>
              <w:bottom w:val="single" w:sz="8" w:color="901588"/>
            </w:tcBorders>
            <w:shd w:val="clear" w:color="auto" w:fill="F4E8F3"/>
          </w:tcPr>
          <w:p>
            <w:pPr>
              <w:spacing w:after="0"/>
              <w:rPr>
                <w:sz w:val="21"/>
                <w:szCs w:val="21"/>
                <w:color w:val="auto"/>
              </w:rPr>
            </w:pPr>
          </w:p>
        </w:tc>
        <w:tc>
          <w:tcPr>
            <w:tcW w:w="12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60"/>
              <w:spacing w:after="0"/>
              <w:rPr>
                <w:sz w:val="20"/>
                <w:szCs w:val="20"/>
                <w:color w:val="auto"/>
              </w:rPr>
            </w:pPr>
            <w:r>
              <w:rPr>
                <w:rFonts w:ascii="Arial" w:cs="Arial" w:eastAsia="Arial" w:hAnsi="Arial"/>
                <w:sz w:val="16"/>
                <w:szCs w:val="16"/>
                <w:color w:val="auto"/>
              </w:rPr>
              <w:t>January 3, 2025</w:t>
            </w:r>
          </w:p>
        </w:tc>
        <w:tc>
          <w:tcPr>
            <w:tcW w:w="1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spacing w:after="0"/>
              <w:rPr>
                <w:sz w:val="21"/>
                <w:szCs w:val="21"/>
                <w:color w:val="auto"/>
              </w:rPr>
            </w:pPr>
          </w:p>
        </w:tc>
      </w:tr>
      <w:tr>
        <w:trPr>
          <w:trHeight w:val="196"/>
        </w:trPr>
        <w:tc>
          <w:tcPr>
            <w:tcW w:w="3460" w:type="dxa"/>
            <w:vAlign w:val="bottom"/>
          </w:tcPr>
          <w:p>
            <w:pPr>
              <w:spacing w:after="0"/>
              <w:rPr>
                <w:sz w:val="17"/>
                <w:szCs w:val="17"/>
                <w:color w:val="auto"/>
              </w:rPr>
            </w:pPr>
          </w:p>
        </w:tc>
        <w:tc>
          <w:tcPr>
            <w:tcW w:w="380" w:type="dxa"/>
            <w:vAlign w:val="bottom"/>
            <w:shd w:val="clear" w:color="auto" w:fill="F4E8F3"/>
          </w:tcPr>
          <w:p>
            <w:pPr>
              <w:spacing w:after="0"/>
              <w:rPr>
                <w:sz w:val="17"/>
                <w:szCs w:val="17"/>
                <w:color w:val="auto"/>
              </w:rPr>
            </w:pPr>
          </w:p>
        </w:tc>
        <w:tc>
          <w:tcPr>
            <w:tcW w:w="7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Gross</w:t>
            </w:r>
          </w:p>
        </w:tc>
        <w:tc>
          <w:tcPr>
            <w:tcW w:w="80" w:type="dxa"/>
            <w:vAlign w:val="bottom"/>
            <w:shd w:val="clear" w:color="auto" w:fill="F4E8F3"/>
          </w:tcPr>
          <w:p>
            <w:pPr>
              <w:spacing w:after="0"/>
              <w:rPr>
                <w:sz w:val="17"/>
                <w:szCs w:val="17"/>
                <w:color w:val="auto"/>
              </w:rPr>
            </w:pPr>
          </w:p>
        </w:tc>
        <w:tc>
          <w:tcPr>
            <w:tcW w:w="160" w:type="dxa"/>
            <w:vAlign w:val="bottom"/>
            <w:shd w:val="clear" w:color="auto" w:fill="F4E8F3"/>
          </w:tcPr>
          <w:p>
            <w:pPr>
              <w:spacing w:after="0"/>
              <w:rPr>
                <w:sz w:val="17"/>
                <w:szCs w:val="17"/>
                <w:color w:val="auto"/>
              </w:rPr>
            </w:pPr>
          </w:p>
        </w:tc>
        <w:tc>
          <w:tcPr>
            <w:tcW w:w="12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Accumulated</w:t>
            </w:r>
          </w:p>
        </w:tc>
        <w:tc>
          <w:tcPr>
            <w:tcW w:w="100" w:type="dxa"/>
            <w:vAlign w:val="bottom"/>
            <w:shd w:val="clear" w:color="auto" w:fill="F4E8F3"/>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Net carrying</w:t>
            </w:r>
          </w:p>
        </w:tc>
        <w:tc>
          <w:tcPr>
            <w:tcW w:w="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Gross carrying</w:t>
            </w:r>
          </w:p>
        </w:tc>
        <w:tc>
          <w:tcPr>
            <w:tcW w:w="24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Net carrying</w:t>
            </w:r>
          </w:p>
        </w:tc>
      </w:tr>
      <w:tr>
        <w:trPr>
          <w:trHeight w:val="237"/>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80" w:type="dxa"/>
            <w:vAlign w:val="bottom"/>
            <w:tcBorders>
              <w:bottom w:val="single" w:sz="8" w:color="901588"/>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value</w:t>
            </w:r>
          </w:p>
        </w:tc>
        <w:tc>
          <w:tcPr>
            <w:tcW w:w="24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r>
      <w:tr>
        <w:trPr>
          <w:trHeight w:val="239"/>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Programs</w:t>
            </w:r>
          </w:p>
        </w:tc>
        <w:tc>
          <w:tcPr>
            <w:tcW w:w="38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1,687</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(1,317)</w:t>
            </w:r>
          </w:p>
        </w:tc>
        <w:tc>
          <w:tcPr>
            <w:tcW w:w="22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370</w:t>
            </w:r>
          </w:p>
        </w:tc>
        <w:tc>
          <w:tcPr>
            <w:tcW w:w="480" w:type="dxa"/>
            <w:vAlign w:val="bottom"/>
            <w:tcBorders>
              <w:bottom w:val="single" w:sz="8" w:color="B2B2B2"/>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393</w:t>
            </w:r>
          </w:p>
        </w:tc>
      </w:tr>
      <w:tr>
        <w:trPr>
          <w:trHeight w:val="237"/>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Software and technology</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91</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2,002</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(1,517)</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485</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513</w:t>
            </w:r>
          </w:p>
        </w:tc>
      </w:tr>
      <w:tr>
        <w:trPr>
          <w:trHeight w:val="234"/>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Indefinite-lived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r>
      <w:tr>
        <w:trPr>
          <w:trHeight w:val="239"/>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Trade names</w:t>
            </w: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300"/>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Borders>
              <w:bottom w:val="single" w:sz="8" w:color="901588"/>
            </w:tcBorders>
            <w:shd w:val="clear" w:color="auto" w:fill="F4E8F3"/>
          </w:tcPr>
          <w:p>
            <w:pPr>
              <w:spacing w:after="0"/>
              <w:rPr>
                <w:sz w:val="24"/>
                <w:szCs w:val="24"/>
                <w:color w:val="auto"/>
              </w:rPr>
            </w:pP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(1,517)</w:t>
            </w:r>
          </w:p>
        </w:tc>
        <w:tc>
          <w:tcPr>
            <w:tcW w:w="100" w:type="dxa"/>
            <w:vAlign w:val="bottom"/>
            <w:tcBorders>
              <w:bottom w:val="single" w:sz="8" w:color="901588"/>
            </w:tcBorders>
            <w:shd w:val="clear" w:color="auto" w:fill="F4E8F3"/>
          </w:tcPr>
          <w:p>
            <w:pPr>
              <w:spacing w:after="0"/>
              <w:rPr>
                <w:sz w:val="24"/>
                <w:szCs w:val="24"/>
                <w:color w:val="auto"/>
              </w:rPr>
            </w:pP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489</w:t>
            </w:r>
          </w:p>
        </w:tc>
        <w:tc>
          <w:tcPr>
            <w:tcW w:w="480" w:type="dxa"/>
            <w:vAlign w:val="bottom"/>
            <w:tcBorders>
              <w:bottom w:val="single" w:sz="8" w:color="901588"/>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$30 million and $37 million for the three months ended April 4, 2025, and March 29, 2024, respectively.</w:t>
      </w:r>
    </w:p>
    <w:p>
      <w:pPr>
        <w:spacing w:after="0" w:line="12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Program intangible assets are amortized over their respective estimated useful lives in proportion to the pattern of economic benefit based on expected future discounted cash flows. 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annual amortization expense as of April 4, 2025, was as follows: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46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10100" w:type="dxa"/>
            <w:vAlign w:val="bottom"/>
          </w:tcPr>
          <w:p>
            <w:pPr>
              <w:spacing w:after="0"/>
              <w:rPr>
                <w:sz w:val="20"/>
                <w:szCs w:val="20"/>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485</w:t>
            </w:r>
          </w:p>
        </w:tc>
      </w:tr>
      <w:tr>
        <w:trPr>
          <w:trHeight w:val="20"/>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1"/>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4–Fair Value Measurements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that are observable, either directly or indirectly, or quoted prices that are not active (Level 2); and unobservable inputs in which there is little or no market data (e.g., discounted cash flow and other similar pricing models), which requires us to develop our own market participant assumptions used in pricing the asset or liability (Level 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instruments measured at fair value on a recurring basis primarily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Pr>
          <w:p>
            <w:pPr>
              <w:spacing w:after="0"/>
              <w:rPr>
                <w:sz w:val="21"/>
                <w:szCs w:val="21"/>
                <w:color w:val="auto"/>
              </w:rPr>
            </w:pPr>
          </w:p>
        </w:tc>
        <w:tc>
          <w:tcPr>
            <w:tcW w:w="240" w:type="dxa"/>
            <w:vAlign w:val="bottom"/>
            <w:tcBorders>
              <w:bottom w:val="single" w:sz="8" w:color="901588"/>
            </w:tcBorders>
            <w:shd w:val="clear" w:color="auto" w:fill="F4E8F3"/>
          </w:tcPr>
          <w:p>
            <w:pPr>
              <w:spacing w:after="0"/>
              <w:rPr>
                <w:sz w:val="21"/>
                <w:szCs w:val="21"/>
                <w:color w:val="auto"/>
              </w:rPr>
            </w:pPr>
          </w:p>
        </w:tc>
        <w:tc>
          <w:tcPr>
            <w:tcW w:w="162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 2025</w:t>
            </w:r>
          </w:p>
        </w:tc>
        <w:tc>
          <w:tcPr>
            <w:tcW w:w="840" w:type="dxa"/>
            <w:vAlign w:val="bottom"/>
            <w:tcBorders>
              <w:bottom w:val="single" w:sz="8" w:color="901588"/>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901588"/>
            </w:tcBorders>
          </w:tcPr>
          <w:p>
            <w:pPr>
              <w:spacing w:after="0"/>
              <w:rPr>
                <w:sz w:val="21"/>
                <w:szCs w:val="21"/>
                <w:color w:val="auto"/>
              </w:rPr>
            </w:pPr>
          </w:p>
        </w:tc>
        <w:tc>
          <w:tcPr>
            <w:tcW w:w="16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January 3, 2025</w:t>
            </w:r>
          </w:p>
        </w:tc>
        <w:tc>
          <w:tcPr>
            <w:tcW w:w="760" w:type="dxa"/>
            <w:vAlign w:val="bottom"/>
            <w:tcBorders>
              <w:bottom w:val="single" w:sz="8" w:color="901588"/>
            </w:tcBorders>
          </w:tcPr>
          <w:p>
            <w:pPr>
              <w:spacing w:after="0"/>
              <w:rPr>
                <w:sz w:val="21"/>
                <w:szCs w:val="21"/>
                <w:color w:val="auto"/>
              </w:rPr>
            </w:pPr>
          </w:p>
        </w:tc>
      </w:tr>
      <w:tr>
        <w:trPr>
          <w:trHeight w:val="233"/>
        </w:trPr>
        <w:tc>
          <w:tcPr>
            <w:tcW w:w="5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901588"/>
            </w:tcBorders>
            <w:shd w:val="clear" w:color="auto" w:fill="F4E8F3"/>
          </w:tcPr>
          <w:p>
            <w:pPr>
              <w:spacing w:after="0"/>
              <w:rPr>
                <w:sz w:val="20"/>
                <w:szCs w:val="20"/>
                <w:color w:val="auto"/>
              </w:rPr>
            </w:pPr>
          </w:p>
        </w:tc>
        <w:tc>
          <w:tcPr>
            <w:tcW w:w="133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29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901588"/>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Carrying value</w:t>
            </w:r>
          </w:p>
        </w:tc>
        <w:tc>
          <w:tcPr>
            <w:tcW w:w="3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Fair value</w:t>
            </w:r>
          </w:p>
        </w:tc>
      </w:tr>
      <w:tr>
        <w:trPr>
          <w:trHeight w:val="234"/>
        </w:trPr>
        <w:tc>
          <w:tcPr>
            <w:tcW w:w="5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Financial assets:</w:t>
            </w:r>
          </w:p>
        </w:tc>
        <w:tc>
          <w:tcPr>
            <w:tcW w:w="240" w:type="dxa"/>
            <w:vAlign w:val="bottom"/>
            <w:tcBorders>
              <w:bottom w:val="single" w:sz="8" w:color="B2B2B2"/>
            </w:tcBorders>
            <w:shd w:val="clear" w:color="auto" w:fill="F4E8F3"/>
          </w:tcPr>
          <w:p>
            <w:pPr>
              <w:spacing w:after="0"/>
              <w:rPr>
                <w:sz w:val="20"/>
                <w:szCs w:val="20"/>
                <w:color w:val="auto"/>
              </w:rPr>
            </w:pPr>
          </w:p>
        </w:tc>
        <w:tc>
          <w:tcPr>
            <w:tcW w:w="1330" w:type="dxa"/>
            <w:vAlign w:val="bottom"/>
            <w:tcBorders>
              <w:bottom w:val="single" w:sz="8" w:color="B2B2B2"/>
            </w:tcBorders>
            <w:shd w:val="clear" w:color="auto" w:fill="F4E8F3"/>
          </w:tcPr>
          <w:p>
            <w:pPr>
              <w:spacing w:after="0"/>
              <w:rPr>
                <w:sz w:val="20"/>
                <w:szCs w:val="20"/>
                <w:color w:val="auto"/>
              </w:rPr>
            </w:pPr>
          </w:p>
        </w:tc>
        <w:tc>
          <w:tcPr>
            <w:tcW w:w="29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r>
      <w:tr>
        <w:trPr>
          <w:trHeight w:val="239"/>
        </w:trPr>
        <w:tc>
          <w:tcPr>
            <w:tcW w:w="57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Derivatives</w:t>
            </w: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30" w:type="dxa"/>
            <w:vAlign w:val="bottom"/>
            <w:tcBorders>
              <w:bottom w:val="single" w:sz="8" w:color="901588"/>
            </w:tcBorders>
            <w:shd w:val="clear" w:color="auto" w:fill="F4E8F3"/>
          </w:tcPr>
          <w:p>
            <w:pPr>
              <w:jc w:val="right"/>
              <w:ind w:right="49"/>
              <w:spacing w:after="0"/>
              <w:rPr>
                <w:sz w:val="20"/>
                <w:szCs w:val="20"/>
                <w:color w:val="auto"/>
              </w:rPr>
            </w:pPr>
            <w:r>
              <w:rPr>
                <w:rFonts w:ascii="Arial" w:cs="Arial" w:eastAsia="Arial" w:hAnsi="Arial"/>
                <w:sz w:val="16"/>
                <w:szCs w:val="16"/>
                <w:b w:val="1"/>
                <w:bCs w:val="1"/>
                <w:color w:val="auto"/>
              </w:rPr>
              <w:t>3</w:t>
            </w:r>
          </w:p>
        </w:tc>
        <w:tc>
          <w:tcPr>
            <w:tcW w:w="29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380" w:type="dxa"/>
            <w:vAlign w:val="bottom"/>
            <w:tcBorders>
              <w:bottom w:val="single" w:sz="8" w:color="901588"/>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bl>
    <w:p>
      <w:pPr>
        <w:spacing w:after="0" w:line="188"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As of April 4, 2025, and January 3, 2025, our derivatives primarily consisted of the cash flow interest rate swaps on $500 million of the variable rate senior unsecured term loan (see "Note 5–Derivative Instruments"). The fair value of the cash flow interest rate swaps is determined based on observed values for underlying interest rates on the one-month Secured Overnight Financing Rate ("SOFR") rate as of April 4, 2025, and January 3, 2025 (Level 2 inputs).</w:t>
      </w:r>
    </w:p>
    <w:p>
      <w:pPr>
        <w:spacing w:after="0" w:line="7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 carrying amounts of our financial instruments, other than derivatives, which include cash equivalents, accounts receivable, accounts payable and accrued expenses, are reasonable estimates of their related fair values. As of April 4, 2025, and January 3, 2025, the carrying value of our notes receivable of $16 million approximates fair value as the stated interest rates within the agreements are consistent with the current market rates for similar instruments (Level 2 inputs). Our notes receivable are included within “Other current assets” and "Other long-term assets" on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April 4, 2025, and January 3, 2025, the fair value of debt was $5.1 billion and $4.5 billion, respectively, and the carrying amount was $5.1 billion and</w:t>
      </w:r>
    </w:p>
    <w:p>
      <w:pPr>
        <w:spacing w:after="0" w:line="31"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$4.7 billion, respectively (see "Note 6–Debt"). The fair value of long-term debt is determined based on current interest rates available for debt with terms and maturities similar to our existing debt arrangements and our credit rating (Level 2 inputs).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5–Derivative Instruments</w:t>
      </w:r>
    </w:p>
    <w:p>
      <w:pPr>
        <w:spacing w:after="0" w:line="13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We manage our risk to changes in interest rates through the use of derivative instruments. We do not hold derivative instruments for trading or speculative purposes. For variable rate borrowings, we use fixed interest rate swaps, effectively converting a portion of the variable interest rate payments to fixed interest rate payments. These swaps are designated as cash flow hedges.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interest rate swaps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40"/>
        </w:trPr>
        <w:tc>
          <w:tcPr>
            <w:tcW w:w="31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920" w:type="dxa"/>
            <w:vAlign w:val="bottom"/>
            <w:tcBorders>
              <w:bottom w:val="single" w:sz="8" w:color="901588"/>
            </w:tcBorders>
          </w:tcPr>
          <w:p>
            <w:pPr>
              <w:ind w:left="980"/>
              <w:spacing w:after="0"/>
              <w:rPr>
                <w:sz w:val="20"/>
                <w:szCs w:val="20"/>
                <w:color w:val="auto"/>
              </w:rPr>
            </w:pPr>
            <w:r>
              <w:rPr>
                <w:rFonts w:ascii="Arial" w:cs="Arial" w:eastAsia="Arial" w:hAnsi="Arial"/>
                <w:sz w:val="16"/>
                <w:szCs w:val="16"/>
                <w:b w:val="1"/>
                <w:bCs w:val="1"/>
                <w:color w:val="auto"/>
              </w:rPr>
              <w:t>Balance sheet line item</w:t>
            </w:r>
          </w:p>
        </w:tc>
        <w:tc>
          <w:tcPr>
            <w:tcW w:w="54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6"/>
        </w:trPr>
        <w:tc>
          <w:tcPr>
            <w:tcW w:w="31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flow interest rate swaps</w:t>
            </w:r>
          </w:p>
        </w:tc>
        <w:tc>
          <w:tcPr>
            <w:tcW w:w="4920" w:type="dxa"/>
            <w:vAlign w:val="bottom"/>
            <w:tcBorders>
              <w:bottom w:val="single" w:sz="8" w:color="901588"/>
            </w:tcBorders>
          </w:tcPr>
          <w:p>
            <w:pPr>
              <w:ind w:left="980"/>
              <w:spacing w:after="0"/>
              <w:rPr>
                <w:sz w:val="20"/>
                <w:szCs w:val="20"/>
                <w:color w:val="auto"/>
              </w:rPr>
            </w:pPr>
            <w:r>
              <w:rPr>
                <w:rFonts w:ascii="Arial" w:cs="Arial" w:eastAsia="Arial" w:hAnsi="Arial"/>
                <w:sz w:val="16"/>
                <w:szCs w:val="16"/>
                <w:color w:val="auto"/>
              </w:rPr>
              <w:t>Other current assets</w:t>
            </w:r>
          </w:p>
        </w:tc>
        <w:tc>
          <w:tcPr>
            <w:tcW w:w="54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5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cash flows associated with the interest rate swaps are classified as operating activities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13</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FLOW HEDGES</w:t>
      </w:r>
    </w:p>
    <w:p>
      <w:pPr>
        <w:spacing w:after="0" w:line="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interest rate swap agreements to hedge the cash flows of $500 million of the variable rate senior unsecured term loan (the "Variable Rate Loan"). These interest rate swap agreements have a maturity date of August 2025 and a fixed interest rate of 2.96%. The objective of these instruments is to reduce variability in the forecasted interest payments of the Variable Rate Loan. Under the terms of the interest rate swap agreements, we will receive monthly variable interest payments based on the one-month SOFR and will pay interest at a fixed rate.</w:t>
      </w:r>
    </w:p>
    <w:p>
      <w:pPr>
        <w:spacing w:after="0" w:line="5"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interest rate swap transactions are accounted for as cash flow hedges. The gain/loss on the swaps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cash flow hedges on other comprehensive income (loss) and earnings for the periods presented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20" w:type="dxa"/>
            <w:vAlign w:val="bottom"/>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19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901588"/>
            </w:tcBorders>
          </w:tcPr>
          <w:p>
            <w:pPr>
              <w:spacing w:after="0"/>
              <w:rPr>
                <w:sz w:val="19"/>
                <w:szCs w:val="19"/>
                <w:color w:val="auto"/>
              </w:rPr>
            </w:pPr>
          </w:p>
        </w:tc>
      </w:tr>
      <w:tr>
        <w:trPr>
          <w:trHeight w:val="199"/>
        </w:trPr>
        <w:tc>
          <w:tcPr>
            <w:tcW w:w="8120" w:type="dxa"/>
            <w:vAlign w:val="bottom"/>
          </w:tcPr>
          <w:p>
            <w:pPr>
              <w:spacing w:after="0"/>
              <w:rPr>
                <w:sz w:val="17"/>
                <w:szCs w:val="17"/>
                <w:color w:val="auto"/>
              </w:rPr>
            </w:pPr>
          </w:p>
        </w:tc>
        <w:tc>
          <w:tcPr>
            <w:tcW w:w="440" w:type="dxa"/>
            <w:vAlign w:val="bottom"/>
            <w:shd w:val="clear" w:color="auto" w:fill="F4E8F3"/>
          </w:tcPr>
          <w:p>
            <w:pPr>
              <w:spacing w:after="0"/>
              <w:rPr>
                <w:sz w:val="17"/>
                <w:szCs w:val="17"/>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March 29,</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Total interest expense, net presented in the condensed consolidated statements of operations in which the</w:t>
            </w:r>
          </w:p>
        </w:tc>
        <w:tc>
          <w:tcPr>
            <w:tcW w:w="440" w:type="dxa"/>
            <w:vAlign w:val="bottom"/>
            <w:shd w:val="clear" w:color="auto" w:fill="F4E8F3"/>
          </w:tcPr>
          <w:p>
            <w:pPr>
              <w:spacing w:after="0"/>
              <w:rPr>
                <w:sz w:val="17"/>
                <w:szCs w:val="17"/>
                <w:color w:val="auto"/>
              </w:rPr>
            </w:pPr>
          </w:p>
        </w:tc>
        <w:tc>
          <w:tcPr>
            <w:tcW w:w="1120" w:type="dxa"/>
            <w:vAlign w:val="bottom"/>
            <w:shd w:val="clear" w:color="auto" w:fill="F4E8F3"/>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effects of cash flow hedges are recorded</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w:t>
            </w:r>
          </w:p>
        </w:tc>
        <w:tc>
          <w:tcPr>
            <w:tcW w:w="820" w:type="dxa"/>
            <w:vAlign w:val="bottom"/>
            <w:tcBorders>
              <w:bottom w:val="single" w:sz="8" w:color="B2B2B2"/>
            </w:tcBorders>
          </w:tcPr>
          <w:p>
            <w:pPr>
              <w:jc w:val="right"/>
              <w:ind w:right="5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Amount recognized in other comprehensive income</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Amount reclassified from accumulated other comprehensive loss to interest expense, net</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reclassify net gains of $2 million from accumulated other comprehensive loss into earnings during the next 12 months.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6–Debt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20"/>
                <w:szCs w:val="20"/>
                <w:color w:val="auto"/>
              </w:rPr>
            </w:pPr>
            <w:r>
              <w:rPr>
                <w:rFonts w:ascii="Arial" w:cs="Arial" w:eastAsia="Arial" w:hAnsi="Arial"/>
                <w:sz w:val="16"/>
                <w:szCs w:val="16"/>
                <w:color w:val="auto"/>
              </w:rPr>
              <w:t>Our debt consisted of the following:</w:t>
            </w: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
        </w:trPr>
        <w:tc>
          <w:tcPr>
            <w:tcW w:w="5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530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Stated interest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Effective interest</w:t>
            </w:r>
          </w:p>
        </w:tc>
        <w:tc>
          <w:tcPr>
            <w:tcW w:w="520" w:type="dxa"/>
            <w:vAlign w:val="bottom"/>
            <w:shd w:val="clear" w:color="auto" w:fill="F4E8F3"/>
          </w:tcPr>
          <w:p>
            <w:pPr>
              <w:spacing w:after="0"/>
              <w:rPr>
                <w:sz w:val="17"/>
                <w:szCs w:val="17"/>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37"/>
        </w:trPr>
        <w:tc>
          <w:tcPr>
            <w:tcW w:w="5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52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rate</w:t>
            </w:r>
          </w:p>
        </w:tc>
        <w:tc>
          <w:tcPr>
            <w:tcW w:w="144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rate</w:t>
            </w: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term loan:</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term loan, due March 2028</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5.67 %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5.84 %</w:t>
            </w:r>
          </w:p>
        </w:tc>
        <w:tc>
          <w:tcPr>
            <w:tcW w:w="52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975</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34"/>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notes:</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May 2025</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3.63 %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3.76 %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May 2030</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4.38 %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4.50 %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notes, due February 2031</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2.30 %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2.38 %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5.40 %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5.42 %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$250 million notes, due July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7.13 %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7.43 %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March 2033</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5.75 %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5.81 %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July 2033</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5.88 %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2035</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5.55 %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December 2040</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5.95 %</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6.03 %</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Finance leases due on various dates through fiscal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1.84%-6.31%</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discounts and deferred debt issuance costs</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long-term debt</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5,133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4,670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current portion</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(618)</w:t>
            </w:r>
          </w:p>
        </w:tc>
      </w:tr>
      <w:tr>
        <w:trPr>
          <w:trHeight w:val="300"/>
        </w:trPr>
        <w:tc>
          <w:tcPr>
            <w:tcW w:w="5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152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spacing w:after="0"/>
              <w:rPr>
                <w:sz w:val="24"/>
                <w:szCs w:val="24"/>
                <w:color w:val="auto"/>
              </w:rPr>
            </w:pPr>
          </w:p>
        </w:tc>
        <w:tc>
          <w:tcPr>
            <w:tcW w:w="52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5,014</w:t>
            </w:r>
          </w:p>
        </w:tc>
        <w:tc>
          <w:tcPr>
            <w:tcW w:w="46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4,052</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REVOLVING CREDIT FACILITY</w:t>
      </w:r>
    </w:p>
    <w:p>
      <w:pPr>
        <w:spacing w:after="0" w:line="12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have a $1.0 billion senior unsecured revolving facility (the “Revolving Facility”). The Revolving Facility will mature in March 2028 and is subject to an annual commitment fee rate of 0.125% on the unused credit availability and permits two additional one-year extensions subject to lender consent. Principal payments are made quarterly, with the majority of the principal due at maturity. As of April 4, 2025, and January 3, 2025, there were no borrowings outstanding under the Revolving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NOTES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On February 20, 2025, we issued and sold $500 million senior notes maturing in March 2032 (the "2032 Notes") and $500 million senior notes maturing in March 2035 (the "2035 Notes", and together with the 2032 Notes, the "Notes"). The Notes are senior unsecured obligations issued by Leidos, Inc. and guaranteed by Leidos Holdings, Inc. The annual interest rates for the 2032 Notes and the 2035 Notes are 5.40% and 5.50%, respectively, and the interest is payable on a semi-annual basis. In connection with the issuance of the Notes, $10 million of debt issuance costs and discount were recognized, which were recorded as an offset against the carrying value of debt. The proceeds from the Notes were used to retire the $500 million senior unsecured notes due May 2025 and repurchase $500 million outstanding shares of common stock in connection with the Accelerated Share Repurchase ("ASR") agreement (see "Note 8–Earnings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COMMERCIAL PAPER</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have a commercial paper program in which the Company may issue short-term unsecured commercial paper notes ("Commercial Paper Notes") not to exceed $1.0 billion. The proceeds will be used for general corporate purposes, including working capital, capital expenditures, acquisitions and share repurchases.</w:t>
      </w:r>
    </w:p>
    <w:p>
      <w:pPr>
        <w:spacing w:after="0" w:line="5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 Commercial Paper Notes are issued in minimum denominations of $0.25 million and have maturities of up to 397 days from the date of issuance. The Commercial Paper Notes either bear a stated or floating interest rate, if interest bearing, or will be sold at a discount from the face amount. As of April 4, 2025, and January 3, 2025, we did not have any Commercial Paper Notes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COVENANTS</w:t>
      </w:r>
    </w:p>
    <w:p>
      <w:pPr>
        <w:spacing w:after="0" w:line="12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senior unsecured term loan, senior unsecured notes and Revolving Facility are fully and unconditionally guaranteed and contain certain customary restrictive covenants, including among other things, restrictions on our ability to create liens and enter into sale and leaseback transactions under certain circumstances.</w:t>
      </w:r>
    </w:p>
    <w:p>
      <w:pPr>
        <w:spacing w:after="0" w:line="5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financial covenants in the Revolving Facility and the senior unsecured term loan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financial covenants as of April 4,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PRINCIPAL PAYMENTS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of debt are as follows: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Fiscal Year Ending </w:t>
      </w: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2025 (remainder of year)</w:t>
            </w:r>
          </w:p>
        </w:tc>
        <w:tc>
          <w:tcPr>
            <w:tcW w:w="4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2026</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42"/>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2027</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2028</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2029</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2"/>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2030 and thereafter</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4,139</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901588"/>
            </w:tcBorders>
          </w:tcPr>
          <w:p>
            <w:pPr>
              <w:spacing w:after="0"/>
              <w:rPr>
                <w:sz w:val="3"/>
                <w:szCs w:val="3"/>
                <w:color w:val="auto"/>
              </w:rPr>
            </w:pPr>
          </w:p>
        </w:tc>
        <w:tc>
          <w:tcPr>
            <w:tcW w:w="480" w:type="dxa"/>
            <w:vAlign w:val="bottom"/>
            <w:tcBorders>
              <w:bottom w:val="single" w:sz="8" w:color="901588"/>
            </w:tcBorders>
          </w:tcPr>
          <w:p>
            <w:pPr>
              <w:spacing w:after="0"/>
              <w:rPr>
                <w:sz w:val="3"/>
                <w:szCs w:val="3"/>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6"/>
                <w:szCs w:val="16"/>
                <w:color w:val="auto"/>
              </w:rPr>
              <w:t>Total principal payments</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5,173</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B2B2B2"/>
            </w:tcBorders>
          </w:tcPr>
          <w:p>
            <w:pPr>
              <w:spacing w:after="0"/>
              <w:rPr>
                <w:sz w:val="3"/>
                <w:szCs w:val="3"/>
                <w:color w:val="auto"/>
              </w:rPr>
            </w:pPr>
          </w:p>
        </w:tc>
        <w:tc>
          <w:tcPr>
            <w:tcW w:w="480" w:type="dxa"/>
            <w:vAlign w:val="bottom"/>
            <w:tcBorders>
              <w:bottom w:val="single" w:sz="8" w:color="B2B2B2"/>
            </w:tcBorders>
          </w:tcPr>
          <w:p>
            <w:pPr>
              <w:spacing w:after="0"/>
              <w:rPr>
                <w:sz w:val="3"/>
                <w:szCs w:val="3"/>
                <w:color w:val="auto"/>
              </w:rPr>
            </w:pPr>
          </w:p>
        </w:tc>
      </w:tr>
      <w:tr>
        <w:trPr>
          <w:trHeight w:val="221"/>
        </w:trPr>
        <w:tc>
          <w:tcPr>
            <w:tcW w:w="6600" w:type="dxa"/>
            <w:vAlign w:val="bottom"/>
          </w:tcPr>
          <w:p>
            <w:pPr>
              <w:ind w:left="140"/>
              <w:spacing w:after="0"/>
              <w:rPr>
                <w:sz w:val="20"/>
                <w:szCs w:val="20"/>
                <w:color w:val="auto"/>
              </w:rPr>
            </w:pPr>
            <w:r>
              <w:rPr>
                <w:rFonts w:ascii="Arial" w:cs="Arial" w:eastAsia="Arial" w:hAnsi="Arial"/>
                <w:sz w:val="16"/>
                <w:szCs w:val="16"/>
                <w:color w:val="auto"/>
              </w:rPr>
              <w:t>Less: unamortized debt discount and issuance costs</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3"/>
        </w:trPr>
        <w:tc>
          <w:tcPr>
            <w:tcW w:w="6600" w:type="dxa"/>
            <w:vAlign w:val="bottom"/>
            <w:tcBorders>
              <w:bottom w:val="single" w:sz="8" w:color="B2B2B2"/>
            </w:tcBorders>
          </w:tcPr>
          <w:p>
            <w:pPr>
              <w:spacing w:after="0"/>
              <w:rPr>
                <w:sz w:val="3"/>
                <w:szCs w:val="3"/>
                <w:color w:val="auto"/>
              </w:rPr>
            </w:pPr>
          </w:p>
        </w:tc>
        <w:tc>
          <w:tcPr>
            <w:tcW w:w="3160" w:type="dxa"/>
            <w:vAlign w:val="bottom"/>
            <w:tcBorders>
              <w:bottom w:val="single" w:sz="8" w:color="B2B2B2"/>
            </w:tcBorders>
          </w:tcPr>
          <w:p>
            <w:pPr>
              <w:spacing w:after="0"/>
              <w:rPr>
                <w:sz w:val="3"/>
                <w:szCs w:val="3"/>
                <w:color w:val="auto"/>
              </w:rPr>
            </w:pPr>
          </w:p>
        </w:tc>
        <w:tc>
          <w:tcPr>
            <w:tcW w:w="1000" w:type="dxa"/>
            <w:vAlign w:val="bottom"/>
            <w:tcBorders>
              <w:bottom w:val="single" w:sz="8" w:color="901588"/>
            </w:tcBorders>
          </w:tcPr>
          <w:p>
            <w:pPr>
              <w:spacing w:after="0"/>
              <w:rPr>
                <w:sz w:val="3"/>
                <w:szCs w:val="3"/>
                <w:color w:val="auto"/>
              </w:rPr>
            </w:pPr>
          </w:p>
        </w:tc>
        <w:tc>
          <w:tcPr>
            <w:tcW w:w="480" w:type="dxa"/>
            <w:vAlign w:val="bottom"/>
            <w:tcBorders>
              <w:bottom w:val="single" w:sz="8" w:color="901588"/>
            </w:tcBorders>
          </w:tcPr>
          <w:p>
            <w:pPr>
              <w:spacing w:after="0"/>
              <w:rPr>
                <w:sz w:val="3"/>
                <w:szCs w:val="3"/>
                <w:color w:val="auto"/>
              </w:rPr>
            </w:pPr>
          </w:p>
        </w:tc>
      </w:tr>
      <w:tr>
        <w:trPr>
          <w:trHeight w:val="328"/>
        </w:trPr>
        <w:tc>
          <w:tcPr>
            <w:tcW w:w="660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4160" w:type="dxa"/>
            <w:vAlign w:val="bottom"/>
            <w:tcBorders>
              <w:bottom w:val="single" w:sz="8" w:color="F4E8F3"/>
            </w:tcBorders>
            <w:gridSpan w:val="2"/>
            <w:shd w:val="clear" w:color="auto" w:fill="F4E8F3"/>
          </w:tcPr>
          <w:p>
            <w:pPr>
              <w:jc w:val="right"/>
              <w:ind w:right="8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5,133</w:t>
            </w:r>
          </w:p>
        </w:tc>
      </w:tr>
      <w:tr>
        <w:trPr>
          <w:trHeight w:val="769"/>
        </w:trPr>
        <w:tc>
          <w:tcPr>
            <w:tcW w:w="6600" w:type="dxa"/>
            <w:vAlign w:val="bottom"/>
            <w:tcBorders>
              <w:top w:val="single" w:sz="8" w:color="901588"/>
            </w:tcBorders>
          </w:tcPr>
          <w:p>
            <w:pPr>
              <w:spacing w:after="0"/>
              <w:rPr>
                <w:sz w:val="24"/>
                <w:szCs w:val="24"/>
                <w:color w:val="auto"/>
              </w:rPr>
            </w:pPr>
          </w:p>
        </w:tc>
        <w:tc>
          <w:tcPr>
            <w:tcW w:w="4160" w:type="dxa"/>
            <w:vAlign w:val="bottom"/>
            <w:tcBorders>
              <w:top w:val="single" w:sz="8" w:color="901588"/>
            </w:tcBorders>
            <w:gridSpan w:val="2"/>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Borders>
              <w:top w:val="single" w:sz="8" w:color="901588"/>
            </w:tcBorders>
          </w:tcPr>
          <w:p>
            <w:pPr>
              <w:jc w:val="right"/>
              <w:spacing w:after="0"/>
              <w:rPr>
                <w:sz w:val="20"/>
                <w:szCs w:val="20"/>
                <w:color w:val="auto"/>
              </w:rPr>
            </w:pPr>
            <w:r>
              <w:rPr>
                <w:rFonts w:ascii="Arial" w:cs="Arial" w:eastAsia="Arial" w:hAnsi="Arial"/>
                <w:sz w:val="14"/>
                <w:szCs w:val="14"/>
                <w:b w:val="1"/>
                <w:bCs w:val="1"/>
                <w:color w:val="901588"/>
              </w:rPr>
              <w:t>15</w:t>
            </w:r>
          </w:p>
        </w:tc>
      </w:tr>
      <w:tr>
        <w:trPr>
          <w:trHeight w:val="333"/>
        </w:trPr>
        <w:tc>
          <w:tcPr>
            <w:tcW w:w="66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7–Accumulated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Income (Loss)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Unrecognized gain</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(loss) on derivative</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0"/>
        </w:trPr>
        <w:tc>
          <w:tcPr>
            <w:tcW w:w="44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translation adjustments</w:t>
            </w:r>
          </w:p>
        </w:tc>
        <w:tc>
          <w:tcPr>
            <w:tcW w:w="160" w:type="dxa"/>
            <w:vAlign w:val="bottom"/>
            <w:tcBorders>
              <w:bottom w:val="single" w:sz="8" w:color="901588"/>
            </w:tcBorders>
          </w:tcPr>
          <w:p>
            <w:pPr>
              <w:spacing w:after="0"/>
              <w:rPr>
                <w:sz w:val="20"/>
                <w:szCs w:val="20"/>
                <w:color w:val="auto"/>
              </w:rPr>
            </w:pPr>
          </w:p>
        </w:tc>
        <w:tc>
          <w:tcPr>
            <w:tcW w:w="16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instruments</w:t>
            </w:r>
          </w:p>
        </w:tc>
        <w:tc>
          <w:tcPr>
            <w:tcW w:w="32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 AOCI</w:t>
            </w:r>
          </w:p>
        </w:tc>
      </w:tr>
      <w:tr>
        <w:trPr>
          <w:trHeight w:val="234"/>
        </w:trPr>
        <w:tc>
          <w:tcPr>
            <w:tcW w:w="4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December 29, 2023</w:t>
            </w:r>
          </w:p>
        </w:tc>
        <w:tc>
          <w:tcPr>
            <w:tcW w:w="36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36"/>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442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4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January 3, 2025</w:t>
            </w:r>
          </w:p>
        </w:tc>
        <w:tc>
          <w:tcPr>
            <w:tcW w:w="360" w:type="dxa"/>
            <w:vAlign w:val="bottom"/>
            <w:tcBorders>
              <w:top w:val="single" w:sz="8" w:color="901588"/>
              <w:bottom w:val="single" w:sz="8" w:color="B2B2B2"/>
            </w:tcBorders>
          </w:tcPr>
          <w:p>
            <w:pPr>
              <w:spacing w:after="0"/>
              <w:rPr>
                <w:sz w:val="20"/>
                <w:szCs w:val="20"/>
                <w:color w:val="auto"/>
              </w:rPr>
            </w:pPr>
          </w:p>
        </w:tc>
        <w:tc>
          <w:tcPr>
            <w:tcW w:w="15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top w:val="single" w:sz="8" w:color="B2B2B2"/>
              <w:bottom w:val="single" w:sz="8" w:color="B2B2B2"/>
            </w:tcBorders>
          </w:tcPr>
          <w:p>
            <w:pPr>
              <w:spacing w:after="0"/>
              <w:rPr>
                <w:sz w:val="20"/>
                <w:szCs w:val="20"/>
                <w:color w:val="auto"/>
              </w:rPr>
            </w:pPr>
          </w:p>
        </w:tc>
        <w:tc>
          <w:tcPr>
            <w:tcW w:w="160" w:type="dxa"/>
            <w:vAlign w:val="bottom"/>
            <w:tcBorders>
              <w:top w:val="single" w:sz="8" w:color="901588"/>
              <w:bottom w:val="single" w:sz="8" w:color="B2B2B2"/>
            </w:tcBorders>
          </w:tcPr>
          <w:p>
            <w:pPr>
              <w:spacing w:after="0"/>
              <w:rPr>
                <w:sz w:val="20"/>
                <w:szCs w:val="20"/>
                <w:color w:val="auto"/>
              </w:rPr>
            </w:pPr>
          </w:p>
        </w:tc>
        <w:tc>
          <w:tcPr>
            <w:tcW w:w="15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B2B2B2"/>
              <w:bottom w:val="single" w:sz="8" w:color="B2B2B2"/>
            </w:tcBorders>
          </w:tcPr>
          <w:p>
            <w:pPr>
              <w:spacing w:after="0"/>
              <w:rPr>
                <w:sz w:val="20"/>
                <w:szCs w:val="20"/>
                <w:color w:val="auto"/>
              </w:rPr>
            </w:pPr>
          </w:p>
        </w:tc>
        <w:tc>
          <w:tcPr>
            <w:tcW w:w="320" w:type="dxa"/>
            <w:vAlign w:val="bottom"/>
            <w:tcBorders>
              <w:top w:val="single" w:sz="8" w:color="901588"/>
              <w:bottom w:val="single" w:sz="8" w:color="B2B2B2"/>
            </w:tcBorders>
          </w:tcPr>
          <w:p>
            <w:pPr>
              <w:spacing w:after="0"/>
              <w:rPr>
                <w:sz w:val="20"/>
                <w:szCs w:val="20"/>
                <w:color w:val="auto"/>
              </w:rPr>
            </w:pPr>
          </w:p>
        </w:tc>
        <w:tc>
          <w:tcPr>
            <w:tcW w:w="11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B2B2B2"/>
              <w:bottom w:val="single" w:sz="8" w:color="B2B2B2"/>
            </w:tcBorders>
          </w:tcPr>
          <w:p>
            <w:pPr>
              <w:spacing w:after="0"/>
              <w:rPr>
                <w:sz w:val="20"/>
                <w:szCs w:val="20"/>
                <w:color w:val="auto"/>
              </w:rPr>
            </w:pPr>
          </w:p>
        </w:tc>
        <w:tc>
          <w:tcPr>
            <w:tcW w:w="360" w:type="dxa"/>
            <w:vAlign w:val="bottom"/>
            <w:tcBorders>
              <w:top w:val="single" w:sz="8" w:color="901588"/>
              <w:bottom w:val="single" w:sz="8" w:color="B2B2B2"/>
            </w:tcBorders>
          </w:tcPr>
          <w:p>
            <w:pPr>
              <w:spacing w:after="0"/>
              <w:rPr>
                <w:sz w:val="20"/>
                <w:szCs w:val="20"/>
                <w:color w:val="auto"/>
              </w:rPr>
            </w:pPr>
          </w:p>
        </w:tc>
        <w:tc>
          <w:tcPr>
            <w:tcW w:w="10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(110)</w:t>
            </w:r>
          </w:p>
        </w:tc>
      </w:tr>
      <w:tr>
        <w:trPr>
          <w:trHeight w:val="236"/>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Borders>
              <w:bottom w:val="single" w:sz="8" w:color="901588"/>
            </w:tcBorders>
          </w:tcPr>
          <w:p>
            <w:pPr>
              <w:spacing w:after="0"/>
              <w:rPr>
                <w:sz w:val="20"/>
                <w:szCs w:val="20"/>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5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303"/>
        </w:trPr>
        <w:tc>
          <w:tcPr>
            <w:tcW w:w="44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April 4, 2025</w:t>
            </w:r>
          </w:p>
        </w:tc>
        <w:tc>
          <w:tcPr>
            <w:tcW w:w="36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(70)</w:t>
            </w:r>
          </w:p>
        </w:tc>
        <w:tc>
          <w:tcPr>
            <w:tcW w:w="80" w:type="dxa"/>
            <w:vAlign w:val="bottom"/>
            <w:tcBorders>
              <w:bottom w:val="single" w:sz="8" w:color="901588"/>
            </w:tcBorders>
            <w:shd w:val="clear" w:color="auto" w:fill="F4E8F3"/>
          </w:tcPr>
          <w:p>
            <w:pPr>
              <w:spacing w:after="0"/>
              <w:rPr>
                <w:sz w:val="24"/>
                <w:szCs w:val="24"/>
                <w:color w:val="auto"/>
              </w:rPr>
            </w:pP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901588"/>
            </w:tcBorders>
            <w:gridSpan w:val="2"/>
            <w:shd w:val="clear" w:color="auto" w:fill="F4E8F3"/>
          </w:tcPr>
          <w:p>
            <w:pPr>
              <w:jc w:val="right"/>
              <w:ind w:right="1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901588"/>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w:t>
            </w:r>
          </w:p>
        </w:tc>
      </w:tr>
    </w:tbl>
    <w:p>
      <w:pPr>
        <w:spacing w:after="0" w:line="18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Reclassifications from unrecognized gain (loss) on derivative instruments are recorded in "Interest expense, net" in the condensed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8–Earnings Per Share</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The following table provides a reconciliation of the weighted average number of shares outstanding used to compute basic and diluted EPS for the periods presented:</w:t>
      </w:r>
    </w:p>
    <w:tbl>
      <w:tblPr>
        <w:tblLayout w:type="fixed"/>
        <w:tblInd w:w="0" w:type="dxa"/>
        <w:tblCellMar>
          <w:top w:w="0" w:type="dxa"/>
          <w:left w:w="0" w:type="dxa"/>
          <w:bottom w:w="0" w:type="dxa"/>
          <w:right w:w="0" w:type="dxa"/>
        </w:tblCellMar>
      </w:tblPr>
      <w:tr>
        <w:trPr>
          <w:trHeight w:val="226"/>
        </w:trPr>
        <w:tc>
          <w:tcPr>
            <w:tcW w:w="8140" w:type="dxa"/>
            <w:vAlign w:val="bottom"/>
          </w:tcPr>
          <w:p>
            <w:pPr>
              <w:spacing w:after="0"/>
              <w:rPr>
                <w:sz w:val="19"/>
                <w:szCs w:val="19"/>
                <w:color w:val="auto"/>
              </w:rPr>
            </w:pPr>
          </w:p>
        </w:tc>
        <w:tc>
          <w:tcPr>
            <w:tcW w:w="2360" w:type="dxa"/>
            <w:vAlign w:val="bottom"/>
            <w:tcBorders>
              <w:bottom w:val="single" w:sz="8" w:color="901588"/>
            </w:tcBorders>
            <w:gridSpan w:val="3"/>
          </w:tcPr>
          <w:p>
            <w:pPr>
              <w:ind w:left="760"/>
              <w:spacing w:after="0"/>
              <w:rPr>
                <w:sz w:val="20"/>
                <w:szCs w:val="20"/>
                <w:color w:val="auto"/>
              </w:rPr>
            </w:pPr>
            <w:r>
              <w:rPr>
                <w:rFonts w:ascii="Arial" w:cs="Arial" w:eastAsia="Arial" w:hAnsi="Arial"/>
                <w:sz w:val="16"/>
                <w:szCs w:val="16"/>
                <w:b w:val="1"/>
                <w:bCs w:val="1"/>
                <w:color w:val="auto"/>
                <w:w w:val="99"/>
              </w:rPr>
              <w:t>Three Months Ended</w:t>
            </w:r>
          </w:p>
        </w:tc>
        <w:tc>
          <w:tcPr>
            <w:tcW w:w="740" w:type="dxa"/>
            <w:vAlign w:val="bottom"/>
            <w:tcBorders>
              <w:bottom w:val="single" w:sz="8" w:color="901588"/>
            </w:tcBorders>
          </w:tcPr>
          <w:p>
            <w:pPr>
              <w:spacing w:after="0"/>
              <w:rPr>
                <w:sz w:val="19"/>
                <w:szCs w:val="19"/>
                <w:color w:val="auto"/>
              </w:rPr>
            </w:pPr>
          </w:p>
        </w:tc>
      </w:tr>
      <w:tr>
        <w:trPr>
          <w:trHeight w:val="213"/>
        </w:trPr>
        <w:tc>
          <w:tcPr>
            <w:tcW w:w="8140" w:type="dxa"/>
            <w:vAlign w:val="bottom"/>
          </w:tcPr>
          <w:p>
            <w:pPr>
              <w:spacing w:after="0"/>
              <w:rPr>
                <w:sz w:val="18"/>
                <w:szCs w:val="18"/>
                <w:color w:val="auto"/>
              </w:rPr>
            </w:pPr>
          </w:p>
        </w:tc>
        <w:tc>
          <w:tcPr>
            <w:tcW w:w="15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March 29,</w:t>
            </w:r>
          </w:p>
        </w:tc>
      </w:tr>
      <w:tr>
        <w:trPr>
          <w:trHeight w:val="226"/>
        </w:trPr>
        <w:tc>
          <w:tcPr>
            <w:tcW w:w="8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5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72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6"/>
        </w:trPr>
        <w:tc>
          <w:tcPr>
            <w:tcW w:w="8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5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8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Dilutive common share equivalents—stock options and other stock awards</w:t>
            </w:r>
          </w:p>
        </w:tc>
        <w:tc>
          <w:tcPr>
            <w:tcW w:w="15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7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300"/>
        </w:trPr>
        <w:tc>
          <w:tcPr>
            <w:tcW w:w="8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 weighted average number of shares outstanding</w:t>
            </w:r>
          </w:p>
        </w:tc>
        <w:tc>
          <w:tcPr>
            <w:tcW w:w="15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Borders>
              <w:bottom w:val="single" w:sz="8" w:color="901588"/>
            </w:tcBorders>
          </w:tcPr>
          <w:p>
            <w:pPr>
              <w:spacing w:after="0"/>
              <w:rPr>
                <w:sz w:val="24"/>
                <w:szCs w:val="24"/>
                <w:color w:val="auto"/>
              </w:rPr>
            </w:pPr>
          </w:p>
        </w:tc>
        <w:tc>
          <w:tcPr>
            <w:tcW w:w="720" w:type="dxa"/>
            <w:vAlign w:val="bottom"/>
            <w:tcBorders>
              <w:bottom w:val="single" w:sz="8" w:color="901588"/>
            </w:tcBorders>
          </w:tcPr>
          <w:p>
            <w:pPr>
              <w:spacing w:after="0"/>
              <w:rPr>
                <w:sz w:val="24"/>
                <w:szCs w:val="24"/>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137</w:t>
            </w:r>
          </w:p>
        </w:tc>
      </w:tr>
    </w:tbl>
    <w:p>
      <w:pPr>
        <w:spacing w:after="0" w:line="188"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Anti-dilutive stock-based awards are excluded from the weighted average number of shares outstanding used to compute diluted EPS. The total outstanding stock options and vesting stock awards that were anti-dilutive were less than 0.5 million for the three months ended April 4, 2025, and 1 million for the three months ended March 29, 2024.</w:t>
      </w:r>
    </w:p>
    <w:p>
      <w:pPr>
        <w:spacing w:after="0" w:line="7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February 20, 2025, we entered into an ASR agreement with a financial institution to repurchase shares of our outstanding common stock. We paid $500 million to the financial institution and received an initial delivery of 3 million shares at an average price of $131.50 per share. The purchase was recorded to "Additional paid-in capital" in the condensed consolidated balance sheets. All shares delivered were immediately retired. The final number of shares to be repurchased will be based on the company's volume-weighted average share price during the term of the agreement, less a discount. The ASR is expected to be completed in the second quarter of 2025.</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29, 2024, we made open market repurchases of our common stock for an aggregate purchase price of $150 million.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All shares repurchased were immediately retired. There were no open market share repurchases during the three months ended April 4, 2025.</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9–Income Taxes</w:t>
      </w:r>
    </w:p>
    <w:p>
      <w:pPr>
        <w:spacing w:after="0" w:line="131"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For the three months ended April 4, 2025, the effective tax rate was 23.6% compared to 23.1% for the three months ended March 29, 2024. The increase to the effective tax rate was primarily due to a decrease in excess tax benefits related to employee stock-based payment transactions.</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10–Business Segments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operations and reportable segments are organized around the customers and markets we serve. We define our reportable segments based on the way the chief operating decision maker ("CODM"), currently our Chief Executive Officer, manages operations for the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business segment information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15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3300" w:type="dxa"/>
            <w:vAlign w:val="bottom"/>
            <w:tcBorders>
              <w:bottom w:val="single" w:sz="8" w:color="90158B"/>
            </w:tcBorders>
            <w:gridSpan w:val="6"/>
          </w:tcPr>
          <w:p>
            <w:pPr>
              <w:jc w:val="center"/>
              <w:ind w:left="539"/>
              <w:spacing w:after="0"/>
              <w:rPr>
                <w:sz w:val="20"/>
                <w:szCs w:val="20"/>
                <w:color w:val="auto"/>
              </w:rPr>
            </w:pPr>
            <w:r>
              <w:rPr>
                <w:rFonts w:ascii="Arial" w:cs="Arial" w:eastAsia="Arial" w:hAnsi="Arial"/>
                <w:sz w:val="16"/>
                <w:szCs w:val="16"/>
                <w:b w:val="1"/>
                <w:bCs w:val="1"/>
                <w:color w:val="auto"/>
              </w:rPr>
              <w:t>Three Months Ended April 4, 2025</w:t>
            </w:r>
          </w:p>
        </w:tc>
        <w:tc>
          <w:tcPr>
            <w:tcW w:w="14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400" w:type="dxa"/>
            <w:vAlign w:val="bottom"/>
            <w:tcBorders>
              <w:bottom w:val="single" w:sz="8" w:color="90158B"/>
            </w:tcBorders>
          </w:tcPr>
          <w:p>
            <w:pPr>
              <w:spacing w:after="0"/>
              <w:rPr>
                <w:sz w:val="19"/>
                <w:szCs w:val="19"/>
                <w:color w:val="auto"/>
              </w:rPr>
            </w:pPr>
          </w:p>
        </w:tc>
        <w:tc>
          <w:tcPr>
            <w:tcW w:w="780" w:type="dxa"/>
            <w:vAlign w:val="bottom"/>
            <w:tcBorders>
              <w:bottom w:val="single" w:sz="8" w:color="90158B"/>
            </w:tcBorders>
          </w:tcPr>
          <w:p>
            <w:pPr>
              <w:spacing w:after="0"/>
              <w:rPr>
                <w:sz w:val="19"/>
                <w:szCs w:val="19"/>
                <w:color w:val="auto"/>
              </w:rPr>
            </w:pPr>
          </w:p>
        </w:tc>
      </w:tr>
      <w:tr>
        <w:trPr>
          <w:trHeight w:val="213"/>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shd w:val="clear" w:color="auto" w:fill="F4E8F3"/>
          </w:tcPr>
          <w:p>
            <w:pPr>
              <w:spacing w:after="0"/>
              <w:rPr>
                <w:sz w:val="18"/>
                <w:szCs w:val="18"/>
                <w:color w:val="auto"/>
              </w:rPr>
            </w:pPr>
          </w:p>
        </w:tc>
        <w:tc>
          <w:tcPr>
            <w:tcW w:w="780" w:type="dxa"/>
            <w:vAlign w:val="bottom"/>
            <w:shd w:val="clear" w:color="auto" w:fill="F4E8F3"/>
          </w:tcPr>
          <w:p>
            <w:pPr>
              <w:spacing w:after="0"/>
              <w:rPr>
                <w:sz w:val="18"/>
                <w:szCs w:val="18"/>
                <w:color w:val="auto"/>
              </w:rPr>
            </w:pPr>
          </w:p>
        </w:tc>
      </w:tr>
      <w:tr>
        <w:trPr>
          <w:trHeight w:val="226"/>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19"/>
                <w:szCs w:val="19"/>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B"/>
            </w:tcBorders>
          </w:tcPr>
          <w:p>
            <w:pPr>
              <w:spacing w:after="0"/>
              <w:rPr>
                <w:sz w:val="19"/>
                <w:szCs w:val="19"/>
                <w:color w:val="auto"/>
              </w:rPr>
            </w:pPr>
          </w:p>
        </w:tc>
        <w:tc>
          <w:tcPr>
            <w:tcW w:w="1280" w:type="dxa"/>
            <w:vAlign w:val="bottom"/>
            <w:tcBorders>
              <w:bottom w:val="single" w:sz="8" w:color="90158B"/>
            </w:tcBorders>
            <w:gridSpan w:val="2"/>
          </w:tcPr>
          <w:p>
            <w:pPr>
              <w:ind w:left="120"/>
              <w:spacing w:after="0"/>
              <w:rPr>
                <w:sz w:val="20"/>
                <w:szCs w:val="20"/>
                <w:color w:val="auto"/>
              </w:rPr>
            </w:pPr>
            <w:r>
              <w:rPr>
                <w:rFonts w:ascii="Arial" w:cs="Arial" w:eastAsia="Arial" w:hAnsi="Arial"/>
                <w:sz w:val="16"/>
                <w:szCs w:val="16"/>
                <w:b w:val="1"/>
                <w:bCs w:val="1"/>
                <w:color w:val="auto"/>
              </w:rPr>
              <w:t>Health &amp; Civil</w:t>
            </w:r>
          </w:p>
        </w:tc>
        <w:tc>
          <w:tcPr>
            <w:tcW w:w="280" w:type="dxa"/>
            <w:vAlign w:val="bottom"/>
            <w:tcBorders>
              <w:bottom w:val="single" w:sz="8" w:color="90158B"/>
            </w:tcBorders>
          </w:tcPr>
          <w:p>
            <w:pPr>
              <w:spacing w:after="0"/>
              <w:rPr>
                <w:sz w:val="19"/>
                <w:szCs w:val="19"/>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B"/>
            </w:tcBorders>
          </w:tcPr>
          <w:p>
            <w:pPr>
              <w:spacing w:after="0"/>
              <w:rPr>
                <w:sz w:val="19"/>
                <w:szCs w:val="19"/>
                <w:color w:val="auto"/>
              </w:rPr>
            </w:pPr>
          </w:p>
        </w:tc>
        <w:tc>
          <w:tcPr>
            <w:tcW w:w="1500" w:type="dxa"/>
            <w:vAlign w:val="bottom"/>
            <w:tcBorders>
              <w:bottom w:val="single" w:sz="8" w:color="90158B"/>
            </w:tcBorders>
            <w:gridSpan w:val="2"/>
          </w:tcPr>
          <w:p>
            <w:pPr>
              <w:ind w:left="60"/>
              <w:spacing w:after="0"/>
              <w:rPr>
                <w:sz w:val="20"/>
                <w:szCs w:val="20"/>
                <w:color w:val="auto"/>
              </w:rPr>
            </w:pPr>
            <w:r>
              <w:rPr>
                <w:rFonts w:ascii="Arial" w:cs="Arial" w:eastAsia="Arial" w:hAnsi="Arial"/>
                <w:sz w:val="16"/>
                <w:szCs w:val="16"/>
                <w:b w:val="1"/>
                <w:bCs w:val="1"/>
                <w:color w:val="auto"/>
              </w:rPr>
              <w:t>Defense Systems</w:t>
            </w:r>
          </w:p>
        </w:tc>
        <w:tc>
          <w:tcPr>
            <w:tcW w:w="400" w:type="dxa"/>
            <w:vAlign w:val="bottom"/>
            <w:tcBorders>
              <w:bottom w:val="single" w:sz="8" w:color="90158B"/>
            </w:tcBorders>
            <w:shd w:val="clear" w:color="auto" w:fill="F4E8F3"/>
          </w:tcPr>
          <w:p>
            <w:pPr>
              <w:spacing w:after="0"/>
              <w:rPr>
                <w:sz w:val="19"/>
                <w:szCs w:val="19"/>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1,878</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568</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508</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4,245</w:t>
            </w:r>
          </w:p>
        </w:tc>
      </w:tr>
      <w:tr>
        <w:trPr>
          <w:trHeight w:val="234"/>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9"/>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503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959</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1,185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421</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353</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2,701</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555</w:t>
            </w:r>
          </w:p>
        </w:tc>
      </w:tr>
      <w:tr>
        <w:trPr>
          <w:trHeight w:val="240"/>
        </w:trPr>
        <w:tc>
          <w:tcPr>
            <w:tcW w:w="320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r>
      <w:tr>
        <w:trPr>
          <w:trHeight w:val="30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118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28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380" w:type="dxa"/>
            <w:vAlign w:val="bottom"/>
            <w:tcBorders>
              <w:bottom w:val="single" w:sz="8" w:color="90158B"/>
            </w:tcBorders>
          </w:tcPr>
          <w:p>
            <w:pPr>
              <w:spacing w:after="0"/>
              <w:rPr>
                <w:sz w:val="24"/>
                <w:szCs w:val="24"/>
                <w:color w:val="auto"/>
              </w:rPr>
            </w:pPr>
          </w:p>
        </w:tc>
        <w:tc>
          <w:tcPr>
            <w:tcW w:w="14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00" w:type="dxa"/>
            <w:vAlign w:val="bottom"/>
            <w:tcBorders>
              <w:bottom w:val="single" w:sz="8" w:color="90158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530</w:t>
            </w:r>
          </w:p>
        </w:tc>
      </w:tr>
      <w:tr>
        <w:trPr>
          <w:trHeight w:val="443"/>
        </w:trPr>
        <w:tc>
          <w:tcPr>
            <w:tcW w:w="3200" w:type="dxa"/>
            <w:vAlign w:val="bottom"/>
          </w:tcPr>
          <w:p>
            <w:pPr>
              <w:spacing w:after="0"/>
              <w:rPr>
                <w:sz w:val="24"/>
                <w:szCs w:val="24"/>
                <w:color w:val="auto"/>
              </w:rPr>
            </w:pP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4800" w:type="dxa"/>
            <w:vAlign w:val="bottom"/>
            <w:tcBorders>
              <w:bottom w:val="single" w:sz="8" w:color="90158B"/>
            </w:tcBorders>
            <w:gridSpan w:val="8"/>
          </w:tcPr>
          <w:p>
            <w:pPr>
              <w:jc w:val="center"/>
              <w:ind w:right="880"/>
              <w:spacing w:after="0"/>
              <w:rPr>
                <w:sz w:val="20"/>
                <w:szCs w:val="20"/>
                <w:color w:val="auto"/>
              </w:rPr>
            </w:pPr>
            <w:r>
              <w:rPr>
                <w:rFonts w:ascii="Arial" w:cs="Arial" w:eastAsia="Arial" w:hAnsi="Arial"/>
                <w:sz w:val="16"/>
                <w:szCs w:val="16"/>
                <w:b w:val="1"/>
                <w:bCs w:val="1"/>
                <w:color w:val="auto"/>
              </w:rPr>
              <w:t>Three Months Ended March 29, 2024</w:t>
            </w:r>
          </w:p>
        </w:tc>
        <w:tc>
          <w:tcPr>
            <w:tcW w:w="400" w:type="dxa"/>
            <w:vAlign w:val="bottom"/>
            <w:tcBorders>
              <w:bottom w:val="single" w:sz="8" w:color="90158B"/>
            </w:tcBorders>
          </w:tcPr>
          <w:p>
            <w:pPr>
              <w:spacing w:after="0"/>
              <w:rPr>
                <w:sz w:val="24"/>
                <w:szCs w:val="24"/>
                <w:color w:val="auto"/>
              </w:rPr>
            </w:pPr>
          </w:p>
        </w:tc>
        <w:tc>
          <w:tcPr>
            <w:tcW w:w="780" w:type="dxa"/>
            <w:vAlign w:val="bottom"/>
            <w:tcBorders>
              <w:bottom w:val="single" w:sz="8" w:color="90158B"/>
            </w:tcBorders>
          </w:tcPr>
          <w:p>
            <w:pPr>
              <w:spacing w:after="0"/>
              <w:rPr>
                <w:sz w:val="24"/>
                <w:szCs w:val="24"/>
                <w:color w:val="auto"/>
              </w:rPr>
            </w:pPr>
          </w:p>
        </w:tc>
      </w:tr>
      <w:tr>
        <w:trPr>
          <w:trHeight w:val="199"/>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20"/>
                <w:szCs w:val="20"/>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gridSpan w:val="2"/>
          </w:tcPr>
          <w:p>
            <w:pPr>
              <w:ind w:left="120"/>
              <w:spacing w:after="0"/>
              <w:rPr>
                <w:sz w:val="20"/>
                <w:szCs w:val="20"/>
                <w:color w:val="auto"/>
              </w:rPr>
            </w:pPr>
            <w:r>
              <w:rPr>
                <w:rFonts w:ascii="Arial" w:cs="Arial" w:eastAsia="Arial" w:hAnsi="Arial"/>
                <w:sz w:val="16"/>
                <w:szCs w:val="16"/>
                <w:b w:val="1"/>
                <w:bCs w:val="1"/>
                <w:color w:val="auto"/>
              </w:rPr>
              <w:t>Health &amp; Civil</w:t>
            </w:r>
          </w:p>
        </w:tc>
        <w:tc>
          <w:tcPr>
            <w:tcW w:w="28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B"/>
            </w:tcBorders>
          </w:tcPr>
          <w:p>
            <w:pPr>
              <w:spacing w:after="0"/>
              <w:rPr>
                <w:sz w:val="20"/>
                <w:szCs w:val="20"/>
                <w:color w:val="auto"/>
              </w:rPr>
            </w:pPr>
          </w:p>
        </w:tc>
        <w:tc>
          <w:tcPr>
            <w:tcW w:w="1500" w:type="dxa"/>
            <w:vAlign w:val="bottom"/>
            <w:tcBorders>
              <w:bottom w:val="single" w:sz="8" w:color="90158B"/>
            </w:tcBorders>
            <w:gridSpan w:val="2"/>
          </w:tcPr>
          <w:p>
            <w:pPr>
              <w:ind w:left="60"/>
              <w:spacing w:after="0"/>
              <w:rPr>
                <w:sz w:val="20"/>
                <w:szCs w:val="20"/>
                <w:color w:val="auto"/>
              </w:rPr>
            </w:pPr>
            <w:r>
              <w:rPr>
                <w:rFonts w:ascii="Arial" w:cs="Arial" w:eastAsia="Arial" w:hAnsi="Arial"/>
                <w:sz w:val="16"/>
                <w:szCs w:val="16"/>
                <w:b w:val="1"/>
                <w:bCs w:val="1"/>
                <w:color w:val="auto"/>
              </w:rPr>
              <w:t>Defense Systems</w:t>
            </w: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4"/>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1,793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509</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3,975</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spacing w:after="0"/>
              <w:rPr>
                <w:sz w:val="20"/>
                <w:szCs w:val="20"/>
                <w:color w:val="auto"/>
              </w:rPr>
            </w:pP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479</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916</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1,133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367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2,570</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452</w:t>
            </w:r>
          </w:p>
        </w:tc>
      </w:tr>
      <w:tr>
        <w:trPr>
          <w:trHeight w:val="243"/>
        </w:trPr>
        <w:tc>
          <w:tcPr>
            <w:tcW w:w="320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5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2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4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r>
      <w:tr>
        <w:trPr>
          <w:trHeight w:val="23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415</w:t>
            </w:r>
          </w:p>
        </w:tc>
      </w:tr>
      <w:tr>
        <w:trPr>
          <w:trHeight w:val="20"/>
        </w:trPr>
        <w:tc>
          <w:tcPr>
            <w:tcW w:w="3200" w:type="dxa"/>
            <w:vAlign w:val="bottom"/>
            <w:tcBorders>
              <w:bottom w:val="single" w:sz="8" w:color="90158B"/>
            </w:tcBorders>
          </w:tcPr>
          <w:p>
            <w:pPr>
              <w:spacing w:after="0" w:line="20" w:lineRule="exact"/>
              <w:rPr>
                <w:sz w:val="1"/>
                <w:szCs w:val="1"/>
                <w:color w:val="auto"/>
              </w:rPr>
            </w:pPr>
          </w:p>
        </w:tc>
        <w:tc>
          <w:tcPr>
            <w:tcW w:w="180" w:type="dxa"/>
            <w:vAlign w:val="bottom"/>
            <w:tcBorders>
              <w:bottom w:val="single" w:sz="8" w:color="90158B"/>
            </w:tcBorders>
          </w:tcPr>
          <w:p>
            <w:pPr>
              <w:spacing w:after="0" w:line="20" w:lineRule="exact"/>
              <w:rPr>
                <w:sz w:val="1"/>
                <w:szCs w:val="1"/>
                <w:color w:val="auto"/>
              </w:rPr>
            </w:pPr>
          </w:p>
        </w:tc>
        <w:tc>
          <w:tcPr>
            <w:tcW w:w="156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240" w:type="dxa"/>
            <w:vAlign w:val="bottom"/>
            <w:tcBorders>
              <w:bottom w:val="single" w:sz="8" w:color="90158B"/>
            </w:tcBorders>
          </w:tcPr>
          <w:p>
            <w:pPr>
              <w:spacing w:after="0" w:line="20" w:lineRule="exact"/>
              <w:rPr>
                <w:sz w:val="1"/>
                <w:szCs w:val="1"/>
                <w:color w:val="auto"/>
              </w:rPr>
            </w:pPr>
          </w:p>
        </w:tc>
        <w:tc>
          <w:tcPr>
            <w:tcW w:w="118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280" w:type="dxa"/>
            <w:vAlign w:val="bottom"/>
            <w:tcBorders>
              <w:bottom w:val="single" w:sz="8" w:color="90158B"/>
            </w:tcBorders>
          </w:tcPr>
          <w:p>
            <w:pPr>
              <w:spacing w:after="0" w:line="20" w:lineRule="exact"/>
              <w:rPr>
                <w:sz w:val="1"/>
                <w:szCs w:val="1"/>
                <w:color w:val="auto"/>
              </w:rPr>
            </w:pPr>
          </w:p>
        </w:tc>
        <w:tc>
          <w:tcPr>
            <w:tcW w:w="128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380" w:type="dxa"/>
            <w:vAlign w:val="bottom"/>
            <w:tcBorders>
              <w:bottom w:val="single" w:sz="8" w:color="90158B"/>
            </w:tcBorders>
          </w:tcPr>
          <w:p>
            <w:pPr>
              <w:spacing w:after="0" w:line="20" w:lineRule="exact"/>
              <w:rPr>
                <w:sz w:val="1"/>
                <w:szCs w:val="1"/>
                <w:color w:val="auto"/>
              </w:rPr>
            </w:pPr>
          </w:p>
        </w:tc>
        <w:tc>
          <w:tcPr>
            <w:tcW w:w="14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00" w:type="dxa"/>
            <w:vAlign w:val="bottom"/>
            <w:tcBorders>
              <w:bottom w:val="single" w:sz="8" w:color="90158B"/>
            </w:tcBorders>
          </w:tcPr>
          <w:p>
            <w:pPr>
              <w:spacing w:after="0" w:line="20" w:lineRule="exact"/>
              <w:rPr>
                <w:sz w:val="1"/>
                <w:szCs w:val="1"/>
                <w:color w:val="auto"/>
              </w:rPr>
            </w:pPr>
          </w:p>
        </w:tc>
        <w:tc>
          <w:tcPr>
            <w:tcW w:w="780" w:type="dxa"/>
            <w:vAlign w:val="bottom"/>
            <w:tcBorders>
              <w:bottom w:val="single" w:sz="8" w:color="90158B"/>
            </w:tcBorders>
          </w:tcPr>
          <w:p>
            <w:pPr>
              <w:spacing w:after="0" w:line="20" w:lineRule="exact"/>
              <w:rPr>
                <w:sz w:val="1"/>
                <w:szCs w:val="1"/>
                <w:color w:val="auto"/>
              </w:rPr>
            </w:pPr>
          </w:p>
        </w:tc>
      </w:tr>
    </w:tbl>
    <w:p>
      <w:pPr>
        <w:spacing w:after="0" w:line="188" w:lineRule="exact"/>
        <w:rPr>
          <w:sz w:val="20"/>
          <w:szCs w:val="20"/>
          <w:color w:val="auto"/>
        </w:rPr>
      </w:pPr>
    </w:p>
    <w:p>
      <w:pPr>
        <w:jc w:val="both"/>
        <w:ind w:right="520"/>
        <w:spacing w:after="0" w:line="292" w:lineRule="auto"/>
        <w:rPr>
          <w:sz w:val="20"/>
          <w:szCs w:val="20"/>
          <w:color w:val="auto"/>
        </w:rPr>
      </w:pPr>
      <w:r>
        <w:rPr>
          <w:rFonts w:ascii="Arial" w:cs="Arial" w:eastAsia="Arial" w:hAnsi="Arial"/>
          <w:sz w:val="16"/>
          <w:szCs w:val="16"/>
          <w:color w:val="auto"/>
        </w:rPr>
        <w:t>The statement of operations performance measures used to evaluate segment performance are revenues and operating income. As a result, "Interest expense, net," "Other (expense) income, net" and "Income tax expense" as reported in the condensed consolidated statements of operations are not allocated to our segments.</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Other segment expenses include direct program costs such as material and subcontractor expenses, as well as allocable indirect costs such as depreciation and Corporate compensation expenses, but excludes direct labor which is separately presented above. The Health &amp; Civil and Defense Systems segments also include equity earnings of non-consolidated subsidiaries within operating income.</w:t>
      </w:r>
    </w:p>
    <w:p>
      <w:pPr>
        <w:spacing w:after="0" w:line="5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Under U.S. Government Cost Accounting Standards, indirect costs including depreciation expense are collected in indirect cost pools, which are then collectively allocated to the reportable segments based on a representative causal or beneficial relationship of the costs in the pool to the costs in the base. As such, depreciation expense is not separately disclosed on the condensed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 information by segment is not a key measure of performance used by the CODM.</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17</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11–Commitments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LEGAL PROCEEDINGS</w:t>
      </w:r>
    </w:p>
    <w:p>
      <w:pPr>
        <w:spacing w:after="0" w:line="122"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Government Investigations and Reviews</w:t>
      </w:r>
    </w:p>
    <w:p>
      <w:pPr>
        <w:spacing w:after="0" w:line="12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 Contract Audit Agency</w:t>
      </w:r>
    </w:p>
    <w:p>
      <w:pPr>
        <w:spacing w:after="0" w:line="1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of April 4, 2025, active indirect cost audits by the Defense Contract Audit Agency remain open for fiscal 2022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April 4, 2025, we believe we have adequately reserved for potential adjustments from audits or reviews of contract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 Government Investigations and Reviews</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previously disclosed, the Company voluntarily self-reported to the Department of Justice and the Securities and Exchange Commission an investigation related to activities by its employees, third party representatives and subcontractors, raising concerns related to a portion of our business that conducts international operations, and has cooperated with both agencies. In December 2024, the Company received notification from the U.S. Department of Justice that it had closed its inquiry. While the Company has engaged with the SEC, the Company cannot anticipate the timing, outcome or possible impact of an SEC investigation, although violations of applicable laws may result in civil sanctions, including monetary penalties, and reputational damage.</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COMMITMENTS</w:t>
      </w:r>
    </w:p>
    <w:p>
      <w:pPr>
        <w:spacing w:after="0" w:line="122"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As of April 4, 2025, we have outstanding letters of credit of $57 million, principally related to performance guarantees on contracts and outstanding surety bonds with a notional amount of $149 million, principally related to performance and subcontractor payment bonds on contracts. The value of the surety bonds may vary due to changes in the underlying project status and/or contractual modifications.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April 4, 2025, the future expirations of the outstanding letters of credit and surety bonds were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 (remainder of year)</w:t>
            </w:r>
          </w:p>
        </w:tc>
        <w:tc>
          <w:tcPr>
            <w:tcW w:w="5280" w:type="dxa"/>
            <w:vAlign w:val="bottom"/>
            <w:tcBorders>
              <w:bottom w:val="single" w:sz="8" w:color="B2B2B2"/>
            </w:tcBorders>
            <w:gridSpan w:val="2"/>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45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5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r>
      <w:tr>
        <w:trPr>
          <w:trHeight w:val="236"/>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5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54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454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5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40" w:type="dxa"/>
            <w:vAlign w:val="bottom"/>
            <w:tcBorders>
              <w:bottom w:val="single" w:sz="8" w:color="901588"/>
            </w:tcBorders>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206</w:t>
            </w:r>
          </w:p>
        </w:tc>
      </w:tr>
      <w:tr>
        <w:trPr>
          <w:trHeight w:val="20"/>
        </w:trPr>
        <w:tc>
          <w:tcPr>
            <w:tcW w:w="5560" w:type="dxa"/>
            <w:vAlign w:val="bottom"/>
            <w:tcBorders>
              <w:bottom w:val="single" w:sz="8" w:color="901588"/>
            </w:tcBorders>
          </w:tcPr>
          <w:p>
            <w:pPr>
              <w:spacing w:after="0" w:line="20" w:lineRule="exact"/>
              <w:rPr>
                <w:sz w:val="1"/>
                <w:szCs w:val="1"/>
                <w:color w:val="auto"/>
              </w:rPr>
            </w:pPr>
          </w:p>
        </w:tc>
        <w:tc>
          <w:tcPr>
            <w:tcW w:w="5280" w:type="dxa"/>
            <w:vAlign w:val="bottom"/>
            <w:tcBorders>
              <w:bottom w:val="single" w:sz="8" w:color="901588"/>
            </w:tcBorders>
            <w:gridSpan w:val="2"/>
          </w:tcPr>
          <w:p>
            <w:pPr>
              <w:spacing w:after="0" w:line="20" w:lineRule="exact"/>
              <w:rPr>
                <w:sz w:val="1"/>
                <w:szCs w:val="1"/>
                <w:color w:val="auto"/>
              </w:rPr>
            </w:pPr>
          </w:p>
        </w:tc>
        <w:tc>
          <w:tcPr>
            <w:tcW w:w="400" w:type="dxa"/>
            <w:vAlign w:val="bottom"/>
            <w:tcBorders>
              <w:bottom w:val="single" w:sz="8" w:color="901588"/>
            </w:tcBorders>
          </w:tcPr>
          <w:p>
            <w:pPr>
              <w:spacing w:after="0" w:line="20" w:lineRule="exact"/>
              <w:rPr>
                <w:sz w:val="1"/>
                <w:szCs w:val="1"/>
                <w:color w:val="auto"/>
              </w:rPr>
            </w:pPr>
          </w:p>
        </w:tc>
      </w:tr>
      <w:tr>
        <w:trPr>
          <w:trHeight w:val="794"/>
        </w:trPr>
        <w:tc>
          <w:tcPr>
            <w:tcW w:w="5560" w:type="dxa"/>
            <w:vAlign w:val="bottom"/>
          </w:tcPr>
          <w:p>
            <w:pPr>
              <w:spacing w:after="0"/>
              <w:rPr>
                <w:sz w:val="24"/>
                <w:szCs w:val="24"/>
                <w:color w:val="auto"/>
              </w:rPr>
            </w:pPr>
          </w:p>
        </w:tc>
        <w:tc>
          <w:tcPr>
            <w:tcW w:w="5280" w:type="dxa"/>
            <w:vAlign w:val="bottom"/>
            <w:gridSpan w:val="2"/>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901588"/>
              </w:rPr>
              <w:t>19</w:t>
            </w:r>
          </w:p>
        </w:tc>
      </w:tr>
      <w:tr>
        <w:trPr>
          <w:trHeight w:val="320"/>
        </w:trPr>
        <w:tc>
          <w:tcPr>
            <w:tcW w:w="55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40"/>
        <w:spacing w:after="0" w:line="298" w:lineRule="auto"/>
        <w:rPr>
          <w:sz w:val="20"/>
          <w:szCs w:val="20"/>
          <w:color w:val="auto"/>
        </w:rPr>
      </w:pPr>
      <w:r>
        <w:rPr>
          <w:rFonts w:ascii="Arial" w:cs="Arial" w:eastAsia="Arial" w:hAnsi="Arial"/>
          <w:sz w:val="25"/>
          <w:szCs w:val="25"/>
          <w:b w:val="1"/>
          <w:bCs w:val="1"/>
          <w:color w:val="901588"/>
        </w:rPr>
        <w:t>Item 2. Management's Discussion and Analysis of Financial Condition and Results of Operations</w:t>
      </w:r>
    </w:p>
    <w:p>
      <w:pPr>
        <w:ind w:right="420"/>
        <w:spacing w:after="0" w:line="300" w:lineRule="auto"/>
        <w:rPr>
          <w:sz w:val="20"/>
          <w:szCs w:val="20"/>
          <w:color w:val="auto"/>
        </w:rPr>
      </w:pPr>
      <w:r>
        <w:rPr>
          <w:rFonts w:ascii="Arial" w:cs="Arial" w:eastAsia="Arial" w:hAnsi="Arial"/>
          <w:sz w:val="16"/>
          <w:szCs w:val="16"/>
          <w:i w:val="1"/>
          <w:iCs w:val="1"/>
          <w:color w:val="auto"/>
        </w:rPr>
        <w:t>The following discussion and analysis of Leidos Holdings, Inc.'s ("Leidos") financial condition, results of operations, and quantitative and qualitative discussion about business environment and trends should be read in conjunction with Leidos' condensed consolidated financial statements and related notes.</w:t>
      </w:r>
    </w:p>
    <w:p>
      <w:pPr>
        <w:spacing w:after="0" w:line="5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the impact of our merger and acquisition activity, government budgets and spending, our business contingency plans, interest rates and uncertainties in tax due to new tax legislation or other regulatory developments. In some cases, forward-looking statements can be identified by words such as “will,” “expect,” “estimate,” “plan,” “potential,” “continue” or similar expressions. Such statements are not guarantees of future performance and involve risks and uncertainties and actual results may differ materially from those in the forward-looking statements as a result of various factors. Some of these factors include, but are not limited to, the risk factors set forth in our Annual Report on Form 10-K, as updated by the risk factor in this report under Part II, Item 1A. "Risk Factors" and as may be further updated in subsequent filings with the U.S. Securities and Exchange Commission.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indicated otherwise, references in this report to "we," "us" and "our" refer collectively to Leidos and its consolidated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 Headquartered in Reston, Virginia, with 47,000 global employees, we bring domain-specific capabilities, technologies and insights to customers in each of these markets by leveraging seven technical core capabilities: trusted mission artificial intelligence, cyber operations, digital modernization, mission software systems, integrated systems, mission operations, and rapid prototyping and manufacturing. Our customers include the U.S. Department of Defense ("DoD"), the U.S. Intelligence Community, the U.S. Department of Homeland Security, the Federal Aviation Administration, the Department of Veterans Affairs, National Aeronautics and Space Administration and many other U.S. civilian, state and local government agencies, foreign government agencies and commercial businesses.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ENVIRONMENT AND TRENDS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U.S. GOVERNMENT MARKETS</w:t>
      </w:r>
    </w:p>
    <w:p>
      <w:pPr>
        <w:spacing w:after="0" w:line="13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both of the three months ended April 4, 2025, and March 29, 2024, we generated approximately 87% of total revenues from contracts with the U.S. government.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7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federal government is currently operating under a continuing resolution that runs through September 30, 2025. Key congressional and administrative initiatives under consideration include tax reform, energy policy measures and investments in defense and border security.</w:t>
      </w:r>
    </w:p>
    <w:p>
      <w:pPr>
        <w:spacing w:after="0" w:line="3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Department of Government Efficiency, established under the current administration aims to streamline federal operations and reduce expenditures which have resulted in contract cancellations, modifications and stop work orders. As a company, Leidos remains aligned with the administration's efforts to drive efficiency in government agencies and operations, while increasing the quality of mission outcomes.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INTERNATIONAL MARKETS</w:t>
      </w:r>
    </w:p>
    <w:p>
      <w:pPr>
        <w:spacing w:after="0" w:line="11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Sales to customers in international markets represented approximately 8% of total revenues for both of the three months ended April 4, 2025, and March 29, 2024.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7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Changes in international trade policies, including higher tariffs on imported goods and materials, may increase the cost of certain goods necessary to fulfill our contractual requirements and for internal purposes. We expect to recover certain portions of the increase to the cost of goods through contractual measures. While we continue to evaluate the impact of the higher tariffs, we currently do not expect them to have a significant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condensed consolidated results of operations for the periods presented: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540" w:type="dxa"/>
            <w:vAlign w:val="bottom"/>
            <w:tcBorders>
              <w:bottom w:val="single" w:sz="8" w:color="901588"/>
            </w:tcBorders>
          </w:tcPr>
          <w:p>
            <w:pPr>
              <w:spacing w:after="0"/>
              <w:rPr>
                <w:sz w:val="17"/>
                <w:szCs w:val="17"/>
                <w:color w:val="auto"/>
              </w:rPr>
            </w:pPr>
          </w:p>
        </w:tc>
        <w:tc>
          <w:tcPr>
            <w:tcW w:w="860" w:type="dxa"/>
            <w:vAlign w:val="bottom"/>
            <w:tcBorders>
              <w:bottom w:val="single" w:sz="8" w:color="901588"/>
            </w:tcBorders>
          </w:tcPr>
          <w:p>
            <w:pPr>
              <w:spacing w:after="0"/>
              <w:rPr>
                <w:sz w:val="17"/>
                <w:szCs w:val="17"/>
                <w:color w:val="auto"/>
              </w:rPr>
            </w:pPr>
          </w:p>
        </w:tc>
        <w:tc>
          <w:tcPr>
            <w:tcW w:w="160" w:type="dxa"/>
            <w:vAlign w:val="bottom"/>
            <w:tcBorders>
              <w:bottom w:val="single" w:sz="8" w:color="901588"/>
            </w:tcBorders>
          </w:tcPr>
          <w:p>
            <w:pPr>
              <w:spacing w:after="0"/>
              <w:rPr>
                <w:sz w:val="17"/>
                <w:szCs w:val="17"/>
                <w:color w:val="auto"/>
              </w:rPr>
            </w:pPr>
          </w:p>
        </w:tc>
        <w:tc>
          <w:tcPr>
            <w:tcW w:w="100" w:type="dxa"/>
            <w:vAlign w:val="bottom"/>
            <w:tcBorders>
              <w:bottom w:val="single" w:sz="8" w:color="901588"/>
            </w:tcBorders>
          </w:tcPr>
          <w:p>
            <w:pPr>
              <w:spacing w:after="0"/>
              <w:rPr>
                <w:sz w:val="17"/>
                <w:szCs w:val="17"/>
                <w:color w:val="auto"/>
              </w:rPr>
            </w:pPr>
          </w:p>
        </w:tc>
        <w:tc>
          <w:tcPr>
            <w:tcW w:w="1620" w:type="dxa"/>
            <w:vAlign w:val="bottom"/>
            <w:tcBorders>
              <w:bottom w:val="single" w:sz="8" w:color="901588"/>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bottom w:val="single" w:sz="8" w:color="901588"/>
            </w:tcBorders>
          </w:tcPr>
          <w:p>
            <w:pPr>
              <w:spacing w:after="0"/>
              <w:rPr>
                <w:sz w:val="17"/>
                <w:szCs w:val="17"/>
                <w:color w:val="auto"/>
              </w:rPr>
            </w:pPr>
          </w:p>
        </w:tc>
      </w:tr>
      <w:tr>
        <w:trPr>
          <w:trHeight w:val="202"/>
        </w:trPr>
        <w:tc>
          <w:tcPr>
            <w:tcW w:w="640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2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29,</w:t>
            </w:r>
          </w:p>
        </w:tc>
        <w:tc>
          <w:tcPr>
            <w:tcW w:w="1560" w:type="dxa"/>
            <w:vAlign w:val="bottom"/>
          </w:tcPr>
          <w:p>
            <w:pPr>
              <w:spacing w:after="0"/>
              <w:rPr>
                <w:sz w:val="17"/>
                <w:szCs w:val="17"/>
                <w:color w:val="auto"/>
              </w:rPr>
            </w:pP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40" w:type="dxa"/>
            <w:vAlign w:val="bottom"/>
            <w:tcBorders>
              <w:bottom w:val="single" w:sz="8" w:color="B2B2B2"/>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4,245</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gridSpan w:val="2"/>
          </w:tcPr>
          <w:p>
            <w:pPr>
              <w:jc w:val="right"/>
              <w:ind w:right="26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3,975</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6.8 %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40" w:type="dxa"/>
            <w:vAlign w:val="bottom"/>
            <w:tcBorders>
              <w:bottom w:val="single" w:sz="8" w:color="B2B2B2"/>
            </w:tcBorders>
            <w:shd w:val="clear" w:color="auto" w:fill="F4E8F3"/>
          </w:tcPr>
          <w:p>
            <w:pPr>
              <w:spacing w:after="0"/>
              <w:rPr>
                <w:sz w:val="20"/>
                <w:szCs w:val="20"/>
                <w:color w:val="auto"/>
              </w:rPr>
            </w:pP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530</w:t>
            </w:r>
          </w:p>
        </w:tc>
        <w:tc>
          <w:tcPr>
            <w:tcW w:w="1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415</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27.7 %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 net</w:t>
            </w:r>
          </w:p>
        </w:tc>
        <w:tc>
          <w:tcPr>
            <w:tcW w:w="54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w:t>
            </w:r>
          </w:p>
        </w:tc>
        <w:tc>
          <w:tcPr>
            <w:tcW w:w="160" w:type="dxa"/>
            <w:vAlign w:val="bottom"/>
            <w:tcBorders>
              <w:bottom w:val="single" w:sz="8" w:color="901588"/>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10.6 %</w:t>
            </w:r>
          </w:p>
        </w:tc>
      </w:tr>
      <w:tr>
        <w:trPr>
          <w:trHeight w:val="236"/>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540" w:type="dxa"/>
            <w:vAlign w:val="bottom"/>
            <w:tcBorders>
              <w:bottom w:val="single" w:sz="8" w:color="B2B2B2"/>
            </w:tcBorders>
            <w:shd w:val="clear" w:color="auto" w:fill="F4E8F3"/>
          </w:tcPr>
          <w:p>
            <w:pPr>
              <w:spacing w:after="0"/>
              <w:rPr>
                <w:sz w:val="20"/>
                <w:szCs w:val="20"/>
                <w:color w:val="auto"/>
              </w:rPr>
            </w:pP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478</w:t>
            </w:r>
          </w:p>
        </w:tc>
        <w:tc>
          <w:tcPr>
            <w:tcW w:w="1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368</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29.9 %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54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w:t>
            </w:r>
          </w:p>
        </w:tc>
        <w:tc>
          <w:tcPr>
            <w:tcW w:w="160" w:type="dxa"/>
            <w:vAlign w:val="bottom"/>
            <w:tcBorders>
              <w:bottom w:val="single" w:sz="8" w:color="901588"/>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32.9 %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B2B2B2"/>
            </w:tcBorders>
            <w:shd w:val="clear" w:color="auto" w:fill="F4E8F3"/>
          </w:tcPr>
          <w:p>
            <w:pPr>
              <w:spacing w:after="0"/>
              <w:rPr>
                <w:sz w:val="20"/>
                <w:szCs w:val="20"/>
                <w:color w:val="auto"/>
              </w:rPr>
            </w:pP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365</w:t>
            </w:r>
          </w:p>
        </w:tc>
        <w:tc>
          <w:tcPr>
            <w:tcW w:w="1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283</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29.0 %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540" w:type="dxa"/>
            <w:vAlign w:val="bottom"/>
            <w:tcBorders>
              <w:bottom w:val="single" w:sz="8" w:color="B2B2B2"/>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363</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gridSpan w:val="2"/>
          </w:tcPr>
          <w:p>
            <w:pPr>
              <w:jc w:val="right"/>
              <w:ind w:right="26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27.8 %</w:t>
            </w:r>
          </w:p>
        </w:tc>
      </w:tr>
      <w:tr>
        <w:trPr>
          <w:trHeight w:val="236"/>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4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12.5</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10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10.4 %</w:t>
            </w:r>
          </w:p>
        </w:tc>
        <w:tc>
          <w:tcPr>
            <w:tcW w:w="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spacing w:after="0"/>
              <w:rPr>
                <w:sz w:val="20"/>
                <w:szCs w:val="20"/>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SEGMENT AND CORPORATE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520" w:type="dxa"/>
            <w:vAlign w:val="bottom"/>
            <w:tcBorders>
              <w:bottom w:val="single" w:sz="8" w:color="901588"/>
            </w:tcBorders>
          </w:tcPr>
          <w:p>
            <w:pPr>
              <w:spacing w:after="0"/>
              <w:rPr>
                <w:sz w:val="17"/>
                <w:szCs w:val="17"/>
                <w:color w:val="auto"/>
              </w:rPr>
            </w:pPr>
          </w:p>
        </w:tc>
        <w:tc>
          <w:tcPr>
            <w:tcW w:w="860" w:type="dxa"/>
            <w:vAlign w:val="bottom"/>
            <w:tcBorders>
              <w:bottom w:val="single" w:sz="8" w:color="901588"/>
            </w:tcBorders>
          </w:tcPr>
          <w:p>
            <w:pPr>
              <w:spacing w:after="0"/>
              <w:rPr>
                <w:sz w:val="17"/>
                <w:szCs w:val="17"/>
                <w:color w:val="auto"/>
              </w:rPr>
            </w:pPr>
          </w:p>
        </w:tc>
        <w:tc>
          <w:tcPr>
            <w:tcW w:w="160" w:type="dxa"/>
            <w:vAlign w:val="bottom"/>
            <w:tcBorders>
              <w:bottom w:val="single" w:sz="8" w:color="901588"/>
            </w:tcBorders>
          </w:tcPr>
          <w:p>
            <w:pPr>
              <w:spacing w:after="0"/>
              <w:rPr>
                <w:sz w:val="17"/>
                <w:szCs w:val="17"/>
                <w:color w:val="auto"/>
              </w:rPr>
            </w:pPr>
          </w:p>
        </w:tc>
        <w:tc>
          <w:tcPr>
            <w:tcW w:w="1900" w:type="dxa"/>
            <w:vAlign w:val="bottom"/>
            <w:tcBorders>
              <w:bottom w:val="single" w:sz="8" w:color="901588"/>
            </w:tcBorders>
            <w:gridSpan w:val="2"/>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901588"/>
            </w:tcBorders>
          </w:tcPr>
          <w:p>
            <w:pPr>
              <w:spacing w:after="0"/>
              <w:rPr>
                <w:sz w:val="17"/>
                <w:szCs w:val="17"/>
                <w:color w:val="auto"/>
              </w:rPr>
            </w:pP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National Security &amp; Digital</w:t>
            </w:r>
          </w:p>
        </w:tc>
        <w:tc>
          <w:tcPr>
            <w:tcW w:w="520" w:type="dxa"/>
            <w:vAlign w:val="bottom"/>
            <w:shd w:val="clear" w:color="auto" w:fill="F4E8F3"/>
          </w:tcPr>
          <w:p>
            <w:pPr>
              <w:spacing w:after="0"/>
              <w:rPr>
                <w:sz w:val="17"/>
                <w:szCs w:val="17"/>
                <w:color w:val="auto"/>
              </w:rPr>
            </w:pPr>
          </w:p>
        </w:tc>
        <w:tc>
          <w:tcPr>
            <w:tcW w:w="102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March 29,</w:t>
            </w:r>
          </w:p>
        </w:tc>
        <w:tc>
          <w:tcPr>
            <w:tcW w:w="1400" w:type="dxa"/>
            <w:vAlign w:val="bottom"/>
          </w:tcPr>
          <w:p>
            <w:pPr>
              <w:spacing w:after="0"/>
              <w:rPr>
                <w:sz w:val="17"/>
                <w:szCs w:val="17"/>
                <w:color w:val="auto"/>
              </w:rPr>
            </w:pP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rPr>
              <w:t>2024</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tcBorders>
              <w:bottom w:val="single" w:sz="8" w:color="B2B2B2"/>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1,878</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jc w:val="right"/>
              <w:ind w:right="28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1,793</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4.7 %</w:t>
            </w:r>
          </w:p>
        </w:tc>
      </w:tr>
      <w:tr>
        <w:trPr>
          <w:trHeight w:val="236"/>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20" w:type="dxa"/>
            <w:vAlign w:val="bottom"/>
            <w:tcBorders>
              <w:bottom w:val="single" w:sz="8" w:color="B2B2B2"/>
            </w:tcBorders>
            <w:shd w:val="clear" w:color="auto" w:fill="F4E8F3"/>
          </w:tcPr>
          <w:p>
            <w:pPr>
              <w:spacing w:after="0"/>
              <w:rPr>
                <w:sz w:val="20"/>
                <w:szCs w:val="20"/>
                <w:color w:val="auto"/>
              </w:rPr>
            </w:pP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185</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175</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5.7 %</w:t>
            </w: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2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9.9</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56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i w:val="1"/>
                <w:iCs w:val="1"/>
                <w:color w:val="auto"/>
              </w:rPr>
              <w:t>9.8 %</w:t>
            </w:r>
          </w:p>
        </w:tc>
        <w:tc>
          <w:tcPr>
            <w:tcW w:w="1400" w:type="dxa"/>
            <w:vAlign w:val="bottom"/>
            <w:tcBorders>
              <w:bottom w:val="single" w:sz="8" w:color="901588"/>
            </w:tcBorders>
          </w:tcPr>
          <w:p>
            <w:pPr>
              <w:spacing w:after="0"/>
              <w:rPr>
                <w:sz w:val="20"/>
                <w:szCs w:val="20"/>
                <w:color w:val="auto"/>
              </w:rPr>
            </w:pPr>
          </w:p>
        </w:tc>
      </w:tr>
    </w:tbl>
    <w:p>
      <w:pPr>
        <w:spacing w:after="0" w:line="175" w:lineRule="exact"/>
        <w:rPr>
          <w:sz w:val="20"/>
          <w:szCs w:val="20"/>
          <w:color w:val="auto"/>
        </w:rPr>
      </w:pPr>
    </w:p>
    <w:p>
      <w:pPr>
        <w:jc w:val="both"/>
        <w:ind w:right="680"/>
        <w:spacing w:after="0" w:line="321" w:lineRule="auto"/>
        <w:rPr>
          <w:sz w:val="20"/>
          <w:szCs w:val="20"/>
          <w:color w:val="auto"/>
        </w:rPr>
      </w:pPr>
      <w:r>
        <w:rPr>
          <w:rFonts w:ascii="Arial" w:cs="Arial" w:eastAsia="Arial" w:hAnsi="Arial"/>
          <w:sz w:val="16"/>
          <w:szCs w:val="16"/>
          <w:color w:val="auto"/>
        </w:rPr>
        <w:t>The increase in revenues and operating income for the three months ended April 4, 2025, as compared to the three months ended March 29, 2024, was primarily attributable to a net increase in volumes on certain programs and program wins, partially offset by the completion of certain contracts.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21</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520" w:type="dxa"/>
            <w:vAlign w:val="bottom"/>
            <w:tcBorders>
              <w:bottom w:val="single" w:sz="8" w:color="901588"/>
            </w:tcBorders>
          </w:tcPr>
          <w:p>
            <w:pPr>
              <w:spacing w:after="0"/>
              <w:rPr>
                <w:sz w:val="17"/>
                <w:szCs w:val="17"/>
                <w:color w:val="auto"/>
              </w:rPr>
            </w:pPr>
          </w:p>
        </w:tc>
        <w:tc>
          <w:tcPr>
            <w:tcW w:w="860" w:type="dxa"/>
            <w:vAlign w:val="bottom"/>
            <w:tcBorders>
              <w:bottom w:val="single" w:sz="8" w:color="901588"/>
            </w:tcBorders>
          </w:tcPr>
          <w:p>
            <w:pPr>
              <w:spacing w:after="0"/>
              <w:rPr>
                <w:sz w:val="17"/>
                <w:szCs w:val="17"/>
                <w:color w:val="auto"/>
              </w:rPr>
            </w:pPr>
          </w:p>
        </w:tc>
        <w:tc>
          <w:tcPr>
            <w:tcW w:w="160" w:type="dxa"/>
            <w:vAlign w:val="bottom"/>
            <w:tcBorders>
              <w:bottom w:val="single" w:sz="8" w:color="901588"/>
            </w:tcBorders>
          </w:tcPr>
          <w:p>
            <w:pPr>
              <w:spacing w:after="0"/>
              <w:rPr>
                <w:sz w:val="17"/>
                <w:szCs w:val="17"/>
                <w:color w:val="auto"/>
              </w:rPr>
            </w:pPr>
          </w:p>
        </w:tc>
        <w:tc>
          <w:tcPr>
            <w:tcW w:w="1900" w:type="dxa"/>
            <w:vAlign w:val="bottom"/>
            <w:tcBorders>
              <w:bottom w:val="single" w:sz="8" w:color="901588"/>
            </w:tcBorders>
            <w:gridSpan w:val="2"/>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901588"/>
            </w:tcBorders>
          </w:tcPr>
          <w:p>
            <w:pPr>
              <w:spacing w:after="0"/>
              <w:rPr>
                <w:sz w:val="17"/>
                <w:szCs w:val="17"/>
                <w:color w:val="auto"/>
              </w:rPr>
            </w:pP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Health &amp; Civil</w:t>
            </w:r>
          </w:p>
        </w:tc>
        <w:tc>
          <w:tcPr>
            <w:tcW w:w="520" w:type="dxa"/>
            <w:vAlign w:val="bottom"/>
            <w:shd w:val="clear" w:color="auto" w:fill="F4E8F3"/>
          </w:tcPr>
          <w:p>
            <w:pPr>
              <w:spacing w:after="0"/>
              <w:rPr>
                <w:sz w:val="17"/>
                <w:szCs w:val="17"/>
                <w:color w:val="auto"/>
              </w:rPr>
            </w:pPr>
          </w:p>
        </w:tc>
        <w:tc>
          <w:tcPr>
            <w:tcW w:w="102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March 29,</w:t>
            </w:r>
          </w:p>
        </w:tc>
        <w:tc>
          <w:tcPr>
            <w:tcW w:w="1400" w:type="dxa"/>
            <w:vAlign w:val="bottom"/>
          </w:tcPr>
          <w:p>
            <w:pPr>
              <w:spacing w:after="0"/>
              <w:rPr>
                <w:sz w:val="17"/>
                <w:szCs w:val="17"/>
                <w:color w:val="auto"/>
              </w:rPr>
            </w:pP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rPr>
              <w:t>2024</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tcBorders>
              <w:bottom w:val="single" w:sz="8" w:color="B2B2B2"/>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1,291</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jc w:val="right"/>
              <w:ind w:right="28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1,199</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7.7 %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20" w:type="dxa"/>
            <w:vAlign w:val="bottom"/>
            <w:tcBorders>
              <w:bottom w:val="single" w:sz="8" w:color="B2B2B2"/>
            </w:tcBorders>
            <w:shd w:val="clear" w:color="auto" w:fill="F4E8F3"/>
          </w:tcPr>
          <w:p>
            <w:pPr>
              <w:spacing w:after="0"/>
              <w:rPr>
                <w:sz w:val="20"/>
                <w:szCs w:val="20"/>
                <w:color w:val="auto"/>
              </w:rPr>
            </w:pPr>
          </w:p>
        </w:tc>
        <w:tc>
          <w:tcPr>
            <w:tcW w:w="8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299</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222</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34.7 %</w:t>
            </w: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2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23.2</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56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i w:val="1"/>
                <w:iCs w:val="1"/>
                <w:color w:val="auto"/>
              </w:rPr>
              <w:t>18.5 %</w:t>
            </w:r>
          </w:p>
        </w:tc>
        <w:tc>
          <w:tcPr>
            <w:tcW w:w="1400" w:type="dxa"/>
            <w:vAlign w:val="bottom"/>
            <w:tcBorders>
              <w:bottom w:val="single" w:sz="8" w:color="901588"/>
            </w:tcBorders>
          </w:tcPr>
          <w:p>
            <w:pPr>
              <w:spacing w:after="0"/>
              <w:rPr>
                <w:sz w:val="20"/>
                <w:szCs w:val="20"/>
                <w:color w:val="auto"/>
              </w:rPr>
            </w:pPr>
          </w:p>
        </w:tc>
      </w:tr>
    </w:tbl>
    <w:p>
      <w:pPr>
        <w:spacing w:after="0" w:line="29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increase in revenues and operating income for the three months ended April 4, 2025, as compared to the three months ended March 29, 2024, was primarily attributable to a net increase in volumes and case complexity within the managed health services business.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560" w:type="dxa"/>
            <w:vAlign w:val="bottom"/>
            <w:tcBorders>
              <w:bottom w:val="single" w:sz="8" w:color="901588"/>
            </w:tcBorders>
          </w:tcPr>
          <w:p>
            <w:pPr>
              <w:spacing w:after="0"/>
              <w:rPr>
                <w:sz w:val="17"/>
                <w:szCs w:val="17"/>
                <w:color w:val="auto"/>
              </w:rPr>
            </w:pPr>
          </w:p>
        </w:tc>
        <w:tc>
          <w:tcPr>
            <w:tcW w:w="840" w:type="dxa"/>
            <w:vAlign w:val="bottom"/>
            <w:tcBorders>
              <w:bottom w:val="single" w:sz="8" w:color="901588"/>
            </w:tcBorders>
          </w:tcPr>
          <w:p>
            <w:pPr>
              <w:spacing w:after="0"/>
              <w:rPr>
                <w:sz w:val="17"/>
                <w:szCs w:val="17"/>
                <w:color w:val="auto"/>
              </w:rPr>
            </w:pPr>
          </w:p>
        </w:tc>
        <w:tc>
          <w:tcPr>
            <w:tcW w:w="160" w:type="dxa"/>
            <w:vAlign w:val="bottom"/>
            <w:tcBorders>
              <w:bottom w:val="single" w:sz="8" w:color="901588"/>
            </w:tcBorders>
          </w:tcPr>
          <w:p>
            <w:pPr>
              <w:spacing w:after="0"/>
              <w:rPr>
                <w:sz w:val="17"/>
                <w:szCs w:val="17"/>
                <w:color w:val="auto"/>
              </w:rPr>
            </w:pPr>
          </w:p>
        </w:tc>
        <w:tc>
          <w:tcPr>
            <w:tcW w:w="1880" w:type="dxa"/>
            <w:vAlign w:val="bottom"/>
            <w:tcBorders>
              <w:bottom w:val="single" w:sz="8" w:color="901588"/>
            </w:tcBorders>
            <w:gridSpan w:val="2"/>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901588"/>
            </w:tcBorders>
          </w:tcPr>
          <w:p>
            <w:pPr>
              <w:spacing w:after="0"/>
              <w:rPr>
                <w:sz w:val="17"/>
                <w:szCs w:val="17"/>
                <w:color w:val="auto"/>
              </w:rPr>
            </w:pP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Commercial &amp; International</w:t>
            </w:r>
          </w:p>
        </w:tc>
        <w:tc>
          <w:tcPr>
            <w:tcW w:w="560" w:type="dxa"/>
            <w:vAlign w:val="bottom"/>
            <w:shd w:val="clear" w:color="auto" w:fill="F4E8F3"/>
          </w:tcPr>
          <w:p>
            <w:pPr>
              <w:spacing w:after="0"/>
              <w:rPr>
                <w:sz w:val="17"/>
                <w:szCs w:val="17"/>
                <w:color w:val="auto"/>
              </w:rPr>
            </w:pPr>
          </w:p>
        </w:tc>
        <w:tc>
          <w:tcPr>
            <w:tcW w:w="100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March 29,</w:t>
            </w:r>
          </w:p>
        </w:tc>
        <w:tc>
          <w:tcPr>
            <w:tcW w:w="1400" w:type="dxa"/>
            <w:vAlign w:val="bottom"/>
          </w:tcPr>
          <w:p>
            <w:pPr>
              <w:spacing w:after="0"/>
              <w:rPr>
                <w:sz w:val="17"/>
                <w:szCs w:val="17"/>
                <w:color w:val="auto"/>
              </w:rPr>
            </w:pP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5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rPr>
              <w:t>2024</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6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568</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jc w:val="right"/>
              <w:ind w:right="284"/>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509</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11.6 %</w:t>
            </w:r>
          </w:p>
        </w:tc>
      </w:tr>
      <w:tr>
        <w:trPr>
          <w:trHeight w:val="237"/>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34</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8.8 %</w:t>
            </w: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6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6.5</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56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i w:val="1"/>
                <w:iCs w:val="1"/>
                <w:color w:val="auto"/>
              </w:rPr>
              <w:t>6.7 %</w:t>
            </w:r>
          </w:p>
        </w:tc>
        <w:tc>
          <w:tcPr>
            <w:tcW w:w="1400" w:type="dxa"/>
            <w:vAlign w:val="bottom"/>
            <w:tcBorders>
              <w:bottom w:val="single" w:sz="8" w:color="901588"/>
            </w:tcBorders>
          </w:tcPr>
          <w:p>
            <w:pPr>
              <w:spacing w:after="0"/>
              <w:rPr>
                <w:sz w:val="20"/>
                <w:szCs w:val="20"/>
                <w:color w:val="auto"/>
              </w:rPr>
            </w:pPr>
          </w:p>
        </w:tc>
      </w:tr>
    </w:tbl>
    <w:p>
      <w:pPr>
        <w:spacing w:after="0" w:line="29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increase in revenues and operating income for the three months ended April 4, 2025, as compared to the three months ended March 29, 2024, was primarily attributable to a net increase in volumes and program wins, partially offset by the completion of certain programs.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560" w:type="dxa"/>
            <w:vAlign w:val="bottom"/>
            <w:tcBorders>
              <w:bottom w:val="single" w:sz="8" w:color="901588"/>
            </w:tcBorders>
          </w:tcPr>
          <w:p>
            <w:pPr>
              <w:spacing w:after="0"/>
              <w:rPr>
                <w:sz w:val="17"/>
                <w:szCs w:val="17"/>
                <w:color w:val="auto"/>
              </w:rPr>
            </w:pPr>
          </w:p>
        </w:tc>
        <w:tc>
          <w:tcPr>
            <w:tcW w:w="840" w:type="dxa"/>
            <w:vAlign w:val="bottom"/>
            <w:tcBorders>
              <w:bottom w:val="single" w:sz="8" w:color="901588"/>
            </w:tcBorders>
          </w:tcPr>
          <w:p>
            <w:pPr>
              <w:spacing w:after="0"/>
              <w:rPr>
                <w:sz w:val="17"/>
                <w:szCs w:val="17"/>
                <w:color w:val="auto"/>
              </w:rPr>
            </w:pPr>
          </w:p>
        </w:tc>
        <w:tc>
          <w:tcPr>
            <w:tcW w:w="160" w:type="dxa"/>
            <w:vAlign w:val="bottom"/>
            <w:tcBorders>
              <w:bottom w:val="single" w:sz="8" w:color="901588"/>
            </w:tcBorders>
          </w:tcPr>
          <w:p>
            <w:pPr>
              <w:spacing w:after="0"/>
              <w:rPr>
                <w:sz w:val="17"/>
                <w:szCs w:val="17"/>
                <w:color w:val="auto"/>
              </w:rPr>
            </w:pPr>
          </w:p>
        </w:tc>
        <w:tc>
          <w:tcPr>
            <w:tcW w:w="1880" w:type="dxa"/>
            <w:vAlign w:val="bottom"/>
            <w:tcBorders>
              <w:bottom w:val="single" w:sz="8" w:color="901588"/>
            </w:tcBorders>
            <w:gridSpan w:val="2"/>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901588"/>
            </w:tcBorders>
          </w:tcPr>
          <w:p>
            <w:pPr>
              <w:spacing w:after="0"/>
              <w:rPr>
                <w:sz w:val="17"/>
                <w:szCs w:val="17"/>
                <w:color w:val="auto"/>
              </w:rPr>
            </w:pP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Defense Systems</w:t>
            </w:r>
          </w:p>
        </w:tc>
        <w:tc>
          <w:tcPr>
            <w:tcW w:w="560" w:type="dxa"/>
            <w:vAlign w:val="bottom"/>
            <w:shd w:val="clear" w:color="auto" w:fill="F4E8F3"/>
          </w:tcPr>
          <w:p>
            <w:pPr>
              <w:spacing w:after="0"/>
              <w:rPr>
                <w:sz w:val="17"/>
                <w:szCs w:val="17"/>
                <w:color w:val="auto"/>
              </w:rPr>
            </w:pPr>
          </w:p>
        </w:tc>
        <w:tc>
          <w:tcPr>
            <w:tcW w:w="100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60" w:type="dxa"/>
            <w:vAlign w:val="bottom"/>
          </w:tcPr>
          <w:p>
            <w:pPr>
              <w:spacing w:after="0"/>
              <w:rPr>
                <w:sz w:val="17"/>
                <w:szCs w:val="17"/>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March 29,</w:t>
            </w:r>
          </w:p>
        </w:tc>
        <w:tc>
          <w:tcPr>
            <w:tcW w:w="1400" w:type="dxa"/>
            <w:vAlign w:val="bottom"/>
          </w:tcPr>
          <w:p>
            <w:pPr>
              <w:spacing w:after="0"/>
              <w:rPr>
                <w:sz w:val="17"/>
                <w:szCs w:val="17"/>
                <w:color w:val="auto"/>
              </w:rPr>
            </w:pP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rPr>
              <w:t>2024</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6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jc w:val="right"/>
              <w:ind w:right="284"/>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474</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7.2 %</w:t>
            </w:r>
          </w:p>
        </w:tc>
      </w:tr>
      <w:tr>
        <w:trPr>
          <w:trHeight w:val="236"/>
        </w:trPr>
        <w:tc>
          <w:tcPr>
            <w:tcW w:w="64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16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21</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61.9 %</w:t>
            </w:r>
          </w:p>
        </w:tc>
      </w:tr>
      <w:tr>
        <w:trPr>
          <w:trHeight w:val="237"/>
        </w:trPr>
        <w:tc>
          <w:tcPr>
            <w:tcW w:w="64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6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6.7</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56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i w:val="1"/>
                <w:iCs w:val="1"/>
                <w:color w:val="auto"/>
              </w:rPr>
              <w:t>4.4 %</w:t>
            </w:r>
          </w:p>
        </w:tc>
        <w:tc>
          <w:tcPr>
            <w:tcW w:w="1400" w:type="dxa"/>
            <w:vAlign w:val="bottom"/>
            <w:tcBorders>
              <w:bottom w:val="single" w:sz="8" w:color="901588"/>
            </w:tcBorders>
          </w:tcPr>
          <w:p>
            <w:pPr>
              <w:spacing w:after="0"/>
              <w:rPr>
                <w:sz w:val="20"/>
                <w:szCs w:val="20"/>
                <w:color w:val="auto"/>
              </w:rPr>
            </w:pPr>
          </w:p>
        </w:tc>
      </w:tr>
    </w:tbl>
    <w:p>
      <w:pPr>
        <w:spacing w:after="0" w:line="283"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increase in revenues for the three months ended April 4, 2025, as compared to the three months ended March 29, 2024, was primarily attributable to program wins, partially offset by the completion of certain contracts.</w:t>
      </w:r>
    </w:p>
    <w:p>
      <w:pPr>
        <w:spacing w:after="0" w:line="48"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The increase in operating income for the three months ended April 4, 2025, as compared to the three months ended March 29, 2024, was primarily attributable to program wins and a decrease in amortization expense.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480" w:type="dxa"/>
            <w:vAlign w:val="bottom"/>
            <w:tcBorders>
              <w:bottom w:val="single" w:sz="8" w:color="901588"/>
            </w:tcBorders>
          </w:tcPr>
          <w:p>
            <w:pPr>
              <w:spacing w:after="0"/>
              <w:rPr>
                <w:sz w:val="17"/>
                <w:szCs w:val="17"/>
                <w:color w:val="auto"/>
              </w:rPr>
            </w:pPr>
          </w:p>
        </w:tc>
        <w:tc>
          <w:tcPr>
            <w:tcW w:w="960" w:type="dxa"/>
            <w:vAlign w:val="bottom"/>
            <w:tcBorders>
              <w:bottom w:val="single" w:sz="8" w:color="901588"/>
            </w:tcBorders>
          </w:tcPr>
          <w:p>
            <w:pPr>
              <w:spacing w:after="0"/>
              <w:rPr>
                <w:sz w:val="17"/>
                <w:szCs w:val="17"/>
                <w:color w:val="auto"/>
              </w:rPr>
            </w:pPr>
          </w:p>
        </w:tc>
        <w:tc>
          <w:tcPr>
            <w:tcW w:w="1840" w:type="dxa"/>
            <w:vAlign w:val="bottom"/>
            <w:tcBorders>
              <w:bottom w:val="single" w:sz="8" w:color="901588"/>
            </w:tcBorders>
            <w:gridSpan w:val="2"/>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901588"/>
            </w:tcBorders>
          </w:tcPr>
          <w:p>
            <w:pPr>
              <w:spacing w:after="0"/>
              <w:rPr>
                <w:sz w:val="17"/>
                <w:szCs w:val="17"/>
                <w:color w:val="auto"/>
              </w:rPr>
            </w:pPr>
          </w:p>
        </w:tc>
      </w:tr>
      <w:tr>
        <w:trPr>
          <w:trHeight w:val="202"/>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Corporate</w:t>
            </w:r>
          </w:p>
        </w:tc>
        <w:tc>
          <w:tcPr>
            <w:tcW w:w="480" w:type="dxa"/>
            <w:vAlign w:val="bottom"/>
            <w:shd w:val="clear" w:color="auto" w:fill="F4E8F3"/>
          </w:tcPr>
          <w:p>
            <w:pPr>
              <w:spacing w:after="0"/>
              <w:rPr>
                <w:sz w:val="17"/>
                <w:szCs w:val="17"/>
                <w:color w:val="auto"/>
              </w:rPr>
            </w:pPr>
          </w:p>
        </w:tc>
        <w:tc>
          <w:tcPr>
            <w:tcW w:w="9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5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March 29,</w:t>
            </w:r>
          </w:p>
        </w:tc>
        <w:tc>
          <w:tcPr>
            <w:tcW w:w="1400" w:type="dxa"/>
            <w:vAlign w:val="bottom"/>
          </w:tcPr>
          <w:p>
            <w:pPr>
              <w:spacing w:after="0"/>
              <w:rPr>
                <w:sz w:val="17"/>
                <w:szCs w:val="17"/>
                <w:color w:val="auto"/>
              </w:rPr>
            </w:pPr>
          </w:p>
        </w:tc>
      </w:tr>
      <w:tr>
        <w:trPr>
          <w:trHeight w:val="237"/>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48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2024</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Operating loss</w:t>
            </w:r>
          </w:p>
        </w:tc>
        <w:tc>
          <w:tcPr>
            <w:tcW w:w="480" w:type="dxa"/>
            <w:vAlign w:val="bottom"/>
            <w:tcBorders>
              <w:bottom w:val="single" w:sz="8" w:color="901588"/>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500" w:type="dxa"/>
            <w:vAlign w:val="bottom"/>
            <w:tcBorders>
              <w:bottom w:val="single" w:sz="8" w:color="901588"/>
            </w:tcBorders>
          </w:tcPr>
          <w:p>
            <w:pPr>
              <w:jc w:val="right"/>
              <w:ind w:right="22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(37)</w:t>
            </w: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(32.4 %)</w:t>
            </w:r>
          </w:p>
        </w:tc>
      </w:tr>
    </w:tbl>
    <w:p>
      <w:pPr>
        <w:spacing w:after="0" w:line="17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decrease in operating loss for the three months ended April 4, 2025, as compared to the three months ended March 29, 2024, was primarily attributable to decreased general and administrative expenses and legal fees.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NON-OPERATING EXPENSE, NET</w:t>
      </w:r>
    </w:p>
    <w:p>
      <w:pPr>
        <w:spacing w:after="0" w:line="131"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Non-operating expense, net for the three months ended April 4, 2025, was $52 million as compared to $47 million for the three months ended March 29, 2024. The increase was primarily driven by unfavorable exchange rate movements.</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PROVISION FOR INCOME TAXES</w:t>
      </w:r>
    </w:p>
    <w:p>
      <w:pPr>
        <w:spacing w:after="0" w:line="11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For the three months ended April 4, 2025, our effective tax rate was 23.6% compared to 23.1% for the three months ended March 29, 2024. The increase to the effective tax rate was primarily due to a decrease in excess tax benefits related to employee stock-based payment transactions.</w:t>
      </w:r>
    </w:p>
    <w:p>
      <w:pPr>
        <w:spacing w:after="0" w:line="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2021, the Organization for Economic Cooperation and Development enacted model rules for a new 15% global minimum tax framework (“Pillar Two”). Many governments around the world have enacted or are in the process of enacting Pillar Two legislation. The Pillar Two legislation became effective for certain jurisdictions beginning in fiscal 2024. We will continue to evaluate the impact of the rules as additional legislation gets enacted; however, there has been no material impact from jurisdictions where Pillar Two rules are currently in effect.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BOOKINGS AND BACKLOG</w:t>
      </w:r>
    </w:p>
    <w:p>
      <w:pPr>
        <w:spacing w:after="0" w:line="11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Effective for the first quarter of fiscal 2025, we changed our backlog policy to include estimated future revenue on task orders expected to be awarded under sole source indefinite delivery/indefinite quantity ("IDIQ") contracts in our reported backlog. We believe this presentation provides enhanced visibility for investors and more accurately reflects the future revenues we expect to generate from our business.</w:t>
      </w:r>
    </w:p>
    <w:p>
      <w:pPr>
        <w:spacing w:after="0" w:line="71"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We recorded net bookings worth an estimated $2.1 billion during the three months ended April 4, 2025, as compared to $3.8 billion for the three months ended March 29, 2024.</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our total backlog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Pr>
          <w:p>
            <w:pPr>
              <w:spacing w:after="0"/>
              <w:rPr>
                <w:sz w:val="21"/>
                <w:szCs w:val="21"/>
                <w:color w:val="auto"/>
              </w:rPr>
            </w:pP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60" w:type="dxa"/>
            <w:vAlign w:val="bottom"/>
            <w:tcBorders>
              <w:bottom w:val="single" w:sz="8" w:color="901588"/>
            </w:tcBorders>
            <w:shd w:val="clear" w:color="auto" w:fill="F4E8F3"/>
          </w:tcPr>
          <w:p>
            <w:pPr>
              <w:spacing w:after="0"/>
              <w:rPr>
                <w:sz w:val="21"/>
                <w:szCs w:val="21"/>
                <w:color w:val="auto"/>
              </w:rPr>
            </w:pPr>
          </w:p>
        </w:tc>
        <w:tc>
          <w:tcPr>
            <w:tcW w:w="1280" w:type="dxa"/>
            <w:vAlign w:val="bottom"/>
            <w:tcBorders>
              <w:bottom w:val="single" w:sz="8" w:color="901588"/>
            </w:tcBorders>
            <w:gridSpan w:val="2"/>
            <w:shd w:val="clear" w:color="auto" w:fill="F4E8F3"/>
          </w:tcPr>
          <w:p>
            <w:pPr>
              <w:ind w:left="40"/>
              <w:spacing w:after="0"/>
              <w:rPr>
                <w:sz w:val="20"/>
                <w:szCs w:val="20"/>
                <w:color w:val="auto"/>
              </w:rPr>
            </w:pPr>
            <w:r>
              <w:rPr>
                <w:rFonts w:ascii="Arial" w:cs="Arial" w:eastAsia="Arial" w:hAnsi="Arial"/>
                <w:sz w:val="16"/>
                <w:szCs w:val="16"/>
                <w:b w:val="1"/>
                <w:bCs w:val="1"/>
                <w:color w:val="auto"/>
              </w:rPr>
              <w:t>April 4, 2025</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40"/>
              <w:spacing w:after="0"/>
              <w:rPr>
                <w:sz w:val="20"/>
                <w:szCs w:val="20"/>
                <w:color w:val="auto"/>
              </w:rPr>
            </w:pPr>
            <w:r>
              <w:rPr>
                <w:rFonts w:ascii="Arial" w:cs="Arial" w:eastAsia="Arial" w:hAnsi="Arial"/>
                <w:sz w:val="16"/>
                <w:szCs w:val="16"/>
                <w:color w:val="auto"/>
              </w:rPr>
              <w:t>March 29, 2024</w:t>
            </w:r>
            <w:r>
              <w:rPr>
                <w:rFonts w:ascii="Arial" w:cs="Arial" w:eastAsia="Arial" w:hAnsi="Arial"/>
                <w:sz w:val="21"/>
                <w:szCs w:val="21"/>
                <w:color w:val="auto"/>
                <w:vertAlign w:val="superscript"/>
              </w:rPr>
              <w:t>(1)</w:t>
            </w: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r>
      <w:tr>
        <w:trPr>
          <w:trHeight w:val="23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Funded</w:t>
            </w:r>
          </w:p>
        </w:tc>
        <w:tc>
          <w:tcPr>
            <w:tcW w:w="80" w:type="dxa"/>
            <w:vAlign w:val="bottom"/>
            <w:tcBorders>
              <w:bottom w:val="single" w:sz="8" w:color="901588"/>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gridSpan w:val="2"/>
            <w:shd w:val="clear" w:color="auto" w:fill="F4E8F3"/>
          </w:tcPr>
          <w:p>
            <w:pPr>
              <w:ind w:left="46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ind w:left="340"/>
              <w:spacing w:after="0"/>
              <w:rPr>
                <w:sz w:val="20"/>
                <w:szCs w:val="20"/>
                <w:color w:val="auto"/>
              </w:rPr>
            </w:pPr>
            <w:r>
              <w:rPr>
                <w:rFonts w:ascii="Arial" w:cs="Arial" w:eastAsia="Arial" w:hAnsi="Arial"/>
                <w:sz w:val="16"/>
                <w:szCs w:val="16"/>
                <w:color w:val="auto"/>
              </w:rPr>
              <w:t>Funded</w:t>
            </w: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gridSpan w:val="2"/>
          </w:tcPr>
          <w:p>
            <w:pPr>
              <w:ind w:left="240"/>
              <w:spacing w:after="0"/>
              <w:rPr>
                <w:sz w:val="20"/>
                <w:szCs w:val="20"/>
                <w:color w:val="auto"/>
              </w:rPr>
            </w:pPr>
            <w:r>
              <w:rPr>
                <w:rFonts w:ascii="Arial" w:cs="Arial" w:eastAsia="Arial" w:hAnsi="Arial"/>
                <w:sz w:val="16"/>
                <w:szCs w:val="16"/>
                <w:color w:val="auto"/>
              </w:rPr>
              <w:t>Unfunded</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9"/>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National Security &amp; Digital</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2,733</w:t>
            </w:r>
          </w:p>
        </w:tc>
        <w:tc>
          <w:tcPr>
            <w:tcW w:w="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21,601</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24,334</w:t>
            </w: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19,616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22,027</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Health &amp; Civil</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991</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10,290</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11,281</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8,956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10,909</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&amp; International</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2,267</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2,847</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5,114</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4,536</w:t>
            </w:r>
          </w:p>
        </w:tc>
      </w:tr>
      <w:tr>
        <w:trPr>
          <w:trHeight w:val="236"/>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 Systems</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1,338</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4,229</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5,567</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3,075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4,211</w:t>
            </w:r>
          </w:p>
        </w:tc>
      </w:tr>
      <w:tr>
        <w:trPr>
          <w:trHeight w:val="30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7,329</w:t>
            </w:r>
          </w:p>
        </w:tc>
        <w:tc>
          <w:tcPr>
            <w:tcW w:w="80" w:type="dxa"/>
            <w:vAlign w:val="bottom"/>
            <w:tcBorders>
              <w:bottom w:val="single" w:sz="8" w:color="901588"/>
            </w:tcBorders>
            <w:shd w:val="clear" w:color="auto" w:fill="F4E8F3"/>
          </w:tcPr>
          <w:p>
            <w:pPr>
              <w:spacing w:after="0"/>
              <w:rPr>
                <w:sz w:val="24"/>
                <w:szCs w:val="24"/>
                <w:color w:val="auto"/>
              </w:rPr>
            </w:pP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38,967</w:t>
            </w:r>
          </w:p>
        </w:tc>
        <w:tc>
          <w:tcPr>
            <w:tcW w:w="100" w:type="dxa"/>
            <w:vAlign w:val="bottom"/>
            <w:tcBorders>
              <w:bottom w:val="single" w:sz="8" w:color="901588"/>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46,296</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7,965</w:t>
            </w:r>
          </w:p>
        </w:tc>
        <w:tc>
          <w:tcPr>
            <w:tcW w:w="10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33,718</w:t>
            </w: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41,683</w:t>
            </w:r>
          </w:p>
        </w:tc>
      </w:tr>
    </w:tbl>
    <w:p>
      <w:pPr>
        <w:spacing w:after="0" w:line="275"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Amounts have been recast to include estimated future revenue on task orders expected to be awarded under sole source IDIQ contracts. As a result, unfunded backlog increased $5,112 million.</w:t>
      </w:r>
    </w:p>
    <w:p>
      <w:pPr>
        <w:spacing w:after="0" w:line="9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Backlog estimates are subject to change and may be affected by factors including modifications of contracts and foreign currency movements.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OVERVIEW OF LIQUIDITY</w:t>
      </w:r>
    </w:p>
    <w:p>
      <w:pPr>
        <w:spacing w:after="0" w:line="11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As of April 4, 2025, we had $842 million in cash and cash equivalents. We have a senior unsecured revolving credit facility which can provide up to $1 billion in additional borrowing, if required. As of April 4, 2025, and January 3, 2025, there were no borrowings outstanding under the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had outstanding debt of $5.1 billion and $4.7 billion at April 4, 2025, and January 3, 2025, respectively. In February 2025, we issued and sold</w:t>
      </w:r>
    </w:p>
    <w:p>
      <w:pPr>
        <w:spacing w:after="0" w:line="3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$500 million 5.40% and $500 million 5.50% senior unsecured notes maturing in March 2032 and March 2035, respectively. The annual interest rate is payable on a semi-annual basis. The proceeds from the issuance of the notes were used to retire the $500 million senior unsecured notes due May 2025 and repurchase $500 million outstanding shares of common stock.</w:t>
      </w:r>
    </w:p>
    <w:p>
      <w:pPr>
        <w:spacing w:after="0" w:line="7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We have a commercial paper program in which we may issue short-term unsecured commercial paper notes ("Commercial Paper Notes") and have maturities of up to 397 days from the date of issuance. As of April 4, 2025, and January 3, 2025, we did not have any Commercial Paper Notes outstanding.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We made principal payments on our debt of $529 million and $4 million during the three months ended April 4, 2025, and March 29, 2024, respectively. The activity for the three months ended April 4, 2025, included a $500 million payment to discharge the $500 million notes due May 2025.</w:t>
      </w:r>
    </w:p>
    <w:p>
      <w:pPr>
        <w:spacing w:after="0" w:line="34"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Our senior unsecured term loan, senior unsecured notes and senior unsecured revolving facility contain financial covenants and customary restrictive covenants. We were in compliance with all financial covenants as of April 4, 2025.</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paid dividends of $53 million during both of the three months ended April 4, 2025, and March 29, 2024.</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5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On February 20, 2025, we entered into an ASR agreement with a financial institution to repurchase shares of our outstanding common stock. We paid $500 million to the financial institution and received an initial delivery of 3 million shares. The purchase was recorded to "Additional paid-in capital" in the condensed consolidated balance sheets (see "Note 8–Earnings Per Share"). All shares delivered were immediately retired.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29, 2024, we made open market repurchases of our common stock for an aggregate purchase price of $150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open market share repurchases during the three months ended April 4, 2025.</w:t>
      </w:r>
    </w:p>
    <w:p>
      <w:pPr>
        <w:spacing w:after="0" w:line="1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SUMMARY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20"/>
                <w:szCs w:val="20"/>
                <w:color w:val="auto"/>
              </w:rPr>
            </w:pPr>
            <w:r>
              <w:rPr>
                <w:rFonts w:ascii="Arial" w:cs="Arial" w:eastAsia="Arial" w:hAnsi="Arial"/>
                <w:sz w:val="16"/>
                <w:szCs w:val="16"/>
                <w:color w:val="auto"/>
              </w:rPr>
              <w:t>The following table summarizes cash flow information for the periods presented:</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2"/>
        </w:trPr>
        <w:tc>
          <w:tcPr>
            <w:tcW w:w="8120" w:type="dxa"/>
            <w:vAlign w:val="bottom"/>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19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901588"/>
            </w:tcBorders>
          </w:tcPr>
          <w:p>
            <w:pPr>
              <w:spacing w:after="0"/>
              <w:rPr>
                <w:sz w:val="24"/>
                <w:szCs w:val="24"/>
                <w:color w:val="auto"/>
              </w:rPr>
            </w:pPr>
          </w:p>
        </w:tc>
      </w:tr>
      <w:tr>
        <w:trPr>
          <w:trHeight w:val="199"/>
        </w:trPr>
        <w:tc>
          <w:tcPr>
            <w:tcW w:w="8120" w:type="dxa"/>
            <w:vAlign w:val="bottom"/>
          </w:tcPr>
          <w:p>
            <w:pPr>
              <w:spacing w:after="0"/>
              <w:rPr>
                <w:sz w:val="17"/>
                <w:szCs w:val="17"/>
                <w:color w:val="auto"/>
              </w:rPr>
            </w:pPr>
          </w:p>
        </w:tc>
        <w:tc>
          <w:tcPr>
            <w:tcW w:w="440" w:type="dxa"/>
            <w:vAlign w:val="bottom"/>
            <w:shd w:val="clear" w:color="auto" w:fill="F4E8F3"/>
          </w:tcPr>
          <w:p>
            <w:pPr>
              <w:spacing w:after="0"/>
              <w:rPr>
                <w:sz w:val="17"/>
                <w:szCs w:val="17"/>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March 29,</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43"/>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r>
              <w:rPr>
                <w:rFonts w:ascii="Arial" w:cs="Arial" w:eastAsia="Arial" w:hAnsi="Arial"/>
                <w:sz w:val="21"/>
                <w:szCs w:val="21"/>
                <w:color w:val="auto"/>
                <w:vertAlign w:val="superscript"/>
              </w:rPr>
              <w:t>(1)</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c>
          <w:tcPr>
            <w:tcW w:w="820" w:type="dxa"/>
            <w:vAlign w:val="bottom"/>
            <w:tcBorders>
              <w:bottom w:val="single" w:sz="8" w:color="B2B2B2"/>
            </w:tcBorders>
          </w:tcPr>
          <w:p>
            <w:pPr>
              <w:jc w:val="right"/>
              <w:ind w:right="5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113</w:t>
            </w:r>
          </w:p>
        </w:tc>
      </w:tr>
      <w:tr>
        <w:trPr>
          <w:trHeight w:val="233"/>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82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(228)</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(1) Net cash provided by operating activities for the three months ended March 29, 2024, was recast to reflect a change in the accounting policy, see "Note 1–Basis of Presentation and Summary of Significant Accounting Policies."</w:t>
      </w:r>
    </w:p>
    <w:p>
      <w:pPr>
        <w:spacing w:after="0" w:line="18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Net cash provided by operating activities decreased $55 million during the three months ended April 4, 2025, when compared to the prior year quarter. The decrease was primarily due to the timing of payroll and employee benefit payments, partially offset by higher earnings and favorable changes in working capital.</w:t>
      </w:r>
    </w:p>
    <w:p>
      <w:pPr>
        <w:spacing w:after="0" w:line="71"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Net cash used in investing activities increased $10 million during the three months ended April 4, 2025, when compared to the prior year quarter. The increase was primarily due to higher capital expenditures of $5 million in the current year quarter.</w:t>
      </w:r>
    </w:p>
    <w:p>
      <w:pPr>
        <w:spacing w:after="0" w:line="6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Net cash used in financing activities decreased $118 million for the three months ended April 4, 2025, when compared to the prior year quarter, primarily due to a net increase of $465 million in cash inflows from proceeds received from the issuance of debt, payments for borrowings and payments for debt issuance costs, partially offset by a $350 million net increase in stock repurchases primarily attributable to the accelerated share repurchase activities in the current quarter.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have outstanding performance guarantees and cross-indemnity agreements in connection with certain aspects of our business. We also have letters of credit outstanding principally related to performance guarantees on contracts and surety bonds outstanding principally related to performance and subcontractor payment bonds as described in "Note 11–Commitments and Contingencies" of the notes to the condensed consolidated financial statements contained within this Quarterly Report on Form 10-Q. These arrangements have not had, and management does not believe it is likely that they will in the future have, a material effect on our liquidity, capital expenditures or capital resources, operations or financial condition.</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 AND ISSUER OF GUARANTEED SECURITIES</w:t>
      </w:r>
    </w:p>
    <w:p>
      <w:pPr>
        <w:spacing w:after="0" w:line="1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Registered Notes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3.625% notes, due May 2025</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4.375% notes, due May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5.400% notes, due March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5.750% notes, due March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5.500% notes, due March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The $500 million senior unsecured notes were discharged as of April 4, 2025.</w:t>
      </w:r>
    </w:p>
    <w:p>
      <w:pPr>
        <w:spacing w:after="0" w:line="94"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5.500% notes, due July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5.950% notes, due December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BALANCE SHEET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20" w:type="dxa"/>
            <w:vAlign w:val="bottom"/>
          </w:tcPr>
          <w:p>
            <w:pPr>
              <w:spacing w:after="0"/>
              <w:rPr>
                <w:sz w:val="17"/>
                <w:szCs w:val="17"/>
                <w:color w:val="auto"/>
              </w:rPr>
            </w:pPr>
          </w:p>
        </w:tc>
        <w:tc>
          <w:tcPr>
            <w:tcW w:w="780" w:type="dxa"/>
            <w:vAlign w:val="bottom"/>
            <w:shd w:val="clear" w:color="auto" w:fill="F4E8F3"/>
          </w:tcPr>
          <w:p>
            <w:pPr>
              <w:spacing w:after="0"/>
              <w:rPr>
                <w:sz w:val="17"/>
                <w:szCs w:val="17"/>
                <w:color w:val="auto"/>
              </w:rPr>
            </w:pPr>
          </w:p>
        </w:tc>
        <w:tc>
          <w:tcPr>
            <w:tcW w:w="12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January 3,</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9"/>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assets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2,639</w:t>
            </w:r>
          </w:p>
        </w:tc>
        <w:tc>
          <w:tcPr>
            <w:tcW w:w="760" w:type="dxa"/>
            <w:vAlign w:val="bottom"/>
            <w:tcBorders>
              <w:bottom w:val="single" w:sz="8" w:color="B2B2B2"/>
            </w:tcBorders>
            <w:gridSpan w:val="2"/>
          </w:tcPr>
          <w:p>
            <w:pPr>
              <w:jc w:val="right"/>
              <w:ind w:right="48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2,550</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5,673</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5,673</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1,502</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94"/>
              </w:rPr>
              <w:t>1,498</w:t>
            </w:r>
          </w:p>
        </w:tc>
      </w:tr>
      <w:tr>
        <w:trPr>
          <w:trHeight w:val="237"/>
        </w:trPr>
        <w:tc>
          <w:tcPr>
            <w:tcW w:w="71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780" w:type="dxa"/>
            <w:vAlign w:val="bottom"/>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9,814</w:t>
            </w:r>
          </w:p>
        </w:tc>
        <w:tc>
          <w:tcPr>
            <w:tcW w:w="76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9,721</w:t>
            </w:r>
          </w:p>
        </w:tc>
      </w:tr>
      <w:tr>
        <w:trPr>
          <w:trHeight w:val="240"/>
        </w:trPr>
        <w:tc>
          <w:tcPr>
            <w:tcW w:w="7120" w:type="dxa"/>
            <w:vAlign w:val="bottom"/>
            <w:tcBorders>
              <w:top w:val="single" w:sz="8" w:color="B2B2B2"/>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shd w:val="clear" w:color="auto" w:fill="F4E8F3"/>
          </w:tcPr>
          <w:p>
            <w:pPr>
              <w:spacing w:after="0"/>
              <w:rPr>
                <w:sz w:val="20"/>
                <w:szCs w:val="20"/>
                <w:color w:val="auto"/>
              </w:rPr>
            </w:pPr>
          </w:p>
        </w:tc>
        <w:tc>
          <w:tcPr>
            <w:tcW w:w="1240" w:type="dxa"/>
            <w:vAlign w:val="bottom"/>
            <w:tcBorders>
              <w:top w:val="single" w:sz="8" w:color="901588"/>
              <w:bottom w:val="single" w:sz="8" w:color="B2B2B2"/>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680" w:type="dxa"/>
            <w:vAlign w:val="bottom"/>
            <w:tcBorders>
              <w:top w:val="single" w:sz="8" w:color="901588"/>
              <w:bottom w:val="single" w:sz="8" w:color="B2B2B2"/>
            </w:tcBorders>
          </w:tcPr>
          <w:p>
            <w:pPr>
              <w:spacing w:after="0"/>
              <w:rPr>
                <w:sz w:val="20"/>
                <w:szCs w:val="20"/>
                <w:color w:val="auto"/>
              </w:rPr>
            </w:pPr>
          </w:p>
        </w:tc>
        <w:tc>
          <w:tcPr>
            <w:tcW w:w="860" w:type="dxa"/>
            <w:vAlign w:val="bottom"/>
            <w:tcBorders>
              <w:top w:val="single" w:sz="8" w:color="901588"/>
              <w:bottom w:val="single" w:sz="8" w:color="B2B2B2"/>
            </w:tcBorders>
          </w:tcPr>
          <w:p>
            <w:pPr>
              <w:spacing w:after="0"/>
              <w:rPr>
                <w:sz w:val="20"/>
                <w:szCs w:val="20"/>
                <w:color w:val="auto"/>
              </w:rPr>
            </w:pPr>
          </w:p>
        </w:tc>
        <w:tc>
          <w:tcPr>
            <w:tcW w:w="480" w:type="dxa"/>
            <w:vAlign w:val="bottom"/>
            <w:tcBorders>
              <w:top w:val="single" w:sz="8" w:color="901588"/>
              <w:bottom w:val="single" w:sz="8" w:color="B2B2B2"/>
            </w:tcBorders>
          </w:tcPr>
          <w:p>
            <w:pPr>
              <w:spacing w:after="0"/>
              <w:rPr>
                <w:sz w:val="20"/>
                <w:szCs w:val="20"/>
                <w:color w:val="auto"/>
              </w:rPr>
            </w:pPr>
          </w:p>
        </w:tc>
      </w:tr>
      <w:tr>
        <w:trPr>
          <w:trHeight w:val="233"/>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liabilities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2,051</w:t>
            </w:r>
          </w:p>
        </w:tc>
        <w:tc>
          <w:tcPr>
            <w:tcW w:w="760" w:type="dxa"/>
            <w:vAlign w:val="bottom"/>
            <w:tcBorders>
              <w:bottom w:val="single" w:sz="8" w:color="B2B2B2"/>
            </w:tcBorders>
            <w:gridSpan w:val="2"/>
          </w:tcPr>
          <w:p>
            <w:pPr>
              <w:jc w:val="right"/>
              <w:ind w:right="48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2,677</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5,014</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4,052</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Intercompany payables</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3,540</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3,319</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811</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820</w:t>
            </w:r>
          </w:p>
        </w:tc>
      </w:tr>
      <w:tr>
        <w:trPr>
          <w:trHeight w:val="236"/>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w:t>
            </w:r>
          </w:p>
        </w:tc>
        <w:tc>
          <w:tcPr>
            <w:tcW w:w="780" w:type="dxa"/>
            <w:vAlign w:val="bottom"/>
            <w:tcBorders>
              <w:bottom w:val="single" w:sz="8" w:color="901588"/>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11,416</w:t>
            </w:r>
          </w:p>
        </w:tc>
        <w:tc>
          <w:tcPr>
            <w:tcW w:w="760" w:type="dxa"/>
            <w:vAlign w:val="bottom"/>
            <w:tcBorders>
              <w:bottom w:val="single" w:sz="8" w:color="901588"/>
            </w:tcBorders>
            <w:gridSpan w:val="2"/>
          </w:tcPr>
          <w:p>
            <w:pPr>
              <w:jc w:val="right"/>
              <w:ind w:right="488"/>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10,868</w:t>
            </w:r>
          </w:p>
        </w:tc>
      </w:tr>
      <w:tr>
        <w:trPr>
          <w:trHeight w:val="792"/>
        </w:trPr>
        <w:tc>
          <w:tcPr>
            <w:tcW w:w="7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25</w:t>
            </w:r>
          </w:p>
        </w:tc>
      </w:tr>
      <w:tr>
        <w:trPr>
          <w:trHeight w:val="319"/>
        </w:trPr>
        <w:tc>
          <w:tcPr>
            <w:tcW w:w="7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STATEMENT OF OPERATIONS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4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2220" w:type="dxa"/>
            <w:vAlign w:val="bottom"/>
            <w:tcBorders>
              <w:bottom w:val="single" w:sz="8" w:color="901588"/>
            </w:tcBorders>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r>
      <w:tr>
        <w:trPr>
          <w:trHeight w:val="199"/>
        </w:trPr>
        <w:tc>
          <w:tcPr>
            <w:tcW w:w="8740" w:type="dxa"/>
            <w:vAlign w:val="bottom"/>
          </w:tcPr>
          <w:p>
            <w:pPr>
              <w:spacing w:after="0"/>
              <w:rPr>
                <w:sz w:val="17"/>
                <w:szCs w:val="17"/>
                <w:color w:val="auto"/>
              </w:rPr>
            </w:pPr>
          </w:p>
        </w:tc>
        <w:tc>
          <w:tcPr>
            <w:tcW w:w="280" w:type="dxa"/>
            <w:vAlign w:val="bottom"/>
            <w:shd w:val="clear" w:color="auto" w:fill="F4E8F3"/>
          </w:tcPr>
          <w:p>
            <w:pPr>
              <w:spacing w:after="0"/>
              <w:rPr>
                <w:sz w:val="17"/>
                <w:szCs w:val="17"/>
                <w:color w:val="auto"/>
              </w:rPr>
            </w:pPr>
          </w:p>
        </w:tc>
        <w:tc>
          <w:tcPr>
            <w:tcW w:w="22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4,</w:t>
            </w:r>
          </w:p>
        </w:tc>
      </w:tr>
      <w:tr>
        <w:trPr>
          <w:trHeight w:val="237"/>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shd w:val="clear" w:color="auto" w:fill="F4E8F3"/>
          </w:tcPr>
          <w:p>
            <w:pPr>
              <w:spacing w:after="0"/>
              <w:rPr>
                <w:sz w:val="20"/>
                <w:szCs w:val="20"/>
                <w:color w:val="auto"/>
              </w:rPr>
            </w:pPr>
          </w:p>
        </w:tc>
        <w:tc>
          <w:tcPr>
            <w:tcW w:w="22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r>
      <w:tr>
        <w:trPr>
          <w:trHeight w:val="239"/>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net</w:t>
            </w:r>
          </w:p>
        </w:tc>
        <w:tc>
          <w:tcPr>
            <w:tcW w:w="280" w:type="dxa"/>
            <w:vAlign w:val="bottom"/>
            <w:tcBorders>
              <w:bottom w:val="single" w:sz="8" w:color="B2B2B2"/>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22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2,698</w:t>
            </w:r>
          </w:p>
        </w:tc>
      </w:tr>
      <w:tr>
        <w:trPr>
          <w:trHeight w:val="237"/>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B2B2B2"/>
            </w:tcBorders>
            <w:shd w:val="clear" w:color="auto" w:fill="F4E8F3"/>
          </w:tcPr>
          <w:p>
            <w:pPr>
              <w:spacing w:after="0"/>
              <w:rPr>
                <w:sz w:val="20"/>
                <w:szCs w:val="20"/>
                <w:color w:val="auto"/>
              </w:rPr>
            </w:pPr>
          </w:p>
        </w:tc>
        <w:tc>
          <w:tcPr>
            <w:tcW w:w="22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235</w:t>
            </w:r>
          </w:p>
        </w:tc>
      </w:tr>
      <w:tr>
        <w:trPr>
          <w:trHeight w:val="236"/>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280" w:type="dxa"/>
            <w:vAlign w:val="bottom"/>
            <w:tcBorders>
              <w:bottom w:val="single" w:sz="8" w:color="901588"/>
            </w:tcBorders>
            <w:shd w:val="clear" w:color="auto" w:fill="F4E8F3"/>
          </w:tcPr>
          <w:p>
            <w:pPr>
              <w:spacing w:after="0"/>
              <w:rPr>
                <w:sz w:val="20"/>
                <w:szCs w:val="20"/>
                <w:color w:val="auto"/>
              </w:rPr>
            </w:pPr>
          </w:p>
        </w:tc>
        <w:tc>
          <w:tcPr>
            <w:tcW w:w="22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1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We are subject to a number of reviews, investigations, claims, lawsuits, other uncertainties and future obligations related to our business. For a discussion of these items, see "Note 11–Commitments and Contingencies" of the notes to the condensed consolidated financial statements contained within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1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There were no material changes to our critical accounting policies, estimates or judgments that would have a significant impact on earnings during the period covered by this report from those discussed in our Annual Report on Form 10-K for the year ended January 3, 2025.</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AND ISSUED ACCOUNTING STANDARDS</w:t>
      </w:r>
    </w:p>
    <w:p>
      <w:pPr>
        <w:spacing w:after="0" w:line="11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For a discussion of these items, see "Note 1–Basis of Presentation and Summary of Significant Accounting Policies" of the notes to the condensed consolidated financial statements contained within this Quarterly Report on Form 10-Q.</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Quantitative and Qualitative Disclosures About Market Risk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market risk exposure from those discussed in our Annual Report on Form 10-K for the year ended January 3, 2025.</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1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April 4, 2025.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2"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April 4, 2025, that have materially affected, or are reasonably likely to materially affect, our internal control over financial reporting.</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color w:val="auto"/>
        </w:rPr>
        <w:t>Part II—Other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Legal Proceedings</w:t>
      </w:r>
    </w:p>
    <w:p>
      <w:pPr>
        <w:spacing w:after="0" w:line="12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have furnished information relating to legal proceedings, and any investigations and reviews that we are involved with in "Note 11–Commitments and Contingencies" of the notes to the condensed consolidated financial statements contained within this Quarterly Report on Form 10-Q.</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1A. Risk Factors</w:t>
      </w:r>
    </w:p>
    <w:p>
      <w:pPr>
        <w:spacing w:after="0" w:line="14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There were no material changes to the risks described in Part I, Item 1A "Risk Factors" in our Annual Report on Form 10-K for the year ended January 3, 2025.</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2. Unregistered Sales of Equity Securities and Use of Proceeds</w:t>
      </w:r>
    </w:p>
    <w:p>
      <w:pPr>
        <w:spacing w:after="0" w:line="141" w:lineRule="exact"/>
        <w:rPr>
          <w:sz w:val="20"/>
          <w:szCs w:val="20"/>
          <w:color w:val="auto"/>
        </w:rPr>
      </w:pPr>
    </w:p>
    <w:p>
      <w:pPr>
        <w:ind w:left="540" w:hanging="273"/>
        <w:spacing w:after="0"/>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b w:val="1"/>
          <w:bCs w:val="1"/>
          <w:color w:val="auto"/>
        </w:rPr>
      </w:pPr>
    </w:p>
    <w:p>
      <w:pPr>
        <w:ind w:left="540" w:hanging="273"/>
        <w:spacing w:after="0"/>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b w:val="1"/>
          <w:bCs w:val="1"/>
          <w:color w:val="auto"/>
        </w:rPr>
      </w:pPr>
    </w:p>
    <w:p>
      <w:pPr>
        <w:ind w:left="560" w:hanging="293"/>
        <w:spacing w:after="0"/>
        <w:tabs>
          <w:tab w:leader="none" w:pos="5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Purchases of Equity Securities by the Issuer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repurchases of our common stock during the quarter ended April 4,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1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Shares (or Units)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Purchased as Part of</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of Shares (or Units)</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6"/>
                <w:szCs w:val="16"/>
                <w:b w:val="1"/>
                <w:bCs w:val="1"/>
                <w:color w:val="auto"/>
              </w:rPr>
              <w:t>of Shares</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Publicly Announced</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that May Yet Be</w:t>
            </w:r>
          </w:p>
        </w:tc>
      </w:tr>
      <w:tr>
        <w:trPr>
          <w:trHeight w:val="202"/>
        </w:trPr>
        <w:tc>
          <w:tcPr>
            <w:tcW w:w="37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3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Paid per</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Repurchase Plans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Purchased Under the</w:t>
            </w:r>
          </w:p>
        </w:tc>
      </w:tr>
      <w:tr>
        <w:trPr>
          <w:trHeight w:val="244"/>
        </w:trPr>
        <w:tc>
          <w:tcPr>
            <w:tcW w:w="372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Purchased</w:t>
            </w:r>
          </w:p>
        </w:tc>
        <w:tc>
          <w:tcPr>
            <w:tcW w:w="320" w:type="dxa"/>
            <w:vAlign w:val="bottom"/>
            <w:tcBorders>
              <w:bottom w:val="single" w:sz="8" w:color="901588"/>
            </w:tcBorders>
          </w:tcPr>
          <w:p>
            <w:pPr>
              <w:spacing w:after="0"/>
              <w:rPr>
                <w:sz w:val="21"/>
                <w:szCs w:val="21"/>
                <w:color w:val="auto"/>
              </w:rPr>
            </w:pPr>
          </w:p>
        </w:tc>
        <w:tc>
          <w:tcPr>
            <w:tcW w:w="13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b w:val="1"/>
                <w:bCs w:val="1"/>
                <w:color w:val="auto"/>
              </w:rPr>
              <w:t>Share (or Unit)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or Programs</w:t>
            </w:r>
            <w:r>
              <w:rPr>
                <w:rFonts w:ascii="Arial" w:cs="Arial" w:eastAsia="Arial" w:hAnsi="Arial"/>
                <w:sz w:val="21"/>
                <w:szCs w:val="21"/>
                <w:b w:val="1"/>
                <w:bCs w:val="1"/>
                <w:color w:val="auto"/>
                <w:vertAlign w:val="superscript"/>
              </w:rPr>
              <w:t>(2)</w:t>
            </w:r>
          </w:p>
        </w:tc>
        <w:tc>
          <w:tcPr>
            <w:tcW w:w="2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Plans or Programs</w:t>
            </w:r>
            <w:r>
              <w:rPr>
                <w:rFonts w:ascii="Arial" w:cs="Arial" w:eastAsia="Arial" w:hAnsi="Arial"/>
                <w:sz w:val="21"/>
                <w:szCs w:val="21"/>
                <w:b w:val="1"/>
                <w:bCs w:val="1"/>
                <w:color w:val="auto"/>
                <w:vertAlign w:val="superscript"/>
              </w:rPr>
              <w:t>(2)</w:t>
            </w:r>
          </w:p>
        </w:tc>
      </w:tr>
      <w:tr>
        <w:trPr>
          <w:trHeight w:val="23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January 4, 2025 - January 31,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7,405,410</w:t>
            </w:r>
          </w:p>
        </w:tc>
      </w:tr>
      <w:tr>
        <w:trPr>
          <w:trHeight w:val="237"/>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February 1, 2025 - February 28,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3,041,825</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131.50</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3,041,825</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4,363,585</w:t>
            </w:r>
          </w:p>
        </w:tc>
      </w:tr>
      <w:tr>
        <w:trPr>
          <w:trHeight w:val="236"/>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March 1 - March 31,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1,222</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133.83</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4,363,585</w:t>
            </w:r>
          </w:p>
        </w:tc>
      </w:tr>
      <w:tr>
        <w:trPr>
          <w:trHeight w:val="237"/>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April 1, 2025 - April 4, 2025</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4,363,585</w:t>
            </w:r>
          </w:p>
        </w:tc>
      </w:tr>
      <w:tr>
        <w:trPr>
          <w:trHeight w:val="243"/>
        </w:trPr>
        <w:tc>
          <w:tcPr>
            <w:tcW w:w="372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3,043,047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131.50</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3,041,825</w:t>
            </w:r>
          </w:p>
        </w:tc>
        <w:tc>
          <w:tcPr>
            <w:tcW w:w="2180" w:type="dxa"/>
            <w:vAlign w:val="bottom"/>
          </w:tcPr>
          <w:p>
            <w:pPr>
              <w:spacing w:after="0"/>
              <w:rPr>
                <w:sz w:val="21"/>
                <w:szCs w:val="21"/>
                <w:color w:val="auto"/>
              </w:rPr>
            </w:pPr>
          </w:p>
        </w:tc>
      </w:tr>
      <w:tr>
        <w:trPr>
          <w:trHeight w:val="20"/>
        </w:trPr>
        <w:tc>
          <w:tcPr>
            <w:tcW w:w="372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320" w:type="dxa"/>
            <w:vAlign w:val="bottom"/>
            <w:tcBorders>
              <w:bottom w:val="single" w:sz="8" w:color="901588"/>
            </w:tcBorders>
          </w:tcPr>
          <w:p>
            <w:pPr>
              <w:spacing w:after="0" w:line="20" w:lineRule="exact"/>
              <w:rPr>
                <w:sz w:val="1"/>
                <w:szCs w:val="1"/>
                <w:color w:val="auto"/>
              </w:rPr>
            </w:pPr>
          </w:p>
        </w:tc>
        <w:tc>
          <w:tcPr>
            <w:tcW w:w="1380" w:type="dxa"/>
            <w:vAlign w:val="bottom"/>
            <w:tcBorders>
              <w:bottom w:val="single" w:sz="8" w:color="901588"/>
            </w:tcBorders>
          </w:tcPr>
          <w:p>
            <w:pPr>
              <w:spacing w:after="0" w:line="20" w:lineRule="exact"/>
              <w:rPr>
                <w:sz w:val="1"/>
                <w:szCs w:val="1"/>
                <w:color w:val="auto"/>
              </w:rPr>
            </w:pPr>
          </w:p>
        </w:tc>
        <w:tc>
          <w:tcPr>
            <w:tcW w:w="2040" w:type="dxa"/>
            <w:vAlign w:val="bottom"/>
            <w:tcBorders>
              <w:bottom w:val="single" w:sz="8" w:color="901588"/>
            </w:tcBorders>
          </w:tcPr>
          <w:p>
            <w:pPr>
              <w:spacing w:after="0" w:line="20" w:lineRule="exact"/>
              <w:rPr>
                <w:sz w:val="1"/>
                <w:szCs w:val="1"/>
                <w:color w:val="auto"/>
              </w:rPr>
            </w:pPr>
          </w:p>
        </w:tc>
        <w:tc>
          <w:tcPr>
            <w:tcW w:w="2180" w:type="dxa"/>
            <w:vAlign w:val="bottom"/>
            <w:tcBorders>
              <w:bottom w:val="single" w:sz="8" w:color="901588"/>
            </w:tcBorders>
          </w:tcPr>
          <w:p>
            <w:pPr>
              <w:spacing w:after="0" w:line="20" w:lineRule="exact"/>
              <w:rPr>
                <w:sz w:val="1"/>
                <w:szCs w:val="1"/>
                <w:color w:val="auto"/>
              </w:rPr>
            </w:pPr>
          </w:p>
        </w:tc>
      </w:tr>
    </w:tbl>
    <w:p>
      <w:pPr>
        <w:spacing w:after="0" w:line="119"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The total number of shares purchased includes shares surrendered to satisfy statutory tax withholding obligations related to vesting of restricted stock units.</w:t>
      </w:r>
    </w:p>
    <w:p>
      <w:pPr>
        <w:spacing w:after="0" w:line="63" w:lineRule="exact"/>
        <w:rPr>
          <w:rFonts w:ascii="Arial" w:cs="Arial" w:eastAsia="Arial" w:hAnsi="Arial"/>
          <w:sz w:val="19"/>
          <w:szCs w:val="19"/>
          <w:color w:val="auto"/>
          <w:vertAlign w:val="superscript"/>
        </w:rPr>
      </w:pPr>
    </w:p>
    <w:p>
      <w:pPr>
        <w:ind w:left="260" w:hanging="252"/>
        <w:spacing w:after="0" w:line="254" w:lineRule="auto"/>
        <w:tabs>
          <w:tab w:leader="none" w:pos="263" w:val="left"/>
        </w:tabs>
        <w:numPr>
          <w:ilvl w:val="0"/>
          <w:numId w:val="22"/>
        </w:numPr>
        <w:rPr>
          <w:rFonts w:ascii="Arial" w:cs="Arial" w:eastAsia="Arial" w:hAnsi="Arial"/>
          <w:sz w:val="15"/>
          <w:szCs w:val="15"/>
          <w:color w:val="auto"/>
          <w:vertAlign w:val="superscript"/>
        </w:rPr>
      </w:pPr>
      <w:r>
        <w:rPr>
          <w:rFonts w:ascii="Arial" w:cs="Arial" w:eastAsia="Arial" w:hAnsi="Arial"/>
          <w:sz w:val="12"/>
          <w:szCs w:val="12"/>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replaces the previous share repurchase authorization announced in February 2018.</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Defaults Upon Senior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5.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ARRANGEMENT</w:t>
      </w:r>
    </w:p>
    <w:p>
      <w:pPr>
        <w:spacing w:after="0" w:line="1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During the three months ended April 4,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71"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6.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400" w:type="dxa"/>
            <w:vAlign w:val="bottom"/>
          </w:tcPr>
          <w:p>
            <w:pPr>
              <w:spacing w:after="0"/>
              <w:rPr>
                <w:sz w:val="16"/>
                <w:szCs w:val="16"/>
                <w:color w:val="auto"/>
              </w:rPr>
            </w:pPr>
          </w:p>
        </w:tc>
      </w:tr>
      <w:tr>
        <w:trPr>
          <w:trHeight w:val="240"/>
        </w:trPr>
        <w:tc>
          <w:tcPr>
            <w:tcW w:w="8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400" w:type="dxa"/>
            <w:vAlign w:val="bottom"/>
            <w:tcBorders>
              <w:bottom w:val="single" w:sz="8" w:color="901588"/>
            </w:tcBorders>
          </w:tcPr>
          <w:p>
            <w:pPr>
              <w:ind w:left="180"/>
              <w:spacing w:after="0"/>
              <w:rPr>
                <w:sz w:val="20"/>
                <w:szCs w:val="20"/>
                <w:color w:val="auto"/>
              </w:rPr>
            </w:pPr>
            <w:r>
              <w:rPr>
                <w:rFonts w:ascii="Arial" w:cs="Arial" w:eastAsia="Arial" w:hAnsi="Arial"/>
                <w:sz w:val="16"/>
                <w:szCs w:val="16"/>
                <w:b w:val="1"/>
                <w:bCs w:val="1"/>
                <w:color w:val="auto"/>
              </w:rPr>
              <w:t>Description of Exhibit</w:t>
            </w:r>
          </w:p>
        </w:tc>
      </w:tr>
      <w:tr>
        <w:trPr>
          <w:trHeight w:val="225"/>
        </w:trPr>
        <w:tc>
          <w:tcPr>
            <w:tcW w:w="840" w:type="dxa"/>
            <w:vAlign w:val="bottom"/>
          </w:tcPr>
          <w:p>
            <w:pPr>
              <w:ind w:left="20"/>
              <w:spacing w:after="0"/>
              <w:rPr>
                <w:sz w:val="20"/>
                <w:szCs w:val="20"/>
                <w:color w:val="auto"/>
              </w:rPr>
            </w:pPr>
            <w:r>
              <w:rPr>
                <w:rFonts w:ascii="Arial" w:cs="Arial" w:eastAsia="Arial" w:hAnsi="Arial"/>
                <w:sz w:val="16"/>
                <w:szCs w:val="16"/>
                <w:color w:val="auto"/>
              </w:rPr>
              <w:t>4.1</w:t>
            </w: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Officers' Certificate of Leidos, Inc., dated as of February 13, 2025. Incorporated by reference to Exhibit 4.1 to our Current Report on Form 8-K</w:t>
              </w:r>
            </w:hyperlink>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filed with the SEC on February 20, 2025.</w:t>
              </w:r>
            </w:hyperlink>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1"/>
        </w:trPr>
        <w:tc>
          <w:tcPr>
            <w:tcW w:w="840" w:type="dxa"/>
            <w:vAlign w:val="bottom"/>
          </w:tcPr>
          <w:p>
            <w:pPr>
              <w:ind w:left="20"/>
              <w:spacing w:after="0"/>
              <w:rPr>
                <w:sz w:val="20"/>
                <w:szCs w:val="20"/>
                <w:color w:val="auto"/>
              </w:rPr>
            </w:pPr>
            <w:r>
              <w:rPr>
                <w:rFonts w:ascii="Arial" w:cs="Arial" w:eastAsia="Arial" w:hAnsi="Arial"/>
                <w:sz w:val="16"/>
                <w:szCs w:val="16"/>
                <w:color w:val="auto"/>
              </w:rPr>
              <w:t>4.2</w:t>
            </w: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Form of Global Note representing Leidos, Inc.'s 5.400% Notes due 2032. Included in Exhibit 4.1 and incorporated by reference to Exhibit 4.2</w:t>
              </w:r>
            </w:hyperlink>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to our Current Report on Form 8-K filed with the SEC on February 20, 2025.</w:t>
              </w:r>
            </w:hyperlink>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2"/>
        </w:trPr>
        <w:tc>
          <w:tcPr>
            <w:tcW w:w="840" w:type="dxa"/>
            <w:vAlign w:val="bottom"/>
          </w:tcPr>
          <w:p>
            <w:pPr>
              <w:ind w:left="20"/>
              <w:spacing w:after="0"/>
              <w:rPr>
                <w:sz w:val="20"/>
                <w:szCs w:val="20"/>
                <w:color w:val="auto"/>
              </w:rPr>
            </w:pPr>
            <w:r>
              <w:rPr>
                <w:rFonts w:ascii="Arial" w:cs="Arial" w:eastAsia="Arial" w:hAnsi="Arial"/>
                <w:sz w:val="16"/>
                <w:szCs w:val="16"/>
                <w:color w:val="auto"/>
              </w:rPr>
              <w:t>4.3</w:t>
            </w: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Form of Global Note representing Leidos, Inc.'s 5.500% Notes due 2035. Included in Exhibit 4.1 and incorporated by reference to Exhibit 4.3</w:t>
              </w:r>
            </w:hyperlink>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B"/>
              </w:rPr>
            </w:pPr>
            <w:hyperlink r:id="rId68">
              <w:r>
                <w:rPr>
                  <w:rFonts w:ascii="Arial" w:cs="Arial" w:eastAsia="Arial" w:hAnsi="Arial"/>
                  <w:sz w:val="16"/>
                  <w:szCs w:val="16"/>
                  <w:color w:val="90158B"/>
                </w:rPr>
                <w:t>to our Current Report on Form 8-K filed with the SEC on February 20, 2025.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ind w:left="1020" w:hanging="994"/>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901588"/>
        </w:rPr>
        <w:t>Letter regarding change in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1020" w:hanging="994"/>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901588"/>
        </w:rPr>
        <w:t>List of Guarantors and Subsidiary Issuers of Guaranteed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1"/>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18 U.S.C. Section 1350, as adopted pursuant to Section 906 of the Sarbanes-Oxley Act of</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2002.</w:t>
            </w:r>
          </w:p>
        </w:tc>
      </w:tr>
      <w:tr>
        <w:trPr>
          <w:trHeight w:val="83"/>
        </w:trPr>
        <w:tc>
          <w:tcPr>
            <w:tcW w:w="680" w:type="dxa"/>
            <w:vAlign w:val="bottom"/>
            <w:tcBorders>
              <w:bottom w:val="single" w:sz="8" w:color="B2B2B2"/>
            </w:tcBorders>
          </w:tcPr>
          <w:p>
            <w:pPr>
              <w:spacing w:after="0"/>
              <w:rPr>
                <w:sz w:val="7"/>
                <w:szCs w:val="7"/>
                <w:color w:val="auto"/>
              </w:rPr>
            </w:pPr>
          </w:p>
        </w:tc>
        <w:tc>
          <w:tcPr>
            <w:tcW w:w="10560" w:type="dxa"/>
            <w:vAlign w:val="bottom"/>
            <w:tcBorders>
              <w:bottom w:val="single" w:sz="8" w:color="B2B2B2"/>
            </w:tcBorders>
          </w:tcPr>
          <w:p>
            <w:pPr>
              <w:spacing w:after="0"/>
              <w:rPr>
                <w:sz w:val="7"/>
                <w:szCs w:val="7"/>
                <w:color w:val="auto"/>
              </w:rPr>
            </w:pPr>
          </w:p>
        </w:tc>
      </w:tr>
      <w:tr>
        <w:trPr>
          <w:trHeight w:val="261"/>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18 U.S.C. Section 1350, as adopted pursuant to Section 906</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0" w:lineRule="exact"/>
        <w:rPr>
          <w:sz w:val="20"/>
          <w:szCs w:val="20"/>
          <w:color w:val="auto"/>
        </w:rPr>
      </w:pPr>
    </w:p>
    <w:p>
      <w:pPr>
        <w:ind w:left="1020" w:right="360" w:hanging="994"/>
        <w:spacing w:after="0" w:line="32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901588"/>
        </w:rPr>
        <w:t>Interactive Data File.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p>
      <w:pPr>
        <w:ind w:left="1020" w:right="160" w:hanging="994"/>
        <w:spacing w:after="0" w:line="32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901588"/>
        </w:rPr>
        <w:t>Cover Page Interactive Data File.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3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 May 6,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Leidos Holdings, Inc.</w:t>
      </w:r>
    </w:p>
    <w:p>
      <w:pPr>
        <w:spacing w:after="0" w:line="181" w:lineRule="exact"/>
        <w:rPr>
          <w:sz w:val="20"/>
          <w:szCs w:val="20"/>
          <w:color w:val="auto"/>
        </w:rPr>
      </w:pPr>
    </w:p>
    <w:p>
      <w:pPr>
        <w:jc w:val="center"/>
        <w:ind w:right="4920"/>
        <w:spacing w:after="0"/>
        <w:rPr>
          <w:sz w:val="20"/>
          <w:szCs w:val="20"/>
          <w:color w:val="auto"/>
        </w:rPr>
      </w:pPr>
      <w:r>
        <w:rPr>
          <w:rFonts w:ascii="Arial" w:cs="Arial" w:eastAsia="Arial" w:hAnsi="Arial"/>
          <w:sz w:val="16"/>
          <w:szCs w:val="16"/>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9947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25"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Christopher R. Cage</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4"/>
          <w:szCs w:val="14"/>
          <w:b w:val="1"/>
          <w:bCs w:val="1"/>
          <w:i w:val="1"/>
          <w:iCs w:val="1"/>
          <w:color w:val="auto"/>
        </w:rPr>
        <w:t>and as a duly authorized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ectPr>
          <w:pgSz w:w="11900" w:h="16838" w:orient="portrait"/>
          <w:cols w:equalWidth="0" w:num="1">
            <w:col w:w="11220"/>
          </w:cols>
          <w:pgMar w:left="320" w:top="233"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May 6,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1750 Presidents Street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Reston, Virginia 20190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Dear Sirs/Madams:</w:t>
      </w:r>
    </w:p>
    <w:p>
      <w:pPr>
        <w:spacing w:after="0" w:line="14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At your request, we have read the description included in your Quarterly Report on Form 10-Q to the Securities and Exchange Commission for the quarter ended April 4, 2025, of the facts relating to the policy change excluding outstanding payments from “Cash and cash equivalents” on the condensed consolidated balance sheets and condensed consolidated statements of cash flows. We believe, on the basis of the facts so set forth and other information furnished to us by appropriate officials of Leidos Holdings, Inc. that the accounting change described in your Form 10-Q is to an alternative accounting principle that is preferable under the circumstances.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not audited any consolidated financial statements of Leidos Holdings, Inc. and its subsidiaries as of any date or for any period subsequent to January 3, 2025. Therefore, we are unable to express, and we do not express, an opinion on the facts set forth in the above-mentioned Form 10-Q, on the related information furnished to us by officials of the Leidos Holdings, Inc., or on the financial position, results of operations, or cash flows of Leidos Holdings, Inc. and its subsidiaries as of any date or for any period subsequent to January 3,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Yours truly,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List of Guarantors and Subsidiary Issuers of Guaranteed Securities</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UNSECURED REGISTERED NOTES: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$750 million 4.375% notes, due May 2030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$1,000 million 2.300% notes, due February 2031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$500 million 5.400% notes, due March 2032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$750 million 5.750% notes, due March 2033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$500 million 5.500% notes, due March 2035</w:t>
      </w:r>
    </w:p>
    <w:p>
      <w:pPr>
        <w:spacing w:after="0" w:line="12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UNSECURED UNREGISTERED DEBT SECURITIES ISSUED BY LEIDOS, INC.:</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$250 million 7.125% notes, due July 2032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$300 million 5.500% notes, due July 2033</w:t>
      </w:r>
    </w:p>
    <w:p>
      <w:pPr>
        <w:spacing w:after="0" w:line="14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UNSECURED UNREGISTERED DEBT SECURITIES ISSUED BY LEIDOS HOLDINGS, INC.:</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$300 million 5.950% notes, due December 2040</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April 4, 2025,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April 4, 2025,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connection with the Quarterly Report of Leidos Holdings, Inc. ("Leidos") on Form 10-Q for the period ended April 4, 2025,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99"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Quarterly Report of Leidos Holdings, Inc. ("Leidos") on Form 10-Q for the period ended April 4, 2025,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2"/>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6"/>
      <w:numFmt w:val="bullet"/>
      <w:start w:val="1"/>
    </w:lvl>
  </w:abstractNum>
  <w:abstractNum w:abstractNumId="5">
    <w:nsid w:val="7C83E458"/>
    <w:multiLevelType w:val="hybridMultilevel"/>
    <w:lvl w:ilvl="0">
      <w:lvlJc w:val="left"/>
      <w:lvlText w:val="8"/>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0"/>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2"/>
    </w:lvl>
  </w:abstractNum>
  <w:abstractNum w:abstractNumId="11">
    <w:nsid w:val="721DA317"/>
    <w:multiLevelType w:val="hybridMultilevel"/>
    <w:lvl w:ilvl="0">
      <w:lvlJc w:val="left"/>
      <w:lvlText w:val="%1"/>
      <w:numFmt w:val="decimal"/>
      <w:start w:val="14"/>
    </w:lvl>
  </w:abstractNum>
  <w:abstractNum w:abstractNumId="12">
    <w:nsid w:val="2443A858"/>
    <w:multiLevelType w:val="hybridMultilevel"/>
    <w:lvl w:ilvl="0">
      <w:lvlJc w:val="left"/>
      <w:lvlText w:val="%1"/>
      <w:numFmt w:val="decimal"/>
      <w:start w:val="16"/>
    </w:lvl>
  </w:abstractNum>
  <w:abstractNum w:abstractNumId="13">
    <w:nsid w:val="2D1D5AE9"/>
    <w:multiLevelType w:val="hybridMultilevel"/>
    <w:lvl w:ilvl="0">
      <w:lvlJc w:val="left"/>
      <w:lvlText w:val="%1"/>
      <w:numFmt w:val="decimal"/>
      <w:start w:val="18"/>
    </w:lvl>
  </w:abstractNum>
  <w:abstractNum w:abstractNumId="14">
    <w:nsid w:val="6763845E"/>
    <w:multiLevelType w:val="hybridMultilevel"/>
    <w:lvl w:ilvl="0">
      <w:lvlJc w:val="left"/>
      <w:lvlText w:val="%1"/>
      <w:numFmt w:val="decimal"/>
      <w:start w:val="20"/>
    </w:lvl>
  </w:abstractNum>
  <w:abstractNum w:abstractNumId="15">
    <w:nsid w:val="75A2A8D4"/>
    <w:multiLevelType w:val="hybridMultilevel"/>
    <w:lvl w:ilvl="0">
      <w:lvlJc w:val="left"/>
      <w:lvlText w:val="%1"/>
      <w:numFmt w:val="decimal"/>
      <w:start w:val="22"/>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4"/>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6"/>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8"/>
    </w:lvl>
  </w:abstractNum>
  <w:abstractNum w:abstractNumId="23">
    <w:nsid w:val="2CA88611"/>
    <w:multiLevelType w:val="hybridMultilevel"/>
    <w:lvl w:ilvl="0">
      <w:lvlJc w:val="left"/>
      <w:lvlText w:val="%1"/>
      <w:numFmt w:val="decimal"/>
      <w:start w:val="18"/>
    </w:lvl>
  </w:abstractNum>
  <w:abstractNum w:abstractNumId="24">
    <w:nsid w:val="836C40E"/>
    <w:multiLevelType w:val="hybridMultilevel"/>
    <w:lvl w:ilvl="0">
      <w:lvlJc w:val="left"/>
      <w:lvlText w:val="%1"/>
      <w:numFmt w:val="decimal"/>
      <w:start w:val="22"/>
    </w:lvl>
  </w:abstractNum>
  <w:abstractNum w:abstractNumId="25">
    <w:nsid w:val="2901D82"/>
    <w:multiLevelType w:val="hybridMultilevel"/>
    <w:lvl w:ilvl="0">
      <w:lvlJc w:val="left"/>
      <w:lvlText w:val="%1"/>
      <w:numFmt w:val="decimal"/>
      <w:start w:val="101"/>
    </w:lvl>
  </w:abstractNum>
  <w:abstractNum w:abstractNumId="26">
    <w:nsid w:val="3A95F874"/>
    <w:multiLevelType w:val="hybridMultilevel"/>
    <w:lvl w:ilvl="0">
      <w:lvlJc w:val="left"/>
      <w:lvlText w:val="%1"/>
      <w:numFmt w:val="decimal"/>
      <w:start w:val="104"/>
    </w:lvl>
  </w:abstractNum>
  <w:abstractNum w:abstractNumId="27">
    <w:nsid w:val="8138641"/>
    <w:multiLevelType w:val="hybridMultilevel"/>
    <w:lvl w:ilvl="0">
      <w:lvlJc w:val="left"/>
      <w:lvlText w:val="%1"/>
      <w:numFmt w:val="decimal"/>
      <w:start w:val="30"/>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68" Type="http://schemas.openxmlformats.org/officeDocument/2006/relationships/hyperlink" Target="https://www.sec.gov/Archives/edgar/data/1336920/000119312525030730/d92211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2025-05-06T11:02:42Z</dcterms:created>
  <dcterms:modified xsi:type="dcterms:W3CDTF">2025-05-06T11:02:42Z</dcterms:modified>
</cp:coreProperties>
</file>