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3174365</wp:posOffset>
            </wp:positionH>
            <wp:positionV relativeFrom="page">
              <wp:posOffset>363220</wp:posOffset>
            </wp:positionV>
            <wp:extent cx="120904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8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 10-K</w:t>
      </w:r>
    </w:p>
    <w:p>
      <w:pPr>
        <w:spacing w:after="0" w:line="16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4"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fiscal year ended December 29, 2023</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or</w:t>
      </w:r>
    </w:p>
    <w:p>
      <w:pPr>
        <w:spacing w:after="0" w:line="65"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4"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transition period from to</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001-33072</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Leidos Holdings,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60"/>
          </w:cols>
          <w:pgMar w:left="320" w:top="1440" w:right="419" w:bottom="1440" w:gutter="0" w:footer="0" w:header="0"/>
        </w:sectPr>
      </w:pPr>
    </w:p>
    <w:p>
      <w:pPr>
        <w:spacing w:after="0" w:line="133" w:lineRule="exact"/>
        <w:rPr>
          <w:sz w:val="24"/>
          <w:szCs w:val="24"/>
          <w:color w:val="auto"/>
        </w:rPr>
      </w:pPr>
    </w:p>
    <w:p>
      <w:pPr>
        <w:ind w:left="18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20-3562868</w:t>
      </w:r>
    </w:p>
    <w:p>
      <w:pPr>
        <w:spacing w:after="0" w:line="51" w:lineRule="exact"/>
        <w:rPr>
          <w:sz w:val="24"/>
          <w:szCs w:val="24"/>
          <w:color w:val="auto"/>
        </w:rPr>
      </w:pPr>
    </w:p>
    <w:p>
      <w:pPr>
        <w:sectPr>
          <w:pgSz w:w="11900" w:h="16838" w:orient="portrait"/>
          <w:cols w:equalWidth="0" w:num="2">
            <w:col w:w="7420" w:space="720"/>
            <w:col w:w="3020"/>
          </w:cols>
          <w:pgMar w:left="320" w:top="1440" w:right="41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78" w:lineRule="exact"/>
        <w:rPr>
          <w:sz w:val="24"/>
          <w:szCs w:val="24"/>
          <w:color w:val="auto"/>
        </w:rPr>
      </w:pPr>
    </w:p>
    <w:p>
      <w:pPr>
        <w:sectPr>
          <w:pgSz w:w="11900" w:h="16838" w:orient="portrait"/>
          <w:cols w:equalWidth="0" w:num="2">
            <w:col w:w="6780" w:space="720"/>
            <w:col w:w="3660"/>
          </w:cols>
          <w:pgMar w:left="320" w:top="1440" w:right="419" w:bottom="1440" w:gutter="0" w:footer="0" w:header="0"/>
          <w:type w:val="continuous"/>
        </w:sectPr>
      </w:pPr>
    </w:p>
    <w:p>
      <w:pPr>
        <w:ind w:left="280"/>
        <w:spacing w:after="0"/>
        <w:rPr>
          <w:sz w:val="20"/>
          <w:szCs w:val="20"/>
          <w:color w:val="auto"/>
        </w:rPr>
      </w:pPr>
      <w:r>
        <w:rPr>
          <w:rFonts w:ascii="Arial" w:cs="Arial" w:eastAsia="Arial" w:hAnsi="Arial"/>
          <w:sz w:val="17"/>
          <w:szCs w:val="17"/>
          <w:b w:val="1"/>
          <w:bCs w:val="1"/>
          <w:color w:val="auto"/>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20190</w:t>
      </w:r>
    </w:p>
    <w:p>
      <w:pPr>
        <w:spacing w:after="0" w:line="51" w:lineRule="exact"/>
        <w:rPr>
          <w:sz w:val="24"/>
          <w:szCs w:val="24"/>
          <w:color w:val="auto"/>
        </w:rPr>
      </w:pPr>
    </w:p>
    <w:p>
      <w:pPr>
        <w:sectPr>
          <w:pgSz w:w="11900" w:h="16838" w:orient="portrait"/>
          <w:cols w:equalWidth="0" w:num="4">
            <w:col w:w="2260" w:space="380"/>
            <w:col w:w="660" w:space="260"/>
            <w:col w:w="4080" w:space="720"/>
            <w:col w:w="2800"/>
          </w:cols>
          <w:pgMar w:left="320" w:top="1440" w:right="41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59" w:lineRule="exact"/>
        <w:rPr>
          <w:sz w:val="24"/>
          <w:szCs w:val="24"/>
          <w:color w:val="auto"/>
        </w:rPr>
      </w:pPr>
    </w:p>
    <w:p>
      <w:pPr>
        <w:sectPr>
          <w:pgSz w:w="11900" w:h="16838" w:orient="portrait"/>
          <w:cols w:equalWidth="0" w:num="2">
            <w:col w:w="7560" w:space="720"/>
            <w:col w:w="2880"/>
          </w:cols>
          <w:pgMar w:left="320" w:top="1440" w:right="4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(571) 526-6000</w:t>
      </w:r>
    </w:p>
    <w:p>
      <w:pPr>
        <w:spacing w:after="0" w:line="7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160"/>
          </w:cols>
          <w:pgMar w:left="320" w:top="1440" w:right="419" w:bottom="1440" w:gutter="0" w:footer="0" w:header="0"/>
          <w:type w:val="continuous"/>
        </w:sectPr>
      </w:pPr>
    </w:p>
    <w:p>
      <w:pPr>
        <w:spacing w:after="0" w:line="64"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680" w:space="720"/>
            <w:col w:w="1640" w:space="720"/>
            <w:col w:w="3400"/>
          </w:cols>
          <w:pgMar w:left="320" w:top="1440" w:right="41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3">
            <w:col w:w="5000" w:space="720"/>
            <w:col w:w="1620" w:space="720"/>
            <w:col w:w="3100"/>
          </w:cols>
          <w:pgMar w:left="320" w:top="1440" w:right="419" w:bottom="1440" w:gutter="0" w:footer="0" w:header="0"/>
          <w:type w:val="continuous"/>
        </w:sectPr>
      </w:pP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31" w:lineRule="exact"/>
        <w:rPr>
          <w:sz w:val="24"/>
          <w:szCs w:val="24"/>
          <w:color w:val="auto"/>
        </w:rPr>
      </w:pPr>
    </w:p>
    <w:p>
      <w:pPr>
        <w:ind w:right="2680"/>
        <w:spacing w:after="0" w:line="412"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50" w:lineRule="exact"/>
        <w:rPr>
          <w:sz w:val="24"/>
          <w:szCs w:val="24"/>
          <w:color w:val="auto"/>
        </w:rPr>
      </w:pPr>
    </w:p>
    <w:p>
      <w:pPr>
        <w:ind w:right="600"/>
        <w:spacing w:after="0" w:line="301"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16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62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2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462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62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ind w:right="220"/>
        <w:spacing w:after="0" w:line="305"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50" w:lineRule="exact"/>
        <w:rPr>
          <w:sz w:val="24"/>
          <w:szCs w:val="24"/>
          <w:color w:val="auto"/>
        </w:rPr>
      </w:pPr>
    </w:p>
    <w:p>
      <w:pPr>
        <w:ind w:right="340"/>
        <w:spacing w:after="0" w:line="285" w:lineRule="auto"/>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9" w:lineRule="exact"/>
        <w:rPr>
          <w:sz w:val="24"/>
          <w:szCs w:val="24"/>
          <w:color w:val="auto"/>
        </w:rPr>
      </w:pPr>
    </w:p>
    <w:p>
      <w:pPr>
        <w:ind w:right="540"/>
        <w:spacing w:after="0" w:line="301"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380"/>
        <w:spacing w:after="0" w:line="268"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71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2023, which was the last business day of the registrant's most recently completed second fiscal quarter, the aggregate market value of Leidos Holdings, Inc.</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common stock (based upon the closing price of the stock on the New York Stock Exchange) held by non-affiliates of the registrant was $12,035,539,574.</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6, 2024, was 135,779,301 shares ($.0001 par value per share).</w:t>
      </w:r>
    </w:p>
    <w:p>
      <w:pPr>
        <w:spacing w:after="0" w:line="10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3" w:lineRule="exact"/>
        <w:rPr>
          <w:sz w:val="24"/>
          <w:szCs w:val="24"/>
          <w:color w:val="auto"/>
        </w:rPr>
      </w:pPr>
    </w:p>
    <w:p>
      <w:pPr>
        <w:ind w:right="40"/>
        <w:spacing w:after="0" w:line="305" w:lineRule="auto"/>
        <w:rPr>
          <w:sz w:val="20"/>
          <w:szCs w:val="20"/>
          <w:color w:val="auto"/>
        </w:rPr>
      </w:pPr>
      <w:r>
        <w:rPr>
          <w:rFonts w:ascii="Arial" w:cs="Arial" w:eastAsia="Arial" w:hAnsi="Arial"/>
          <w:sz w:val="14"/>
          <w:szCs w:val="14"/>
          <w:color w:val="auto"/>
        </w:rPr>
        <w:t>Portions of Leidos Holdings, Inc.'s definitive Proxy Statement for the 2023 Annual Meeting of Stockholders ("2024 Proxy Statement")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4"/>
                <w:szCs w:val="14"/>
                <w:color w:val="auto"/>
              </w:rPr>
              <w:t>Page</w:t>
            </w:r>
          </w:p>
        </w:tc>
      </w:tr>
      <w:tr>
        <w:trPr>
          <w:trHeight w:val="250"/>
        </w:trPr>
        <w:tc>
          <w:tcPr>
            <w:tcW w:w="1340" w:type="dxa"/>
            <w:vAlign w:val="bottom"/>
          </w:tcPr>
          <w:p>
            <w:pPr>
              <w:ind w:left="40"/>
              <w:spacing w:after="0"/>
              <w:rPr>
                <w:sz w:val="20"/>
                <w:szCs w:val="20"/>
                <w:color w:val="auto"/>
              </w:rPr>
            </w:pPr>
            <w:r>
              <w:rPr>
                <w:rFonts w:ascii="Arial" w:cs="Arial" w:eastAsia="Arial" w:hAnsi="Arial"/>
                <w:sz w:val="18"/>
                <w:szCs w:val="18"/>
                <w:b w:val="1"/>
                <w:bCs w:val="1"/>
                <w:color w:val="0000FF"/>
              </w:rPr>
              <w:t>Part I</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sz w:val="20"/>
                <w:szCs w:val="20"/>
                <w:color w:val="auto"/>
              </w:rPr>
            </w:pPr>
            <w:r>
              <w:rPr>
                <w:rFonts w:ascii="Arial" w:cs="Arial" w:eastAsia="Arial" w:hAnsi="Arial"/>
                <w:sz w:val="18"/>
                <w:szCs w:val="18"/>
                <w:color w:val="0000FF"/>
                <w:w w:val="98"/>
              </w:rPr>
              <w:t>Business</w:t>
            </w:r>
          </w:p>
        </w:tc>
        <w:tc>
          <w:tcPr>
            <w:tcW w:w="8040" w:type="dxa"/>
            <w:vAlign w:val="bottom"/>
            <w:gridSpan w:val="20"/>
          </w:tcPr>
          <w:p>
            <w:pPr>
              <w:spacing w:after="0"/>
              <w:rPr>
                <w:sz w:val="24"/>
                <w:szCs w:val="24"/>
                <w:color w:val="auto"/>
              </w:rPr>
            </w:pPr>
          </w:p>
        </w:tc>
        <w:tc>
          <w:tcPr>
            <w:tcW w:w="980" w:type="dxa"/>
            <w:vAlign w:val="bottom"/>
            <w:gridSpan w:val="3"/>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0000FF"/>
                <w:w w:val="79"/>
              </w:rPr>
              <w:t>3</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1A.</w:t>
            </w:r>
          </w:p>
        </w:tc>
        <w:tc>
          <w:tcPr>
            <w:tcW w:w="878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16</w:t>
            </w:r>
          </w:p>
        </w:tc>
      </w:tr>
      <w:tr>
        <w:trPr>
          <w:trHeight w:val="20"/>
        </w:trPr>
        <w:tc>
          <w:tcPr>
            <w:tcW w:w="13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1B.</w:t>
            </w:r>
          </w:p>
        </w:tc>
        <w:tc>
          <w:tcPr>
            <w:tcW w:w="2260" w:type="dxa"/>
            <w:vAlign w:val="bottom"/>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520" w:type="dxa"/>
            <w:vAlign w:val="bottom"/>
            <w:gridSpan w:val="11"/>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43</w:t>
            </w:r>
          </w:p>
        </w:tc>
      </w:tr>
      <w:tr>
        <w:trPr>
          <w:trHeight w:val="20"/>
        </w:trPr>
        <w:tc>
          <w:tcPr>
            <w:tcW w:w="1340" w:type="dxa"/>
            <w:vAlign w:val="bottom"/>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1C.</w:t>
            </w:r>
          </w:p>
        </w:tc>
        <w:tc>
          <w:tcPr>
            <w:tcW w:w="2260" w:type="dxa"/>
            <w:vAlign w:val="bottom"/>
            <w:gridSpan w:val="10"/>
          </w:tcPr>
          <w:p>
            <w:pPr>
              <w:spacing w:after="0"/>
              <w:rPr>
                <w:sz w:val="20"/>
                <w:szCs w:val="20"/>
                <w:color w:val="auto"/>
              </w:rPr>
            </w:pPr>
            <w:r>
              <w:rPr>
                <w:rFonts w:ascii="Arial" w:cs="Arial" w:eastAsia="Arial" w:hAnsi="Arial"/>
                <w:sz w:val="18"/>
                <w:szCs w:val="18"/>
                <w:color w:val="0000FF"/>
              </w:rPr>
              <w:t>Cybersecurity</w:t>
            </w:r>
          </w:p>
        </w:tc>
        <w:tc>
          <w:tcPr>
            <w:tcW w:w="6520" w:type="dxa"/>
            <w:vAlign w:val="bottom"/>
            <w:gridSpan w:val="11"/>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44</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2.</w:t>
            </w:r>
          </w:p>
        </w:tc>
        <w:tc>
          <w:tcPr>
            <w:tcW w:w="1100" w:type="dxa"/>
            <w:vAlign w:val="bottom"/>
            <w:gridSpan w:val="4"/>
          </w:tcPr>
          <w:p>
            <w:pPr>
              <w:spacing w:after="0"/>
              <w:rPr>
                <w:sz w:val="20"/>
                <w:szCs w:val="20"/>
                <w:color w:val="auto"/>
              </w:rPr>
            </w:pPr>
            <w:r>
              <w:rPr>
                <w:rFonts w:ascii="Arial" w:cs="Arial" w:eastAsia="Arial" w:hAnsi="Arial"/>
                <w:sz w:val="18"/>
                <w:szCs w:val="18"/>
                <w:color w:val="0000FF"/>
              </w:rPr>
              <w:t>Properties</w:t>
            </w:r>
          </w:p>
        </w:tc>
        <w:tc>
          <w:tcPr>
            <w:tcW w:w="7680" w:type="dxa"/>
            <w:vAlign w:val="bottom"/>
            <w:gridSpan w:val="17"/>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46</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3.</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280" w:type="dxa"/>
            <w:vAlign w:val="bottom"/>
            <w:gridSpan w:val="15"/>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46</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4.</w:t>
            </w:r>
          </w:p>
        </w:tc>
        <w:tc>
          <w:tcPr>
            <w:tcW w:w="1940" w:type="dxa"/>
            <w:vAlign w:val="bottom"/>
            <w:gridSpan w:val="8"/>
          </w:tcPr>
          <w:p>
            <w:pPr>
              <w:spacing w:after="0"/>
              <w:rPr>
                <w:sz w:val="20"/>
                <w:szCs w:val="20"/>
                <w:color w:val="auto"/>
              </w:rPr>
            </w:pPr>
            <w:r>
              <w:rPr>
                <w:rFonts w:ascii="Arial" w:cs="Arial" w:eastAsia="Arial" w:hAnsi="Arial"/>
                <w:sz w:val="18"/>
                <w:szCs w:val="18"/>
                <w:color w:val="0000FF"/>
                <w:w w:val="99"/>
              </w:rPr>
              <w:t>Mine Safety Disclosures</w:t>
            </w:r>
          </w:p>
        </w:tc>
        <w:tc>
          <w:tcPr>
            <w:tcW w:w="6840" w:type="dxa"/>
            <w:vAlign w:val="bottom"/>
            <w:gridSpan w:val="13"/>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46</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120" w:type="dxa"/>
            <w:vAlign w:val="bottom"/>
            <w:gridSpan w:val="22"/>
          </w:tcPr>
          <w:p>
            <w:pPr>
              <w:ind w:left="40"/>
              <w:spacing w:after="0"/>
              <w:rPr>
                <w:sz w:val="20"/>
                <w:szCs w:val="20"/>
                <w:color w:val="auto"/>
              </w:rPr>
            </w:pPr>
            <w:r>
              <w:rPr>
                <w:rFonts w:ascii="Arial" w:cs="Arial" w:eastAsia="Arial" w:hAnsi="Arial"/>
                <w:sz w:val="18"/>
                <w:szCs w:val="18"/>
                <w:b w:val="1"/>
                <w:bCs w:val="1"/>
                <w:color w:val="0000FF"/>
              </w:rPr>
              <w:t>Executive Officers of the Registrant</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46</w:t>
            </w:r>
          </w:p>
        </w:tc>
      </w:tr>
      <w:tr>
        <w:trPr>
          <w:trHeight w:val="370"/>
        </w:trPr>
        <w:tc>
          <w:tcPr>
            <w:tcW w:w="1340" w:type="dxa"/>
            <w:vAlign w:val="bottom"/>
          </w:tcPr>
          <w:p>
            <w:pPr>
              <w:ind w:left="40"/>
              <w:spacing w:after="0"/>
              <w:rPr>
                <w:sz w:val="20"/>
                <w:szCs w:val="20"/>
                <w:color w:val="auto"/>
              </w:rPr>
            </w:pPr>
            <w:r>
              <w:rPr>
                <w:rFonts w:ascii="Arial" w:cs="Arial" w:eastAsia="Arial" w:hAnsi="Arial"/>
                <w:sz w:val="18"/>
                <w:szCs w:val="18"/>
                <w:b w:val="1"/>
                <w:bCs w:val="1"/>
                <w:color w:val="0000FF"/>
              </w:rPr>
              <w:t>Part II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92"/>
        </w:trPr>
        <w:tc>
          <w:tcPr>
            <w:tcW w:w="1340" w:type="dxa"/>
            <w:vAlign w:val="bottom"/>
          </w:tcPr>
          <w:p>
            <w:pPr>
              <w:ind w:left="40"/>
              <w:spacing w:after="0"/>
              <w:rPr>
                <w:sz w:val="20"/>
                <w:szCs w:val="20"/>
                <w:color w:val="auto"/>
              </w:rPr>
            </w:pPr>
            <w:r>
              <w:rPr>
                <w:rFonts w:ascii="Arial" w:cs="Arial" w:eastAsia="Arial" w:hAnsi="Arial"/>
                <w:sz w:val="18"/>
                <w:szCs w:val="18"/>
                <w:color w:val="auto"/>
              </w:rPr>
              <w:t>Item 5.</w:t>
            </w:r>
          </w:p>
        </w:tc>
        <w:tc>
          <w:tcPr>
            <w:tcW w:w="8780" w:type="dxa"/>
            <w:vAlign w:val="bottom"/>
            <w:gridSpan w:val="21"/>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49</w:t>
            </w:r>
          </w:p>
        </w:tc>
      </w:tr>
      <w:tr>
        <w:trPr>
          <w:trHeight w:val="203"/>
        </w:trPr>
        <w:tc>
          <w:tcPr>
            <w:tcW w:w="1340" w:type="dxa"/>
            <w:vAlign w:val="bottom"/>
          </w:tcPr>
          <w:p>
            <w:pPr>
              <w:spacing w:after="0"/>
              <w:rPr>
                <w:sz w:val="17"/>
                <w:szCs w:val="17"/>
                <w:color w:val="auto"/>
              </w:rPr>
            </w:pPr>
          </w:p>
        </w:tc>
        <w:tc>
          <w:tcPr>
            <w:tcW w:w="820" w:type="dxa"/>
            <w:vAlign w:val="bottom"/>
            <w:tcBorders>
              <w:top w:val="single" w:sz="8" w:color="0000FF"/>
              <w:bottom w:val="single" w:sz="8" w:color="0000FF"/>
            </w:tcBorders>
            <w:gridSpan w:val="2"/>
          </w:tcPr>
          <w:p>
            <w:pPr>
              <w:spacing w:after="0" w:line="202" w:lineRule="exact"/>
              <w:rPr>
                <w:sz w:val="20"/>
                <w:szCs w:val="20"/>
                <w:color w:val="auto"/>
              </w:rPr>
            </w:pPr>
            <w:r>
              <w:rPr>
                <w:rFonts w:ascii="Arial" w:cs="Arial" w:eastAsia="Arial" w:hAnsi="Arial"/>
                <w:sz w:val="18"/>
                <w:szCs w:val="18"/>
                <w:color w:val="0000FF"/>
                <w:w w:val="98"/>
              </w:rPr>
              <w:t>Securities</w:t>
            </w:r>
          </w:p>
        </w:tc>
        <w:tc>
          <w:tcPr>
            <w:tcW w:w="7220" w:type="dxa"/>
            <w:vAlign w:val="bottom"/>
            <w:tcBorders>
              <w:top w:val="single" w:sz="8" w:color="0000FF"/>
            </w:tcBorders>
            <w:gridSpan w:val="18"/>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1340" w:type="dxa"/>
            <w:vAlign w:val="bottom"/>
          </w:tcPr>
          <w:p>
            <w:pPr>
              <w:ind w:left="40"/>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sz w:val="20"/>
                <w:szCs w:val="20"/>
                <w:color w:val="auto"/>
              </w:rPr>
            </w:pPr>
            <w:r>
              <w:rPr>
                <w:rFonts w:ascii="Arial" w:cs="Arial" w:eastAsia="Arial" w:hAnsi="Arial"/>
                <w:sz w:val="18"/>
                <w:szCs w:val="18"/>
                <w:color w:val="0000FF"/>
                <w:w w:val="89"/>
              </w:rPr>
              <w:t>[Reserved]</w:t>
            </w:r>
          </w:p>
        </w:tc>
        <w:tc>
          <w:tcPr>
            <w:tcW w:w="7960" w:type="dxa"/>
            <w:vAlign w:val="bottom"/>
            <w:gridSpan w:val="19"/>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51</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7.</w:t>
            </w:r>
          </w:p>
        </w:tc>
        <w:tc>
          <w:tcPr>
            <w:tcW w:w="87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52</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340" w:type="dxa"/>
            <w:vAlign w:val="bottom"/>
          </w:tcPr>
          <w:p>
            <w:pPr>
              <w:ind w:left="40"/>
              <w:spacing w:after="0"/>
              <w:rPr>
                <w:sz w:val="20"/>
                <w:szCs w:val="20"/>
                <w:color w:val="auto"/>
              </w:rPr>
            </w:pPr>
            <w:r>
              <w:rPr>
                <w:rFonts w:ascii="Arial" w:cs="Arial" w:eastAsia="Arial" w:hAnsi="Arial"/>
                <w:sz w:val="18"/>
                <w:szCs w:val="18"/>
                <w:color w:val="auto"/>
              </w:rPr>
              <w:t>Item 7A.</w:t>
            </w:r>
          </w:p>
        </w:tc>
        <w:tc>
          <w:tcPr>
            <w:tcW w:w="4720" w:type="dxa"/>
            <w:vAlign w:val="bottom"/>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24"/>
                <w:szCs w:val="24"/>
                <w:color w:val="auto"/>
              </w:rPr>
            </w:pPr>
          </w:p>
        </w:tc>
        <w:tc>
          <w:tcPr>
            <w:tcW w:w="1700" w:type="dxa"/>
            <w:vAlign w:val="bottom"/>
            <w:gridSpan w:val="4"/>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63</w:t>
            </w:r>
          </w:p>
        </w:tc>
      </w:tr>
      <w:tr>
        <w:trPr>
          <w:trHeight w:val="20"/>
        </w:trPr>
        <w:tc>
          <w:tcPr>
            <w:tcW w:w="13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340" w:type="dxa"/>
            <w:vAlign w:val="bottom"/>
          </w:tcPr>
          <w:p>
            <w:pPr>
              <w:ind w:left="40"/>
              <w:spacing w:after="0"/>
              <w:rPr>
                <w:sz w:val="20"/>
                <w:szCs w:val="20"/>
                <w:color w:val="auto"/>
              </w:rPr>
            </w:pPr>
            <w:r>
              <w:rPr>
                <w:rFonts w:ascii="Arial" w:cs="Arial" w:eastAsia="Arial" w:hAnsi="Arial"/>
                <w:sz w:val="18"/>
                <w:szCs w:val="18"/>
                <w:color w:val="auto"/>
              </w:rPr>
              <w:t>Item 8.</w:t>
            </w:r>
          </w:p>
        </w:tc>
        <w:tc>
          <w:tcPr>
            <w:tcW w:w="472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4060" w:type="dxa"/>
            <w:vAlign w:val="bottom"/>
            <w:gridSpan w:val="6"/>
          </w:tcPr>
          <w:p>
            <w:pPr>
              <w:spacing w:after="0"/>
              <w:rPr>
                <w:sz w:val="24"/>
                <w:szCs w:val="24"/>
                <w:color w:val="auto"/>
              </w:rPr>
            </w:pPr>
          </w:p>
        </w:tc>
        <w:tc>
          <w:tcPr>
            <w:tcW w:w="880" w:type="dxa"/>
            <w:vAlign w:val="bottom"/>
            <w:gridSpan w:val="2"/>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64</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9.</w:t>
            </w:r>
          </w:p>
        </w:tc>
        <w:tc>
          <w:tcPr>
            <w:tcW w:w="8780" w:type="dxa"/>
            <w:vAlign w:val="bottom"/>
            <w:gridSpan w:val="2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117</w:t>
            </w:r>
          </w:p>
        </w:tc>
      </w:tr>
      <w:tr>
        <w:trPr>
          <w:trHeight w:val="20"/>
        </w:trPr>
        <w:tc>
          <w:tcPr>
            <w:tcW w:w="13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9A.</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5140" w:type="dxa"/>
            <w:vAlign w:val="bottom"/>
            <w:gridSpan w:val="9"/>
          </w:tcPr>
          <w:p>
            <w:pPr>
              <w:spacing w:after="0"/>
              <w:rPr>
                <w:sz w:val="24"/>
                <w:szCs w:val="24"/>
                <w:color w:val="auto"/>
              </w:rPr>
            </w:pPr>
          </w:p>
        </w:tc>
        <w:tc>
          <w:tcPr>
            <w:tcW w:w="164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117</w:t>
            </w:r>
          </w:p>
        </w:tc>
      </w:tr>
      <w:tr>
        <w:trPr>
          <w:trHeight w:val="20"/>
        </w:trPr>
        <w:tc>
          <w:tcPr>
            <w:tcW w:w="134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9B.</w:t>
            </w:r>
          </w:p>
        </w:tc>
        <w:tc>
          <w:tcPr>
            <w:tcW w:w="200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78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119</w:t>
            </w:r>
          </w:p>
        </w:tc>
      </w:tr>
      <w:tr>
        <w:trPr>
          <w:trHeight w:val="370"/>
        </w:trPr>
        <w:tc>
          <w:tcPr>
            <w:tcW w:w="1340" w:type="dxa"/>
            <w:vAlign w:val="bottom"/>
          </w:tcPr>
          <w:p>
            <w:pPr>
              <w:ind w:left="40"/>
              <w:spacing w:after="0"/>
              <w:rPr>
                <w:sz w:val="20"/>
                <w:szCs w:val="20"/>
                <w:color w:val="auto"/>
              </w:rPr>
            </w:pPr>
            <w:r>
              <w:rPr>
                <w:rFonts w:ascii="Arial" w:cs="Arial" w:eastAsia="Arial" w:hAnsi="Arial"/>
                <w:sz w:val="18"/>
                <w:szCs w:val="18"/>
                <w:b w:val="1"/>
                <w:bCs w:val="1"/>
                <w:color w:val="0000FF"/>
              </w:rPr>
              <w:t>Part III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8"/>
                <w:szCs w:val="18"/>
                <w:color w:val="auto"/>
              </w:rPr>
              <w:t>Item 10.</w:t>
            </w:r>
          </w:p>
        </w:tc>
        <w:tc>
          <w:tcPr>
            <w:tcW w:w="8780" w:type="dxa"/>
            <w:vAlign w:val="bottom"/>
            <w:gridSpan w:val="21"/>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119</w:t>
            </w:r>
          </w:p>
        </w:tc>
      </w:tr>
      <w:tr>
        <w:trPr>
          <w:trHeight w:val="20"/>
        </w:trPr>
        <w:tc>
          <w:tcPr>
            <w:tcW w:w="134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11.</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Executive Compensation</w:t>
            </w:r>
          </w:p>
        </w:tc>
        <w:tc>
          <w:tcPr>
            <w:tcW w:w="2500" w:type="dxa"/>
            <w:vAlign w:val="bottom"/>
            <w:gridSpan w:val="5"/>
          </w:tcPr>
          <w:p>
            <w:pPr>
              <w:spacing w:after="0"/>
              <w:rPr>
                <w:sz w:val="24"/>
                <w:szCs w:val="24"/>
                <w:color w:val="auto"/>
              </w:rPr>
            </w:pPr>
          </w:p>
        </w:tc>
        <w:tc>
          <w:tcPr>
            <w:tcW w:w="428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119</w:t>
            </w:r>
          </w:p>
        </w:tc>
      </w:tr>
      <w:tr>
        <w:trPr>
          <w:trHeight w:val="20"/>
        </w:trPr>
        <w:tc>
          <w:tcPr>
            <w:tcW w:w="134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4"/>
        </w:trPr>
        <w:tc>
          <w:tcPr>
            <w:tcW w:w="1340" w:type="dxa"/>
            <w:vAlign w:val="bottom"/>
          </w:tcPr>
          <w:p>
            <w:pPr>
              <w:ind w:left="4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7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Borders>
              <w:bottom w:val="single" w:sz="8" w:color="0000FF"/>
            </w:tcBorders>
            <w:gridSpan w:val="4"/>
          </w:tcPr>
          <w:p>
            <w:pPr>
              <w:jc w:val="right"/>
              <w:ind w:right="40"/>
              <w:spacing w:after="0"/>
              <w:rPr>
                <w:sz w:val="20"/>
                <w:szCs w:val="20"/>
                <w:color w:val="auto"/>
              </w:rPr>
            </w:pPr>
            <w:r>
              <w:rPr>
                <w:rFonts w:ascii="Arial" w:cs="Arial" w:eastAsia="Arial" w:hAnsi="Arial"/>
                <w:sz w:val="18"/>
                <w:szCs w:val="18"/>
                <w:color w:val="0000FF"/>
                <w:w w:val="86"/>
              </w:rPr>
              <w:t>120</w:t>
            </w:r>
          </w:p>
        </w:tc>
      </w:tr>
      <w:tr>
        <w:trPr>
          <w:trHeight w:val="365"/>
        </w:trPr>
        <w:tc>
          <w:tcPr>
            <w:tcW w:w="1340" w:type="dxa"/>
            <w:vAlign w:val="bottom"/>
          </w:tcPr>
          <w:p>
            <w:pPr>
              <w:ind w:left="40"/>
              <w:spacing w:after="0"/>
              <w:rPr>
                <w:sz w:val="20"/>
                <w:szCs w:val="20"/>
                <w:color w:val="auto"/>
              </w:rPr>
            </w:pPr>
            <w:r>
              <w:rPr>
                <w:rFonts w:ascii="Arial" w:cs="Arial" w:eastAsia="Arial" w:hAnsi="Arial"/>
                <w:sz w:val="18"/>
                <w:szCs w:val="18"/>
                <w:color w:val="auto"/>
              </w:rPr>
              <w:t>Item 13.</w:t>
            </w:r>
          </w:p>
        </w:tc>
        <w:tc>
          <w:tcPr>
            <w:tcW w:w="8780" w:type="dxa"/>
            <w:vAlign w:val="bottom"/>
            <w:gridSpan w:val="21"/>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0000FF"/>
              </w:rPr>
              <w:t>120</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14.</w:t>
            </w:r>
          </w:p>
        </w:tc>
        <w:tc>
          <w:tcPr>
            <w:tcW w:w="6080" w:type="dxa"/>
            <w:vAlign w:val="bottom"/>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2700" w:type="dxa"/>
            <w:vAlign w:val="bottom"/>
            <w:gridSpan w:val="5"/>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120</w:t>
            </w:r>
          </w:p>
        </w:tc>
      </w:tr>
      <w:tr>
        <w:trPr>
          <w:trHeight w:val="370"/>
        </w:trPr>
        <w:tc>
          <w:tcPr>
            <w:tcW w:w="1340" w:type="dxa"/>
            <w:vAlign w:val="bottom"/>
          </w:tcPr>
          <w:p>
            <w:pPr>
              <w:ind w:left="40"/>
              <w:spacing w:after="0"/>
              <w:rPr>
                <w:sz w:val="20"/>
                <w:szCs w:val="20"/>
                <w:color w:val="auto"/>
              </w:rPr>
            </w:pPr>
            <w:r>
              <w:rPr>
                <w:rFonts w:ascii="Arial" w:cs="Arial" w:eastAsia="Arial" w:hAnsi="Arial"/>
                <w:sz w:val="18"/>
                <w:szCs w:val="18"/>
                <w:b w:val="1"/>
                <w:bCs w:val="1"/>
                <w:color w:val="0000FF"/>
              </w:rPr>
              <w:t>Part IV</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8"/>
                <w:szCs w:val="18"/>
                <w:color w:val="auto"/>
              </w:rPr>
              <w:t>Item 15.</w:t>
            </w:r>
          </w:p>
        </w:tc>
        <w:tc>
          <w:tcPr>
            <w:tcW w:w="3220" w:type="dxa"/>
            <w:vAlign w:val="bottom"/>
            <w:gridSpan w:val="12"/>
          </w:tcPr>
          <w:p>
            <w:pPr>
              <w:spacing w:after="0"/>
              <w:rPr>
                <w:sz w:val="20"/>
                <w:szCs w:val="20"/>
                <w:color w:val="auto"/>
              </w:rPr>
            </w:pPr>
            <w:r>
              <w:rPr>
                <w:rFonts w:ascii="Arial" w:cs="Arial" w:eastAsia="Arial" w:hAnsi="Arial"/>
                <w:sz w:val="18"/>
                <w:szCs w:val="18"/>
                <w:color w:val="0000FF"/>
                <w:w w:val="99"/>
              </w:rPr>
              <w:t>Exhibits, Financial Statement Schedules</w:t>
            </w:r>
          </w:p>
        </w:tc>
        <w:tc>
          <w:tcPr>
            <w:tcW w:w="556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121</w:t>
            </w:r>
          </w:p>
        </w:tc>
      </w:tr>
      <w:tr>
        <w:trPr>
          <w:trHeight w:val="20"/>
        </w:trPr>
        <w:tc>
          <w:tcPr>
            <w:tcW w:w="1340" w:type="dxa"/>
            <w:vAlign w:val="bottom"/>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color w:val="auto"/>
              </w:rPr>
              <w:t>Item 16.</w:t>
            </w:r>
          </w:p>
        </w:tc>
        <w:tc>
          <w:tcPr>
            <w:tcW w:w="1680" w:type="dxa"/>
            <w:vAlign w:val="bottom"/>
            <w:gridSpan w:val="7"/>
          </w:tcPr>
          <w:p>
            <w:pPr>
              <w:spacing w:after="0"/>
              <w:rPr>
                <w:sz w:val="20"/>
                <w:szCs w:val="20"/>
                <w:color w:val="auto"/>
              </w:rPr>
            </w:pPr>
            <w:r>
              <w:rPr>
                <w:rFonts w:ascii="Arial" w:cs="Arial" w:eastAsia="Arial" w:hAnsi="Arial"/>
                <w:sz w:val="18"/>
                <w:szCs w:val="18"/>
                <w:color w:val="0000FF"/>
                <w:w w:val="99"/>
              </w:rPr>
              <w:t>Form 10-K Summary</w:t>
            </w:r>
          </w:p>
        </w:tc>
        <w:tc>
          <w:tcPr>
            <w:tcW w:w="1540" w:type="dxa"/>
            <w:vAlign w:val="bottom"/>
            <w:gridSpan w:val="5"/>
          </w:tcPr>
          <w:p>
            <w:pPr>
              <w:spacing w:after="0"/>
              <w:rPr>
                <w:sz w:val="24"/>
                <w:szCs w:val="24"/>
                <w:color w:val="auto"/>
              </w:rPr>
            </w:pPr>
          </w:p>
        </w:tc>
        <w:tc>
          <w:tcPr>
            <w:tcW w:w="556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124</w:t>
            </w:r>
          </w:p>
        </w:tc>
      </w:tr>
      <w:tr>
        <w:trPr>
          <w:trHeight w:val="20"/>
        </w:trPr>
        <w:tc>
          <w:tcPr>
            <w:tcW w:w="13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340" w:type="dxa"/>
            <w:vAlign w:val="bottom"/>
          </w:tcPr>
          <w:p>
            <w:pPr>
              <w:ind w:left="40"/>
              <w:spacing w:after="0"/>
              <w:rPr>
                <w:sz w:val="20"/>
                <w:szCs w:val="20"/>
                <w:color w:val="auto"/>
              </w:rPr>
            </w:pPr>
            <w:r>
              <w:rPr>
                <w:rFonts w:ascii="Arial" w:cs="Arial" w:eastAsia="Arial" w:hAnsi="Arial"/>
                <w:sz w:val="18"/>
                <w:szCs w:val="18"/>
                <w:b w:val="1"/>
                <w:bCs w:val="1"/>
                <w:color w:val="0000FF"/>
              </w:rPr>
              <w:t>Signatures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gridSpan w:val="4"/>
          </w:tcPr>
          <w:p>
            <w:pPr>
              <w:jc w:val="right"/>
              <w:ind w:right="40"/>
              <w:spacing w:after="0"/>
              <w:rPr>
                <w:sz w:val="20"/>
                <w:szCs w:val="20"/>
                <w:color w:val="auto"/>
              </w:rPr>
            </w:pPr>
            <w:r>
              <w:rPr>
                <w:rFonts w:ascii="Arial" w:cs="Arial" w:eastAsia="Arial" w:hAnsi="Arial"/>
                <w:sz w:val="18"/>
                <w:szCs w:val="18"/>
                <w:color w:val="0000FF"/>
                <w:w w:val="86"/>
              </w:rPr>
              <w:t>125</w:t>
            </w:r>
          </w:p>
        </w:tc>
      </w:tr>
      <w:tr>
        <w:trPr>
          <w:trHeight w:val="1269"/>
        </w:trPr>
        <w:tc>
          <w:tcPr>
            <w:tcW w:w="1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64" w:lineRule="exact"/>
        <w:rPr>
          <w:sz w:val="20"/>
          <w:szCs w:val="20"/>
          <w:color w:val="auto"/>
        </w:rPr>
      </w:pPr>
    </w:p>
    <w:p>
      <w:pPr>
        <w:ind w:left="660" w:hanging="328"/>
        <w:spacing w:after="0" w:line="24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U.S. government defense and non-defense budgets, including budget reductions, sequestration, implementation of spending limits or changes in budgetary priorities, delays in the U.S. government budget process or a government shutdown, or the U.S. government’s failure to raise the debt ceiling, which increases the possibility of a default by the U.S. government on its debt obligations, related credit-rating downgrades, or an economic recession;</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tax due to new tax legislation or other regulatory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economic conditions or weakening in credit or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the consequences of current and future geopolitical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inflationary pressures and fluctuations in interest rates;</w:t>
      </w:r>
    </w:p>
    <w:p>
      <w:pPr>
        <w:spacing w:after="0" w:line="117"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U.S. government contract procurement process or the award of contracts and delays or loss of contracts as a result of competitor protests;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government procurement rules, regulations and practices, including its organizational conflict of interest rules;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preference by the U.S. government for minority-owned, small and small disadvantaged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various U.S. government and other government procurement rules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governmental reviews, audits and investigations of our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compete and win contracts with the U.S. government and other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rapidly to emerging technology trends, including the use of artificial intelligence;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information technology spending by hospitals/healthcare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infrastructure investments by industrial and natural resources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efficiency and alternative energy sourcing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by U.S. government and commercial organizations in environmental impact and remediation projects;</w:t>
      </w:r>
    </w:p>
    <w:p>
      <w:pPr>
        <w:spacing w:after="0" w:line="11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an epidemic, pandemic or similar outbreak may have on our business, financial position, results of operations and/or cash flows;</w:t>
      </w:r>
    </w:p>
    <w:p>
      <w:pPr>
        <w:spacing w:after="0" w:line="44"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train and retain skilled employees, including our management team, and to obtain security clearances for our employees;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costs, including cost increases due to inflation, associated with our firm-fixed-price ("FFP") contracts and other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10-K</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resolution of legal and other disputes with our customers and others or legal or regulatory compliance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data security or other security threats, system failures or other disruptions of our business;</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international, federal, state and local laws and regulations regarding privacy, data security, protection, storage, retention, transfer, disposal and other processing, technology protection and personal information;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damage and disruption to our business resulting from natural disasters and the effects of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acquire businesses and make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relationships with prime contractors, subcontractors and joint venture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performance and other risks related to customer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our inspection or detection systems to detect threats;</w:t>
      </w:r>
    </w:p>
    <w:p>
      <w:pPr>
        <w:spacing w:after="0" w:line="117" w:lineRule="exact"/>
        <w:rPr>
          <w:rFonts w:ascii="Arial" w:cs="Arial" w:eastAsia="Arial" w:hAnsi="Arial"/>
          <w:sz w:val="18"/>
          <w:szCs w:val="18"/>
          <w:color w:val="auto"/>
        </w:rPr>
      </w:pPr>
    </w:p>
    <w:p>
      <w:pPr>
        <w:ind w:left="660" w:right="6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insurance programs, customer indemnifications or other liability protections designed to protect us from significant product or other liability claims, including cybersecurity attacks;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risks associated with our international business;</w:t>
      </w:r>
    </w:p>
    <w:p>
      <w:pPr>
        <w:spacing w:after="0" w:line="11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the U.S. Foreign Corrupt Practices Act, the U.K. Bribery Act of 2010 and similar worldwide anti-corruption and anti-bribery laws and regulations;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proprietary rights by third parties of infringement, misappropriation or other violations by us of their intellectual property rights;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prevail in litigation brought by third parties of infringement, misappropriation or other violations by us of their intellectual property rights;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declare or increase future dividends based on our earnings, financial condition, capital requirements and other factors, including compliance with applicable law and our agreements;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grow our commercial health and infrastructure businesses, which could be negatively affected by budgetary constraints faced by hospitals and by developers of energy and infrastructure projects;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w:t>
      </w:r>
    </w:p>
    <w:p>
      <w:pPr>
        <w:spacing w:after="0" w:line="117"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and long-term management initiatives effectively and to overcome these and other known and unknown risks that we face.</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Leidos Holdings, Inc. Annual Report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79" w:right="4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17"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Leidos Holdings, Inc. ("Leidos"), a Delaware corporation, is a holding company whose direct 100%-owned subsidiary and principal operating company is Leidos, Inc. Leidos was founded in 1969 by physicist Dr. Robert Beyster. Since our founding 55 years ago, we have applied our expertise in science, research and engineering in rapidly-evolving technologies and markets to solve complex problems of global concern.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use the terms "we," "us" and "our" to refer collectively to Leidos Holdings, Inc. and its consolidated subsidiaries.</w:t>
      </w:r>
    </w:p>
    <w:p>
      <w:pPr>
        <w:spacing w:after="0" w:line="14"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Leidos, recognized as a member of the Fortune 500®, is a dynamic innovation company that is at the forefront of addressing the world’s most challenging issues in national security and health sectors. With a global workforce of approximately 47,000, Leidos is committed to developing smarter technology solutions, particularly for customers in highly regulated industries. We bring domain-specific capabilities and innovations to customers in each of these markets by leveraging five technical core capabilities: digital modernization, cyber operations, mission software systems, integrated systems and mission operations. Applying our technically-advanced solutions to help solve our customers' most difficult problems has enabled us to build strong relationships with key customers. Our customers include the U.S.</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Department of Defense ("DoD"), the U.S. Intelligence Community, the U.S. Department of Homeland Security ("DHS"), the Federal Aviation Administration ("FAA"), the Department of Veterans Affairs ("VA"), National Aeronautics and Space Administration ("NASA") and many other</w:t>
      </w:r>
    </w:p>
    <w:p>
      <w:pPr>
        <w:spacing w:after="0" w:line="1"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U.S. civilian, state and local government agencies, foreign government agencies and commercial businesses. With a focus on delivering mission-critical solutions, Leidos generated 87% of revenues for the fiscal year ended December 29, 2023, ("fiscal 2023") from U.S. government contracts, either as a prime contractor or a subcontractor to other contractors engaged in work for the U.S. government.</w:t>
      </w:r>
    </w:p>
    <w:p>
      <w:pPr>
        <w:spacing w:after="0" w:line="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missions.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29, 2023, our business has been aligned into three reportable segments (Defense Solutions, Civil and Health). Additionally, we separately present the unallocable costs associated with corporate functions as Corporate. Our operations and reportable segments are organized around the customers and markets we serve. We provide a wide array of scientific, engineering and technical services and solutions across these reportable segments. Approximately 9% of our revenues are generated by entities located outside of the United States.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Solutions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Defense Solutions has provided leading-edge and technologically advanced services, solutions and products to a broad customer base. Our ever-changing technologies and innovations cover a wide spectrum of markets with primary areas of concentration in digital modernization, mission systems and integration, Command, Control, Computers, Communications, Intelligence, Surveillance and Reconnaissance ("C4ISR") technologies and services, maritime solutions, transformative software, analytics, intelligence analysis, mission support and logistics services, weapons systems and space systems and solutions.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Space Development Agency, NASA, Defense Information Systems Agency ("DISA"), military services, government agencies of U.S. allies abroad and other federal and commercial customers in the national security industry. We are heavily engaged in the top defense Research Development Test and Evaluation priorities that are driven by critical evolving threat-driven needs. Our solutions deliver innovative technology, large-scale systems, command and control platforms, data analytics, logistics and cybersecurity solutions, as well as intelligence analysis and operations support to critical missions around the world. Defense Solutions represented 56% of total revenues for fiscal 2023, 57% of total revenues for the fiscal year ended December 30, 2022 ("fiscal 2022") and 58% of total revenues for the fiscal year ended December 31, 2021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40" w:hanging="328"/>
        <w:spacing w:after="0" w:line="26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Digital Modernization – </w:t>
      </w:r>
      <w:r>
        <w:rPr>
          <w:rFonts w:ascii="Arial" w:cs="Arial" w:eastAsia="Arial" w:hAnsi="Arial"/>
          <w:sz w:val="18"/>
          <w:szCs w:val="18"/>
          <w:color w:val="auto"/>
        </w:rPr>
        <w:t>As an industry leader in cyber and enterprise IT, we provide extensive worldwide digital support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nation's largest and most critical infrastructure. We design, develop, implement and maintain IT environments to provide stability and flexibility to mission needs. Our capabilities support offerings including cybersecurity, data analytics, and operations and logistics. Our cybersecurity solutions help detect and manage the most sophisticated cyber threats.</w:t>
      </w:r>
    </w:p>
    <w:p>
      <w:pPr>
        <w:spacing w:after="0" w:line="6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C4ISR Technologies and Services – </w:t>
      </w:r>
      <w:r>
        <w:rPr>
          <w:rFonts w:ascii="Arial" w:cs="Arial" w:eastAsia="Arial" w:hAnsi="Arial"/>
          <w:sz w:val="18"/>
          <w:szCs w:val="18"/>
          <w:color w:val="auto"/>
        </w:rPr>
        <w:t>We offer a wide range of technologies and services in multiple domains that address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nation's most critical threats and deliver solutions to the U.S. Intelligence Community, DoD and military services. Our market concentration is on airborne and ground intelligence, surveillance and reconnaissance ("ISR"), maritime systems, electronic warfare systems, distributed sensor systems, autonomous systems, sensors, Command and Control ("C2"), Joint All-Domain Command and Control ("JADC2") and Multi-Domain Operations. We provide multi-spectral, airborne, ground, maritime and space-based ISR collection, algorithm development and processing systems, advanced sensor design, C2 solutions and training systems. We also provide laser and radio frequency-based communications systems for airborne, ground, naval and space platforms. We link our high-end solutions to other key services demanded by our customers. In the air, we support a fleet of government and Leidos-owned fixed wing, rotary wing and unmanned aircraft. We apply an open architecture approach to digitally connect the joint force across air, land, sea, cyber and space domains in support of the DoD’s JADC2 imperative and support through innovative solutions, essential services and enriched data management tools facilitating critical decision making.</w:t>
      </w:r>
    </w:p>
    <w:p>
      <w:pPr>
        <w:spacing w:after="0" w:line="74"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Maritime Solutions – </w:t>
      </w:r>
      <w:r>
        <w:rPr>
          <w:rFonts w:ascii="Arial" w:cs="Arial" w:eastAsia="Arial" w:hAnsi="Arial"/>
          <w:sz w:val="18"/>
          <w:szCs w:val="18"/>
          <w:color w:val="auto"/>
        </w:rPr>
        <w:t>On and under the sea, we offer a wide range of capabilities. We continue to enhance our surface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subsurface autonomous and unmanned technologies to help make maritime operations safer and more efficient for government and industry by providing leading sensor systems, signal processing, communications hardware and software to support these vital missions. In space we provide sensor, algorithm development and integrated payload capabilities to identify and track threats and cue defensive systems. We have developed and delivered full integrated small satellite systems. We are a market leader in submarine collection technologies and anti-submarine warfare system installation and maintenance and are expanding our capabilities in these areas to meet market demand for this growing threat. We also provide prototyping and research and development support services to a wide variety of DoD customers from concept analysis to classified manufacturing. Our Gibbs &amp; Cox subsidiary is one of the largest independent naval architecture and marine engineering firm by headcount in the United States. Our naval architecture services span the entire ship’s lifetime, from early-stage concept designs through detailed design, shipyard</w:t>
      </w:r>
    </w:p>
    <w:p>
      <w:pPr>
        <w:spacing w:after="0" w:line="9" w:lineRule="exact"/>
        <w:rPr>
          <w:rFonts w:ascii="Arial" w:cs="Arial" w:eastAsia="Arial" w:hAnsi="Arial"/>
          <w:sz w:val="18"/>
          <w:szCs w:val="18"/>
          <w:color w:val="auto"/>
        </w:rPr>
      </w:pPr>
    </w:p>
    <w:p>
      <w:pPr>
        <w:ind w:left="660" w:right="100"/>
        <w:spacing w:after="0" w:line="268" w:lineRule="auto"/>
        <w:rPr>
          <w:rFonts w:ascii="Arial" w:cs="Arial" w:eastAsia="Arial" w:hAnsi="Arial"/>
          <w:sz w:val="18"/>
          <w:szCs w:val="18"/>
          <w:color w:val="auto"/>
        </w:rPr>
      </w:pPr>
      <w:r>
        <w:rPr>
          <w:rFonts w:ascii="Arial" w:cs="Arial" w:eastAsia="Arial" w:hAnsi="Arial"/>
          <w:sz w:val="18"/>
          <w:szCs w:val="18"/>
          <w:color w:val="auto"/>
        </w:rPr>
        <w:t>construction support, full lifecycle and sustainment support, ship alterations, service life extensions, and disposal. Our Marine Engineering involves a wide range of activities, beginning with concept and feasibility design and continues through detailed design, construction support, life-cycle support and into ship-alt design for service-life extensions.</w:t>
      </w:r>
    </w:p>
    <w:p>
      <w:pPr>
        <w:spacing w:after="0" w:line="62"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Transformative Software, Analytics – </w:t>
      </w:r>
      <w:r>
        <w:rPr>
          <w:rFonts w:ascii="Arial" w:cs="Arial" w:eastAsia="Arial" w:hAnsi="Arial"/>
          <w:sz w:val="18"/>
          <w:szCs w:val="18"/>
          <w:color w:val="auto"/>
        </w:rPr>
        <w:t>We offer extensive software development capabilities for C2, intelligence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deliver mission and enterprise-level solutions to the U.S. and allied defense and intelligence organizations. This includes encryption key management, the use of artificial intelligence to automate and streamline processes and the development of software to manage some of the worlds toughest data problems. We offer innovative data analytics capabilities, and we design, develop, integrate, deploy and support information-centric software and enterprise IT systems for complex, data-driven national security challenges for the intelligence community, homeland security and defense customers. Our capabilities are enhanced by our advanced software factories, providing the brainpower to deliver the optimum software solutions for our customer base. Across the U.S. Army we perform complex software development projects, develop training simulators for Army vehicles, maintain and conduct soldier training for field C2 equipment, and we are installing our cloud-based Army base access control system throughout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32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Intelligence Analysis, Mission Support and Logistics Services – </w:t>
      </w:r>
      <w:r>
        <w:rPr>
          <w:rFonts w:ascii="Arial" w:cs="Arial" w:eastAsia="Arial" w:hAnsi="Arial"/>
          <w:sz w:val="17"/>
          <w:szCs w:val="17"/>
          <w:color w:val="auto"/>
        </w:rPr>
        <w:t>We deliver high-end services to the U.S. Intelligence Community,</w:t>
      </w:r>
      <w:r>
        <w:rPr>
          <w:rFonts w:ascii="Arial" w:cs="Arial" w:eastAsia="Arial" w:hAnsi="Arial"/>
          <w:sz w:val="17"/>
          <w:szCs w:val="17"/>
          <w:i w:val="1"/>
          <w:iCs w:val="1"/>
          <w:color w:val="auto"/>
        </w:rPr>
        <w:t xml:space="preserve"> </w:t>
      </w:r>
      <w:r>
        <w:rPr>
          <w:rFonts w:ascii="Arial" w:cs="Arial" w:eastAsia="Arial" w:hAnsi="Arial"/>
          <w:sz w:val="17"/>
          <w:szCs w:val="17"/>
          <w:color w:val="auto"/>
        </w:rPr>
        <w:t>DoD and allied governments. Operating throughout the world we provide intelligence analysis, operational support, logistics operations, security, linguistics and training. In addition, we deliver tailored IT services and solutions to our customers across the globe. We offer product support and lifecycle sustainment services to our U.S. Army, Navy and Air Force customers, including planning and managing the cost and performance across the product’s lifecycle. We offer reverse engineering, classified manufacturing and design, and threat exploitation services to a wide breadth of U.S. Intelligence Community customers.</w:t>
      </w:r>
    </w:p>
    <w:p>
      <w:pPr>
        <w:spacing w:after="0" w:line="60" w:lineRule="exact"/>
        <w:rPr>
          <w:rFonts w:ascii="Arial" w:cs="Arial" w:eastAsia="Arial" w:hAnsi="Arial"/>
          <w:sz w:val="17"/>
          <w:szCs w:val="17"/>
          <w:color w:val="auto"/>
        </w:rPr>
      </w:pPr>
    </w:p>
    <w:p>
      <w:pPr>
        <w:ind w:left="660" w:right="24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Weapons Systems </w:t>
      </w:r>
      <w:r>
        <w:rPr>
          <w:rFonts w:ascii="Arial" w:cs="Arial" w:eastAsia="Arial" w:hAnsi="Arial"/>
          <w:sz w:val="18"/>
          <w:szCs w:val="18"/>
          <w:color w:val="auto"/>
        </w:rPr>
        <w:t>– We offer tactical weapons components and systems for surface-launched missiles, cruise missiles, air-to-air,</w:t>
      </w:r>
      <w:r>
        <w:rPr>
          <w:rFonts w:ascii="Arial" w:cs="Arial" w:eastAsia="Arial" w:hAnsi="Arial"/>
          <w:sz w:val="18"/>
          <w:szCs w:val="18"/>
          <w:i w:val="1"/>
          <w:iCs w:val="1"/>
          <w:color w:val="auto"/>
        </w:rPr>
        <w:t xml:space="preserve"> </w:t>
      </w:r>
      <w:r>
        <w:rPr>
          <w:rFonts w:ascii="Arial" w:cs="Arial" w:eastAsia="Arial" w:hAnsi="Arial"/>
          <w:sz w:val="18"/>
          <w:szCs w:val="18"/>
          <w:color w:val="auto"/>
        </w:rPr>
        <w:t>air-to-ground and anti-ship missiles and guided munitions and rockets across the DoD. We also deliver offensive boost-glide,</w:t>
      </w:r>
    </w:p>
    <w:p>
      <w:pPr>
        <w:spacing w:after="0" w:line="1" w:lineRule="exact"/>
        <w:rPr>
          <w:rFonts w:ascii="Arial" w:cs="Arial" w:eastAsia="Arial" w:hAnsi="Arial"/>
          <w:sz w:val="18"/>
          <w:szCs w:val="18"/>
          <w:color w:val="auto"/>
        </w:rPr>
      </w:pPr>
    </w:p>
    <w:p>
      <w:pPr>
        <w:ind w:left="660" w:right="20"/>
        <w:spacing w:after="0" w:line="255" w:lineRule="auto"/>
        <w:rPr>
          <w:rFonts w:ascii="Arial" w:cs="Arial" w:eastAsia="Arial" w:hAnsi="Arial"/>
          <w:sz w:val="18"/>
          <w:szCs w:val="18"/>
          <w:color w:val="auto"/>
        </w:rPr>
      </w:pPr>
      <w:r>
        <w:rPr>
          <w:rFonts w:ascii="Arial" w:cs="Arial" w:eastAsia="Arial" w:hAnsi="Arial"/>
          <w:sz w:val="18"/>
          <w:szCs w:val="18"/>
          <w:color w:val="auto"/>
        </w:rPr>
        <w:t>launcher and air-breathing systems, thermal protection systems and hypersonic defense systems. We have capabilities in integrated force protection in both directed energy (such as high-energy lasers and microwave systems) and area defense (such as counter-unmanned aviation systems, radar systems, sensors and kinetic weapon launchers). In addition, we provide cyber-physical systems in the development of offensive and defensive cyber command and control, toolkits and exploits, as well as offensive cyber operations. We also support autonomous systems in the areas of unmanned aerial systems, surface ships, undersea vehicles and ground vehicles as well as autonomy software and hardware for autonomous vehicles and platforms. Our unique autonomy algorithms provide decision support for the heavily-burdened warfighter and support coordinated man-autonomous machine operations.</w:t>
      </w:r>
    </w:p>
    <w:p>
      <w:pPr>
        <w:spacing w:after="0" w:line="7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Space Systems and Solutions </w:t>
      </w:r>
      <w:r>
        <w:rPr>
          <w:rFonts w:ascii="Arial" w:cs="Arial" w:eastAsia="Arial" w:hAnsi="Arial"/>
          <w:sz w:val="18"/>
          <w:szCs w:val="18"/>
          <w:color w:val="auto"/>
        </w:rPr>
        <w:t>– We provide integrated design, manufacturing, integration of human-rated and exploration spacecraft</w:t>
      </w:r>
      <w:r>
        <w:rPr>
          <w:rFonts w:ascii="Arial" w:cs="Arial" w:eastAsia="Arial" w:hAnsi="Arial"/>
          <w:sz w:val="18"/>
          <w:szCs w:val="18"/>
          <w:i w:val="1"/>
          <w:iCs w:val="1"/>
          <w:color w:val="auto"/>
        </w:rPr>
        <w:t xml:space="preserve"> </w:t>
      </w:r>
      <w:r>
        <w:rPr>
          <w:rFonts w:ascii="Arial" w:cs="Arial" w:eastAsia="Arial" w:hAnsi="Arial"/>
          <w:sz w:val="18"/>
          <w:szCs w:val="18"/>
          <w:color w:val="auto"/>
        </w:rPr>
        <w:t>for NASA and commercial customers. We have the capability to design and manufacture space systems and key launch vehicle subsystems such as avionics/mission computing, guidance, navigation and control, boosters and structures. We provide expertise in the design, manufacturing, and integration of satellite propulsion, structures, and space-based EO/IR, multi/hyperspectral, EW/SIGINT and communications payloads.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Civil business has been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digital modernization, energy infrastructure, integrated missions, transportation applications and security detection. Civil represented 24% of total revenues for both fiscal 2023 and 2022, and 23% of total revenues for fiscal 2021.</w:t>
      </w:r>
    </w:p>
    <w:p>
      <w:pPr>
        <w:spacing w:after="0" w:line="71" w:lineRule="exact"/>
        <w:rPr>
          <w:sz w:val="20"/>
          <w:szCs w:val="20"/>
          <w:color w:val="auto"/>
        </w:rPr>
      </w:pPr>
    </w:p>
    <w:p>
      <w:pPr>
        <w:ind w:left="660" w:right="28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Transportation Solutions – </w:t>
      </w:r>
      <w:r>
        <w:rPr>
          <w:rFonts w:ascii="Arial" w:cs="Arial" w:eastAsia="Arial" w:hAnsi="Arial"/>
          <w:sz w:val="18"/>
          <w:szCs w:val="18"/>
          <w:color w:val="auto"/>
        </w:rPr>
        <w:t>Leidos is a trusted systems developer, service provider and integrator serving Air Navigation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around the world, including the FAA. We provide air traffic control systems that help manage the world's most complex airspace. We deliver many of the FAA's key automation systems and services, including the En Route Automation Modernization ("ERAM"), Advanced Technologies and Oceanic Procedures ("ATOP"), Time Based Flow Management, Terminal Flight Data Manager, Enterprise-Information Display System, Geo-7 and Future Flight Services. Leidos received 10+ year extensions to the ERAM and ATOP contracts for continued delivery of the evolving National Airspace System needs. In addition, under the Mode S Beacon Replacement Systems contract, Leidos is supporting the replacement of the FAA's Mode S Beacon Systems, which are secondary surveillance radar capable of providing surveillance and specific aircraft information necessary to support Air Traffic Control automation in all traffic environments. We also provide key air traffic control systems around the world, including New Zealand and South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Security Enterprise Solutions ("SES") – </w:t>
      </w:r>
      <w:r>
        <w:rPr>
          <w:rFonts w:ascii="Arial" w:cs="Arial" w:eastAsia="Arial" w:hAnsi="Arial"/>
          <w:sz w:val="18"/>
          <w:szCs w:val="18"/>
          <w:color w:val="auto"/>
        </w:rPr>
        <w:t>Leidos is an industry leader of fully-integrated security detection solutions, making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screening and checkpoints safer for aviation, ports and borders, and critical infrastructure customers around the world. With more than 24,000 products deployed across over 120 countries, the SES business has the most widespread global footprint within the Civil Group portfolio. We are a leader in aviation screening equipment, computed tomography carry-on baggage scanners, people scanners and explosive trace detectors, facilitating secure and efficient passenger movement in airports worldwide. We also have cutting-edge screening technologies for checked baggage and cargo. Leidos is the leading supplier of mobile non-intrusive inspection systems to U.S. Customs and Border Protection ("CBP"). For CBP, and other global customers, we help to safeguard the flow of travel and trade through solutions that effectively detect and mitigate threats across all trade elements, including cargo, vehicles and people. Leidos is also transforming security detection beyond aviation and ports of entry to help government agencies and the private sector secure public venues and critical infrastructures.</w:t>
      </w:r>
    </w:p>
    <w:p>
      <w:pPr>
        <w:spacing w:after="0" w:line="77"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Digital Transformation </w:t>
      </w:r>
      <w:r>
        <w:rPr>
          <w:rFonts w:ascii="Arial" w:cs="Arial" w:eastAsia="Arial" w:hAnsi="Arial"/>
          <w:sz w:val="18"/>
          <w:szCs w:val="18"/>
          <w:color w:val="auto"/>
        </w:rPr>
        <w:t>– We deliver secure, user-centric IT solutions in cloud computing, mobility, application modernization, DevOps,</w:t>
      </w:r>
      <w:r>
        <w:rPr>
          <w:rFonts w:ascii="Arial" w:cs="Arial" w:eastAsia="Arial" w:hAnsi="Arial"/>
          <w:sz w:val="18"/>
          <w:szCs w:val="18"/>
          <w:i w:val="1"/>
          <w:iCs w:val="1"/>
          <w:color w:val="auto"/>
        </w:rPr>
        <w:t xml:space="preserve"> </w:t>
      </w:r>
      <w:r>
        <w:rPr>
          <w:rFonts w:ascii="Arial" w:cs="Arial" w:eastAsia="Arial" w:hAnsi="Arial"/>
          <w:sz w:val="18"/>
          <w:szCs w:val="18"/>
          <w:color w:val="auto"/>
        </w:rPr>
        <w:t>data center and network modernization, asset management, help desk operations and digital workplace enablement. We help our customers achieve their missions and business goals by delivering purpose-built solutions, cybersecurity as a standard, efficient project delivery and end-user satisfaction. We accelerate enterprise transformation using customizable roadmaps and repeatable processes, enabling customers to effectively use their resources and advance their objectives. Using our cyber expertise, we continually enhance our techniques and processes to build systems that operate resiliently in the face of evolving cyber threats. Leidos is modernizing enterprise IT in classified and unclassified environments, including programs with the FAA, NASA, Department of Justice, IRS, U.S. MINT, Department of Commerce, FTC, and HUD.</w:t>
      </w:r>
    </w:p>
    <w:p>
      <w:pPr>
        <w:spacing w:after="0" w:line="76"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Climate, Energy and Environment </w:t>
      </w:r>
      <w:r>
        <w:rPr>
          <w:rFonts w:ascii="Arial" w:cs="Arial" w:eastAsia="Arial" w:hAnsi="Arial"/>
          <w:sz w:val="18"/>
          <w:szCs w:val="18"/>
          <w:color w:val="auto"/>
        </w:rPr>
        <w:t>– We are trusted by government agencies and commercial customers with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and sustainability driven-missions. Our reputation across climate science, environmental management and operations, nuclear security, power grid engineering, energy efficiency, infrastructure management, mission support and IT modernization provides the applicable expertise needed to transform operations while modernizing aging infrastructure and maintaining environmental stewardship. We support the critical missions of the Department of Energy ("DoE"), National Nuclear Security Administration, National Science Foundation, utilities, energy investors and developers, energy efficiency administrators and commercial industrial customers. At the DoE Hanford site, we provide site-wide infrastructure management and operation, including oversight of land and logistics, public works, information technology, fleet transportation, environmental sustainability, and compliance, first responder services and future project planning. At the National Energy Technology Laboratory, we actively conduct and support fundamental and applied research efforts, including providing product and logistical support comprising strategic business development, technology transfer and agreements and education and outreach support for the effective and efficient execution of research programs. In addition, we help investor-owned utilities and industrial customers modernize power delivery systems for improved reliability, implement energy management strategies, support vehicle electrification, transform digital infrastructure and gain operational efficiencies to meet evolving energy needs and climate change goals.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Health business has been focused on delivering effective and affordable solutions to federal and commercial customers that are responsible for the health and well-being of people worldwide, including service members and veterans. Our solutions enable customers to deliver on the health mission of providing high-quality, cost-effective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modernization and life sciences research and development. Health represented 20% of total revenues for fiscal 2023, and 19% of total revenues for both fiscal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2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Health Information Management Services </w:t>
      </w:r>
      <w:r>
        <w:rPr>
          <w:rFonts w:ascii="Arial" w:cs="Arial" w:eastAsia="Arial" w:hAnsi="Arial"/>
          <w:sz w:val="18"/>
          <w:szCs w:val="18"/>
          <w:color w:val="auto"/>
        </w:rPr>
        <w:t>– Leidos employs holistic-systems thinking in fielding applied technology solutions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entire continuum of healthcare. In our work delivering a single, common electronic health record to both DoD and VA hospitals and treatment facilities worldwide, our responsibilities range from integrating software for the electronic healthcare record vendor and dental record vendors to integrating picture archiving and communications software and more. We support cybersecurity across all integrated systems. We also provide enterprise IT solutions to the VA, National Institutes of Health ("NIH"), DoD and other federal health customers to help operate mission critical infrastructure reliably and at a reasonable cost.</w:t>
      </w:r>
    </w:p>
    <w:p>
      <w:pPr>
        <w:spacing w:after="0" w:line="74"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Managed Health Services </w:t>
      </w:r>
      <w:r>
        <w:rPr>
          <w:rFonts w:ascii="Arial" w:cs="Arial" w:eastAsia="Arial" w:hAnsi="Arial"/>
          <w:sz w:val="18"/>
          <w:szCs w:val="18"/>
          <w:color w:val="auto"/>
        </w:rPr>
        <w:t>– We deploy a national footprint of health clinics and health providers to support care delivery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medical disability and behavioral health examinations for the VA, as well as serving other independent medical exam markets. We have developed unique capabilities in behavioral health management through many decades of experience with a special emphasis on substance abuse services and non-medical counseling. We believe that these capabilities can be expanded into other clinical adjacencies. Our managed health services activities leverage our IT and mission enablement capabilities, which underpin solutions we offer to our customers across all of our served markets.</w:t>
      </w:r>
    </w:p>
    <w:p>
      <w:pPr>
        <w:spacing w:after="0" w:line="74"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Digital Modernization </w:t>
      </w:r>
      <w:r>
        <w:rPr>
          <w:rFonts w:ascii="Arial" w:cs="Arial" w:eastAsia="Arial" w:hAnsi="Arial"/>
          <w:sz w:val="18"/>
          <w:szCs w:val="18"/>
          <w:color w:val="auto"/>
        </w:rPr>
        <w:t>– We manage the entire lifecycle of the IT journey for our customers. Our expertise includes IT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outsourcing and management of large-scale data centers, agile software development and system transformation, cloud migration and application modernization, digitization and big data management and advanced analytics. Our customers include the Centers for Medicare &amp; Medicaid Services, Food and Drug Administration, Social Security Administration, VA, Defense Health Agency ("DHA") and commercial customers. Leidos helps transform our customers' technology environments in support of their most critical missions, accomplished in a highly secure manner by leveraging our cybersecurity domain expertise and our Leidos rapid application development software platform.</w:t>
      </w:r>
    </w:p>
    <w:p>
      <w:pPr>
        <w:spacing w:after="0" w:line="74"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Life Sciences Research &amp; Development – </w:t>
      </w:r>
      <w:r>
        <w:rPr>
          <w:rFonts w:ascii="Arial" w:cs="Arial" w:eastAsia="Arial" w:hAnsi="Arial"/>
          <w:sz w:val="18"/>
          <w:szCs w:val="18"/>
          <w:color w:val="auto"/>
        </w:rPr>
        <w:t>We provide life science research and development support to the NIH, Center for Disease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Army Medical Research community and commercial biotech companies. Most notably, on behalf of the U.S. government and the public trust, we operate the Frederick National Laboratory for Cancer Research, where we employ thousands of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7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From the biomedical sciences to implementing and optimizing electronic health records and enabling providers to perform care coordination and population health management, Leidos is pioneering the use of the depth and breadth of systems integration principles, processes and technologies to transform the health industry’s evolution towards better quality and more efficient and effective care.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Corporate includes the operations of various corporate activities, certain expense items that are not reimbursed by our U.S. government customers and certain other expense items excluded from a reportable segment's performance.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17"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During fiscal 2022, we completed the acquisition of Cobham Aviation Services Australia’s Special Mission business. During fiscal 2021, we completed the acquisitions of Gibbs &amp; Cox, 1901 Group, LLC, and an immaterial strategic business acquisition. See "Note 5—Acquisitions and Divestitures" in Part II of this Annual Report on Form 10-K for further information.</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fiscal 2023, we completed an immaterial disposition of a business within our Defense Solutions segment. During fiscal 2022, we completed the disposition of Aviation &amp; Missile Solutions LLC within our Defense Solutions segment. For further information, see "Note 5— Acquisitions and Divestitures"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majority of our revenues are generated in the United States. Our consolidated revenues are largely attributable to prime contracts or to subcontracts with other contractors engaged in work for the U.S. government, with the remaining attributable to international customers, including the U.K. Ministry of Defence and Australian Ministry of Defence, and customers across a variety of commercial markets. Within the U.S. government, our revenues are diversified across many agencies, including various intelligence agencies, the U.S. Army, Navy and Air Force, U.S Space Force, DHS, DISA, FAA, Transportation Security Administration, CBP, DHA, VA, Department of Health and Human Services, NASA, National Science Foundation, DoE, the Environmental Protection Agency and research agencies such as Defense Advanced Research Projects Agency.</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Workforce Demographics</w:t>
      </w:r>
    </w:p>
    <w:p>
      <w:pPr>
        <w:spacing w:after="0" w:line="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29, 2023, we employed approximately 47,000 full and part-time employees of whom approximately 41,800 are located in the United States and the remainder of which are located in 50 countries worldwide. Approximately 36% of our employees have degrees in science, technology, engineering or mathematics fields, approximately 23% of our employees have advanced degrees, 52% of our employees possess U.S. security clearances and approximately 19% of our employees are military veterans.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2023, our workforce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Gender of global employees</w:t>
            </w:r>
            <w:r>
              <w:rPr>
                <w:rFonts w:ascii="Arial" w:cs="Arial" w:eastAsia="Arial" w:hAnsi="Arial"/>
                <w:sz w:val="18"/>
                <w:szCs w:val="18"/>
                <w:color w:val="auto"/>
                <w:vertAlign w:val="superscript"/>
              </w:rPr>
              <w:t>(1)</w:t>
            </w:r>
          </w:p>
        </w:tc>
        <w:tc>
          <w:tcPr>
            <w:tcW w:w="1440" w:type="dxa"/>
            <w:vAlign w:val="bottom"/>
          </w:tcPr>
          <w:p>
            <w:pPr>
              <w:spacing w:after="0"/>
              <w:rPr>
                <w:sz w:val="17"/>
                <w:szCs w:val="17"/>
                <w:color w:val="auto"/>
              </w:rPr>
            </w:pPr>
          </w:p>
        </w:tc>
      </w:tr>
      <w:tr>
        <w:trPr>
          <w:trHeight w:val="223"/>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Female</w:t>
            </w:r>
          </w:p>
        </w:tc>
        <w:tc>
          <w:tcPr>
            <w:tcW w:w="14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377"/>
        </w:trPr>
        <w:tc>
          <w:tcPr>
            <w:tcW w:w="980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Based on employees who self-identify.</w:t>
            </w:r>
          </w:p>
        </w:tc>
        <w:tc>
          <w:tcPr>
            <w:tcW w:w="1440" w:type="dxa"/>
            <w:vAlign w:val="bottom"/>
          </w:tcPr>
          <w:p>
            <w:pPr>
              <w:spacing w:after="0"/>
              <w:rPr>
                <w:sz w:val="24"/>
                <w:szCs w:val="24"/>
                <w:color w:val="auto"/>
              </w:rPr>
            </w:pP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Age of global employees</w:t>
            </w:r>
          </w:p>
        </w:tc>
        <w:tc>
          <w:tcPr>
            <w:tcW w:w="1440" w:type="dxa"/>
            <w:vAlign w:val="bottom"/>
          </w:tcPr>
          <w:p>
            <w:pPr>
              <w:spacing w:after="0"/>
              <w:rPr>
                <w:sz w:val="17"/>
                <w:szCs w:val="17"/>
                <w:color w:val="auto"/>
              </w:rPr>
            </w:pPr>
          </w:p>
        </w:tc>
      </w:tr>
      <w:tr>
        <w:trPr>
          <w:trHeight w:val="227"/>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than 30 years</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30-50 years</w:t>
            </w:r>
          </w:p>
        </w:tc>
        <w:tc>
          <w:tcPr>
            <w:tcW w:w="144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50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432"/>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Ethnicity of U.S. employees</w:t>
            </w:r>
            <w:r>
              <w:rPr>
                <w:rFonts w:ascii="Arial" w:cs="Arial" w:eastAsia="Arial" w:hAnsi="Arial"/>
                <w:sz w:val="18"/>
                <w:szCs w:val="18"/>
                <w:color w:val="auto"/>
                <w:vertAlign w:val="superscript"/>
              </w:rPr>
              <w:t>(1)</w:t>
            </w:r>
          </w:p>
        </w:tc>
        <w:tc>
          <w:tcPr>
            <w:tcW w:w="1440" w:type="dxa"/>
            <w:vAlign w:val="bottom"/>
          </w:tcPr>
          <w:p>
            <w:pPr>
              <w:spacing w:after="0"/>
              <w:rPr>
                <w:sz w:val="24"/>
                <w:szCs w:val="24"/>
                <w:color w:val="auto"/>
              </w:rPr>
            </w:pPr>
          </w:p>
        </w:tc>
      </w:tr>
      <w:tr>
        <w:trPr>
          <w:trHeight w:val="223"/>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Black</w:t>
            </w:r>
          </w:p>
        </w:tc>
        <w:tc>
          <w:tcPr>
            <w:tcW w:w="144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Asian/Indian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Hispanic/Latino</w:t>
            </w: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Undisclosed</w:t>
            </w:r>
          </w:p>
        </w:tc>
        <w:tc>
          <w:tcPr>
            <w:tcW w:w="1440" w:type="dxa"/>
            <w:vAlign w:val="bottom"/>
          </w:tcPr>
          <w:p>
            <w:pPr>
              <w:jc w:val="right"/>
              <w:spacing w:after="0"/>
              <w:rPr>
                <w:sz w:val="20"/>
                <w:szCs w:val="20"/>
                <w:color w:val="auto"/>
              </w:rPr>
            </w:pPr>
            <w:r>
              <w:rPr>
                <w:rFonts w:ascii="Arial" w:cs="Arial" w:eastAsia="Arial" w:hAnsi="Arial"/>
                <w:sz w:val="18"/>
                <w:szCs w:val="18"/>
                <w:color w:val="auto"/>
              </w:rPr>
              <w:t>3 %</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Based on employees who self-identify.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Culture and Values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six core values that make us who we are as individuals and collectively as a company: integrity, inclusion, innovation, agility, collaboration and commitment. These values provide a roadmap for our behavior and help to guide our decisions in the workplace. They are a key component of our corporate culture and are integrated into all employees' annual performance assessments to reinforce expectations. Our practices are based on our commitment to do the right thing for our customers, our employees and our communities. Our values are demonstrated by our employees as they help our customers execute important missions on the front lines of the world’s most complex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policies, procedures, training and communications form a comprehensive program that promotes a culture of integrity as a foundation for employee conduct. For the sixth consecutive year, the Ethisphere Institute named Leidos one of the World's Most Ethical Companies in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 ("DEI")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DEI strategy and approach focus on education and best practices that enable leader accountability and shift the organization from</w:t>
      </w:r>
    </w:p>
    <w:p>
      <w:pPr>
        <w:spacing w:after="0" w:line="5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awareness to meaningful actions. Our priorities focus on improving enterprise and senior leader representation and enhancing an inclusive culture. Leaders, managers and employees of the Company are required to take DEI training annually to recognize challenges and mitigate barriers to inclusion in the workplace.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to grow and expand our employee resource groups (“ERGs”) and DEI learning resources to equip employees with the tools to develop cultural their competence across all dimensions of inclusion, enhance their personal networks, and develop leadership skills to actively shape and change workplace culture. The Enterprise Inclusion Council and group/functional level councils continue to champion DEI efforts across the enterprise and advise on the evolution of our DEI strategy. These councils are comprised of volunteers from across the business functions, ERG leaders, key stakeholders with oversight and guidance from executive leadership and a Board liaison.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 Talent Acquisition</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Leidos is committed to promoting equity in our hiring practices, especially when we are seeking to fill senior level positions. Our recruiting strategy includes building a pipeline with diverse representation of candidates. Each year we attend and sponsor national conferences and local career fairs that target our key market segments and talent from historically underrepresented groups.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leverage college campuses, military veteran resources as well as our ERGs to recruit and expand our outreach. Our college campus outreach engages talent from multiple university sources including the Leidos Strategic University Alliances, Historically Black Colleges and Universities, Hispanic and other minority-serving institutions. Our military veteran outreach program attracts, retains and supports current veterans, transitioning service members and military spouses.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Mobility, Development and Growth</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strong focus on our employees’ career, flexibility and well-being. We call this Leidos Life. It is about embracing what makes Leidos great and advancing a culture that helps every employee achieve personal and professional success. Leidos Life is our commitment to make Leidos an even better place to work. Leidos empowers and challenges employees to continuously seek, share and apply new knowledge, skills and behaviors. We recognize the value of a high-performing workforce where every member of the team has an opportunity to feel motivated, valued and fulfilled, and have a purposeful and long career at Leidos. We provide resources, development, and experiential learning to enable employees to grow, including a talent marketplace where employees can fill temporary roles to develop skills or provide additional assistance. We provide leaders with the knowledge, skills and resources needed to coach employees and enable employees' career development.</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value and develop a highly-skilled future-ready workforce. We have a strong technical upskilling and reskilling program to develop and retain talent. We offer formal programs to help employees earn many industry-standard professional and technical certifications. Additionally, we offer tuition reimbursement and certification exam reimbursement to full-time employees at accredited universities.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Internal Mobility Program has a dedicated team that proactively focuses on the redeployment of our employees. We teach employees how to use the tools and resources available to them and help them gain visibility across the enterprise. We assist managers and recruiters in identifying internal candidates for their programs.</w:t>
      </w:r>
    </w:p>
    <w:p>
      <w:pPr>
        <w:spacing w:after="0" w:line="6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We conduct formal employee engagement surveys and pulse surveys to listen to employees and develop customized strategies to drive engagement, inclusion and retention across the organization.</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invest in our current and future leaders in several ways. We provide a variety of leadership development programs, targeted for each level of leader, and numerous resources for leader development. Annually, we host a two-day Leadership Summit for approximately 350 of our most senior leaders aligning business strategy and transformation initiatives, alongside emphasizing the core values of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Through our ongoing talent planning processes, we identify and develop high-potential employees for future roles. We create succession plans for all executive-level positions as well as for other roles throughout the organization considered vital to our success. In addition, we establish development and engagement plans for top talent that may include formal training, mentoring, coaching, sponsorship and experiential learning opportunities.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Workplace Safety</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Our primary focus is on the health and safety of our employees, with the physical and mental well-being of our employees being top priority as one of the three pillars of Leidos Life. To support the physical and mental well-being of our employees, we provide many well-being and mental health benefits to all employees, including access to our Employee Assistance Program, Headspace, Virgin Pulse and meQuilibrium resources. These partners provide a multitude of free resources to assist employees with their mental, financial, and physical health.</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we are a leader in the field of occupational health and safety (“OH&amp;S”), and we place a strong emphasis on these activities, both internally and on behalf of our customers. Internally, we emphasize direct management responsibility, corporate policies and procedures, OH&amp;S program implementation, employee training and compliance assessments. Our corporate policies and procedures support compliance with OH&amp;S regulations at work locations. We have a proactive compliance program of employee education, training, auditing and reporting that, through employee awareness and integration into our business operations, supports our commitment to a safe and healthy work environment.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"Risk Factors" in this Annual Report on Form 10-K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conduct research and development activities under customer-funded contracts and with company-funded research and development funds. Company-funded research and development includes independent research and development ("IR&amp;D") and commercial and international research and development. Company-funded research and development expenses are included in selling, general and administrative expenses. Our company-funded research and development expense was $128 million, $116 million and $ 109 million for fiscal 2023, 2022 and 2021, respectively, which as a percentage of consolidated revenues was 0.8% for fiscal 2023, 2022 and 2021. We charge expenses for research and development activities performed under customer contracts directly to cost of revenues for those contracts.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and other definitive agreements. We selectively pursue opportunities to license or transfer our technologies to third parties.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Competition for contracts is significant, and we often compete against a large number of well-established corporations that may have greater name and brand recognition. We also compete against smaller, more specialized companies that concentrate their resources on particular areas,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w:t>
      </w:r>
    </w:p>
    <w:p>
      <w:pPr>
        <w:spacing w:after="0" w:line="5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Our principal competitors currently include the following companies: Accenture Federal Systems, Amentum Services Inc., BAE Systems, Booz Allen Hamilton Inc., CACI International Inc., General Dynamics Corporation, IBM, Jacobs Engineering Group Inc., KBR Inc., L3Harris, Lockheed Martin Corporation, ManTech, Northrop Grumman Corporation, Peraton, Raytheon Technologies Corporation and SAIC. These companies span across sectors that include engineering and technical services divisions of large defense contractors, diversified U.S. and international IT providers and contractors focused solely on technical services, supply chain management, other logistics services and major systems operations and maintenance, homeland security and health solutions.</w:t>
      </w:r>
    </w:p>
    <w:p>
      <w:pPr>
        <w:spacing w:after="0" w:line="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the size and geographic presence of our company and past performance credentials.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Procurement</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58" w:lineRule="exact"/>
        <w:rPr>
          <w:sz w:val="20"/>
          <w:szCs w:val="20"/>
          <w:color w:val="auto"/>
        </w:rPr>
      </w:pPr>
    </w:p>
    <w:p>
      <w:pPr>
        <w:ind w:left="660" w:right="8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Definitive Award Contracts. </w:t>
      </w:r>
      <w:r>
        <w:rPr>
          <w:rFonts w:ascii="Arial" w:cs="Arial" w:eastAsia="Arial" w:hAnsi="Arial"/>
          <w:sz w:val="18"/>
          <w:szCs w:val="18"/>
          <w:color w:val="auto"/>
        </w:rPr>
        <w:t>U.S. government agencies may procure services and products through single definitive award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74"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Indefinite Delivery/Indefinite Quantity ("IDIQ") Contracts. </w:t>
      </w:r>
      <w:r>
        <w:rPr>
          <w:rFonts w:ascii="Arial" w:cs="Arial" w:eastAsia="Arial" w:hAnsi="Arial"/>
          <w:sz w:val="18"/>
          <w:szCs w:val="18"/>
          <w:color w:val="auto"/>
        </w:rPr>
        <w:t>The U.S. government uses IDIQ contracts to obtain commitments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pre-established contractor. Under a multiple-award IDIQ contract, task orders can be awarded to any of the pre-established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2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U.S. General Services Administration ("GSA") Schedule Contracts. </w:t>
      </w:r>
      <w:r>
        <w:rPr>
          <w:rFonts w:ascii="Arial" w:cs="Arial" w:eastAsia="Arial" w:hAnsi="Arial"/>
          <w:sz w:val="18"/>
          <w:szCs w:val="18"/>
          <w:color w:val="auto"/>
        </w:rPr>
        <w:t>The GSA maintains listings of approved suppliers of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76" w:lineRule="exact"/>
        <w:rPr>
          <w:rFonts w:ascii="Arial" w:cs="Arial" w:eastAsia="Arial" w:hAnsi="Arial"/>
          <w:sz w:val="18"/>
          <w:szCs w:val="18"/>
          <w:color w:val="auto"/>
        </w:rPr>
      </w:pPr>
    </w:p>
    <w:p>
      <w:pPr>
        <w:ind w:left="660" w:right="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Other Transaction Authority (“OTA”) agreements. </w:t>
      </w:r>
      <w:r>
        <w:rPr>
          <w:rFonts w:ascii="Arial" w:cs="Arial" w:eastAsia="Arial" w:hAnsi="Arial"/>
          <w:sz w:val="18"/>
          <w:szCs w:val="18"/>
          <w:color w:val="auto"/>
        </w:rPr>
        <w:t>Under certain circumstances, U.S. government agencies can enter into OTA</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instead of traditional contracts. These agreements are used for two primary purposes: (1) to carry out basic, applied or advanced research projects that typically relate to technology stimulation or research, and (2) to carry out prototype projects that are directly relevant to enhancing the mission effectiveness of military personnel and the supporting platforms, systems, components or materials proposed to be acquired or developed by the DoD, or to improve platforms, systems, components or materials in use by DoD components and agencies. OTA agreements are generally exempt from federal procurement regulations. These exemptions grant the U.S. government the flexibility to include, amend or exclude contract clauses and requirements that are mandatory in traditional procurements. OTA agreements also grant more flexibility to structure agreements in numerous ways, including joint ventures, partnerships or multiple agencies joining together to fund an agreement encompassing multiple providers.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often partner with other companies, including our competitors, to submit bids for large U.S. government procurements or other opportunities where we believe that the combination of services and products that we can provide as a team will help us win and perform the contract. Our relationships with our partners,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partners.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Types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71" w:lineRule="exact"/>
        <w:rPr>
          <w:sz w:val="20"/>
          <w:szCs w:val="20"/>
          <w:color w:val="auto"/>
        </w:rPr>
      </w:pPr>
    </w:p>
    <w:p>
      <w:pPr>
        <w:ind w:left="660" w:right="8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Cost-reimbursement contracts include cost-plus-fixed-fee, award-fee and incentive</w:t>
      </w:r>
      <w:r>
        <w:rPr>
          <w:rFonts w:ascii="Arial" w:cs="Arial" w:eastAsia="Arial" w:hAnsi="Arial"/>
          <w:sz w:val="18"/>
          <w:szCs w:val="18"/>
          <w:color w:val="1F497D"/>
        </w:rPr>
        <w:t>-</w:t>
      </w:r>
      <w:r>
        <w:rPr>
          <w:rFonts w:ascii="Arial" w:cs="Arial" w:eastAsia="Arial" w:hAnsi="Arial"/>
          <w:sz w:val="18"/>
          <w:szCs w:val="18"/>
          <w:color w:val="auto"/>
        </w:rPr>
        <w:t>fee contracts. These contracts provide for reimbursement of our direct contract costs and allocable indirect costs, plus a fee. These contracts are typically used when uncertainties involved in contract performance do not permit costs to be estimated with sufficient accuracy to use a fixed-price contract. Cost-reimbursement contracts generally subject us to lower risk but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1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Fixed-price-incentive-fee ("FP-IF") contracts are substantially similar to cost-plus-incentive-fee contracts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71"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71" w:lineRule="exact"/>
        <w:rPr>
          <w:rFonts w:ascii="Arial" w:cs="Arial" w:eastAsia="Arial" w:hAnsi="Arial"/>
          <w:sz w:val="18"/>
          <w:szCs w:val="18"/>
          <w:color w:val="auto"/>
        </w:rPr>
      </w:pPr>
    </w:p>
    <w:p>
      <w:pPr>
        <w:ind w:left="660" w:right="80" w:hanging="328"/>
        <w:spacing w:after="0" w:line="282"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53" w:lineRule="exact"/>
        <w:rPr>
          <w:rFonts w:ascii="Arial" w:cs="Arial" w:eastAsia="Arial" w:hAnsi="Arial"/>
          <w:sz w:val="17"/>
          <w:szCs w:val="17"/>
          <w:color w:val="auto"/>
        </w:rPr>
      </w:pPr>
    </w:p>
    <w:p>
      <w:pPr>
        <w:ind w:left="660" w:right="22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Firm-Fixed-Price (“FFP”) contracts provide for a fixed price for specified products, systems and/or services. This type of contract is typically used when the customer acquires products and services on the basis of reasonably definitive specifications that have a determinable fair and reasonable price. These contracts offer us potential increased profits if we can complete the work at lower costs than planned, but FFP contracts increase our exposure to the risk of cost overruns.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and the nature of services or products provided, as well as the achievement of performance objectives and the stage of performance at which the right to receive fees, particularly under incentive-fee and award-fee contracts, is finally determined. Cost-reimbursement and T&amp;M contracts generally have lower profitability than FFP contracts.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7"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Some significant laws and regulations that affect us include:</w:t>
      </w:r>
    </w:p>
    <w:p>
      <w:pPr>
        <w:spacing w:after="0" w:line="68" w:lineRule="exact"/>
        <w:rPr>
          <w:sz w:val="20"/>
          <w:szCs w:val="20"/>
          <w:color w:val="auto"/>
        </w:rPr>
      </w:pPr>
    </w:p>
    <w:p>
      <w:pPr>
        <w:ind w:left="660" w:right="7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Acquisition Regulation ("FAR") and supplements, including the DoD Federal Acquisition Regulation Supplement ("DFARS"), which regulate the formation, administration and performance of U.S. government contracts;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certain contract negotiations;</w:t>
      </w:r>
    </w:p>
    <w:p>
      <w:pPr>
        <w:spacing w:after="0" w:line="44"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Civil False Claims Act, which provides for substantial civil penalties for violations, including for submission of a false or fraudulent claim to the U.S. government for payment or approval;</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 and</w:t>
      </w:r>
    </w:p>
    <w:p>
      <w:pPr>
        <w:spacing w:after="0" w:line="117" w:lineRule="exact"/>
        <w:rPr>
          <w:rFonts w:ascii="Arial" w:cs="Arial" w:eastAsia="Arial" w:hAnsi="Arial"/>
          <w:sz w:val="18"/>
          <w:szCs w:val="18"/>
          <w:color w:val="auto"/>
        </w:rPr>
      </w:pPr>
    </w:p>
    <w:p>
      <w:pPr>
        <w:ind w:left="660" w:right="84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 government Cost Accounting Standards ("CAS"), which imposes accounting requirements that govern our right to reimbursement under certain cost-based U.S. government contracts.</w:t>
      </w:r>
    </w:p>
    <w:p>
      <w:pPr>
        <w:spacing w:after="0" w:line="4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certification and disclosure of all cost and pricing data in connection with certain contract negotiations;</w:t>
      </w:r>
    </w:p>
    <w:p>
      <w:pPr>
        <w:spacing w:after="0" w:line="117"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define allowable and unallowable costs and otherwise govern our right to reimbursement under various cost-type U.S. government contracts;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compliance with U.S. government CAS;</w:t>
      </w:r>
    </w:p>
    <w:p>
      <w:pPr>
        <w:spacing w:after="0" w:line="117"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of compliance with government requirements for a contractor’s business systems;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 the use and dissemination of and require the protection of unclassified contract-related information and information classified for national security purposes and the export of certain products and technical data; and</w:t>
      </w:r>
    </w:p>
    <w:p>
      <w:pPr>
        <w:spacing w:after="0" w:line="44" w:lineRule="exact"/>
        <w:rPr>
          <w:rFonts w:ascii="Arial" w:cs="Arial" w:eastAsia="Arial" w:hAnsi="Arial"/>
          <w:sz w:val="18"/>
          <w:szCs w:val="18"/>
          <w:color w:val="auto"/>
        </w:rPr>
      </w:pPr>
    </w:p>
    <w:p>
      <w:pPr>
        <w:ind w:left="660" w:right="9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us not to compete for work if an actual or potential organizational conflict of interest, as defined by these laws and regulations, related to such work exists and/or cannot be appropriately mitigated, neutralized or avoided.</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Some of our operations and service offerings involve access to and use by us of personal information and/or protected health information. These activities are regulated by extensive federal, state and international data privacy and security laws requiring organizations to, among other things, provide certain privacy protections and security safeguards for such information. For example, among others:</w:t>
      </w:r>
    </w:p>
    <w:p>
      <w:pPr>
        <w:spacing w:after="0" w:line="63" w:lineRule="exact"/>
        <w:rPr>
          <w:sz w:val="20"/>
          <w:szCs w:val="20"/>
          <w:color w:val="auto"/>
        </w:rPr>
      </w:pPr>
    </w:p>
    <w:p>
      <w:pPr>
        <w:jc w:val="both"/>
        <w:ind w:left="660" w:right="120" w:hanging="328"/>
        <w:spacing w:after="0" w:line="26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European Union's ("EU’s") General Data Protection Regulation (“GDPR”), which imposes compliance obligations for companies that process personal data of EU data subjects, necessitating investment into ongoing data protection activities and documentation requirements, and creates the potential for significant fines for noncompliance;</w:t>
      </w:r>
    </w:p>
    <w:p>
      <w:pPr>
        <w:spacing w:after="0" w:line="62"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United Kingdom’s (“UK’s”) General Data Protection Regulation, ("U.K. GDPR"),which creates similar compliance obligations for companies that process personal data of UK data subjects as are imposed by the GDPR;</w:t>
      </w:r>
    </w:p>
    <w:p>
      <w:pPr>
        <w:spacing w:after="0" w:line="31" w:lineRule="exact"/>
        <w:rPr>
          <w:rFonts w:ascii="Arial" w:cs="Arial" w:eastAsia="Arial" w:hAnsi="Arial"/>
          <w:sz w:val="18"/>
          <w:szCs w:val="18"/>
          <w:color w:val="auto"/>
        </w:rPr>
      </w:pPr>
    </w:p>
    <w:p>
      <w:pPr>
        <w:ind w:left="660" w:right="80" w:hanging="328"/>
        <w:spacing w:after="0" w:line="24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California Consumer Privacy Act, as amended by the California Privacy Rights Act (collectively, “CCPA”), which broadly defines personal information and provides expanded consumer privacy rights to natural persons residing in California, such as affording them the right to access and request deletion of their information and to opt out of certain sharing and sales of personal information; and</w:t>
      </w:r>
    </w:p>
    <w:p>
      <w:pPr>
        <w:spacing w:after="0" w:line="79"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as amended by the Health Information Technology for Economic and Clinical Health Act, which establishes privacy and security compliance obligations with respect to the processing of protected health information by covered entities and business associates, necessitating investment in technical and organizational compliance measures and creates the potential for substantial fines for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40"/>
        <w:spacing w:after="0" w:line="375" w:lineRule="auto"/>
        <w:rPr>
          <w:sz w:val="20"/>
          <w:szCs w:val="20"/>
          <w:color w:val="auto"/>
        </w:rPr>
      </w:pPr>
      <w:r>
        <w:rPr>
          <w:rFonts w:ascii="Arial" w:cs="Arial" w:eastAsia="Arial" w:hAnsi="Arial"/>
          <w:sz w:val="18"/>
          <w:szCs w:val="18"/>
          <w:color w:val="auto"/>
        </w:rPr>
        <w:t xml:space="preserve">These regulations and related risks are described in more detail below under "Risk Factors" in this Annual Report on Form 10-K. </w:t>
      </w:r>
      <w:r>
        <w:rPr>
          <w:rFonts w:ascii="Arial" w:cs="Arial" w:eastAsia="Arial" w:hAnsi="Arial"/>
          <w:sz w:val="18"/>
          <w:szCs w:val="18"/>
          <w:b w:val="1"/>
          <w:bCs w:val="1"/>
          <w:color w:val="auto"/>
        </w:rPr>
        <w:t>Company Website and Information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corporate headquarters is located at 1750 Presidents Street, Reston, VA 20190 and our telephone number is (571) 526-6000. Our website can be accessed at </w:t>
      </w:r>
      <w:r>
        <w:rPr>
          <w:rFonts w:ascii="Arial" w:cs="Arial" w:eastAsia="Arial" w:hAnsi="Arial"/>
          <w:sz w:val="18"/>
          <w:szCs w:val="18"/>
          <w:i w:val="1"/>
          <w:iCs w:val="1"/>
          <w:color w:val="auto"/>
        </w:rPr>
        <w:t>www.leidos.com</w:t>
      </w:r>
      <w:r>
        <w:rPr>
          <w:rFonts w:ascii="Arial" w:cs="Arial" w:eastAsia="Arial" w:hAnsi="Arial"/>
          <w:sz w:val="18"/>
          <w:szCs w:val="18"/>
          <w:color w:val="auto"/>
        </w:rPr>
        <w:t>.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SEC also maintains a website (www.sec.gov) that contains reports, proxy and information statements, and other information regarding issuers that file electronically with the SEC, including Leidos. The information on our website is not incorporated by reference into and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disclosed elsewhere in this Annual Report on Form 10-K, including our consolidated financial statements and the related notes and "Management's Discussion and Analysis of Financial Condition and Results of Operations" in Part II of this Annual Report,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our stock price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exchange rates and inflation,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In that event, the trading price of our stock could decline, and you could lose part or all of your investment</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76" w:lineRule="exact"/>
        <w:rPr>
          <w:sz w:val="20"/>
          <w:szCs w:val="20"/>
          <w:color w:val="auto"/>
        </w:rPr>
      </w:pPr>
    </w:p>
    <w:p>
      <w:pPr>
        <w:ind w:left="660" w:right="560" w:hanging="328"/>
        <w:spacing w:after="0" w:line="27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We depend on government agencies as our primary customers and if our reputation or relationships with these agencies were harmed, our future revenues and growth prospects could be adversely affected.</w:t>
      </w:r>
    </w:p>
    <w:p>
      <w:pPr>
        <w:spacing w:after="0" w:line="64" w:lineRule="exact"/>
        <w:rPr>
          <w:rFonts w:ascii="Arial" w:cs="Arial" w:eastAsia="Arial" w:hAnsi="Arial"/>
          <w:sz w:val="20"/>
          <w:szCs w:val="20"/>
          <w:color w:val="auto"/>
        </w:rPr>
      </w:pPr>
    </w:p>
    <w:p>
      <w:pPr>
        <w:ind w:left="660" w:right="14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A decline in the U.S. government budget, changes in spending or budgetary priorities or delays in contract awards may significantly and adversely affect our future revenues and limit our growth prospects.</w:t>
      </w:r>
    </w:p>
    <w:p>
      <w:pPr>
        <w:spacing w:after="0" w:line="80" w:lineRule="exact"/>
        <w:rPr>
          <w:rFonts w:ascii="Arial" w:cs="Arial" w:eastAsia="Arial" w:hAnsi="Arial"/>
          <w:sz w:val="20"/>
          <w:szCs w:val="20"/>
          <w:color w:val="auto"/>
        </w:rPr>
      </w:pPr>
    </w:p>
    <w:p>
      <w:pPr>
        <w:ind w:left="660" w:right="260" w:hanging="328"/>
        <w:spacing w:after="0" w:line="273" w:lineRule="auto"/>
        <w:tabs>
          <w:tab w:leader="none" w:pos="648" w:val="left"/>
        </w:tabs>
        <w:numPr>
          <w:ilvl w:val="0"/>
          <w:numId w:val="18"/>
        </w:numPr>
        <w:rPr>
          <w:rFonts w:ascii="Arial" w:cs="Arial" w:eastAsia="Arial" w:hAnsi="Arial"/>
          <w:sz w:val="19"/>
          <w:szCs w:val="19"/>
          <w:color w:val="auto"/>
        </w:rPr>
      </w:pPr>
      <w:r>
        <w:rPr>
          <w:rFonts w:ascii="Arial" w:cs="Arial" w:eastAsia="Arial" w:hAnsi="Arial"/>
          <w:sz w:val="17"/>
          <w:szCs w:val="17"/>
          <w:color w:val="auto"/>
        </w:rPr>
        <w:t>Because we depend on U.S. government contracts, a delay in the completion of the U.S. government’s budget and appropriations process could delay procurement of the products, services and solutions we provide and adversely affect our future revenues.</w:t>
      </w:r>
    </w:p>
    <w:p>
      <w:pPr>
        <w:spacing w:after="0" w:line="69" w:lineRule="exact"/>
        <w:rPr>
          <w:rFonts w:ascii="Arial" w:cs="Arial" w:eastAsia="Arial" w:hAnsi="Arial"/>
          <w:sz w:val="19"/>
          <w:szCs w:val="19"/>
          <w:color w:val="auto"/>
        </w:rPr>
      </w:pPr>
    </w:p>
    <w:p>
      <w:pPr>
        <w:ind w:left="660" w:hanging="328"/>
        <w:spacing w:after="0" w:line="245"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Due to the competitive process to obtain contracts and the likelihood of bid protests, we may be unable to achieve or sustain revenue growth and profitability.</w:t>
      </w:r>
    </w:p>
    <w:p>
      <w:pPr>
        <w:spacing w:after="0" w:line="93" w:lineRule="exact"/>
        <w:rPr>
          <w:rFonts w:ascii="Arial" w:cs="Arial" w:eastAsia="Arial" w:hAnsi="Arial"/>
          <w:sz w:val="20"/>
          <w:szCs w:val="20"/>
          <w:color w:val="auto"/>
        </w:rPr>
      </w:pPr>
    </w:p>
    <w:p>
      <w:pPr>
        <w:ind w:left="660" w:right="16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U.S. government may terminate, cancel, modify, renew on less favorable terms or curtail our contracts at any time prior to their completion and, if we do not replace them, this may adversely affect our future revenues and profitability.</w:t>
      </w:r>
    </w:p>
    <w:p>
      <w:pPr>
        <w:spacing w:after="0" w:line="80" w:lineRule="exact"/>
        <w:rPr>
          <w:rFonts w:ascii="Arial" w:cs="Arial" w:eastAsia="Arial" w:hAnsi="Arial"/>
          <w:sz w:val="20"/>
          <w:szCs w:val="20"/>
          <w:color w:val="auto"/>
        </w:rPr>
      </w:pPr>
    </w:p>
    <w:p>
      <w:pPr>
        <w:ind w:left="660" w:right="560" w:hanging="328"/>
        <w:spacing w:after="0" w:line="27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We face intense competition that can impact our ability to obtain contracts and therefore affect our future revenues and growth prospects.</w:t>
      </w:r>
    </w:p>
    <w:p>
      <w:pPr>
        <w:spacing w:after="0" w:line="64" w:lineRule="exact"/>
        <w:rPr>
          <w:rFonts w:ascii="Arial" w:cs="Arial" w:eastAsia="Arial" w:hAnsi="Arial"/>
          <w:sz w:val="20"/>
          <w:szCs w:val="20"/>
          <w:color w:val="auto"/>
        </w:rPr>
      </w:pPr>
    </w:p>
    <w:p>
      <w:pPr>
        <w:ind w:left="660" w:right="180" w:hanging="328"/>
        <w:spacing w:after="0" w:line="27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Deterioration of economic conditions or weakening in credit or capital markets may have a material adverse effect on our business, results of operations and financial condition.</w:t>
      </w:r>
    </w:p>
    <w:p>
      <w:pPr>
        <w:spacing w:after="0" w:line="64" w:lineRule="exact"/>
        <w:rPr>
          <w:rFonts w:ascii="Arial" w:cs="Arial" w:eastAsia="Arial" w:hAnsi="Arial"/>
          <w:sz w:val="20"/>
          <w:szCs w:val="20"/>
          <w:color w:val="auto"/>
        </w:rPr>
      </w:pPr>
    </w:p>
    <w:p>
      <w:pPr>
        <w:ind w:left="660" w:right="16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We cannot predict the consequences of current or future geopolitical events, but they may adversely affect the markets in which we operate and our results of operations.</w:t>
      </w:r>
    </w:p>
    <w:p>
      <w:pPr>
        <w:spacing w:after="0" w:line="80" w:lineRule="exact"/>
        <w:rPr>
          <w:rFonts w:ascii="Arial" w:cs="Arial" w:eastAsia="Arial" w:hAnsi="Arial"/>
          <w:sz w:val="20"/>
          <w:szCs w:val="20"/>
          <w:color w:val="auto"/>
        </w:rPr>
      </w:pPr>
    </w:p>
    <w:p>
      <w:pPr>
        <w:ind w:left="660" w:right="160" w:hanging="328"/>
        <w:spacing w:after="0" w:line="262"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Global supply chain issues and inflationary pressures have disrupted supply and increased the prices of goods and services, which could raise the costs associated with providing our services, diminish our ability to compete for new contracts or task orders and reduce customer buying power.</w:t>
      </w:r>
    </w:p>
    <w:p>
      <w:pPr>
        <w:spacing w:after="0" w:line="80" w:lineRule="exact"/>
        <w:rPr>
          <w:rFonts w:ascii="Arial" w:cs="Arial" w:eastAsia="Arial" w:hAnsi="Arial"/>
          <w:sz w:val="20"/>
          <w:szCs w:val="20"/>
          <w:color w:val="auto"/>
        </w:rPr>
      </w:pPr>
    </w:p>
    <w:p>
      <w:pPr>
        <w:jc w:val="both"/>
        <w:ind w:left="660" w:right="140" w:hanging="328"/>
        <w:spacing w:after="0" w:line="254"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Our failure to comply with various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87" w:lineRule="exact"/>
        <w:rPr>
          <w:rFonts w:ascii="Arial" w:cs="Arial" w:eastAsia="Arial" w:hAnsi="Arial"/>
          <w:sz w:val="20"/>
          <w:szCs w:val="20"/>
          <w:color w:val="auto"/>
        </w:rPr>
      </w:pPr>
    </w:p>
    <w:p>
      <w:pPr>
        <w:ind w:left="660" w:right="60" w:hanging="328"/>
        <w:spacing w:after="0" w:line="276"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U.S. government may adopt new contract rules and regulations or revise its procurement practices in a manner adverse to us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20" w:hanging="328"/>
        <w:spacing w:after="0" w:line="276" w:lineRule="auto"/>
        <w:tabs>
          <w:tab w:leader="none" w:pos="648" w:val="left"/>
        </w:tabs>
        <w:numPr>
          <w:ilvl w:val="0"/>
          <w:numId w:val="19"/>
        </w:numPr>
        <w:rPr>
          <w:rFonts w:ascii="Arial" w:cs="Arial" w:eastAsia="Arial" w:hAnsi="Arial"/>
          <w:sz w:val="20"/>
          <w:szCs w:val="20"/>
          <w:i w:val="1"/>
          <w:iCs w:val="1"/>
          <w:color w:val="auto"/>
        </w:rPr>
      </w:pPr>
      <w:r>
        <w:rPr>
          <w:rFonts w:ascii="Arial" w:cs="Arial" w:eastAsia="Arial" w:hAnsi="Arial"/>
          <w:sz w:val="18"/>
          <w:szCs w:val="18"/>
          <w:color w:val="auto"/>
        </w:rPr>
        <w:t>Efforts by the U.S. government to revise its organizational conflict of interest rules could limit our ability to successfully compete for new contracts or task orders, which would adversely affect our results of operations.</w:t>
      </w:r>
    </w:p>
    <w:p>
      <w:pPr>
        <w:spacing w:after="0" w:line="64" w:lineRule="exact"/>
        <w:rPr>
          <w:rFonts w:ascii="Arial" w:cs="Arial" w:eastAsia="Arial" w:hAnsi="Arial"/>
          <w:sz w:val="20"/>
          <w:szCs w:val="20"/>
          <w:i w:val="1"/>
          <w:iCs w:val="1"/>
          <w:color w:val="auto"/>
        </w:rPr>
      </w:pPr>
    </w:p>
    <w:p>
      <w:pPr>
        <w:ind w:left="660" w:right="1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As a U.S. government contractor, our partners and we are subject to reviews, audits and cost adjustments by the U.S. government, which could adversely affect our profitability, cash position or growth prospects if resolved unfavorably to us.</w:t>
      </w:r>
    </w:p>
    <w:p>
      <w:pPr>
        <w:spacing w:after="0" w:line="80" w:lineRule="exact"/>
        <w:rPr>
          <w:rFonts w:ascii="Arial" w:cs="Arial" w:eastAsia="Arial" w:hAnsi="Arial"/>
          <w:sz w:val="20"/>
          <w:szCs w:val="20"/>
          <w:color w:val="auto"/>
        </w:rPr>
      </w:pPr>
    </w:p>
    <w:p>
      <w:pPr>
        <w:ind w:left="660" w:right="54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business is subject to governmental review and investigation, which could adversely affect our financial position, operating results and growth prospects.</w:t>
      </w:r>
    </w:p>
    <w:p>
      <w:pPr>
        <w:spacing w:after="0" w:line="64" w:lineRule="exact"/>
        <w:rPr>
          <w:rFonts w:ascii="Arial" w:cs="Arial" w:eastAsia="Arial" w:hAnsi="Arial"/>
          <w:sz w:val="20"/>
          <w:szCs w:val="20"/>
          <w:color w:val="auto"/>
        </w:rPr>
      </w:pPr>
    </w:p>
    <w:p>
      <w:pPr>
        <w:ind w:left="660" w:right="160" w:hanging="328"/>
        <w:spacing w:after="0" w:line="25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Investigations, audits, claims, disputes, enforcement actions, litigation, arbitration or other legal proceedings could require us to pay potentially large damage awards or penalties and could be costly to defend, which would adversely affect our cash balances and profitability, and could damage our reputation.</w:t>
      </w:r>
    </w:p>
    <w:p>
      <w:pPr>
        <w:spacing w:after="0" w:line="87" w:lineRule="exact"/>
        <w:rPr>
          <w:rFonts w:ascii="Arial" w:cs="Arial" w:eastAsia="Arial" w:hAnsi="Arial"/>
          <w:sz w:val="20"/>
          <w:szCs w:val="20"/>
          <w:color w:val="auto"/>
        </w:rPr>
      </w:pPr>
    </w:p>
    <w:p>
      <w:pPr>
        <w:ind w:left="660" w:right="40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business and operations expose us to numerous legal and regulatory requirements, and any violation of these requirements could harm our business.</w:t>
      </w:r>
    </w:p>
    <w:p>
      <w:pPr>
        <w:spacing w:after="0" w:line="64" w:lineRule="exact"/>
        <w:rPr>
          <w:rFonts w:ascii="Arial" w:cs="Arial" w:eastAsia="Arial" w:hAnsi="Arial"/>
          <w:sz w:val="20"/>
          <w:szCs w:val="20"/>
          <w:color w:val="auto"/>
        </w:rPr>
      </w:pPr>
    </w:p>
    <w:p>
      <w:pPr>
        <w:ind w:left="660" w:hanging="328"/>
        <w:spacing w:after="0" w:line="26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business is subject to complex and evolving laws and regulations regarding data privacy and security which could subject us to investigations, claims or monetary penalties against us, require us to change our business practices or otherwise adversely affect our revenues and profitability.</w:t>
      </w:r>
    </w:p>
    <w:p>
      <w:pPr>
        <w:spacing w:after="0" w:line="80" w:lineRule="exact"/>
        <w:rPr>
          <w:rFonts w:ascii="Arial" w:cs="Arial" w:eastAsia="Arial" w:hAnsi="Arial"/>
          <w:sz w:val="20"/>
          <w:szCs w:val="20"/>
          <w:color w:val="auto"/>
        </w:rPr>
      </w:pPr>
    </w:p>
    <w:p>
      <w:pPr>
        <w:ind w:left="660" w:right="520" w:hanging="328"/>
        <w:spacing w:after="0" w:line="260" w:lineRule="auto"/>
        <w:tabs>
          <w:tab w:leader="none" w:pos="648" w:val="left"/>
        </w:tabs>
        <w:numPr>
          <w:ilvl w:val="0"/>
          <w:numId w:val="19"/>
        </w:numPr>
        <w:rPr>
          <w:rFonts w:ascii="Arial" w:cs="Arial" w:eastAsia="Arial" w:hAnsi="Arial"/>
          <w:sz w:val="20"/>
          <w:szCs w:val="20"/>
          <w:b w:val="1"/>
          <w:bCs w:val="1"/>
          <w:i w:val="1"/>
          <w:iCs w:val="1"/>
          <w:color w:val="auto"/>
        </w:rPr>
      </w:pPr>
      <w:r>
        <w:rPr>
          <w:rFonts w:ascii="Arial" w:cs="Arial" w:eastAsia="Arial" w:hAnsi="Arial"/>
          <w:sz w:val="18"/>
          <w:szCs w:val="18"/>
          <w:color w:val="auto"/>
        </w:rPr>
        <w:t>We utilize artificial intelligence, which could expose us to liability or adversely affect our business, especially if we are unable to compete effectively with others in adopting artificial intelligence.</w:t>
      </w:r>
    </w:p>
    <w:p>
      <w:pPr>
        <w:spacing w:after="0" w:line="80" w:lineRule="exact"/>
        <w:rPr>
          <w:rFonts w:ascii="Arial" w:cs="Arial" w:eastAsia="Arial" w:hAnsi="Arial"/>
          <w:sz w:val="20"/>
          <w:szCs w:val="20"/>
          <w:b w:val="1"/>
          <w:bCs w:val="1"/>
          <w:i w:val="1"/>
          <w:iCs w:val="1"/>
          <w:color w:val="auto"/>
        </w:rPr>
      </w:pPr>
    </w:p>
    <w:p>
      <w:pPr>
        <w:jc w:val="both"/>
        <w:ind w:left="660" w:right="300" w:hanging="328"/>
        <w:spacing w:after="0" w:line="26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Misconduct of employees, subcontractors, agents, suppliers, business partners or joint ventures and others working on our behalf could cause us to lose existing contracts or customers and adversely affect our ability to obtain new contracts and customers and could have a material adverse impact on our business, reputation and future results.</w:t>
      </w:r>
    </w:p>
    <w:p>
      <w:pPr>
        <w:spacing w:after="0" w:line="80" w:lineRule="exact"/>
        <w:rPr>
          <w:rFonts w:ascii="Arial" w:cs="Arial" w:eastAsia="Arial" w:hAnsi="Arial"/>
          <w:sz w:val="20"/>
          <w:szCs w:val="20"/>
          <w:color w:val="auto"/>
        </w:rPr>
      </w:pPr>
    </w:p>
    <w:p>
      <w:pPr>
        <w:ind w:left="660" w:right="6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A failure to attract, train, retain and motivate skilled employees, including our management team, would adversely affect our ability to execute our strategy and may disrupt our operations.</w:t>
      </w:r>
    </w:p>
    <w:p>
      <w:pPr>
        <w:spacing w:after="0" w:line="80" w:lineRule="exact"/>
        <w:rPr>
          <w:rFonts w:ascii="Arial" w:cs="Arial" w:eastAsia="Arial" w:hAnsi="Arial"/>
          <w:sz w:val="20"/>
          <w:szCs w:val="20"/>
          <w:color w:val="auto"/>
        </w:rPr>
      </w:pPr>
    </w:p>
    <w:p>
      <w:pPr>
        <w:ind w:left="660" w:right="6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may not realize the full amounts reflected in our backlog as revenues, which could adversely affect our expected future revenues and growth prospects.</w:t>
      </w:r>
    </w:p>
    <w:p>
      <w:pPr>
        <w:spacing w:after="0" w:line="64" w:lineRule="exact"/>
        <w:rPr>
          <w:rFonts w:ascii="Arial" w:cs="Arial" w:eastAsia="Arial" w:hAnsi="Arial"/>
          <w:sz w:val="20"/>
          <w:szCs w:val="20"/>
          <w:color w:val="auto"/>
        </w:rPr>
      </w:pPr>
    </w:p>
    <w:p>
      <w:pPr>
        <w:ind w:left="660" w:right="28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earnings and profitability may vary based on the mix of our contracts and may be adversely affected by our failure to estimate and manage costs, time and resources accurately.</w:t>
      </w:r>
    </w:p>
    <w:p>
      <w:pPr>
        <w:spacing w:after="0" w:line="64"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use estimates in recognizing revenues, and if we make changes to estimates used in recognizing revenues, our profitability may be adversely affected.</w:t>
      </w:r>
    </w:p>
    <w:p>
      <w:pPr>
        <w:spacing w:after="0" w:line="80" w:lineRule="exact"/>
        <w:rPr>
          <w:rFonts w:ascii="Arial" w:cs="Arial" w:eastAsia="Arial" w:hAnsi="Arial"/>
          <w:sz w:val="20"/>
          <w:szCs w:val="20"/>
          <w:color w:val="auto"/>
        </w:rPr>
      </w:pPr>
    </w:p>
    <w:p>
      <w:pPr>
        <w:ind w:left="660" w:right="30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Cybersecurity breaches and other information security incidents could negatively impact our business and financial results, impair our ability to effectively provide our services to our customers and cause harm to our reputation or competitive position.</w:t>
      </w:r>
    </w:p>
    <w:p>
      <w:pPr>
        <w:spacing w:after="0" w:line="64" w:lineRule="exact"/>
        <w:rPr>
          <w:rFonts w:ascii="Arial" w:cs="Arial" w:eastAsia="Arial" w:hAnsi="Arial"/>
          <w:sz w:val="20"/>
          <w:szCs w:val="20"/>
          <w:color w:val="auto"/>
        </w:rPr>
      </w:pPr>
    </w:p>
    <w:p>
      <w:pPr>
        <w:ind w:left="660" w:right="160" w:hanging="328"/>
        <w:spacing w:after="0" w:line="25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87"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Customer systems failures could damage our reputation and adversely affect our revenues and profitability.</w:t>
      </w:r>
    </w:p>
    <w:p>
      <w:pPr>
        <w:spacing w:after="0" w:line="121" w:lineRule="exact"/>
        <w:rPr>
          <w:rFonts w:ascii="Arial" w:cs="Arial" w:eastAsia="Arial" w:hAnsi="Arial"/>
          <w:sz w:val="20"/>
          <w:szCs w:val="20"/>
          <w:color w:val="auto"/>
        </w:rPr>
      </w:pPr>
    </w:p>
    <w:p>
      <w:pPr>
        <w:ind w:left="660" w:right="640" w:hanging="328"/>
        <w:spacing w:after="0" w:line="27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Our success depends, in part, on our ability to work with complex and rapidly changing technologies to meet the needs of our customers.</w:t>
      </w:r>
    </w:p>
    <w:p>
      <w:pPr>
        <w:spacing w:after="0" w:line="64"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18"/>
          <w:szCs w:val="18"/>
          <w:color w:val="auto"/>
        </w:rPr>
        <w:t>We have classified contracts with the U.S. government, which may limit investor insight into portions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right="400" w:hanging="328"/>
        <w:spacing w:after="0" w:line="27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have made and continue to make acquisitions, investments, joint ventures and divestitures that involve numerous risks and uncertainties.</w:t>
      </w:r>
    </w:p>
    <w:p>
      <w:pPr>
        <w:spacing w:after="0" w:line="64"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Goodwill and other intangible assets represent significant assets on our balance sheet and any impairment of these assets could negatively impact our results of operations, and shareholders' equity.</w:t>
      </w:r>
    </w:p>
    <w:p>
      <w:pPr>
        <w:spacing w:after="0" w:line="80" w:lineRule="exact"/>
        <w:rPr>
          <w:rFonts w:ascii="Arial" w:cs="Arial" w:eastAsia="Arial" w:hAnsi="Arial"/>
          <w:sz w:val="20"/>
          <w:szCs w:val="20"/>
          <w:color w:val="auto"/>
        </w:rPr>
      </w:pPr>
    </w:p>
    <w:p>
      <w:pPr>
        <w:ind w:left="660" w:hanging="328"/>
        <w:spacing w:after="0" w:line="262"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80" w:lineRule="exact"/>
        <w:rPr>
          <w:rFonts w:ascii="Arial" w:cs="Arial" w:eastAsia="Arial" w:hAnsi="Arial"/>
          <w:sz w:val="20"/>
          <w:szCs w:val="20"/>
          <w:color w:val="auto"/>
        </w:rPr>
      </w:pPr>
    </w:p>
    <w:p>
      <w:pPr>
        <w:ind w:left="660" w:right="78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could incur significant liabilities and suffer negative publicity if our inspection or detection systems fail to detect bombs, explosives, weapons, contraband or other threats.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We face risks associated with our international business.</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Changes in tax laws and regulations or exposure to additional tax liabilities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Leidos Holdings, Inc. Annual Report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9" w:right="4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Economic Risks</w:t>
      </w:r>
    </w:p>
    <w:p>
      <w:pPr>
        <w:spacing w:after="0" w:line="11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We depend on government agencies as our primary customers and if our reputation or relationships with these agencies were harmed, our future revenues and growth prospects could be adversely affected.</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total revenues from contracts with the U.S. government (including all branches of the U.S. military), either as a prime contractor or a subcontractor to other contractors engaged in work for the U.S. government generated approximately 87% in fiscal 2023, 86% in fiscal 2022, and 87% in fiscal 2021. We expect to continue to derive most of our revenues from work performed under U.S. government contracts. Our reputation and relationships with the U.S. government, particularly with the agencies of the DoD and the U.S. Intelligence Community, are key factors in maintaining and growing our revenues, and enable us to provide informal input and advice to government entities and agencies prior to the development of a formal bid. In addition, negative publicity, including reports from the press or social media coverage, regardless of accuracy or completeness, and which could pertain to employee or subcontractor misconduct, conflicts of interest, poor contract performance, deficiencies in services, reports, products or other deliverables, security breaches or other security incidents or other aspects of our business, could harm our reputation with these agencies and with certain non-U.S. customers. Due to the sensitive nature of our work and our confidentiality obligations to our customers, and despite our ongoing efforts to provide transparency, we may be unable to or limited in our ability to respond to such negative publicity, which could also harm our reputation and our business. If our reputation is negatively affected or if we are unable to successfully maintain our relationships with government entities and agencies, certain customers could cease to do business with us and our ability to bid successfully for new business may be adversely affected, which could cause our actual results to differ materially and adversely from those anticipated. In addition, our ability to hire or retain employees and our standing in professional communities, to which we contribute and receive expert knowledge, could be diminished. If any of the foregoing occurs, the amount of business with the U.S. government and other customers could decrease, and our business, future revenues, financial condition, and growth prospects could be adversely affected.</w:t>
      </w:r>
    </w:p>
    <w:p>
      <w:pPr>
        <w:spacing w:after="0" w:line="87" w:lineRule="exact"/>
        <w:rPr>
          <w:sz w:val="20"/>
          <w:szCs w:val="20"/>
          <w:color w:val="auto"/>
        </w:rPr>
      </w:pPr>
    </w:p>
    <w:p>
      <w:pPr>
        <w:ind w:right="1020"/>
        <w:spacing w:after="0" w:line="294" w:lineRule="auto"/>
        <w:rPr>
          <w:sz w:val="20"/>
          <w:szCs w:val="20"/>
          <w:color w:val="auto"/>
        </w:rPr>
      </w:pPr>
      <w:r>
        <w:rPr>
          <w:rFonts w:ascii="Arial" w:cs="Arial" w:eastAsia="Arial" w:hAnsi="Arial"/>
          <w:sz w:val="18"/>
          <w:szCs w:val="18"/>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under contracts with the DoD and U.S. Intelligence Community, either as a prime contractor or subcontractor to other contractors, represented approximately 49% of our total revenues for fiscal 2023, and 44% of our total revenues for both fiscal 2022 and 2021. U.S. government and DoD spending levels are difficult to predict and subject to significant risk. Laws and plans adopted by the U.S. government relating to, along with pressures on and uncertainty surrounding the U.S. federal budget, potential changes in budgetary priorities and defense spending levels, the appropriations process and the permissible federal debt limit, could adversely affect the funding for individual programs and delay purchasing or payment decisions by our customers. Considerable uncertainty exists regarding how future budget and program decisions will unfold, including the defense spending priorities of the U.S. Presidential Administration and Congress and what challenges potential budget reductions will present for us and our industry generally.</w:t>
      </w:r>
    </w:p>
    <w:p>
      <w:pPr>
        <w:spacing w:after="0" w:line="7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Current U.S. government spending levels for defense-related or other programs may not be sustained. Future spending and program authorizations may not increase or may decrease or shift to programs in areas where we do not provide services or are less likely to be awarded contracts. Such changes in spending authorizations and budgetary priorities may occur as a result of uncertainty surrounding the federal budget and the federal government’s ability to meet its debt obligations, changes in the priorities of the U.S. Presidential</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Administration as a result of the upcoming election cycle, increasing political pressure and legislation, shifts in spending priorities from defense-related or other programs as a result of competing demands for federal funds, the number and intensity of military conflicts or other factors. For example, the conflicts between Russia and Ukraine and Israel and Hamas have resulted in increased security assistance to each of Ukraine and Israel to help preserve their territorial integrity, secure their borders, and with respect to the Russia/Ukraine conflict, improve interoperability with NATO. Changes in defense budgetary priorities as a result of such conflict could have an adverse impact on our results. In addition, if government funding relating to our contracts with the U.S. government or DoD becomes unavailable, or is reduced or delayed, or planned orders are reduced, our contract or subcontract under such programs may be terminated or adjusted by the U.S. government or the prime contractor. Our operating results could also be adversely affected by spending caps or changes in the U.S. government or the DoD's budgetary priorities, as well as delays in program starts or the award of contracts or task orders under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or other budgetary priorities, reduce overall U.S. government spending, or delay contract or task order awards for defense-related or other programs from which we would otherwise expect to derive a significant portion of our future revenues. In addition, changes to the federal or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results of operations and limit our growth prospects. In addition, our ability to grow in advanced technology areas, such as hypersonics programs, space exploration, and classified programs, will also be affected by the overall budget environment, whether development programs transition to production and the timing of such transition, all of which are dependent on U.S. Government authorization and funding.</w:t>
      </w:r>
    </w:p>
    <w:p>
      <w:pPr>
        <w:spacing w:after="0" w:line="25"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b w:val="1"/>
          <w:bCs w:val="1"/>
          <w:i w:val="1"/>
          <w:iCs w:val="1"/>
          <w:color w:val="auto"/>
        </w:rPr>
        <w:t>Because we depend on U.S. government contracts, a delay in the completion of the U.S. government's budget and appropriations process could delay procurement of the products, services, and solutions we provide and adversely affect our future revenues.</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which allows federal government agencies to operate at spending levels approved in the previous appropriations cycle but does not authorize new spending initiatives. When the U.S. government operates under a continuing resolution, delays can occur in the procurement of the products, services and solutions that we provide and may result in new initiatives being canceled. From time to time, we have experienced a decline in revenues in our fourth quarter as a result of this annual appropriations cycle, and we could experience similar declines in revenues from future delays in the appropriations process. When the U.S. government fails to complete its appropriations process or provide for a continuing resolution, a full or partial federal government shutdown may result. A federal government shutdown could, in turn, result in our incurrence of substantial labor or other costs without reimbursement under customer contracts, the delay or cancellation of key programs, or the delay, or cancellation of contract payments, which could have a negative effect on our cash flows and adversely affect our future results of operations. Congress appropriates funds on an annual fiscal year basis for many programs,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or until additional funds are obligated to the contract. In addition, if and when supplemental appropriations are required to operate the U.S. government or fund specific programs and passage of legislation needed to approve any supplemental appropriations bill is delayed, the overall funding environment for our business could be adversely affected.</w:t>
      </w:r>
    </w:p>
    <w:p>
      <w:pPr>
        <w:spacing w:after="0" w:line="87"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Due to the competitive process to obtain contracts and the likelihood of bid protests, we may be unable to achieve or sustain revenue growth and profitability.</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The U.S. government has increasingly relied on contracts that are subject to a continuing competitive bidding process, including GSA Schedule and other multi-award contracts, which has resulted in greater competition and increased pricing pressure. The competitive bidding process involves substantial costs, including significant cost and managerial time to prepare bids and proposals for contracts that may not be awarded to us, may be split among competitors, or that may be awarded but for which we do not receive meaningful task orders, and several risks, including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 profitability. In addition, multi-award contracts require that we make sustained post-award efforts to obtain task orders under the contract. As a result, we may not be able to obtain these task orders or recognize revenues under these multi-award contracts. We are also experiencing increased competition, which impacts our ability to obtain contracts; see the risk factor “We face intense competition that can impact our ability to obtain contracts and, therefore, affect our future revenues and growth prospects.” Our failure to compete effectively in this procurement environment would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The U.S. government may terminate, cancel, modify, renew on less favorable terms or curtail our contracts at any time prior to their completion, and if we do not replace them, this may adversely affect our future revenues and profitability.</w:t>
      </w:r>
    </w:p>
    <w:p>
      <w:pPr>
        <w:spacing w:after="0" w:line="1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Many of the U.S. government programs in which we participate as a contractor or subcontractor extend for several years and include one or more base years and one or more option years. These programs are typically funded on an annual basis. Under our contracts, the U.S. government generally has the right not to exercise options to extend or expand our contracts and may otherwise terminate, cancel, modify or curtail our contracts at its convenience. Any decisions by the U.S. government to not exercise contract options or to terminate, cancel, modify, renew on less favorable terms or curtail our major programs or contracts would adversely affect our revenues, revenue growth and profitability.</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we have experienced and continue to experience performance issues under certain of our contracts. Some of our contracts involve developing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77"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We face intense competition that can impact our ability to obtain contracts and, therefore, affect our future revenues and growth prospects.</w:t>
      </w:r>
    </w:p>
    <w:p>
      <w:pPr>
        <w:spacing w:after="0" w:line="3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business is highly competitive, and we compete with larger companies with greater name recognition, financial resources, and a larger technical staff. We also compete with smaller, more specialized companies that can concentrate their resources on particular areas. Additionally, we compete with the U.S. government’s own capabilities and federal non-profit contract research centers. For example, some customers, including the DoD, are turning to commercial contractors, rather than traditional defense contractors, for some products and</w:t>
      </w:r>
    </w:p>
    <w:p>
      <w:pPr>
        <w:ind w:right="100"/>
        <w:spacing w:after="0" w:line="252" w:lineRule="auto"/>
        <w:rPr>
          <w:sz w:val="20"/>
          <w:szCs w:val="20"/>
          <w:color w:val="auto"/>
        </w:rPr>
      </w:pPr>
      <w:r>
        <w:rPr>
          <w:rFonts w:ascii="Arial" w:cs="Arial" w:eastAsia="Arial" w:hAnsi="Arial"/>
          <w:sz w:val="18"/>
          <w:szCs w:val="18"/>
          <w:color w:val="auto"/>
        </w:rPr>
        <w:t>services, and may utilize small business contractors or determine to source work internally rather than hiring a contractor</w:t>
      </w:r>
      <w:r>
        <w:rPr>
          <w:rFonts w:ascii="Arial" w:cs="Arial" w:eastAsia="Arial" w:hAnsi="Arial"/>
          <w:sz w:val="21"/>
          <w:szCs w:val="21"/>
          <w:color w:val="008080"/>
        </w:rPr>
        <w:t>.</w:t>
      </w:r>
      <w:r>
        <w:rPr>
          <w:rFonts w:ascii="Arial" w:cs="Arial" w:eastAsia="Arial" w:hAnsi="Arial"/>
          <w:sz w:val="18"/>
          <w:szCs w:val="18"/>
          <w:color w:val="auto"/>
        </w:rPr>
        <w:t xml:space="preserve"> The markets in which we operate are characterized by rapidly changing customer needs and technology and our success depends on our ability to invest in and develop services and products that address such needs. To remain competitive, we must consistently provide superior service, technology, and performance to our customers on a cost-effective basis while understanding customer priorities and maintaining customer relationships.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or be willing to accept more risk or lower profitability in competing for contracts.</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Some of our competitors have made or could make acquisitions of businesses or establish teaming or other agreements among themselves or third parties, which could allow them to offer more competitive and comprehensive solutions. As a result of such acquisitions or arrangements, our current or potential competitors may be able to accelerate the adoption of new technologies that better address customer needs, devote more significant resources to bring these products and services to market, initiate or withstand substantial price competition, develop and expand their product and service offerings more quickly than we do or limit our access to certain suppliers. These competitive pressures in our market or our failure to compete effectively may result in fewer orders, reduced revenue and margins, and loss of market share. Further industry consolidation may also impact customers’ perceptions of the viability of smaller or even mid-size software firms and, consequently, customers’ willingness to purchase from such firms.</w:t>
      </w:r>
    </w:p>
    <w:p>
      <w:pPr>
        <w:spacing w:after="0" w:line="79" w:lineRule="exact"/>
        <w:rPr>
          <w:sz w:val="20"/>
          <w:szCs w:val="20"/>
          <w:color w:val="auto"/>
        </w:rPr>
      </w:pPr>
    </w:p>
    <w:p>
      <w:pPr>
        <w:ind w:right="880"/>
        <w:spacing w:after="0" w:line="294" w:lineRule="auto"/>
        <w:rPr>
          <w:sz w:val="20"/>
          <w:szCs w:val="20"/>
          <w:color w:val="auto"/>
        </w:rPr>
      </w:pPr>
      <w:r>
        <w:rPr>
          <w:rFonts w:ascii="Arial" w:cs="Arial" w:eastAsia="Arial" w:hAnsi="Arial"/>
          <w:sz w:val="18"/>
          <w:szCs w:val="18"/>
          <w:b w:val="1"/>
          <w:bCs w:val="1"/>
          <w:i w:val="1"/>
          <w:iCs w:val="1"/>
          <w:color w:val="auto"/>
        </w:rPr>
        <w:t>Deterioration of economic conditions or weakening in credit or capital markets may have a material adverse effect on our business, results of operations and financial condition.</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Volatile, negative, or uncertain economic conditions, an increase in the likelihood of a recession, or concerns about these or other similar risks may negatively impact our customers’ ability and willingness to fund their projects. For example, declines in state and local tax revenues, as well as other economic declines, may result in lower government spending. Our customers reducing, postponing, or canceling spending on projects in respect of which we provide services may reduce demand for our services quickly and with little warning,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instability in the credit or capital markets in the U.S., including as a result of failures of financial institutions and any related market-wide reduction in liquidity, or concerns or rumors about events of these kinds or similar risks, could affect the availability of credit or our credit ratings, making it relatively difficult or expensive to obtain additional capital at competitive rates, on commercially reasonable terms or in sufficient amounts, or at all, thus making it more difficult or expensive for us to access funds or refinance our existing indebtedness, or obtain financing for acquisitions. Such instability could also cause counterparties, including vendors, suppliers, and subcontractors, to be unable to perform their obligations or to breach their obligations to us under our contracts with them. In addition, instability in the credit or capital markets could negatively impact our customers’ ability to fund their projects and, therefore, utilize our services, which could have a material adverse effect on our business, results of operations, and financial condition.</w:t>
      </w:r>
    </w:p>
    <w:p>
      <w:pPr>
        <w:spacing w:after="0" w:line="7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We cannot predict the consequences of current or future geopolitical events, but they may adversely affect the markets in which we operate and our results of operations.</w:t>
      </w:r>
    </w:p>
    <w:p>
      <w:pPr>
        <w:spacing w:after="0" w:line="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Ongoing instability and current conflicts in global markets, including in Eastern Europe, the Middle East, and Asia, and the potential for other conflicts and future terrorist activities and other recent geopolitical events throughout the world, including the ongoing conflict between Russia and Ukraine, the ongoing Israel/Hamas conflict and its regional effects, and increased tensions in Asia,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us and/or our supply chain, business partners, or customers.</w:t>
      </w:r>
    </w:p>
    <w:p>
      <w:pPr>
        <w:spacing w:after="0" w:line="73" w:lineRule="exact"/>
        <w:rPr>
          <w:sz w:val="20"/>
          <w:szCs w:val="20"/>
          <w:color w:val="auto"/>
        </w:rPr>
      </w:pPr>
    </w:p>
    <w:p>
      <w:pPr>
        <w:jc w:val="both"/>
        <w:ind w:right="500"/>
        <w:spacing w:after="0" w:line="272" w:lineRule="auto"/>
        <w:rPr>
          <w:sz w:val="20"/>
          <w:szCs w:val="20"/>
          <w:color w:val="auto"/>
        </w:rPr>
      </w:pPr>
      <w:r>
        <w:rPr>
          <w:rFonts w:ascii="Arial" w:cs="Arial" w:eastAsia="Arial" w:hAnsi="Arial"/>
          <w:sz w:val="18"/>
          <w:szCs w:val="18"/>
          <w:b w:val="1"/>
          <w:bCs w:val="1"/>
          <w:i w:val="1"/>
          <w:iCs w:val="1"/>
          <w:color w:val="auto"/>
        </w:rPr>
        <w:t>Global supply chain issues and inflationary pressures have disrupted supply and increased the prices of goods and services, which could raise the costs associated with providing our services, diminish our ability to compete for new contracts or task orders and reduce customer buying power.</w:t>
      </w:r>
    </w:p>
    <w:p>
      <w:pPr>
        <w:spacing w:after="0" w:line="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a variety of reasons, the global economy in which we operate has faced, and may continue to face, heightened inflationary pressure, impacting the cost of doing business in both supply and labor markets. These inflationary pressures have been and could continue to be exacerbated by geopolitical turmoil and economic policy actions, and the duration of such pressures is uncertain. We generate revenue through various fixed-price and multi-year government contracts, our primary customer being the U.S. government, which has traditionally been viewed as less affected by inflationary pressures. However, our approach to include modest annual price escalations in our bids for multi-year work may be insufficient to account for and mitigate inflationary cost pressures, which may result in cost overruns on contracts. This could result in reduced profits or even losses if inflation increases, particularly for fixed-priced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0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failure to comply with various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Such laws and regulations may impose added costs on our business and our failure to comply with them may lead to civil or criminal penalties, termination of our U.S. government contracts, or suspension or debarment from contracting with federal agencies. For additional background on the regulations that apply to our business and the related compliance risks, see “Regulation” within Item 1 of this Annual Report on Form 10-K and the risk factor “Our business is subject to governmental review and investigation, which could adversely affect our financial position, operating results and growth prospects</w:t>
      </w:r>
      <w:r>
        <w:rPr>
          <w:rFonts w:ascii="Arial" w:cs="Arial" w:eastAsia="Arial" w:hAnsi="Arial"/>
          <w:sz w:val="18"/>
          <w:szCs w:val="18"/>
          <w:b w:val="1"/>
          <w:bCs w:val="1"/>
          <w:color w:val="auto"/>
        </w:rPr>
        <w:t>."</w:t>
      </w:r>
      <w:r>
        <w:rPr>
          <w:rFonts w:ascii="Arial" w:cs="Arial" w:eastAsia="Arial" w:hAnsi="Arial"/>
          <w:sz w:val="18"/>
          <w:szCs w:val="18"/>
          <w:color w:val="auto"/>
        </w:rPr>
        <w:t xml:space="preserve"> The FAR and 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conflict-of-interest issue that precludes our competition for or performance on a significant program or contract could harm our prospects.</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Government contract laws and regulations can impose terms or obligations that are different than those typically found in commercial transactions. One of the significant differences is that the U.S. Government may terminate any of our government contracts, not only for default based on our performance but also at its convenience. Generally, prime contractors have a similar right under subcontracts related to government contracts. If a contract is terminated for convenience, we typically would be entitled to receive payments for our allowable costs incurred and the proportionate share of fees or earnings for the work performed. However, to the extent insufficient funds have been appropriated by the U.S. Government to the program to cover our costs upon termination for convenience, the U.S. Government may assert that it is not required to appropriate additional funding. If a contract is terminated for default, the U.S. Government could make claims to reduce the contract value or recover its procurement costs and could assess other special penalties, exposing us to liability and adversely affecting our ability to compete for future contracts and orders. In addition, the U.S. Government could terminate a prime contract under which we are a subcontractor, notwithstanding the fact that our performance and the quality of the products or services we delivered were consistent with our contractual obligations as a subcontractor. Similarly, the U.S. Government could indirectly terminate a program or contract by not funding it. The decision to terminate programs or contracts for convenience or default could adversely affect our business and future financial performance.</w:t>
      </w:r>
    </w:p>
    <w:p>
      <w:pPr>
        <w:spacing w:after="0" w:line="81"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The U.S. government may adopt new contract rules and regulations or revise its procurement practices in a manner adverse to us at any time.</w:t>
      </w:r>
    </w:p>
    <w:p>
      <w:pPr>
        <w:spacing w:after="0" w:line="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industry has experienced, and we expect it will continue to experience, significant changes to business practices as a result of an increased focus on affordability, efficiencies, and recovery of costs, among other items. From time to time, new laws and regulations are enacted, and government agencies adopt new interpretations and enforcement priorities relative to laws and regulations already in effect.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(including regulations that require reductions and disclosure of greenhouse gas emissions and climate-related financial risks) as well as any resulting shifts in the buying practices of U.S. government agencies (such as increased usage of fixed-price contracts, multiple-award contracts and small business set-aside contracts) could have adverse effects on government contractors, including us. Any of these changes could impair our ability to obtain new contracts or renew our existing contracts when customers recompete those contracts. Any new contracting requirements or procurement methods could be costly or administratively difficult to implement and could adversely affect our future revenues, profitability,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the DoD and other customers are increasingly pursuing rapid acquisition pathways and procedures for new technologies, including through so-called “other transaction authority” agreements (OTAs). OTAs are exempt from many traditional procurement laws, including the FAR, and an OTA award may be subject, in certain cases, to the condition that a significant portion of the work under the OTA is performed by a non-traditional defense contractor or that a portion of the cost of the prototype project is funded by non-governmental sources. If we cannot successfully adapt to our customers’ rapid acquisition processes, then we may lose strategic new business opportunities in high-growth areas, and our future performance and results could be adversely affected.</w:t>
      </w:r>
    </w:p>
    <w:p>
      <w:pPr>
        <w:spacing w:after="0" w:line="7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Efforts by the U.S. government to revise its organizational conflict of interest rules could limit our ability to successfully compete for new contracts or task orders, which would adversely affect our results of operations.</w:t>
      </w:r>
    </w:p>
    <w:p>
      <w:pPr>
        <w:spacing w:after="0" w:line="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passage of a new federal law in December 2022 requires the FAR council within eighteen months to provide and update definitions of each of the above types of conflicts of interest and provide illustrative examples of various relationships that contractors could have that would give rise to potential conflicts of interest. The passage of this legislation comes as this topic continues to garner increased scrutiny of such alleged conflicts among federal contractors. The resulting rule-making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financial metrics and results of operations could be materially and adversely affected.</w:t>
      </w:r>
    </w:p>
    <w:p>
      <w:pPr>
        <w:spacing w:after="0" w:line="81"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As a U.S. government contractor, our partners and we are subject to reviews, audits and cost adjustments by the U.S. government, which could adversely affect our profitability, cash position or growth prospects if resolved unfavorably to us.</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U.S. government contractors (including their subcontractors and others with whom they do business) operate in a highly regulated environment and are routinely audited and reviewed by the U.S. government and its agencies, including the DCAA, DCMA, the DoD Inspector General, and others. These agencies review a contractor's performance on government contracts, cost structure, indirect rates and pricing practices, compliance with applicable contracting and procurement laws, regulations, terms, and standards, and the adequacy of our systems and processes in meeting government requirements.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result of increased scrutiny on contractors and U.S. government agencies, audits and reviews are conducted rigorously and the applicable standards are strictly interpreted, increasing the likelihood of an audit or review resulting in an adverse outcome. A finding of significant control deficiencies in our system audits or other reviews can result in decremented billing rates to our U.S. government customers until the control deficiencies are corrected and the DCMA accepts our remediations.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findings or the failure to obtain an "approved" determination of our various business systems from the responsible U.S. government agency could significantly and adversely affect our business, including our ability to bid on new contracts and our competitive position in the bidding</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process. A determination of noncompliance could also result in the U.S. government imposing penalties and sanctions against us, including reductions of the value of contracts, contract modifications reflecting less favorable terms or termination, withholding of payments,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suspension or debarment, suspension of payments and increased government scrutiny that could negatively impact our reputation, delay or adversely affect our ability to invoice and receive timely payment on contracts, perform contracts or compete for contracts with the U.S. government. As of December 29, 2023, indirect cost audits by the DCAA remain open for fiscal 2021 and subsequent fiscal years. Although we have recorded contract revenues based upon our estimate of costs that we believe will be approved upon final audit or review, we cannot predict the outcome of any ongoing or future audits or reviews and adjustments and, if future adjustments exceed our estimates, our profitability may be adversely affected.</w:t>
      </w:r>
    </w:p>
    <w:p>
      <w:pPr>
        <w:spacing w:after="0" w:line="95"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Our business is subject to governmental review and investigation, which could adversely affect our financial position, operating results and growth prospects.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are routinely subject to governmental investigations relating to compliance with various laws and regulations with respect to our role as a</w:t>
      </w:r>
    </w:p>
    <w:p>
      <w:pPr>
        <w:spacing w:after="0" w:line="14" w:lineRule="exact"/>
        <w:rPr>
          <w:sz w:val="20"/>
          <w:szCs w:val="20"/>
          <w:color w:val="auto"/>
        </w:rPr>
      </w:pPr>
    </w:p>
    <w:p>
      <w:pPr>
        <w:jc w:val="both"/>
        <w:ind w:right="520"/>
        <w:spacing w:after="0" w:line="226" w:lineRule="auto"/>
        <w:rPr>
          <w:sz w:val="20"/>
          <w:szCs w:val="20"/>
          <w:color w:val="auto"/>
        </w:rPr>
      </w:pPr>
      <w:r>
        <w:rPr>
          <w:rFonts w:ascii="Arial" w:cs="Arial" w:eastAsia="Arial" w:hAnsi="Arial"/>
          <w:sz w:val="18"/>
          <w:szCs w:val="18"/>
          <w:color w:val="auto"/>
        </w:rPr>
        <w:t>contractor to federal, state and local government customers and in connection with performing services in countries outside the United States. If a review or investigation identifies improper or illegal activities, we may be subject to disgorgement of profits, fines, damages,</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litigation, civil or criminal penalties, exclusion from sales channels or sales opportunities, injunctions, or administrative sanctions, including the termination of contracts, the triggering of price reduction clauses, suspension of payments, suspension or debarment from doing business with governmental agencies or other consequences.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into business practices and major programs supported by contractors from government organizations, legislative bodies, or agencies may lead to increased legal costs and may harm our reputation, revenues, profitability and growth prospects. For a description of our current legal</w:t>
      </w:r>
    </w:p>
    <w:p>
      <w:pPr>
        <w:spacing w:after="0" w:line="7"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proceedings, see "Item 3. Legal Proceedings</w:t>
      </w:r>
      <w:r>
        <w:rPr>
          <w:rFonts w:ascii="Arial" w:cs="Arial" w:eastAsia="Arial" w:hAnsi="Arial"/>
          <w:sz w:val="21"/>
          <w:szCs w:val="21"/>
          <w:i w:val="1"/>
          <w:iCs w:val="1"/>
          <w:color w:val="auto"/>
        </w:rPr>
        <w:t>"</w:t>
      </w:r>
      <w:r>
        <w:rPr>
          <w:rFonts w:ascii="Arial" w:cs="Arial" w:eastAsia="Arial" w:hAnsi="Arial"/>
          <w:sz w:val="18"/>
          <w:szCs w:val="18"/>
          <w:color w:val="auto"/>
        </w:rPr>
        <w:t xml:space="preserve"> along with "Note 21—Commitments and Contingencies" of the notes to the consolidated financial statements contained within this Annual Report on Form 10-K.</w:t>
      </w:r>
    </w:p>
    <w:p>
      <w:pPr>
        <w:spacing w:after="0" w:line="80" w:lineRule="exact"/>
        <w:rPr>
          <w:sz w:val="20"/>
          <w:szCs w:val="20"/>
          <w:color w:val="auto"/>
        </w:rPr>
      </w:pPr>
    </w:p>
    <w:p>
      <w:pPr>
        <w:jc w:val="both"/>
        <w:ind w:right="160"/>
        <w:spacing w:after="0" w:line="272" w:lineRule="auto"/>
        <w:rPr>
          <w:sz w:val="20"/>
          <w:szCs w:val="20"/>
          <w:color w:val="auto"/>
        </w:rPr>
      </w:pPr>
      <w:r>
        <w:rPr>
          <w:rFonts w:ascii="Arial" w:cs="Arial" w:eastAsia="Arial" w:hAnsi="Arial"/>
          <w:sz w:val="18"/>
          <w:szCs w:val="18"/>
          <w:b w:val="1"/>
          <w:bCs w:val="1"/>
          <w:i w:val="1"/>
          <w:iCs w:val="1"/>
          <w:color w:val="auto"/>
        </w:rPr>
        <w:t>Investigations, audits, claims, disputes, enforcement actions, litigation, arbitration, or other legal proceedings could require us to pay potentially large damage awards or penalties and could be costly to defend, which would adversely affect our cash balances and profitability, and could damage our reputation.</w:t>
      </w:r>
    </w:p>
    <w:p>
      <w:pPr>
        <w:spacing w:after="0" w:line="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to and may become a party to various other litigation, claims, investigations, audits, enforcement actions, arbitrations, or other legal proceedings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fully indemnified or insured, they could damage our reputation and make it more difficult to compete effectively or obtain adequate insurance in the future, and responding to any action may result in a significant diversion of management's attention and resources. Litigation and other claims are subject to inherent uncertainties and management’s view of these matters may change in the future. For a description of our current legal proceedings, see "Item 3. Legal Proceedings</w:t>
      </w:r>
      <w:r>
        <w:rPr>
          <w:rFonts w:ascii="Arial" w:cs="Arial" w:eastAsia="Arial" w:hAnsi="Arial"/>
          <w:sz w:val="18"/>
          <w:szCs w:val="18"/>
          <w:i w:val="1"/>
          <w:iCs w:val="1"/>
          <w:color w:val="auto"/>
        </w:rPr>
        <w:t>"</w:t>
      </w:r>
      <w:r>
        <w:rPr>
          <w:rFonts w:ascii="Arial" w:cs="Arial" w:eastAsia="Arial" w:hAnsi="Arial"/>
          <w:sz w:val="18"/>
          <w:szCs w:val="18"/>
          <w:color w:val="auto"/>
        </w:rPr>
        <w:t xml:space="preserve"> along with "Note 21— Commitments and Contingencies"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Our business and operations expose us to numerous legal and regulatory requirements, and any violation of these requirements could harm our business.</w:t>
      </w:r>
    </w:p>
    <w:p>
      <w:pPr>
        <w:spacing w:after="0" w:line="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subject to numerous state, federal and international laws and directives and regulations in the U.S. and abroad that involve matters central to our business, including data privacy and security, employment and labor relations, immigration, taxation, anti-corruption, anti-bribery, import-export controls, trade restrictions, internal and disclosure control obligations, securities regulation and anti-competition. Compliance with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business is subject to complex and evolving laws and regulations regarding data privacy and security, which could subject us to investigations, claims, or monetary penalties against us, require us to change our business practices, or otherwise adversely affect our revenues and profitability.</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subject to various laws and regulations in the U.S. and globally relating to data privacy and security. These laws and regulations are complex, constantly evolving, and may be subject to significant change in the future. In addition, the application, interpretation and enforcement of these laws and regulations are often uncertain, particularly in new and rapidly evolving areas of technology, and may differ in material respects among jurisdictions, interpreted and applied inconsistently among jurisdictions or in a manner that is inconsistent with our current policies and practices, all of which can make compliance challenging and costly, and expose us to related risks and liabilities.</w:t>
      </w:r>
    </w:p>
    <w:p>
      <w:pPr>
        <w:spacing w:after="0" w:line="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the U.S., numerous federal, state, and local data privacy and security laws and regulations govern the collection, sharing, use, retention, disclosure, security, storage, transfer, and other processing of personal information, including protected health information. Numerous other states also are enacting or considering, comprehensive state-level data privacy and security laws.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contractor supporting defense, health care, and national security customers, we are also subject to additional, specific regulatory compliance requirements relating to data privacy and security. Under DFARS and other federal regulations, we are required to implement the security and privacy controls in National Institute of Standards and Technology Special Publications on certain of our networks and information technology systems. To the extent that we do not comply with applicable security and control requirements, and there is unauthorized access or disclosure of sensitive information (including personal information), this could potentially result in a contract termination or loss of intellectual property, which could materially and adversely affect our business and financial results and lead to reputational harm. We will also be subject to numerous emerging and as yet unspecified cybersecurity requirements under the FAR and through federal regulation, to include the DOD Cybersecurity Maturity Model Certification ("CMMC") program, which, once implemented, will require successful assessment by a third party against specified cyber controls. Should we or our supply chain fail to implement these new requirements, this may adversely affect our ability to receive awards or execute on relevant government programs. We are in the process of evaluating our readiness against these new requirements and while we have confidence we will meet or exceed requirements, to the extent we do not, we will be unable to bid on such contract awards, which could adversely impact our revenue and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overarching complexity of data privacy and security laws and regulations around the world poses a compliance challenge that could manifest in costs, damages, or liability in other forms as a result of failure to implement proper programmatic controls, failure to adhere to those controls, or the breach of applicable data privacy and security requirements by us, our employees, our business partners (including our service providers, suppliers or subcontractors) or our customers. We also expect that there will continue to be new proposed laws, regulations, and industry standards concerning data privacy and security, and we cannot yet determine the impact such future laws, regulations and standards, or amendments to or re-interpretations of existing laws, regulations or standards, may have on our business.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failure or perceived failure by us, our service providers, suppliers, subcontractors, or other business partners to comply with applicable laws, regulations, our public privacy policies and other public statements about data privacy and security and other obligations in these areas could</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result in regulatory or government actions lawsuits against us (including civil claims, such as representative actions and other class action-type litigation), legal liability, monetary penalties, fines, sanctions, damages and other costs, orders to cease or change our processing of data, changes to our business practices, diversion of internal resources, and harm to our reputation, all of which could adversely affect our business, financial condition and results of operations. We may also incur substantial expenses in implementing and maintaining compliance with such laws, regulations, and other obligations. For additional background on the data privacy and security laws that apply to our business and the related compliance risks, see “Regulation” within Item 1 of this Annual Report on Form 10-K.</w:t>
      </w:r>
    </w:p>
    <w:p>
      <w:pPr>
        <w:spacing w:after="0" w:line="89"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Environmental matters, including unforeseen costs associated with compliance and remediation efforts and government and third-party claims, could have a material adverse effect on our reputation and our financial position, results of operations, and cash flows.</w:t>
      </w:r>
    </w:p>
    <w:p>
      <w:pPr>
        <w:spacing w:after="0" w:line="3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operations are subject to and affected by various federal, state, local, and foreign environmental laws and regulations, as they may be expanded, changed, or enforced differently over time.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If we are found to be in violation of the Federal Clean Air Act or the Clean Water Act, the facility or facilities involved in the violation could be placed by the Environmental Protection Agency on a list of facilities that generally cannot be used in performing on U.S. government contracts until the violation is corrected.</w:t>
      </w:r>
    </w:p>
    <w:p>
      <w:pPr>
        <w:spacing w:after="0" w:line="44"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Stricter or different remediation standards or enforcement of existing laws and regulations; new requirements, including regulation of new substances; discovery of previously unknown contamination or new contaminants; imposition of fines, penalties, or damages (including natural resource damages); a determination that certain remediation or other costs are unallowable; rulings on allocation or insurance coverage; and/or the insolvency, inability or unwillingness of other parties to pay their share, could require us to incur material additional costs in excess of those anticipated.</w:t>
      </w:r>
    </w:p>
    <w:p>
      <w:pPr>
        <w:spacing w:after="0" w:line="68"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We may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w:t>
      </w:r>
    </w:p>
    <w:p>
      <w:pPr>
        <w:spacing w:after="0" w:line="6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impact of these factors is difficult to predict, but one or more of them could harm our reputation and business and have a material adverse effect on our financial position, results of operations and cash flows.</w:t>
      </w:r>
    </w:p>
    <w:p>
      <w:pPr>
        <w:spacing w:after="0" w:line="61"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Increasing scrutiny and changing expectations from governmental organizations, customers, and our employees with respect to our ESG-related practices may impose additional costs on us or expose us to new or additional risks.</w:t>
      </w:r>
    </w:p>
    <w:p>
      <w:pPr>
        <w:spacing w:after="0" w:line="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is increased scrutiny from governmental organizations, customers, and employees on companies' environmental, social, and governance (“ESG”) practices and disclosures such as DEI, workplace culture, community investment, environmental management, climate impact, and information security. We have expended and may further expend resources to monitor, report on, and adopt policies and practices that we believe will improve alignment with our evolving ESG strategy and goals, as well as ESG-related standards and expectations of legal regimes and stakeholders such as customers, investors, stockholders, raters, employees, and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our ESG practices, including our goals for DEI, environmental sustainability, and information security, do not meet evolving rules and regulations or stakeholder expectations and standards (or if we are viewed negatively based on positions we do or do not take or work we do or do not perform or cannot publicly disclose for certain customers and industries), then our reputation, our ability to attract or retain leading experts, employees and other professionals and our ability to attract new business and customers could be negatively impacted, as could our attractiveness as an investment, service provider, employer, or business partner. Similarly, our failure or perceived failure in our efforts to execute our ESG strategy and achieve our current or future ESG-related goals, targets, and objectives, or to satisfy various reporting standards within the timelines expected by stakeholders or at all, could also result in similar negative impacts. Organizations that provide information to investors on corporate governance and related matters have developed rating processes for evaluating companies on their approach to ESG matters, and unfavorable ratings of our ESG efforts may lead to negative investor sentiment, diversion of investment to other companies, and difficulty in hiring skilled employees. In addition, complying or failing to comply with existing or future federal, state, local, and foreign ESG legislation and regulations applicable to our business and operations, which may conflict with one another, including those related to greenhouse gas emissions, climate change, or other matters could cause us to incur additional compliance and operational costs or actions and suffer reputational harm, which could adversely affect our business. In addition, our share price and demand for our securities could be adversely affected.</w:t>
      </w:r>
    </w:p>
    <w:p>
      <w:pPr>
        <w:spacing w:after="0" w:line="79"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We utilize artificial intelligence, which could expose us to liability or adversely affect our business, especially if we are unable to compete effectively with others in adopting artificial intelligence.</w:t>
      </w:r>
    </w:p>
    <w:p>
      <w:pPr>
        <w:spacing w:after="0" w:line="1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utilize artificial intelligence, including generative artificial intelligence, machine learning, and similar tools and technologies that collect, aggregate, analyze, or generate data or other materials or content (collectively, “AI”) in connection with our business. There are significant risks involved in using AI and no assurance can be provided that our use of AI will enhance our products or services, produce the intended results, or keep pace with our competitors. For example, AI algorithms may be flawed, insufficient, of poor quality, rely upon incorrect or inaccurate data, reflect unwanted forms of bias, or contain other errors or inadequacies, any of which may not be easily detectable; AI has been known to produce false or “hallucinatory” inferences or outputs; our use of AI can present ethical issues and may subject us to new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heightened legal, regulatory, ethical, or other challenges; and inappropriate or controversial data practices by developers and end-users, or other factors adversely affecting public opinion of AI, could impair the acceptance of AI solutions, including those incorporated in our products</w:t>
      </w:r>
    </w:p>
    <w:p>
      <w:pPr>
        <w:spacing w:after="0" w:line="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and services. If the AI tools that we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the AI tools we use rely, we also may incur liability through the violation of applicable laws and regulations, third-party intellectual property, data privacy, or other rights, or contracts to which we are a party.</w:t>
      </w:r>
    </w:p>
    <w:p>
      <w:pPr>
        <w:spacing w:after="0" w:line="7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In addition, AI regulation is rapidly evolving worldwide as legislators and regulators increasingly focus on these powerful emerging technologies. The technologies underlying AI and its uses are subject to a variety of laws and regulations, including intellectual property, data privacy and 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data privacy, and security laws and regulations to AI or are considering general legal frameworks for AI. We may not be able to anticipate how to respond to these rapidly evolving frameworks, and we may need to expend resources to adjust our operations or offerings</w:t>
      </w:r>
    </w:p>
    <w:p>
      <w:pPr>
        <w:spacing w:after="0" w:line="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 of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The effects of an epidemic, pandemic, or similar outbreak have negatively impacted and could negatively impact, our business and financial results.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Any epidemics, pandemics, or similar outbreaks such as COVID-19 and its variants could create economic uncertainty and disruptions to the global economy that could adversely affect our businesses, or could lead to operational difficulties, including travel limitations, that could impair our ability to manage or conduct our business.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example, the spread of COVID-19 and mitigating measures caused unprecedented disruptions to the global economy and normal business operations across sectors and countries, including the sectors in which we, our customers and other third parties operate. Further, new contract awards have been and may continue to be delayed and our ability to perform on our existing contracts has been and may continue to be delayed or impaired, which will negatively impact our revenues. In addition, our program costs have increased as a result of COVID-19, and these cost increases may not be fully recoverable or adequately covered by insurance or equitable adjustments to contract prices. Any future epidemic, pandemic, or similar outbreak may have similar impacts, and we cannot currently anticipate the potential impact on our business and results of operations due to any such outbreak.</w:t>
      </w:r>
    </w:p>
    <w:p>
      <w:pPr>
        <w:spacing w:after="0" w:line="92"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Misconduct of employees, subcontractors, agents, suppliers, business partners or joint ventures and others working on our behalf could cause us to lose existing contracts or customers and adversely affect our ability to obtain new contracts and customers and could have a material adverse impact on our business, reputation and future results.</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Misconduct could include fraud or other improper activities such as falsifying time or other records and violations of laws, such as the Anti-Kickback Act,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See also the risk factor “Cybersecurity breaches and other information security incidents could negatively impact our business and financial results, impair our ability to effectively provide our services to our customers and cause harm to our reputation or competitive position</w:t>
      </w:r>
      <w:r>
        <w:rPr>
          <w:rFonts w:ascii="Arial" w:cs="Arial" w:eastAsia="Arial" w:hAnsi="Arial"/>
          <w:sz w:val="18"/>
          <w:szCs w:val="18"/>
          <w:i w:val="1"/>
          <w:iCs w:val="1"/>
          <w:color w:val="auto"/>
        </w:rPr>
        <w:t>.</w:t>
      </w:r>
      <w:r>
        <w:rPr>
          <w:rFonts w:ascii="Arial" w:cs="Arial" w:eastAsia="Arial" w:hAnsi="Arial"/>
          <w:sz w:val="18"/>
          <w:szCs w:val="18"/>
          <w:color w:val="auto"/>
        </w:rPr>
        <w:t>”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In the ordinary course of our business, we form and are members of joint ventures (meaning joint efforts or business arrangements of any type). Our failure to comply with applicable laws or regulations could damage our reputation and subject us to administrative, civil, or criminal investigations and enforcement actions, fines and penalties, restitution or other damages, loss of security clearance, loss of current and future customer contracts, loss of privileges and other sanctions, including suspension or debarment from contracting with federal, state or local government agencies, any of which would adversely affect our business, reputation and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 failure to attract, train, retain, and motivate skilled employees, including our management team, would adversely affect our ability to execute our strategy and may disrupt our operations.</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continued success and ability to compete in a highly competitive environment depend on our ability to recruit and retain highly trained and skilled science, engineering, technical, math, and professional personnel. Competition for skilled personnel is intense, and the costs associated with attracting and retaining them are high and made even more competitive as a result of the external environment, including increasing rates of job transition and low unemployment. In addition, many U.S. government programs require contractors to have security clearances, certain of which can be difficult and time-consuming to obtain and personnel with such security clearances are in great demand. As a result, it is difficult to retain employees and meet all of our needs for employees in a timely manner, which may affect our growth. Although we intend to continue to devote significant resources to recruiting, training and retaining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 In addition, certain personnel may be required to receive various security clearances to work on certain customer engagements or to perform certain tasks. Necessary security clearances may be delayed or not obtained, which may negatively impact our ability to perform on such engagements in a timely matter or at all. We believe our success will also depend on the continued employment of a highly qualified and experienced senior management team and its ability to retain existing business, generate new business, execute our business plans in an efficient and effective manner, and our ability to adequately plan for the succession of our senior management team and continually develop new members of senior management. An inability to retain appropriately qualified and experienced senior executives, our failure to do adequately succession planning, or our failure to continue to develop new members could cause us to lose customers or new business opportunities.</w:t>
      </w:r>
    </w:p>
    <w:p>
      <w:pPr>
        <w:spacing w:after="0" w:line="89"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We may not realize the full amounts reflected in our backlog as revenues, which could adversely affect our expected future revenues and growth prospects.</w:t>
      </w:r>
    </w:p>
    <w:p>
      <w:pPr>
        <w:spacing w:after="0" w:line="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29, 2023, our total backlog was $37.0 billion, including $8.8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revenues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7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estimate and manage costs, time, and resources accurately.</w:t>
      </w:r>
    </w:p>
    <w:p>
      <w:pPr>
        <w:spacing w:after="0" w:line="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generate revenues under various types of contracts, including cost-reimbursement, FP-IF, T&amp;M, FP-LOE and FFP contracts. Our earnings and profitability may vary materially depending on changes in the proportionate amount of revenues derived from each type of contract, the nature of services or products provided, the achievement of performance objectives, and the stage of performance at which the right to receive fees, particularly under incentive-fee and award-fee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profitability is adversely affected when we incur contract costs that we cannot bill to our customers. To varying degrees, each of our contract types involves some risk of underestimating the costs and resources necessary to fulfill the contract. While FFP contracts allow us to benefit from cost savings, these contracts also increase our exposure to the risk of cost overruns. Revenues from FFP contracts represented approximately 39% of our total revenues for fiscal 2023.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losses. More generally, any increased or unexpected costs or unanticipated delays in the performance of our contracts, including costs and delays caused by contractual disputes or other factors outside of our control, such as performance failures of our subcontractors, rising inflationary pressures, and fluctuations in interest rates, natural disasters or other force majeure events, could make our contracts less profitable than expected or unprofitable.</w:t>
      </w:r>
    </w:p>
    <w:p>
      <w:pPr>
        <w:spacing w:after="0" w:line="79"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 revenue on our service-based contracts primarily over time as there is a continuous transfer of control to the customer throughout the contract as we perform the promised services, which generally requires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 For a discussion of our use of estimates in the preparation of our consolidated financial statements, see “Critical Accounting Estimates” in “Item 7. Management’s Discussion and Analysis of Financial Condition and Results of Operations” of this Report, “Note 3—Summary of Significant Accounting Policies”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Cybersecurity breaches and other information security incidents could negatively impact our business and financial results, impair our ability to effectively provide our services to our customers and cause harm to our reputation or competitive position.</w:t>
      </w:r>
    </w:p>
    <w:p>
      <w:pPr>
        <w:spacing w:after="0" w:line="1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As a government contractor and a provider of information technology services operating in multiple regulated industries and geographies, we and our service providers, suppliers and subcontractors collect, store, transmit, and otherwise process personal, confidential, proprietary, and sensitive information, including protected health information, personnel information, personal information, classified information, controlled unclassified information, intellectual property and financial information, concerning our business, employees, and customers. Therefore, we are continuously exposed to unauthorized attempts to compromise access, release or otherwise compromise such information through cyber-attacks and other information security threats, including, among other things, physical break-ins, theft, denial-of-service attacks,</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worms, computer viruses, software bugs, malicious or destructive code, social engineering, phishing attacks and impersonating authorized users, credential stuffing, account takeovers, insider threats, malfeasance or improper access by employees or service providers, human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error, fraud, use of AI, “bots” or other automation software, or other similar disruptions. We are also exposed to hackers who have requested “ransom” in exchange for not disclosing information or restoring access to information or systems. These techniques may be perpetrated by internal bad actors, such as employees or contractors, or by third parties (including traditional computer hackers, persons involved with well-funded organized crime or state-sponsored actors). Any electronic or physical break-in or other security breach or compromise of our information technology systems and networks or facilities, or those of our service providers, suppliers, joint ventures or subcontractors, may jeopardize the confidential integrity or availability of information, including personal, confidential, proprietary or sensitive information, stored or transmitted through these systems and networks or stored in those facilities. This could lead to disruptions in mission-critical systems, unauthorized access to or release of personal, confidential, proprietary, sensitive or otherwise protected information and corruption of data or systems. We could also be subject to operational downtimes, delays and other detrimental impacts on our operations or ability to provide products and services to our customers. We are also increasingly subject to customer-driven cybersecurity certification requirements, including but not limited to CMMC, which are expected to be necessary to win future contracts. Security incidents could also result in liability,</w:t>
      </w:r>
    </w:p>
    <w:p>
      <w:pPr>
        <w:spacing w:after="0" w:line="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trigger other obligations under such contracts, or increase the difficulty of winning future contracts. Many statutory requirements, both in the U.S. and abroad, also include different obligations for companies to provide notice of information security incidents involving certain types of</w:t>
      </w:r>
    </w:p>
    <w:p>
      <w:pPr>
        <w:spacing w:after="0" w:line="2"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information (including obligations to notify affected individuals and regulators in the event of cybersecurity breaches involving certain personal information), which could result from breaches of our service providers, our suppliers or subcontractors.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have implemented policies, procedures and controls designed to protect against, detect and mitigate these threats and attacks, we and our service providers, suppliers, joint ventures, and subcontractors have faced and continue to face advanced and persistent attacks on our information systems. We cannot guarantee that future incidents will not occur, and if an incident does occur, our incident response planning may not prove fully adequate. We may also not be able to mitigate its impacts successfully. Techniques used by others to gain unauthorized access to personal, confidential, proprietary, or sensitive information or disrupt systems and networks for economic or strategic gain are constantly evolving, increasingly sophisticated, increasingly difficult to detect and successfully defend against and may see their frequency increased, and effectiveness enhanced, by the use of AI. Further, cybersecurity risks maybe heightened as a result of ongoing global conflicts such as the military conflict between Russia and Ukraine and the related sanctions imposed by the United States and other countries, or the ongoing Israel/Hamas conflict and its regional effects.</w:t>
      </w:r>
    </w:p>
    <w:p>
      <w:pPr>
        <w:spacing w:after="0" w:line="73"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While we generally perform cybersecurity diligence on our key service providers, we do not control our service providers and our ability to monitor their cybersecurity is limited, so we cannot ensure the cybersecurity measures they take will be sufficient to protect any information we share with them. Due to applicable laws and regulations or contractual obligations, we may be held accountable for cybersecurity breaches or other information security incidents attributed to our service providers as they relate to the information we share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seek to detect and investigate all information security incidents and to prevent their occurrence, prolongation, or recurrence. We continue to invest in and improve our threat protection, detection and mitigation policies, procedures and controls. In addition, we work with other companies in the industry and government participants on increased awareness and enhanced protections against information security and malicious insider threats. However, because of the evolving nature and sophistication of these security threats, which can be difficult to detect, there can be no assurance that our policies, procedures and controls, or those of our service providers, suppliers, or subcontractors, have protected against, detected, mitigated or will detect, prevent or mitigate, any of these threats and we cannot predict the full impact of any such past or future incident. We may be currently unaware of certain vulnerabilities or lack the capability to detect them, which may allow them to persist in our information technology environment over long periods, and, even if discovered, it could take considerable time for us to obtain full and reliable information about the extent, amount and type of information compromised, and our remediation efforts may not be completely successful. As cybersecurity threats continue to evolve, we may be required to expend significant additional resources to continue to modify or enhance our protective measures or to investigate or remediate any information security vulnerabilities, cybersecurity breaches or other information security incidents.</w:t>
      </w:r>
    </w:p>
    <w:p>
      <w:pPr>
        <w:spacing w:after="0" w:line="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also experience similar security threats to the information technology systems we develop, install, or maintain under customer contracts. Although we work cooperatively with our customers and other business partners, including our service providers, suppliers, and subcontractors, to seek to minimize the potential for and impact of cyber-attacks and other security threats, we must rely on the safeguards put in place by those entities. See also the risk factor “Internal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occurrence of any unauthorized access to, attacks on cybersecurity breaches of other information security threats to our or our service providers', suppliers' or subcontractors' information technology infrastructure, systems or networks or data, or our failure to make adequate or timely disclosure to the public, regulators, or law enforcement agencies following any such event, could disrupt our infrastructure, systems, or networks or those of our customers, impair our ability to provide services to our customers and may jeopardize the security of data collected, stored, transmitted or otherwise processed through our information technology infrastructure, systems and networks. As a result, we could be exposed to claims, fines, penalties, loss of revenues, product development delays, compromise, corruption, or loss of confidential, proprietary, or sensitive information (including personal information or technical business information), contract terminations and damages, remediation costs and other costs and expenses, regulatory investigations or sanctions, indemnity obligations, and other potential liabilities. Any of the foregoing could adversely affect our reputation, ability to win work on sensitive contracts or loss of current and future contracts (including sensitive U.S. government contracts), business operations and financial results. We have insurance against some cyber-risks and attacks; however, our insurer may deny coverage as to any future claim, our insurance coverage may not be sufficient to offset the impact of a material loss event, and such insurance may increase in cost or cease to be available on commercial terms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620"/>
        <w:spacing w:after="0" w:line="272" w:lineRule="auto"/>
        <w:rPr>
          <w:sz w:val="20"/>
          <w:szCs w:val="20"/>
          <w:color w:val="auto"/>
        </w:rPr>
      </w:pPr>
      <w:r>
        <w:rPr>
          <w:rFonts w:ascii="Arial" w:cs="Arial" w:eastAsia="Arial" w:hAnsi="Arial"/>
          <w:sz w:val="18"/>
          <w:szCs w:val="18"/>
          <w:b w:val="1"/>
          <w:bCs w:val="1"/>
          <w:i w:val="1"/>
          <w:iCs w:val="1"/>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5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Any system or service disruptions, including those caused by ongoing projects to improve our information technology systems and networks and the delivery of services, whether through our shared services organization or outsourced services, if not anticipated and appropriately mitigated, could materially and adversely affect our business including, among other things, an adverse effect on our ability to perform on contracts, bill our customers for work performed on our contracts, collect the amounts that have been billed and produce accurate financial statements in a timely manner. We, and the service providers, suppliers and subcontractors on which we rely, are also subject to systems failures, including network, software or hardware failures, whether caused by us, third-party service providers, cybersecurity threats, malicious insiders,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suppliers or subcontractors, could cause us to interrupt or suspend our operations or otherwise adversely affect our business. Our property and business interruption insurance may be inadequate to compensate us for all losses resulting from any system or operational failure or disruption.</w:t>
      </w:r>
    </w:p>
    <w:p>
      <w:pPr>
        <w:spacing w:after="0" w:line="86"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disruption caused by physical or transition risks that could adversely affect our operations, profitability and overall financial position.</w:t>
      </w:r>
    </w:p>
    <w:p>
      <w:pPr>
        <w:spacing w:after="0" w:line="31"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We have significant operations, including infrastructure, information technology systems, research facilities, and centers of excellence, located in regions that may be exposed to physical risks, such as hurricanes, earthquakes, other damaging storms, water levels, wildfires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other natural disasters, including places such as Alabama, Florida, California, and Texas. Our subcontractors and suppliers are also subject to physical risks that could affect their ability to deliver or perform under a contract, including as a result of disruptions to their workforce and critical industrial infrastructure needed for normal business operations. Although we maintain crisis management and disaster response plans, such events could make it difficult or impossible for us to deliver our services to our customers, could decrease demand for our services, could make existing customers unable or unwilling to fulfill their contractual requirements to us, including their payment obligations, and could cause us to incur substantial expense, including expenses or liabilities arising from potential litigation. If insurance or other risk transfer mechanisms are unavailable or insufficient to recover all costs or if we experience a significant disruption to our business due to a natural disaster, it could adversely affect our financial position, results of operations, and cash flows.</w:t>
      </w:r>
    </w:p>
    <w:p>
      <w:pPr>
        <w:spacing w:after="0" w:line="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is also an increasing concern over the risks of climate change and related environmental sustainability matters. In addition to physical risks, climate change risks include longer-term shifts in climate patterns, such as extreme heat, rising sea levels, and more frequent and prolonged drought. Such events could disrupt our operations or those of our customers or third parties on which we rely, including direct damage to assets and indirect impacts from supply chain disruption and market volatility. We could also incur significant costs to improve the climate resiliency of our infrastructure and supply chain and otherwise prepare for, respond to, and mitigate the effects of climate change. Additionally, transitioning to a low-carbon economy may entail extensive policy, legal, technology and market initiatives. Such changes could result in laws, regulations or policies that significantly increase our direct and indirect operational and compliance burdens, which could adversely affect our financial condition and results of operations. We monitor developments in climate change-related laws, regulations and policies for their potential effect on us. However, we currently are not able to accurately predict the materiality of any potential costs associated with such developments.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our reputation and customer relationships may be damaged as a result of our practices related to climate change, including our involvement, or our customers’ involvement, in certain industries or projects associated with causing or exacerbating climate change, as well as any decisions we make to continue to conduct or change our activities in response to considerations relating to 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systems failures could damage our reputation and adversely affect our revenues and profitability.</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data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7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Our success depends, in part, on our ability to work with complex and rapidly changing technologies to meet the needs of our customers.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various environments. The needs of our customers change and evolve regularly, particularly by complex and rapidly evolving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Many of our contracts contain performance obligations that require innovative design capabilities, are technologically complex, or depend on factors not wholly within our control. Problems and delays in development or delivery as a result of issues with respect to design, technology, licensing and patent rights, labor, learning curve assumptions, or materials and components could prevent us from achieving such contractual requirements. Failure to meet these obligations could adversely affect our profitability and future prospects. 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unplanned degradation of product performance, and unauthorized use or modifications of our products and services.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costs and fee payments we previously received.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classified contracts with the U.S. government, which may limit investor insight into portions of our business.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In the event of a security incident involving classified information, technology, facilities, programs, or personnel holding clearances, we may 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We have made and continue to make acquisitions, investments, joint ventures and divestitures that involve numerous risks and uncertainties.</w:t>
      </w:r>
    </w:p>
    <w:p>
      <w:pPr>
        <w:spacing w:after="0" w:line="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From time to time, we pursue strategic acquisitions, investments and joint ventures. We also may enter into relationships with other businesses to expand our products or our ability to provide services. These transactions require a significant investment of time and resources and may disrupt our business and distract our management from other responsibilities. Even if successful, these transactions could result in unfavorable public perception or reduce earnings for a number of reasons, including the amortization of intangible assets, impairment charges, adverse tax consequences,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 that:</w:t>
      </w:r>
    </w:p>
    <w:p>
      <w:pPr>
        <w:spacing w:after="0" w:line="75" w:lineRule="exact"/>
        <w:rPr>
          <w:sz w:val="20"/>
          <w:szCs w:val="20"/>
          <w:color w:val="auto"/>
        </w:rPr>
      </w:pPr>
    </w:p>
    <w:p>
      <w:pPr>
        <w:ind w:left="660" w:right="5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identify, compete effectively for or complete suitable acquisitions and investments at prices we consider attractive;</w:t>
      </w:r>
    </w:p>
    <w:p>
      <w:pPr>
        <w:spacing w:after="0" w:line="44" w:lineRule="exact"/>
        <w:rPr>
          <w:rFonts w:ascii="Arial" w:cs="Arial" w:eastAsia="Arial" w:hAnsi="Arial"/>
          <w:sz w:val="18"/>
          <w:szCs w:val="18"/>
          <w:color w:val="auto"/>
        </w:rPr>
      </w:pPr>
    </w:p>
    <w:p>
      <w:pPr>
        <w:ind w:left="660" w:right="140" w:hanging="328"/>
        <w:spacing w:after="0" w:line="31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accurately estimate the financial effect of acquisitions and investments on our business or realize anticipated synergies, business growth, or profitability and may be unable to recover investments in any such acquisitions and investments;</w:t>
      </w:r>
    </w:p>
    <w:p>
      <w:pPr>
        <w:spacing w:after="0" w:line="21" w:lineRule="exact"/>
        <w:rPr>
          <w:rFonts w:ascii="Arial" w:cs="Arial" w:eastAsia="Arial" w:hAnsi="Arial"/>
          <w:sz w:val="17"/>
          <w:szCs w:val="17"/>
          <w:color w:val="auto"/>
        </w:rPr>
      </w:pPr>
    </w:p>
    <w:p>
      <w:pPr>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manage the integration process for acquisitions successfully, and the integration process may divert management time and focus from operating our business, including as a result of incompatible accounting, information management, or other control systems;</w:t>
      </w:r>
    </w:p>
    <w:p>
      <w:pPr>
        <w:spacing w:after="0" w:line="62"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technologies, capabilities, products, and service offerings, particularly those that are still in development when acquired, may not perform as expected, may have defects or may not be integrated into our business as expected;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trouble retaining key employees and customers of an acquired business;</w:t>
      </w:r>
    </w:p>
    <w:p>
      <w:pPr>
        <w:spacing w:after="0" w:line="117"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to implement or improve controls, procedures and policies at a business that prior to the acquisition may have lacked sufficiently effective controls, procedures and policies, including those relating to financial reporting, revenue recognition or other financial or control deficiencies;</w:t>
      </w:r>
    </w:p>
    <w:p>
      <w:pPr>
        <w:spacing w:after="0" w:line="62"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assume legal or regulatory risks, particularly with respect to smaller businesses that have immature business processes and compliance programs, or may be required to comply with additional laws and regulations or to engage in remediation efforts to cause the acquired company to comply with applicable laws and regulations, or result in liabilities resulting from the acquired company’s failure to comply with applicable laws or regulations;</w:t>
      </w:r>
    </w:p>
    <w:p>
      <w:pPr>
        <w:spacing w:after="0" w:line="68"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litigation or material liabilities that were not identified or were underestimated as part of our due diligence or for which we are unable to receive a purchase price adjustment or reimbursement through indemnification, including intellectual property claims and disputes or claims from terminated employees, customers, former stockholders or other third parties, or there may be other unanticipated write-offs or charges;</w:t>
      </w:r>
    </w:p>
    <w:p>
      <w:pPr>
        <w:spacing w:after="0" w:line="68"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spend a significant amount of cash or to incur debt, resulting in limitations on other potential uses for cash, increased fixed payment obligations or covenants or other restrictions on us, or issue shares of our common stock or convertible debt, resulting in dilution of ownership;</w:t>
      </w:r>
    </w:p>
    <w:p>
      <w:pPr>
        <w:spacing w:after="0" w:line="62"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influence the operations of our joint ventures effectively, or we may be exposed to certain liabilities if our joint venture partners do not fulfill their obligations; and</w:t>
      </w:r>
    </w:p>
    <w:p>
      <w:pPr>
        <w:spacing w:after="0" w:line="44" w:lineRule="exact"/>
        <w:rPr>
          <w:rFonts w:ascii="Arial" w:cs="Arial" w:eastAsia="Arial" w:hAnsi="Arial"/>
          <w:sz w:val="18"/>
          <w:szCs w:val="18"/>
          <w:color w:val="auto"/>
        </w:rPr>
      </w:pPr>
    </w:p>
    <w:p>
      <w:pPr>
        <w:ind w:left="660" w:right="320" w:hanging="328"/>
        <w:spacing w:after="0" w:line="31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ongoing strategic plan. These divestitures similarly require a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Goodwill and other intangible assets represent significant assets on our balance sheet and any impairment of these assets could negatively impact our results of operations, and shareholders' equity.</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December 29, 2023, goodwill and intangible assets, net was 53% of our total assets</w:t>
      </w:r>
      <w:r>
        <w:rPr>
          <w:rFonts w:ascii="Arial" w:cs="Arial" w:eastAsia="Arial" w:hAnsi="Arial"/>
          <w:sz w:val="18"/>
          <w:szCs w:val="18"/>
          <w:i w:val="1"/>
          <w:iCs w:val="1"/>
          <w:color w:val="auto"/>
        </w:rPr>
        <w:t>.</w:t>
      </w:r>
      <w:r>
        <w:rPr>
          <w:rFonts w:ascii="Arial" w:cs="Arial" w:eastAsia="Arial" w:hAnsi="Arial"/>
          <w:sz w:val="18"/>
          <w:szCs w:val="18"/>
          <w:color w:val="auto"/>
        </w:rPr>
        <w:t xml:space="preserve"> The amount of our goodwill may substantially increase in the future as a result of any acquisitions that we make. Intangible assets and goodwill are tested for impairment whenever events or changes in circumstances indicate that the carrying value may not be recoverable and at least annually in the case of goodwill and intangible assets with indefinite lives. The impairment test is based on several factors requiring judgment.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adverse contract acquisition performance, loss of key personnel, or a more-likely-than-not expectation that a reporting unit or a significant portion of a reporting unit will be sold or otherwise disposed. Adverse changes in fiscal and economic conditions, such as those related to federal budget cuts and the nation’s debt ceiling, deteriorating market conditions for companies in our industry and unfavorable changes in discount rates could result in an impairment of goodwill and other intangibles. For example, during fiscal 2023, the SES reporting unit refined its portfolio and made strategic business decisions to exit certain product offerings, and cease operations in certain countries in order to align the operations of the reporting unit with its strategic business plan. These decisions, along with the delays in airline travel infrastructure projects and disruptions in and higher than anticipated costs of servicing, contributed to a significant reduction in the reporting unit’s forecasted revenue and cash flows. As a result, we conducted a quantitative goodwill impairment analysis, and our estimates led us to determine that the carrying value of the SES reporting unit exceeded its estimated fair value. Accordingly, we recognized a non-cash goodwill impairment charge of $596 million and had $308 million of goodwill remaining at the SES reporting unit as of December 29, 2023. Any future impairment of goodwill or other intangible assets could have a negative impact on our results of operations and shareholders' equity in the period in</w:t>
      </w:r>
    </w:p>
    <w:p>
      <w:pPr>
        <w:spacing w:after="0" w:line="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which they are recognized. For additional information on our accounting policies related to impairment of goodwill, see our discussion under “Critical Accounting Estimates” in “Item 7. Management’s Discussion and Analysis of Financial Condition and Results of Operations” of this Annual Report on Form 10-K, "Note 3—Summary of Significant Accounting Policies” and “Note 8—Goodwill and Intangible Assets” of the notes to the consolidated financial statements contained within this Annual Report on Form 10-K.</w:t>
      </w:r>
    </w:p>
    <w:p>
      <w:pPr>
        <w:spacing w:after="0" w:line="7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our teaming relationships with other prime contractors and subcontractors, who are also often our competitors in other contexts, to submit bids for large procurements or other opportunities where we believe the combination of services and products provided by us and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 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If any of our subcontractors fail to meet their contractual obligations in a timely manner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services and operations, which sometimes involve using, handling, or disposing of hazardous substances, are subject to numerous environmental, health and safety laws and regulations, pursuant to which we could face potentially significant liabilities, costs or obligations.</w:t>
      </w:r>
    </w:p>
    <w:p>
      <w:pPr>
        <w:spacing w:after="0" w:line="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services are subject to numerous environmental, health, and safety laws and regulations. Some of our services and operations involve using, handling, or disposing of hazardous substances. These activities and our operations generally subject us to complex and stringent foreign, federal, state, and local environmental, health, and safety laws and regulations, which have tended to become more stringent over time. Among other things, these laws and regulations require us to incur costs to comply and could impose liability on us for handling or disposing of hazardous substances. For example, we provide infrastructure and site services necessary to accomplish critical waste management and the continued environmental cleanup of the Hanford Site in southeastern Washington. In addition, some of our work sites put our employees and others in close proximity with mechanized equipment, moving vehicles, chemical and manufacturing processes, and highly regulated materials. On some work sites, we may be responsible for safety and have an obligation to implement effective safety procedures. If we fail to implement these procedures, or if the procedures we implement are ineffective, we may suffer the loss of or injury to our employees, as well as expose ourselves to possible litigation.</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Failure to comply with these environmental, health and safety laws and regulations could result in civil, criminal, regulatory, administrative, or contractual sanctions, including fines, penalties, or suspension or debarment from contracting with the U.S. government. In addition, our failure to maintain adequate safety standards and equipment could result in reduced profitability and loss of work or customers. Our current and previous ownership and operation of real property also subject us to environmental laws and regulations, some of which hold current or previous owners or operators of businesses and real property jointly and severally liable for hazardous substance releases, even if they did not know of and were not responsible for the releases. Past business practices at companies that we have acquired may also expose us to future unknown environmental liabilities. Liabilities related to environmental contamination or human exposure to hazardous substances, or violations of these laws or regulations, could result in substantial costs to us, including cleanup costs, fines, civil or criminal sanctions, and third-party claims for property damage or personal injury. Our continuing work in the areas governed by these laws and regulations exposes us to the risk of substantial liability and may adversely affect our financial condition and operating results.</w:t>
      </w:r>
    </w:p>
    <w:p>
      <w:pPr>
        <w:spacing w:after="0" w:line="79"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We could incur significant liabilities and suffer negative publicity if our inspection or detection systems fail to detect bombs, explosives, weapons, contraband or other threats.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design, develop, manufacture, sell, service, and maintain various inspection systems and related integration and automation systems designed to assist in detecting bombs, explosives, weapons, contraband, or other threats. In some instances, we also train operators of such systems. Such systems utilize detection technology and software algorithms to interpret data produced by the system and signal to the operator when a dangerous object or substance may be present. Such algorithms are probabilistic in nature and are generally designed to meet requirements established by regulatory agencies. Many of these systems require that an operator interpret an image of suspicious items within a bag, parcel, container, vehicle, or other vessel. Others signal to the operator that further investigation is required, and the training, reliability, and competence of the customer's operator are crucial to the detection of suspicious items. Nevertheless, if such a system were to fail to signal to an operator when an explosive or other contraband was, in fact, present, resulting in significant damage, we could become the subject of significant product liability claims. There are many factors, some of which are beyond our control, that could result in the failure of our products to help detect the presence of bombs, explosives, weapons, contraband, or other threats. Some of these factors could include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security and inspection systems fail to, or are perceived to have failed to, help detect a threat, we could experience negative publicity and reputational harm, which could reduce demand for our inspection or detection systems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Our insurance, customer indemnifications or other liability protections may be insufficient to protect us from product and other liability claims or losses.</w:t>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insurance coverage with third-party insurers as part of our overall risk management strategy and because some of our contracts require us to maintain specific insurance coverage limits. Not every risk or liability is or can be protected by insurance, and for those risks we insure, the limits of coverage that are reasonably obtainable may not be sufficient to cover all actual losses or liabilities incurred. We are limited in the amount of insurance we can obtain to cover certain risks, such as cybersecurity risks and natural hazards, including earthquakes, fires, and extreme weather conditions, some of which can be worsened by climate change and pandemics. If any of our third-party insurers fail, become insolvent, cancel our coverage or otherwise are unable to provide us with adequate insurance coverage or renew our insurance coverage on favorable terms,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 If liability claims or losses exceed our current or available insurance coverage, customer indemnifications, or other legal protections, our business, financial position, operating results and prospects may be harmed. Any significant claim may have an adverse effect on our industry and market reputation, leading to a substantial decrease in demand for our products and services and reduced revenues, making it more difficult for us to compete effectively, and could affect the cost and availability of insurance coverage at adequate levels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fiscal 2023, revenue attributable to our services provided outside of the United States to non-U.S. customers was approximately 9% of our total revenue. Our international business operations may be subject to additional and different risks than our U.S. business. These risks and challenges include:</w:t>
      </w:r>
    </w:p>
    <w:p>
      <w:pPr>
        <w:spacing w:after="0" w:line="63" w:lineRule="exact"/>
        <w:rPr>
          <w:sz w:val="20"/>
          <w:szCs w:val="20"/>
          <w:color w:val="auto"/>
        </w:rPr>
      </w:pPr>
    </w:p>
    <w:p>
      <w:pPr>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U.S. government and foreign laws and regulations applicable to international business, including, without limitation, those related to employment, data privacy and security, taxes, technology transfer, information security, environment, data transfer, import and export controls (including the International Traffic in Arms Regulations (“ITAR”) administered by the U.S. Department of State and the anti-boycott provisions of the Export Administration Regulations (“EAR”) administered by the U.S. Department of Commerce’s Bureau of Industry and Security), sanctions, and other administrative, legislative or regulatory actions that could materially interfere with our ability to offer our products or services in certain countries or have an adverse impact on our business with the U.S. government, and expose us to risks and costs of noncompliance with such laws and regulations, in addition to administrative, civil or criminal penalties;</w:t>
      </w:r>
    </w:p>
    <w:p>
      <w:pPr>
        <w:spacing w:after="0" w:line="76" w:lineRule="exact"/>
        <w:rPr>
          <w:rFonts w:ascii="Arial" w:cs="Arial" w:eastAsia="Arial" w:hAnsi="Arial"/>
          <w:sz w:val="18"/>
          <w:szCs w:val="18"/>
          <w:color w:val="auto"/>
        </w:rPr>
      </w:pPr>
    </w:p>
    <w:p>
      <w:pPr>
        <w:jc w:val="both"/>
        <w:ind w:left="660" w:right="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financial and legal risks arising, for example, from foreign exchange rate variability, imposition of tariffs or additional taxes, inflation, restrictive trade policies, longer payment cycles, delays or failures to collect amounts due to us and differing legal systems, and which may adversely affect the performance of our services, sale of our products or repatriation of our profits;</w:t>
      </w:r>
    </w:p>
    <w:p>
      <w:pPr>
        <w:spacing w:after="0" w:line="62"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or economic instability, international security concerns and geopolitical conflict in countries where we provide services and products in support of the U.S. government and other customers in countries, which increases the risk of an incident resulting in injury or loss of life, damage or destruction of property, inability to meet our contractual obligations or retaliatory measures taken in respect thereof;</w:t>
      </w:r>
    </w:p>
    <w:p>
      <w:pPr>
        <w:spacing w:after="0" w:line="68"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ongoing conflict between Russia and Ukraine, which has resulted in the imposition by the U.S. and other nations of restrictive actions against Russia, Belarus and certain banks, companies and individuals; and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ongoing Israel/Hamas conflict and its regional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also subject to the U.S. Foreign Corrupt Practices Act (“FCPA”), the U.K. Bribery Act of 2010 (the “U.K. Bribery Act”) and other anti-corruption and anti-bribery laws and regulations in jurisdictions where we do business. These laws and regulations generally prohibit improper payments or offers of improper payments to government officials, political parties, or commercial partners to obtain or retain business or secure an improper business advantage. We have operations, and deal with and make sales to governmental or quasi-governmental entities in non-U.S. countries, including those known to experience corruption, and further expansion of our non-U.S. sales efforts may involve additional regions. In many countries, particularly countries with developing economies, it may be common for businesses to engage in practices prohibited by the FCPA or other applicable laws and regulations. Our activities in these countries pose a heightened risk of unauthorized payments or offers of payments by one of our employees or third-party business partners, representatives, and agents that could violate various laws, including the FCPA. The FCPA, U.K. Bribery Act and other applicable anti-bribery and anti-corruption laws may also hold us liable for acts of corruption and bribery committed by our third-party business partners, representatives, and agents. 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or such third parties even if we do not explicitly authorize such activities. The FCPA or other applicable laws and regulations also require that we keep accurate books and records and maintain internal controls and compliance procedures designed to prevent any such actions. While we have implemented policies and procedures to address compliance with such laws, we cannot assure you that our employees or other third parties working on our behalf have not engaged or will not engage in conduct in violation of our policies or applicable law for which we might ultimately be held responsible.</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Violations of any of these laws or regulations, including the FCPA and the U.K. Bribery Act, may result in whistleblower complaints, negative media coverage, investigations, imposition of significant legal fees, loss of export privileges, as well as severe criminal or civil sanctions, including suspension or debarment from U.S. government contracting. We may also be subject to other liabilities and adverse effects on our reputation, which could negatively affect our business, results of operations, financial condition, and growth prospects. In addition, responding to any enforcement action may result in a significant diversion of management’s attention and resources and significant defense costs and other professional fees. Although our international operations have historically generated a small proportion of our revenues, we are seeking to grow our international business. Our exposure for violating these laws will increase as our non-U.S. presence expands and as we increase sales and operations in foreign jurisdictions.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additional information regarding government investigations and reviews we are subject to, see "Government Investigations and Reviews" in “Note 21—Commitments and Contingencies” of the notes to the consolidated financial statements contained within this Annual Report on Form 10-K.</w:t>
      </w:r>
    </w:p>
    <w:p>
      <w:pPr>
        <w:spacing w:after="0" w:line="65"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We have only a limited ability to protect or exploit intellectual property rights, which are important to our success. Our failure to adequately obtain, maintain, protect, defend and enforce our proprietary information and intellectual property rights could adversely affect our competitive position.</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a combination of confidentiality, intellectual property, and other contractual arrangements, including licenses and copyright, trademark, and trade secret law, to protect much of our proprietary information and intellectual property in cases where we do not believe patent protection is appropriate or obtainable. Despite our efforts to protect our intellectual property and other proprietary rights, third parties may attempt to obtain, copy, use, or disclose our intellectual property or other proprietary information or technology without our authorization. In addition to protection under the law and contractual arrangements with our corporate and joint venture partners, employees, consultants, advisors, service providers, suppliers, subcontractors, and customers, we generally attempt to limit access to and distribution of our proprietary information. Although our employees and contractors are subject to confidentiality obligations and use restrictions, this protection may be inadequate to deter or prevent them from infringing, misappropriating, or otherwise violating our confidential information, technology, or other intellectual property or proprietary rights, and can be difficult to enforce. In addition, trade secrets are generally difficult to protect, and some courts inside and outside the United States may be less willing or unwilling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be unable to detect unauthorized use of our intellectual property or otherwise take appropriate steps to enforce our rights. Our intellectual property rights may be challenged by others, invalidated, narrowed in scope, or held unenforceable through administrative process or litigation in the United States or foreign jurisdictions. We may be required to expend significant resources and efforts to monitor and protect our intellectual property and other proprietary rights, and we may conclude that, in at least some instances, the benefits of protecting our intellectual property or other proprietary rights may be outweighed by the expense or distraction to our management. We may initiate claims or litigation against third parties for infringement, misappropriation, or other violations of our intellectual property or other proprietary rights or to establish the validity of our intellectual property or other proprietary rights, but outcomes in any such litigation can be difficult to predict and could be time-consuming, result in significant expense to us and divert the efforts of our technical and management personnel. Additionally, because of the substantial amount of discovery required in connection with intellectual property litigation, there is a risk that some of our confidential information could be compromised by disclosure during this type of litigation. If we are unable to detect or prevent third parties from infringing, misappropriating, or otherwise violating our rights in our patents, copyrights, trademarks, trade secrets or other proprietary rights or information, our competitive position could be adversely affected. Also, in connection with our performance of services for the U.S. government, the U.S. government has certain rights to inventions, data, software codes and related material and intellectual property that we develop under government-funded contracts and subcontracts, which means that the U.S. government may disclose or license our information and intellectual property to third parties, including, in some instances, our competitors. Any exercise of such rights by the U.S. government could adversely affect our competitive position, business, financial condition, results of operations and prospects. We also may be limited in our ability to disclose or license such information and intellectual property to third parties and the U.S. government may also decline to make the intellectual property of others available to us under acceptable terms.</w:t>
      </w:r>
    </w:p>
    <w:p>
      <w:pPr>
        <w:spacing w:after="0" w:line="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Third parties may also, from time to time, claim that we have infringed the intellectual property rights of others, resulting in claims against our customers or us, or we may face allegations that we or our service providers, suppliers, subcontractors, or customers have violated the intellectual property rights of others. Even if we believe that intellectual property-related claims are without merit, litigation may be necessary to determine the scope and validity of intellectual property or proprietary rights of others or to protect or enforce our intellectual property rights. If, with respect to any claim against us for violation of third-party intellectual property rights, we are unable to prevail in the litigation, retain or obtain sufficient rights, develop non-infringing solutions or otherwise alter our business practices on a timely or cost-efficient basis, our business and competitive position may be adversely affected. Such claims could also subject us to injunctions and significant liability for damages, potentially including treble damages if we are found to have willfully infringed a third party's intellectual property rights. In addition, our contracts generally indemnify our customers for third-party claims for intellectual property infringement by our services and products. Besides the expense and time to defend such claims and the cost of any large indemnity payments, any dispute with a customer with respect to such obligations could also have adverse effects on our relationship with that customer and other existing and new customers, requiring us to pay substantial royalty or licensing fees, and divert management’s attention, any of which could harm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or exposure to additional tax liabilities could adversely affect our financial results.</w:t>
      </w:r>
    </w:p>
    <w:p>
      <w:pPr>
        <w:spacing w:after="0" w:line="88"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are subject to income taxes in the U.S. and numerous foreign jurisdictions. Changes in U.S. (federal or state) or foreign tax laws and regulations, or their interpretation and application, including those with retroactive effect, could result in increases in our tax expense and adversely affect our financial results. For example, beginning in 2022, the Tax Cuts and Jobs Act of 2017 eliminated the option to deduct research and development expenditures immediately in the year incurred and requires taxpayers to amortize such expenditures over five years, which likely will materially decrease our cash from operations unless Congress defers, modifies or repeals this provision with retroactive effect. See “Liquidity and Capital Resources” in “Item 7. Management’s Discussion and Analysis of Financial Condition and Results of Operations” contained within this Annual Report on Form 10-K for additional information on the impact of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Significant judgment is required in determining our worldwide provision for income taxes. In the ordinary course of our business, there are many transactions and calculations where the ultimate tax determination is uncertain. We are regularly under audit by tax authorities. Although we believe that our tax estimates and tax positions are reasonable, they could be materially affected by many factors, including the final outcome of tax audits and related litigation, the introduction of new tax accounting standards, legislation, regulations, and related interpretations, our global mix of earnings, the realizability of deferred tax assets and changes in uncertain tax positions. An increase or decrease in our effective tax rate, or an ultimate determination that we owe more taxes than the amounts previously accrued, could have a material adverse impact on our financial condition and results of operations.</w:t>
      </w:r>
    </w:p>
    <w:p>
      <w:pPr>
        <w:spacing w:after="0" w:line="77"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The U.S. government may prefer minority-owned, small and small disadvantaged businesses; therefore, we may have fewer opportunities to bid on certain contracts.</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number of procurements under the Small Business Administration set-aside program may impact our ability to bid on new procurements as a prime contractor or restrict our ability to re-compete on incumbent work that is placed in the set-aside program.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adversely impacted by fluctuations in foreign currency exchange rates.</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 our business in various currencies, including the U.S. dollar, the British pound and the Australian dollar. Changes in foreign currency exchange rates could reduce our revenues, increase our costs or otherwise adversely affect our financial results reported in U.S. dollars. We may from time to time enter into foreign currency contracts, foreign currency borrowings or other techniques intended to hedge a portion of our foreign currency exchange rate risks. These hedging activities may not completely offset the adverse financial effects of unfavorable movements in foreign currency exchange rates during the time hedges are in place. Any of these risks might have an adverse impact on our business operations and our financial position, results of operations or cash flows.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11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auto"/>
        </w:rPr>
        <w:t>We cannot assure you that we will continue to pay or increase dividends on our common stock or to repurchase shares of our common stock.</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timing, declaration, amount, and payment of any future dividends fall within the discretion of our Board and depend on many factors, including our available cash, estimated cash needs, cash deployment alternatives, earnings, financial condition, operating results, and capital requirements, as well as limitations in our contractual agreements, applicable law, regulatory constraints, industry practice and other business considerations that our Board considers relevant. Decreases in asset values or increases in liabilities, including liabilities associated with employee benefit plans and assets and liabilities associated with taxes, can reduce cash, net earnings, and stockholders' equity. In addition, the timing and amount of share repurchases under Board-approved share repurchase plans are within the discretion of management and will depend on many factors, including our ability to generate sufficient cash flows from operations in the future or to borrow money from available financing sources, results of operations, capital requirements, general business conditions, and applicable law. Our payment of dividends and share repurchases could vary from historical practices or our stated expectations. A change in our dividend or share repurchase programs could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delay or prevent transactions that many stockholders may favor.</w:t>
      </w:r>
    </w:p>
    <w:p>
      <w:pPr>
        <w:spacing w:after="0" w:line="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provisions of our certificate of incorporation and bylaws may delay, discourage, or prevent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mergers and certain other business combinations between a related person and us requiring approval by the holders of a majority of the voting power of such securities that are not owned by the related person unless approved by a majority of continuing directors or certain other exceptions; our stockholders may not act by written consent; our Board may issue, without stockholder approval, shares of undesignated preferred stock, the terms of which may be determined by the Board; and we are also subject to certain restrictions on business combinations under Section 203 of the Delaware General Corporation Law, which imposes additional requirements for business combinations, and may prevent our stockholders from receiving the benefit from any premium to the market price of our common stock offered by a bidder in a takeover context.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Leidos Holdings, Inc. Annual Report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Cybersecurity risk management is an integral part of our digital posture and enterprise risk management strategy. Cybersecurity is critical to maintaining the trust of our customers and business partners, and we are committed to protecting our and their confidential and sensitive information, including personal information, and mitigating cybersecurity risks that impact our systems and networks. We maintain technologies, programs and processes designed to assess, identify, manage and mitigate cybersecurity risks. Our efforts include regular monitoring of Leidos-managed programs for internal and external cybersecurity threats, providing cybersecurity training to our employees during the onboarding process and annually, and continually reviewing and refining formal policies and procedures designed to deter, identify and remediate cybersecurity incidents. We regularly perform evaluations of our cybersecurity program and continue to invest in our capabilities to keep our customers, partners, suppliers and information assets in our possession safe. Although we employ service provider due diligence and onboarding procedures to identify potential cybersecurity risk, our ability to monitor the cybersecurity practices of our service providers is limited and there can be no assurance that we can prevent or mitigate the risk of any compromise or failure in the information system, software, networks and other assets owned or controlled by our vendors.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Chief Information Security Officer leads our Cybersecurity Intelligence and Response Team (“CSIRT”) whose function is to stay apprised of existing and emerging cyber threats and monitor our global enterprise and proactively identify and protect against cybersecurity risk. The CSIRT uses intelligence collected from various sources, fused with intelligence collected from analysis and response actions, to proactively search for, and address adversary activity against the Leidos network. The CSIRT possesses in-depth knowledge of network, endpoint, perimeter security systems, identity, data protection, threat intelligence, forensics, penetration testing and malware reverse engineering, as well as the functioning of specific applications or underlying information technology infrastructure.</w:t>
      </w:r>
    </w:p>
    <w:p>
      <w:pPr>
        <w:spacing w:after="0" w:line="74"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Leidos CSIRT owns the incident response process and provides direction and guidance to users of Leidos computing resources when responding to cybersecurity incidents. Leidos CSIRT also provides intrusion monitoring of networks and information systems and continuously monitors the Leidos computing environments and performs triage and analysis of events to identify potential incidents.</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employ multiple security and monitoring devices and applications throughout the Company to identify, alert, report and log all authorized and unauthorized access to the Leidos enterprise networks. We use an application that collects, correlates, and notifies CSIRT analysts regarding any item meeting an electronic intrusion event. We categorize anomalous cyber events into discrete levels in which cybersecurity matters are escalated to certain levels of management, as well as our Board, based on the severity of the incident, as appropriate. Sharing cyber threat information at these levels supports the Company’s ability to integrate cybersecurity considerations into its overarching risk management system and processes.</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conduct periodic internal and third-party assessments to test our cybersecurity controls, perform cyber simulations and exercises, and continually evaluate our internal governing policies and procedures to help detect and respond to cybersecurity events in order to reduce harms or impacts from breaches and other information security incidents.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Responsibilities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global information security program is led by our corporate Chief Information Security Officer, who works closely with key corporate functional and line of business stakeholders. The Chief Information Security Officer partners with these functions for the purpose of identifying, considering and assessing material cybersecurity risks on an ongoing basis, establishing processes to ensure that such potential cybersecurity risks are monitored, implementing appropriate mitigation measures, reporting cybersecurity breaches and other information security incidents, and maintaining our cybersecurity program. The team of senior management officers, who support our information security program, have expertise with cybersecurity, as demonstrated qualifications such as by prior work experience, possession of a cybersecurity certification, degree, or other cybersecurity experience. Our management team receives regular updates on our cybersecurity posture and reviews detailed information about our cybersecurity preparedness. Additionally, we have a Leidos Security Council that is co-chaired by the Chief Information Security Officer and the Chief Security Officer to address “all security hazards” across our global enterprise to ensure cohesion and effectiveness of our combined security governance and risk mitigations.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Roles and Responsibilities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a Technology and Innovation Security Committee, comprised of six board members, with relevant backgrounds and experience, that oversees and advises the Board and management on matters involving the Company’s overall strategic direction and significant business risks and opportunities in the areas of technology and information security.</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least quarterly, management provides our Board and the Technology and Information Security Committee with updates about our cybersecurity and related risk exposures, our policies and procedures to mitigate such exposures and the status of projects to strengthen our information security infrastructure and program maturity and defend against and respond to cybersecurity threats. In addition, we use a risk-based escalation process to notify the Board and the Technology and Information Security Committee outside of the regular reporting cycle should we identify a significant emerging risk or potentially material issue that should be brought to their attention.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Threats</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date, we have not identified any cybersecurity threats that have materially affected or are reasonably likely to materially affect our business strategy, results of our operations, or our financial condition. However, despite our efforts to identify and respond to cybersecurity threats, we cannot eliminate all risks from cybersecurity threats, or provide assurances that we have not experienced an undetected cybersecurity incident. For more information about these risks, please see “Risk Factors – Cybersecurity breaches and other information security incidents could negatively impact our business and financial results, impair our ability to effectively provide our services to our customers and cause harm to our reputation or competitive position” in this Annual Report on Form 10-K.</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29, 2023, we conducted our operations in 427 locations in 44 states, the District of Columbia and various foreign countries. We occupy approximately 8.5 million square feet of floor space. Of this amount, we own approximately 1.1 million square feet, and the remaining balance is leased. Our major locations are in the Washington, D.C., metropolitan area, where we occupy a combination of leased and owned floor space of approximately 1.9 million square feet. We also have employees working at customer sites throughout the United States and in other countries.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2023, we owned the following properties: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color w:val="auto"/>
              </w:rPr>
              <w:t>Location</w:t>
            </w:r>
          </w:p>
        </w:tc>
        <w:tc>
          <w:tcPr>
            <w:tcW w:w="1060" w:type="dxa"/>
            <w:vAlign w:val="bottom"/>
          </w:tcPr>
          <w:p>
            <w:pPr>
              <w:jc w:val="center"/>
              <w:ind w:left="188"/>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Square</w:t>
            </w:r>
          </w:p>
        </w:tc>
        <w:tc>
          <w:tcPr>
            <w:tcW w:w="1320" w:type="dxa"/>
            <w:vAlign w:val="bottom"/>
            <w:vMerge w:val="restart"/>
          </w:tcPr>
          <w:p>
            <w:pPr>
              <w:jc w:val="right"/>
              <w:ind w:right="313"/>
              <w:spacing w:after="0"/>
              <w:rPr>
                <w:sz w:val="20"/>
                <w:szCs w:val="20"/>
                <w:color w:val="auto"/>
              </w:rPr>
            </w:pPr>
            <w:r>
              <w:rPr>
                <w:rFonts w:ascii="Arial" w:cs="Arial" w:eastAsia="Arial" w:hAnsi="Arial"/>
                <w:sz w:val="14"/>
                <w:szCs w:val="14"/>
                <w:color w:val="auto"/>
              </w:rPr>
              <w:t>Acreage</w:t>
            </w:r>
          </w:p>
        </w:tc>
        <w:tc>
          <w:tcPr>
            <w:tcW w:w="0" w:type="dxa"/>
            <w:vAlign w:val="bottom"/>
          </w:tcPr>
          <w:p>
            <w:pPr>
              <w:spacing w:after="0"/>
              <w:rPr>
                <w:sz w:val="1"/>
                <w:szCs w:val="1"/>
                <w:color w:val="auto"/>
              </w:rPr>
            </w:pPr>
          </w:p>
        </w:tc>
      </w:tr>
      <w:tr>
        <w:trPr>
          <w:trHeight w:val="185"/>
        </w:trPr>
        <w:tc>
          <w:tcPr>
            <w:tcW w:w="7100" w:type="dxa"/>
            <w:vAlign w:val="bottom"/>
            <w:gridSpan w:val="2"/>
            <w:vMerge w:val="continue"/>
          </w:tcPr>
          <w:p>
            <w:pPr>
              <w:spacing w:after="0"/>
              <w:rPr>
                <w:sz w:val="16"/>
                <w:szCs w:val="16"/>
                <w:color w:val="auto"/>
              </w:rPr>
            </w:pPr>
          </w:p>
        </w:tc>
        <w:tc>
          <w:tcPr>
            <w:tcW w:w="1060" w:type="dxa"/>
            <w:vAlign w:val="bottom"/>
          </w:tcPr>
          <w:p>
            <w:pPr>
              <w:jc w:val="center"/>
              <w:ind w:left="188"/>
              <w:spacing w:after="0"/>
              <w:rPr>
                <w:sz w:val="20"/>
                <w:szCs w:val="20"/>
                <w:color w:val="auto"/>
              </w:rPr>
            </w:pPr>
            <w:r>
              <w:rPr>
                <w:rFonts w:ascii="Arial" w:cs="Arial" w:eastAsia="Arial" w:hAnsi="Arial"/>
                <w:sz w:val="14"/>
                <w:szCs w:val="14"/>
                <w:color w:val="auto"/>
              </w:rPr>
              <w:t>buildings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color w:val="auto"/>
              </w:rPr>
              <w:t>footage</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Huntsville, Alabama</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801,000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Columbia, Maryland</w:t>
            </w:r>
          </w:p>
        </w:tc>
        <w:tc>
          <w:tcPr>
            <w:tcW w:w="10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Orlando, Florida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Oak Ridge, Tennessee</w:t>
            </w:r>
          </w:p>
        </w:tc>
        <w:tc>
          <w:tcPr>
            <w:tcW w:w="10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Decatur, Alabama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700"/>
        <w:spacing w:after="0" w:line="375" w:lineRule="auto"/>
        <w:rPr>
          <w:sz w:val="20"/>
          <w:szCs w:val="20"/>
          <w:color w:val="auto"/>
        </w:rPr>
      </w:pPr>
      <w:r>
        <w:rPr>
          <w:rFonts w:ascii="Arial" w:cs="Arial" w:eastAsia="Arial" w:hAnsi="Arial"/>
          <w:sz w:val="18"/>
          <w:szCs w:val="18"/>
          <w:color w:val="auto"/>
        </w:rPr>
        <w:t xml:space="preserve">The nature of our business is such that there is no practicable way to relate occupied space to our reportable segments. </w:t>
      </w: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We have provided information about legal proceedings in which we are involved in "Note 21—Commitments and Contingencies" of the notes to the consolidated financial statements contained within this Annual Report on Form 10-K.</w:t>
      </w:r>
    </w:p>
    <w:p>
      <w:pPr>
        <w:spacing w:after="0" w:line="45"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In addition, we are routinely subject to investigations and reviews relating to compliance with various laws and regulations. Additional information regarding such investigations and reviews is set forth in "Note 21—Commitments and Contingencies” of the notes to the consolidated financial statements contained within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1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following is a list of the names and ages (as of February 13, 2024)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Name of officer</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Age</w:t>
            </w:r>
          </w:p>
        </w:tc>
        <w:tc>
          <w:tcPr>
            <w:tcW w:w="7520" w:type="dxa"/>
            <w:vAlign w:val="bottom"/>
          </w:tcPr>
          <w:p>
            <w:pPr>
              <w:ind w:left="18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73"/>
        </w:trPr>
        <w:tc>
          <w:tcPr>
            <w:tcW w:w="238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Thomas A. Bell</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56"/>
              <w:spacing w:after="0" w:line="173" w:lineRule="exact"/>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5"/>
                <w:szCs w:val="15"/>
                <w:color w:val="auto"/>
              </w:rPr>
            </w:pPr>
          </w:p>
        </w:tc>
        <w:tc>
          <w:tcPr>
            <w:tcW w:w="752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Mr. Bell serves as the Chief Executive Officer of Leidos. He joined Leidos as CEO in May 3,</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2023. Mr. Bell has held leadership roles as President – Defense Rolls-Royce plc; Chairman</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and CEO – Rolls-Royce North America (Rolls-Royce) since February 2018. Prior to that, Mr.</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Bell was Senior Vice President of global sales and marketing for defense, space and security</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at The Boeing Company (Boeing) from 2015. Before joining Boeing in 2015, Mr. Bell was</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President of Rolls-Royce Defense Aerospace, having joined as President, Customer</w:t>
            </w:r>
          </w:p>
        </w:tc>
      </w:tr>
      <w:tr>
        <w:trPr>
          <w:trHeight w:val="235"/>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North America in mid-2012.</w:t>
            </w:r>
          </w:p>
        </w:tc>
      </w:tr>
      <w:tr>
        <w:trPr>
          <w:trHeight w:val="175"/>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Christopher R. Cage</w:t>
            </w:r>
          </w:p>
        </w:tc>
        <w:tc>
          <w:tcPr>
            <w:tcW w:w="1100" w:type="dxa"/>
            <w:vAlign w:val="bottom"/>
          </w:tcPr>
          <w:p>
            <w:pPr>
              <w:jc w:val="right"/>
              <w:ind w:right="356"/>
              <w:spacing w:after="0" w:line="176"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Mr. Cage has served as Executive Vice President and Chief Financial Officer since July 2021.</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He has served in several capacities throughout his 25-year tenure with Leidos, including</w:t>
            </w:r>
          </w:p>
        </w:tc>
      </w:tr>
      <w:tr>
        <w:trPr>
          <w:trHeight w:val="202"/>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Pr>
          <w:p>
            <w:pPr>
              <w:ind w:left="20"/>
              <w:spacing w:after="0" w:line="201" w:lineRule="exact"/>
              <w:rPr>
                <w:sz w:val="20"/>
                <w:szCs w:val="20"/>
                <w:color w:val="auto"/>
              </w:rPr>
            </w:pPr>
            <w:r>
              <w:rPr>
                <w:rFonts w:ascii="Arial" w:cs="Arial" w:eastAsia="Arial" w:hAnsi="Arial"/>
                <w:sz w:val="18"/>
                <w:szCs w:val="18"/>
                <w:color w:val="auto"/>
              </w:rPr>
              <w:t>Senior Vice President, Chief Accounting Officer and Corporate Controller, Senior Vice</w:t>
            </w:r>
          </w:p>
        </w:tc>
      </w:tr>
    </w:tbl>
    <w:p>
      <w:pPr>
        <w:ind w:left="3720" w:right="620"/>
        <w:spacing w:after="0" w:line="229" w:lineRule="auto"/>
        <w:rPr>
          <w:sz w:val="20"/>
          <w:szCs w:val="20"/>
          <w:color w:val="auto"/>
        </w:rPr>
      </w:pPr>
      <w:r>
        <w:rPr>
          <w:rFonts w:ascii="Arial" w:cs="Arial" w:eastAsia="Arial" w:hAnsi="Arial"/>
          <w:sz w:val="18"/>
          <w:szCs w:val="18"/>
          <w:color w:val="auto"/>
        </w:rPr>
        <w:t>President for Financial Planning and Analysis and Chief Financial Officer for the Health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Name of officer</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Age</w:t>
            </w:r>
          </w:p>
        </w:tc>
        <w:tc>
          <w:tcPr>
            <w:tcW w:w="7520" w:type="dxa"/>
            <w:vAlign w:val="bottom"/>
          </w:tcPr>
          <w:p>
            <w:pPr>
              <w:ind w:left="18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73"/>
        </w:trPr>
        <w:tc>
          <w:tcPr>
            <w:tcW w:w="238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Carly E. Kimball</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53"/>
              <w:spacing w:after="0" w:line="173" w:lineRule="exact"/>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5"/>
                <w:szCs w:val="15"/>
                <w:color w:val="auto"/>
              </w:rPr>
            </w:pPr>
          </w:p>
        </w:tc>
        <w:tc>
          <w:tcPr>
            <w:tcW w:w="752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Ms. Kimball has served as the Executive Vice President, Chief Performance Officer since</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January 2024. In addition, she served as Senior Vice President, Chief Accounting Officer and</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Corporate Controller since July 2021. Ms. Kimball also served as the Company’s Assistant</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Controller. Ms. Kimball has over 25 years of experience leading large teams and</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has extensive proficiency in accounting, auditing, financial reporting, acquisitions and</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integrations, as well as business operations. Prior to joining Leidos, she served as Chief</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Financial Officer of CACI Products Company Inc. and Senior Manager in Ernst &amp; Young’s</w:t>
            </w:r>
          </w:p>
        </w:tc>
      </w:tr>
      <w:tr>
        <w:trPr>
          <w:trHeight w:val="243"/>
        </w:trPr>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 and Defense audit practice.</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Gerard A. Fasano</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Mr. Fasano has served as Executive Vice President, Chief Growth Officer since January</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2024. Previously, he served as President for our Defense Group since October 2018. Mr.</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Fasano also served as the Company's Chief of Business Development and Strategy Officer,</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and led the separation from the Lockheed Martin Corporation and the integration of the</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Information Systems &amp; Global Solutions Business into Leidos. Prior to joining Leidos, Mr.</w:t>
            </w:r>
          </w:p>
        </w:tc>
      </w:tr>
      <w:tr>
        <w:trPr>
          <w:trHeight w:val="235"/>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Fasano served Lockheed Martin Corporation for over 30 years.</w:t>
            </w:r>
          </w:p>
        </w:tc>
      </w:tr>
      <w:tr>
        <w:trPr>
          <w:trHeight w:val="176"/>
        </w:trPr>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Jerald S. Howe, Jr.</w:t>
            </w:r>
          </w:p>
        </w:tc>
        <w:tc>
          <w:tcPr>
            <w:tcW w:w="1100" w:type="dxa"/>
            <w:vAlign w:val="bottom"/>
            <w:shd w:val="clear" w:color="auto" w:fill="CCEEFF"/>
          </w:tcPr>
          <w:p>
            <w:pPr>
              <w:jc w:val="right"/>
              <w:ind w:right="353"/>
              <w:spacing w:after="0" w:line="176"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Mr. Howe has served as Executive Vice President and General Counsel since July 2017 and</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as Corporate Secretary since September 2023. Prior to joining Leidos, Mr. Howe was a</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partner at Fried, Frank, Harris, Shriver &amp; Jacobson LLP, where he served in the firm’s</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litigation, government contracts, mergers and acquisitions and aerospace and defense</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practices. Prior to joining Fried Frank, Mr. Howe held general counsel positions at TASC, a</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leading aerospace and defense company, and at Veridian Corporation, a publicly traded</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company that provided advanced technology services and solutions to the intelligence</w:t>
            </w:r>
          </w:p>
        </w:tc>
      </w:tr>
      <w:tr>
        <w:trPr>
          <w:trHeight w:val="243"/>
        </w:trPr>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community, military and homeland defense agencies.</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Steve Cook</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Mr. Cook has served as President for Leidos Dynetics (formerly Dynetics Group) since April</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2022. He previously served as Deputy Group President and Operations Manager of the</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Leidos Innovations Center from February 2020 to March 2022. Mr. Cook joined Dynetics in</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2009 as the director of space technologies before leading the Dynetics Space Division and</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then later overseeing Dynetics’ corporate development efforts. Prior to joining Dynetics, he</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enjoyed a long and successful career at NASA, serving in such roles as the deputy manager</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of NASA’s Marshall Space Transportation Programs and Projects Office as well as the</w:t>
            </w:r>
          </w:p>
        </w:tc>
      </w:tr>
      <w:tr>
        <w:trPr>
          <w:trHeight w:val="241"/>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manager of the Ares Projects Office at the Marshall Space Flight Center in Huntsville.</w:t>
            </w:r>
          </w:p>
        </w:tc>
      </w:tr>
      <w:tr>
        <w:trPr>
          <w:trHeight w:val="178"/>
        </w:trPr>
        <w:tc>
          <w:tcPr>
            <w:tcW w:w="248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Elizabeth M. Porter</w:t>
            </w:r>
          </w:p>
        </w:tc>
        <w:tc>
          <w:tcPr>
            <w:tcW w:w="1100" w:type="dxa"/>
            <w:vAlign w:val="bottom"/>
            <w:shd w:val="clear" w:color="auto" w:fill="CCEEFF"/>
          </w:tcPr>
          <w:p>
            <w:pPr>
              <w:jc w:val="right"/>
              <w:ind w:right="353"/>
              <w:spacing w:after="0" w:line="177"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Ms. Porter has served as President for the Health and Civil Sector since January 2024.</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Previously, she served as President for our Health Group since August 2020 and, before that,</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as Acting Group President for the Health Group since March 2020. Ms. Porter also served as</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Senior Vice President and Operation Manager for Leidos’ Federal Energy and Environment</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business. Prior to that role, Ms. Porter served as the Department of Defense Information</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Networks &amp; Mission Partner Program Director. Prior to joining Leidos, Ms. Porter served</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Lockheed Martin Corporation for over 20 years in several capacities, most recently as Director</w:t>
            </w:r>
          </w:p>
        </w:tc>
      </w:tr>
      <w:tr>
        <w:trPr>
          <w:trHeight w:val="243"/>
        </w:trPr>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Army IT, a portfolio of IT programs for the U.S. Army</w:t>
            </w:r>
            <w:r>
              <w:rPr>
                <w:rFonts w:ascii="Arial" w:cs="Arial" w:eastAsia="Arial" w:hAnsi="Arial"/>
                <w:sz w:val="18"/>
                <w:szCs w:val="18"/>
                <w:i w:val="1"/>
                <w:iCs w:val="1"/>
                <w:color w:val="auto"/>
              </w:rPr>
              <w:t>.</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Roy Stevens</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Mr. Stevens has served as President for the National Security Sector since January 2024.</w:t>
            </w:r>
          </w:p>
        </w:tc>
      </w:tr>
      <w:tr>
        <w:trPr>
          <w:trHeight w:val="202"/>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Pr>
          <w:p>
            <w:pPr>
              <w:ind w:left="20"/>
              <w:spacing w:after="0" w:line="201" w:lineRule="exact"/>
              <w:rPr>
                <w:sz w:val="20"/>
                <w:szCs w:val="20"/>
                <w:color w:val="auto"/>
              </w:rPr>
            </w:pPr>
            <w:r>
              <w:rPr>
                <w:rFonts w:ascii="Arial" w:cs="Arial" w:eastAsia="Arial" w:hAnsi="Arial"/>
                <w:sz w:val="18"/>
                <w:szCs w:val="18"/>
                <w:color w:val="auto"/>
              </w:rPr>
              <w:t>Previously, he served as President for our Intelligence Group since July 2021, and before</w:t>
            </w:r>
          </w:p>
        </w:tc>
      </w:tr>
    </w:tbl>
    <w:p>
      <w:pPr>
        <w:ind w:left="3720" w:right="40"/>
        <w:spacing w:after="0" w:line="221" w:lineRule="auto"/>
        <w:rPr>
          <w:sz w:val="20"/>
          <w:szCs w:val="20"/>
          <w:color w:val="auto"/>
        </w:rPr>
      </w:pPr>
      <w:r>
        <w:rPr>
          <w:rFonts w:ascii="Arial" w:cs="Arial" w:eastAsia="Arial" w:hAnsi="Arial"/>
          <w:sz w:val="17"/>
          <w:szCs w:val="17"/>
          <w:color w:val="auto"/>
        </w:rPr>
        <w:t>that, as Chief of Business Development and Strategy. Prior to joining Leidos, Mr. Stevens served Lockheed Martin Corporation in a variety of executive level positions for over 20 years, most recently as Vice President of Global Solutions under the Information Systems &amp; Global</w:t>
      </w:r>
    </w:p>
    <w:p>
      <w:pPr>
        <w:ind w:left="3720" w:right="600"/>
        <w:spacing w:after="0" w:line="246" w:lineRule="auto"/>
        <w:rPr>
          <w:sz w:val="20"/>
          <w:szCs w:val="20"/>
          <w:color w:val="auto"/>
        </w:rPr>
      </w:pPr>
      <w:r>
        <w:rPr>
          <w:rFonts w:ascii="Arial" w:cs="Arial" w:eastAsia="Arial" w:hAnsi="Arial"/>
          <w:sz w:val="17"/>
          <w:szCs w:val="17"/>
          <w:color w:val="auto"/>
        </w:rPr>
        <w:t>Solutions business, and has also been integral to the merger and acquisition of several companies during his career. He serves on the Board of Directors for Cornerstones.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Name of officer</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Age</w:t>
            </w:r>
          </w:p>
        </w:tc>
        <w:tc>
          <w:tcPr>
            <w:tcW w:w="7520" w:type="dxa"/>
            <w:vAlign w:val="bottom"/>
          </w:tcPr>
          <w:p>
            <w:pPr>
              <w:ind w:left="18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73"/>
        </w:trPr>
        <w:tc>
          <w:tcPr>
            <w:tcW w:w="238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Thomas C. Sanglier</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353"/>
              <w:spacing w:after="0" w:line="173" w:lineRule="exact"/>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5"/>
                <w:szCs w:val="15"/>
                <w:color w:val="auto"/>
              </w:rPr>
            </w:pPr>
          </w:p>
        </w:tc>
        <w:tc>
          <w:tcPr>
            <w:tcW w:w="7520" w:type="dxa"/>
            <w:vAlign w:val="bottom"/>
            <w:tcBorders>
              <w:top w:val="single" w:sz="8" w:color="auto"/>
            </w:tcBorders>
            <w:shd w:val="clear" w:color="auto" w:fill="CCEEFF"/>
          </w:tcPr>
          <w:p>
            <w:pPr>
              <w:ind w:left="20"/>
              <w:spacing w:after="0" w:line="173" w:lineRule="exact"/>
              <w:rPr>
                <w:sz w:val="20"/>
                <w:szCs w:val="20"/>
                <w:color w:val="auto"/>
              </w:rPr>
            </w:pPr>
            <w:r>
              <w:rPr>
                <w:rFonts w:ascii="Arial" w:cs="Arial" w:eastAsia="Arial" w:hAnsi="Arial"/>
                <w:sz w:val="18"/>
                <w:szCs w:val="18"/>
                <w:color w:val="auto"/>
              </w:rPr>
              <w:t>Mr. Sanglier has served as Senior Vice President and Chief Audit Executive since July 2022.</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Prior to joining Leidos, Mr. Sanglier served as Senior Director, Internal Audit with Raytheon</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Technologies from November 2016 to June 2022 and as a Partner with Ernst &amp; Young’s</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Advisory practice serving private and public organizations in the technology, manufacturing</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and professional services industries during June 2008 to December 2010. He previously</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served as Chair of the North American Board and a member of the Global Board of the</w:t>
            </w:r>
          </w:p>
        </w:tc>
      </w:tr>
      <w:tr>
        <w:trPr>
          <w:trHeight w:val="176"/>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Institute of Internal Auditors ("IIA") from April 2022 to March 2023. He has been involved as a</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volunteer leader with the IIA since becoming a member in 2011. Mr. Sanglier has also served</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as a member of The IIA’s Audit Committee, Guidance Development Committee, North</w:t>
            </w: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Publications Advisory Committee and multiple task forces.</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Maureen Waterston</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Ms. Waterston has served as Chief Human Resources Officer for Leidos since March 2022.</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Ms. Waterston has over 25 years of experience overseeing talent, recruitment, and</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development; employee and labor relations; compensation and benefits; and diversity and</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inclusion across a global workforce. Prior to joining Leidos, Ms. Waterston served as Chief</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Human Resources Officer for Pratt &amp; Whitney from November 2015 to March 2022, Chief</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Human Resources Officer for United Technologies Building &amp; Industrial Systems and Chief</w:t>
            </w:r>
          </w:p>
        </w:tc>
      </w:tr>
      <w:tr>
        <w:trPr>
          <w:trHeight w:val="230"/>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Human Resources Officer for Otis Elevator Company.</w:t>
            </w:r>
          </w:p>
        </w:tc>
      </w:tr>
      <w:tr>
        <w:trPr>
          <w:trHeight w:val="175"/>
        </w:trPr>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James F. Carlini</w:t>
            </w:r>
          </w:p>
        </w:tc>
        <w:tc>
          <w:tcPr>
            <w:tcW w:w="1100" w:type="dxa"/>
            <w:vAlign w:val="bottom"/>
            <w:shd w:val="clear" w:color="auto" w:fill="CCEEFF"/>
          </w:tcPr>
          <w:p>
            <w:pPr>
              <w:jc w:val="right"/>
              <w:ind w:right="353"/>
              <w:spacing w:after="0" w:line="176" w:lineRule="exact"/>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Mr. Carlini has served as Chief Technology Officer of Leidos since June 2019. Prior to joining</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Leidos, Mr. Carlini founded and operated a national security consultancy from May 2006 to</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October 2018. Previously, Mr. Carlini served at Northrop Grumman Electronic Systems from</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July 2002 to May 2006, with his last position being Vice President of Advanced Development</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Programs. He also served at the Defense Advanced Research Projects Agency (DARPA) for</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six years, with his last position being Director of the Special Projects Office. Mr. Carlini is a</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former member of the United States Army Science Board and the United States Air Force</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Scientific Advisory Board. He is currently a member of the Department of Defense’s Defense</w:t>
            </w:r>
          </w:p>
        </w:tc>
      </w:tr>
      <w:tr>
        <w:trPr>
          <w:trHeight w:val="235"/>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Science Board.</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 Victoria Schmanske</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Ms. Schmanske has served as the President of the Commercial and International Sector</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since January 2024. Previously, she served as the Executive Vice President of Leidos</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Corporate Operations since July 2021, and before that, as President for the Intelligence</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Group. Ms. Schmanske has also served as the Leidos Chief Administrative Officer and</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Deputy President and Chief Operations Officer for the Health Group. Prior to joining Leidos,</w:t>
            </w: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1" w:lineRule="exact"/>
              <w:rPr>
                <w:sz w:val="20"/>
                <w:szCs w:val="20"/>
                <w:color w:val="auto"/>
              </w:rPr>
            </w:pPr>
            <w:r>
              <w:rPr>
                <w:rFonts w:ascii="Arial" w:cs="Arial" w:eastAsia="Arial" w:hAnsi="Arial"/>
                <w:sz w:val="18"/>
                <w:szCs w:val="18"/>
                <w:color w:val="auto"/>
              </w:rPr>
              <w:t>Ms. Schmanske served Lockheed Martin Corporation for over 30 years, most recently as Vice</w:t>
            </w:r>
          </w:p>
        </w:tc>
      </w:tr>
      <w:tr>
        <w:trPr>
          <w:trHeight w:val="176"/>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President for Operations IS&amp;GS. She serves on multiple outside boards to include the</w:t>
            </w:r>
          </w:p>
        </w:tc>
      </w:tr>
      <w:tr>
        <w:trPr>
          <w:trHeight w:val="18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20" w:type="dxa"/>
            <w:vAlign w:val="bottom"/>
          </w:tcPr>
          <w:p>
            <w:pPr>
              <w:ind w:left="20"/>
              <w:spacing w:after="0" w:line="183" w:lineRule="exact"/>
              <w:rPr>
                <w:sz w:val="20"/>
                <w:szCs w:val="20"/>
                <w:color w:val="auto"/>
              </w:rPr>
            </w:pPr>
            <w:r>
              <w:rPr>
                <w:rFonts w:ascii="Arial" w:cs="Arial" w:eastAsia="Arial" w:hAnsi="Arial"/>
                <w:sz w:val="18"/>
                <w:szCs w:val="18"/>
                <w:color w:val="auto"/>
              </w:rPr>
              <w:t>University of Virginia School of Data Science Advisory Board, the Virginia Engineering</w:t>
            </w:r>
          </w:p>
        </w:tc>
      </w:tr>
      <w:tr>
        <w:trPr>
          <w:trHeight w:val="235"/>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Foundation Board of Directors, and The Women’s Center.</w:t>
            </w:r>
          </w:p>
        </w:tc>
      </w:tr>
      <w:tr>
        <w:trPr>
          <w:trHeight w:val="175"/>
        </w:trPr>
        <w:tc>
          <w:tcPr>
            <w:tcW w:w="24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Cindy Gruensfelder</w:t>
            </w:r>
          </w:p>
        </w:tc>
        <w:tc>
          <w:tcPr>
            <w:tcW w:w="1100" w:type="dxa"/>
            <w:vAlign w:val="bottom"/>
            <w:shd w:val="clear" w:color="auto" w:fill="CCEEFF"/>
          </w:tcPr>
          <w:p>
            <w:pPr>
              <w:jc w:val="right"/>
              <w:ind w:right="353"/>
              <w:spacing w:after="0" w:line="176" w:lineRule="exact"/>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Ms. Gruensfelder has served as the President of the Defense System Sector since January</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2024. Ms. Gruensfelder has extensive Aerospace and Defense leadership expertise, serving</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for more than 30 years in a variety of leadership roles at Boeing, and its heritage company,</w:t>
            </w:r>
          </w:p>
        </w:tc>
      </w:tr>
      <w:tr>
        <w:trPr>
          <w:trHeight w:val="175"/>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McDonnell Douglas. She served as Vice President and General Manager of the Missile and</w:t>
            </w:r>
          </w:p>
        </w:tc>
      </w:tr>
      <w:tr>
        <w:trPr>
          <w:trHeight w:val="184"/>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Weapon Systems ("MWS"), division of Boeing Defense, Space &amp; Security, from April 2021 to</w:t>
            </w:r>
          </w:p>
        </w:tc>
      </w:tr>
      <w:tr>
        <w:trPr>
          <w:trHeight w:val="181"/>
        </w:trPr>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5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November 2022, and prior to that role, as Vice President of Weapons for the MWS division</w:t>
            </w:r>
          </w:p>
        </w:tc>
      </w:tr>
      <w:tr>
        <w:trPr>
          <w:trHeight w:val="229"/>
        </w:trPr>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October 2018 to April 2021.</w:t>
            </w:r>
          </w:p>
        </w:tc>
      </w:tr>
      <w:tr>
        <w:trPr>
          <w:trHeight w:val="176"/>
        </w:trPr>
        <w:tc>
          <w:tcPr>
            <w:tcW w:w="24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Steve Hull</w:t>
            </w:r>
          </w:p>
        </w:tc>
        <w:tc>
          <w:tcPr>
            <w:tcW w:w="110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7520" w:type="dxa"/>
            <w:vAlign w:val="bottom"/>
          </w:tcPr>
          <w:p>
            <w:pPr>
              <w:ind w:left="20"/>
              <w:spacing w:after="0" w:line="176" w:lineRule="exact"/>
              <w:rPr>
                <w:sz w:val="20"/>
                <w:szCs w:val="20"/>
                <w:color w:val="auto"/>
              </w:rPr>
            </w:pPr>
            <w:r>
              <w:rPr>
                <w:rFonts w:ascii="Arial" w:cs="Arial" w:eastAsia="Arial" w:hAnsi="Arial"/>
                <w:sz w:val="18"/>
                <w:szCs w:val="18"/>
                <w:color w:val="auto"/>
              </w:rPr>
              <w:t>Mr. Hull has served as the President for the Digital Modernization Sector since January 2024.</w:t>
            </w:r>
          </w:p>
        </w:tc>
      </w:tr>
      <w:tr>
        <w:trPr>
          <w:trHeight w:val="202"/>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Pr>
          <w:p>
            <w:pPr>
              <w:ind w:left="20"/>
              <w:spacing w:after="0" w:line="201" w:lineRule="exact"/>
              <w:rPr>
                <w:sz w:val="20"/>
                <w:szCs w:val="20"/>
                <w:color w:val="auto"/>
              </w:rPr>
            </w:pPr>
            <w:r>
              <w:rPr>
                <w:rFonts w:ascii="Arial" w:cs="Arial" w:eastAsia="Arial" w:hAnsi="Arial"/>
                <w:sz w:val="18"/>
                <w:szCs w:val="18"/>
                <w:color w:val="auto"/>
              </w:rPr>
              <w:t>Previously, he served as Executive Vice President and Operations Manager for Enterprise</w:t>
            </w:r>
          </w:p>
        </w:tc>
      </w:tr>
    </w:tbl>
    <w:p>
      <w:pPr>
        <w:ind w:left="3720" w:right="80"/>
        <w:spacing w:after="0" w:line="221" w:lineRule="auto"/>
        <w:rPr>
          <w:sz w:val="20"/>
          <w:szCs w:val="20"/>
          <w:color w:val="auto"/>
        </w:rPr>
      </w:pPr>
      <w:r>
        <w:rPr>
          <w:rFonts w:ascii="Arial" w:cs="Arial" w:eastAsia="Arial" w:hAnsi="Arial"/>
          <w:sz w:val="17"/>
          <w:szCs w:val="17"/>
          <w:color w:val="auto"/>
        </w:rPr>
        <w:t>and Cyber Solutions at Leidos from March 2022 through December 2023, and Chief Information Officer ("CIO") at Leidos from August 2016 through March 2022. Prior to joining Leidos, Mr. Hull served as the CIO of the Lockheed Martin Corporation's Information Systems</w:t>
      </w:r>
    </w:p>
    <w:p>
      <w:pPr>
        <w:ind w:left="3720" w:right="160"/>
        <w:spacing w:after="0" w:line="221" w:lineRule="auto"/>
        <w:rPr>
          <w:sz w:val="20"/>
          <w:szCs w:val="20"/>
          <w:color w:val="auto"/>
        </w:rPr>
      </w:pPr>
      <w:r>
        <w:rPr>
          <w:rFonts w:ascii="Arial" w:cs="Arial" w:eastAsia="Arial" w:hAnsi="Arial"/>
          <w:sz w:val="18"/>
          <w:szCs w:val="18"/>
          <w:color w:val="auto"/>
        </w:rPr>
        <w:t>&amp; Global Solutions business area from January 2013 through August 2016, ensuring operations and security of IT systems for over 20,000 employees. Mr. Hull has over 30 years of experience in the IT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60"/>
        <w:spacing w:after="0" w:line="37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common stock is listed on the New York Stock Exchange ("NYSE") under the ticker symbol "LDOS." </w:t>
      </w:r>
      <w:r>
        <w:rPr>
          <w:rFonts w:ascii="Arial" w:cs="Arial" w:eastAsia="Arial" w:hAnsi="Arial"/>
          <w:sz w:val="18"/>
          <w:szCs w:val="18"/>
          <w:b w:val="1"/>
          <w:bCs w:val="1"/>
          <w:color w:val="auto"/>
        </w:rPr>
        <w:t>Holders of Common Stock</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6, 2024, there were approximately 19,005 holders of record of Leidos common stock. The number of stockholders of record of our common stock is not representative of the number of beneficial owners due to the fact that many shares are held by depositories, brokers or nominees.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fiscal 2023 and 2022, we declared and paid quarterly dividends totaling $1.46 and $1.44 per share, respectively, of Leidos common stock. We currently intend to continue paying dividends on a quarterly basis, although the declaration of any future dividends will be determined by our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This stock performance graph shall not be deemed "soliciting material" or to be "filed" with the SEC for purposes of Section 18 of the Securities Exchange Act of 1934, as amended, or otherwise subject to the liabilities under that Section, and shall not be deemed to be incorporated by reference into any filing of Leidos under the Securities Act of 1933, as amended, or the Securities Exchange Act of 1934, as amended.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compares the total cumulative five-year return on Leidos common stock through December 29, 2023, to two indices:</w:t>
      </w:r>
    </w:p>
    <w:p>
      <w:pPr>
        <w:spacing w:after="0" w:line="27" w:lineRule="exact"/>
        <w:rPr>
          <w:sz w:val="20"/>
          <w:szCs w:val="20"/>
          <w:color w:val="auto"/>
        </w:rPr>
      </w:pPr>
    </w:p>
    <w:p>
      <w:pPr>
        <w:jc w:val="both"/>
        <w:ind w:right="200" w:firstLine="8"/>
        <w:spacing w:after="0" w:line="255"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Standard &amp; Poor's 500 Composite index and (ii) the Standard &amp; Poor's 500 IT Services Industry index. The graph assumes an initial investment of $100 on December 28, 2018, and that dividends, if any, have been reinvested. The comparisons in the graph are required by the SEC, based upon historical data and are not intended to forecast or be indicative of possible future performance of Leidos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86360</wp:posOffset>
            </wp:positionV>
            <wp:extent cx="5863590" cy="3232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Company/Market/Peer Group</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12/28/2018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1/3/2020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1/1/2021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12/31/2021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12/30/2022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12/29/2023</w:t>
            </w:r>
          </w:p>
        </w:tc>
      </w:tr>
      <w:tr>
        <w:trPr>
          <w:trHeight w:val="223"/>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Leidos Inc.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222.79</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600" w:type="dxa"/>
            <w:vAlign w:val="bottom"/>
          </w:tcPr>
          <w:p>
            <w:pPr>
              <w:ind w:left="20"/>
              <w:spacing w:after="0"/>
              <w:rPr>
                <w:sz w:val="20"/>
                <w:szCs w:val="20"/>
                <w:color w:val="auto"/>
              </w:rPr>
            </w:pPr>
            <w:r>
              <w:rPr>
                <w:rFonts w:ascii="Arial" w:cs="Arial" w:eastAsia="Arial" w:hAnsi="Arial"/>
                <w:sz w:val="18"/>
                <w:szCs w:val="18"/>
                <w:color w:val="auto"/>
              </w:rPr>
              <w:t>Composite Index</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205.59</w:t>
            </w: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w:t>
            </w: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Services Index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the repurchases of our common stock during the quarter ended December 29, 2023: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2"/>
                <w:szCs w:val="12"/>
                <w:color w:val="auto"/>
              </w:rPr>
            </w:pP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Average Price Paid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44"/>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Repurchase</w:t>
            </w:r>
          </w:p>
        </w:tc>
        <w:tc>
          <w:tcPr>
            <w:tcW w:w="8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Under the Plans or</w:t>
            </w:r>
          </w:p>
        </w:tc>
        <w:tc>
          <w:tcPr>
            <w:tcW w:w="0" w:type="dxa"/>
            <w:vAlign w:val="bottom"/>
          </w:tcPr>
          <w:p>
            <w:pPr>
              <w:spacing w:after="0"/>
              <w:rPr>
                <w:sz w:val="1"/>
                <w:szCs w:val="1"/>
                <w:color w:val="auto"/>
              </w:rPr>
            </w:pPr>
          </w:p>
        </w:tc>
      </w:tr>
      <w:tr>
        <w:trPr>
          <w:trHeight w:val="203"/>
        </w:trPr>
        <w:tc>
          <w:tcPr>
            <w:tcW w:w="4760" w:type="dxa"/>
            <w:vAlign w:val="bottom"/>
            <w:gridSpan w:val="2"/>
            <w:vMerge w:val="continue"/>
          </w:tcPr>
          <w:p>
            <w:pPr>
              <w:spacing w:after="0"/>
              <w:rPr>
                <w:sz w:val="17"/>
                <w:szCs w:val="17"/>
                <w:color w:val="auto"/>
              </w:rPr>
            </w:pPr>
          </w:p>
        </w:tc>
        <w:tc>
          <w:tcPr>
            <w:tcW w:w="1480" w:type="dxa"/>
            <w:vAlign w:val="bottom"/>
          </w:tcPr>
          <w:p>
            <w:pPr>
              <w:jc w:val="right"/>
              <w:ind w:right="295"/>
              <w:spacing w:after="0" w:line="202" w:lineRule="exact"/>
              <w:rPr>
                <w:sz w:val="20"/>
                <w:szCs w:val="20"/>
                <w:color w:val="auto"/>
              </w:rPr>
            </w:pPr>
            <w:r>
              <w:rPr>
                <w:rFonts w:ascii="Times New Roman" w:cs="Times New Roman" w:eastAsia="Times New Roman" w:hAnsi="Times New Roman"/>
                <w:sz w:val="14"/>
                <w:szCs w:val="14"/>
                <w:color w:val="auto"/>
              </w:rPr>
              <w:t>Purchased</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per 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Plans or Programs</w:t>
            </w:r>
          </w:p>
        </w:tc>
        <w:tc>
          <w:tcPr>
            <w:tcW w:w="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Programs</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14,934,512</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October 1, 2023 - October 31, 2023</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14,934,512</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2023 - November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1,669,887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13,264,625</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 2023 - December 29,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107.35</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233,306</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13,031,319</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1,903,193</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1,903,193</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total number of shares purchased includes shares surrendered to satisfy statutory tax withholding obligations related to vesting of restricted stock units.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11" w:lineRule="exact"/>
        <w:rPr>
          <w:rFonts w:ascii="Arial" w:cs="Arial" w:eastAsia="Arial" w:hAnsi="Arial"/>
          <w:sz w:val="18"/>
          <w:szCs w:val="18"/>
          <w:color w:val="auto"/>
          <w:vertAlign w:val="superscript"/>
        </w:rPr>
      </w:pPr>
    </w:p>
    <w:p>
      <w:pPr>
        <w:ind w:left="4160"/>
        <w:spacing w:after="0"/>
        <w:rPr>
          <w:rFonts w:ascii="Arial" w:cs="Arial" w:eastAsia="Arial" w:hAnsi="Arial"/>
          <w:sz w:val="18"/>
          <w:szCs w:val="18"/>
          <w:color w:val="auto"/>
          <w:vertAlign w:val="superscript"/>
        </w:rPr>
      </w:pPr>
      <w:r>
        <w:rPr>
          <w:rFonts w:ascii="Arial" w:cs="Arial" w:eastAsia="Arial" w:hAnsi="Arial"/>
          <w:sz w:val="16"/>
          <w:szCs w:val="16"/>
          <w:color w:val="auto"/>
        </w:rPr>
        <w:t>Leidos Holdings, Inc. Annual Report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8"/>
        <w:spacing w:after="0" w:line="273" w:lineRule="auto"/>
        <w:tabs>
          <w:tab w:leader="none" w:pos="154"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In February 2022, our Board of Directors authorized a share repurchase program of up to 20 million shares of our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our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This share repurchase authorization replaces the previous share repurchase authorization announced in February 2018.</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Leidos Holdings, Inc. Annual Report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79" w:right="59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The following discussion and analysis of Leidos Holdings, Inc.'s ("Leidos") financial condition, results of operations and quantitative and qualitative disclosures about business environment and trends and market risk should be read in conjunction with the consolidated financial statements and related notes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“Forward-Looking Statements.” You should also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indicated otherwise, references in this report to “we,” “us” and “our” refer collectively to Leidos and its consolidated subsidiaries.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In this section, we discuss our financial condition, changes in financial condition and results of our operations for the year ended December 29, 2023, compared to the year ended December 30, 2022. For a discussion and analysis comparing our results for the year ended December 30, 2022, to the year ended December 31, 2021, see our Annual Report on Form 10-K for the year ended December 30, 2022, filed with the SEC on February 14, 2023, under Part II, Item 7 “Management’s Discussion and Analysis of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Leidos, recognized as a member of the Fortune 500®, is a dynamic innovation company that is at the forefront of addressing the world’s most challenging issues in national security and health sectors. With a global workforce of approximately 47,000, Leidos is committed to developing smarter technology solutions, particularly for customers in highly regulated industries. We bring domain-specific capabilities and innovations to customers in each of these markets by leveraging five technical core capabilities: digital modernization, cyber operations, mission software systems, integrated systems and mission operations. Our customers include the U.S. Department of Defense ("DoD"), the U.S. Intelligence Community, the U.S. Department of Homeland Security, the Federal Aviation Administration, the Department of Veterans Affairs, National Aeronautics and Space Administration ("NASA") and many other U.S. civilian, state and local government agencies, foreign government agencies and commercial businesses. Approximately 9% of our revenues are generated by entities located outside of the United States. Our business has been aligned in three reportable segments: Defense Solutions, Civil and Health. Additionally, we separately present the unallocable costs associated with corporate functions as Corporate.</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additional information regarding our reportable segments, see “Business” in Part I and "Note 20—Business Segments" of the notes to the consolidated financial statements contained within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initiatives include the following:</w:t>
      </w:r>
    </w:p>
    <w:p>
      <w:pPr>
        <w:spacing w:after="0" w:line="117" w:lineRule="exact"/>
        <w:rPr>
          <w:sz w:val="20"/>
          <w:szCs w:val="20"/>
          <w:color w:val="auto"/>
        </w:rPr>
      </w:pPr>
    </w:p>
    <w:p>
      <w:pPr>
        <w:ind w:left="660" w:right="12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achieving annual revenue growth through internal collaboration and better leveraging of key differentiators across our company and the deployment of resources and investments into </w:t>
      </w:r>
      <w:r>
        <w:rPr>
          <w:rFonts w:ascii="Calibri" w:cs="Calibri" w:eastAsia="Calibri" w:hAnsi="Calibri"/>
          <w:sz w:val="19"/>
          <w:szCs w:val="19"/>
          <w:color w:val="auto"/>
        </w:rPr>
        <w:t>proftable</w:t>
      </w:r>
      <w:r>
        <w:rPr>
          <w:rFonts w:ascii="Arial" w:cs="Arial" w:eastAsia="Arial" w:hAnsi="Arial"/>
          <w:sz w:val="18"/>
          <w:szCs w:val="18"/>
          <w:color w:val="auto"/>
        </w:rPr>
        <w:t xml:space="preserve"> growth markets;</w:t>
      </w:r>
    </w:p>
    <w:p>
      <w:pPr>
        <w:spacing w:after="0" w:line="98"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improvement in our back-office infrastructure and related business processes for greater effectiveness and efficiency across all business functions; and</w:t>
      </w:r>
    </w:p>
    <w:p>
      <w:pPr>
        <w:spacing w:after="0" w:line="44"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disciplined deployment of our cash resources and use of our capital structure to enhance shareholder value while retaining an appropriate amount of financial leverage.</w:t>
      </w:r>
    </w:p>
    <w:p>
      <w:pPr>
        <w:spacing w:after="0" w:line="4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Sales Trend. </w:t>
      </w:r>
      <w:r>
        <w:rPr>
          <w:rFonts w:ascii="Arial" w:cs="Arial" w:eastAsia="Arial" w:hAnsi="Arial"/>
          <w:sz w:val="18"/>
          <w:szCs w:val="18"/>
          <w:color w:val="auto"/>
        </w:rPr>
        <w:t>For fiscal 2023, revenues increased $ 1.0 billion, or 7%, compared to fiscal 2022, primarily due to program wins, a net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volumes on certain programs and a net increase in revenues attributable to our business acquisitions. The increase was partially offset by the completion of certain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Operating Expenses and Income Trend. </w:t>
      </w:r>
      <w:r>
        <w:rPr>
          <w:rFonts w:ascii="Arial" w:cs="Arial" w:eastAsia="Arial" w:hAnsi="Arial"/>
          <w:sz w:val="18"/>
          <w:szCs w:val="18"/>
          <w:color w:val="auto"/>
        </w:rPr>
        <w:t>For fiscal 2023, operating expenses increased by $1.5 billion, or 11%, compared to fiscal 2022.</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margin for fiscal 2023 was 4.0% compared to 7.6% for fiscal 2022. Operating income was $621 million, a $467 million decrease compared to fiscal 2022. The decrease was primarily attributable to a net increase in impairment charges of $647 million mainly in our SES reporting unit (see "Note 8—Goodwill and Intangible Assets" of the notes to the consolidated financial statements contained within this Annual Report on Form 10-K). The decrease was partially offset by program wins, a net increase in volumes on certain programs and lower amortization expenses.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a macroeconomic perspective, our industry is under general competitive pressures associated with spending from our largest customer, the U.S. government, and requires a high level of cost management focus to allow us to remain competitive. Although the U.S. Presidential Administration has not indicated a desire to reduce spending in the defense and homeland security sectors, the likelihood, extent and duration of current spending levels in these areas remains unclear. We continue to review our cost structure against our anticipated sales and undertake cost management actions and efficiency initiatives where necessary.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Markets</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generated approximately 87% of our total revenues from contracts with the U.S. government in fiscal 2023, as compared to 86% of our total revenues from contracts with the U.S. government in fiscal 2022,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49% and 44% of our total revenues for fiscal 2023 and 2022, respectively.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18, 2024, Congress passed a third continuing resolution (“CR”) to avoid a federal government shutdown. The resolution is structured in two tiers with the first deadline being March 1, 2024, for Military Construction-VA, Agriculture, Energy-Water, and Transportation-HUD funding bills. The eight remaining bills have a March 8, 2024, deadline. The CR gives lawmakers extra time to consider the appropriations bills for government fiscal year (“GFY”) 2024. Failure to pass the appropriations bills or another CR by March 1 and March 8, 2024, will result in a partial or complete federal government shutdown.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Trends in the U.S. government contracting process, including a shift towards multiple-awards contracts, in which certain contractors are preapproved using IDIQ and U.S. General Services Administration ("GSA") contract vehicles,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Markets</w:t>
      </w:r>
    </w:p>
    <w:p>
      <w:pPr>
        <w:spacing w:after="0" w:line="115"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Sales to customers in international markets represented approximately 9% of total revenues for fiscal 2023, as compared to 8% of total revenues for fiscal 2022.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Changes in international trade policies, including higher tariffs on imported goods and materials, may increase our procurement costs of certain IT hardware used both on our contracts and for internal use. However, we expect to recover certain portions of these higher tariffs through our cost-plus contracts. While we evaluate the impact of higher tariffs, currently, we do not expect tariffs to have a significant impact to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operating income, cash flows from operations and diluted earnings per share. Bookings and backlog are also useful measures for management and investors to evaluate our performance and potential future revenues. In addition, we consider business performance by contract type to be useful to management and investors when evaluating our operating income and margin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for the periods presented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color w:val="auto"/>
              </w:rPr>
              <w:t>2023 to 2022</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rPr>
              <w:t>December 29,</w:t>
            </w:r>
          </w:p>
        </w:tc>
        <w:tc>
          <w:tcPr>
            <w:tcW w:w="1560" w:type="dxa"/>
            <w:vAlign w:val="bottom"/>
            <w:gridSpan w:val="5"/>
          </w:tcPr>
          <w:p>
            <w:pPr>
              <w:jc w:val="center"/>
              <w:ind w:right="100"/>
              <w:spacing w:after="0" w:line="151" w:lineRule="exact"/>
              <w:rPr>
                <w:sz w:val="20"/>
                <w:szCs w:val="20"/>
                <w:color w:val="auto"/>
              </w:rPr>
            </w:pPr>
            <w:r>
              <w:rPr>
                <w:rFonts w:ascii="Arial" w:cs="Arial" w:eastAsia="Arial" w:hAnsi="Arial"/>
                <w:sz w:val="14"/>
                <w:szCs w:val="14"/>
                <w:color w:val="auto"/>
              </w:rPr>
              <w:t>December 30,</w:t>
            </w:r>
          </w:p>
        </w:tc>
        <w:tc>
          <w:tcPr>
            <w:tcW w:w="1180" w:type="dxa"/>
            <w:vAlign w:val="bottom"/>
            <w:gridSpan w:val="3"/>
          </w:tcPr>
          <w:p>
            <w:pPr>
              <w:ind w:left="100"/>
              <w:spacing w:after="0" w:line="151" w:lineRule="exact"/>
              <w:rPr>
                <w:sz w:val="20"/>
                <w:szCs w:val="20"/>
                <w:color w:val="auto"/>
              </w:rPr>
            </w:pPr>
            <w:r>
              <w:rPr>
                <w:rFonts w:ascii="Arial" w:cs="Arial" w:eastAsia="Arial" w:hAnsi="Arial"/>
                <w:sz w:val="14"/>
                <w:szCs w:val="14"/>
                <w:color w:val="auto"/>
              </w:rPr>
              <w:t>Dollar change</w:t>
            </w:r>
          </w:p>
        </w:tc>
        <w:tc>
          <w:tcPr>
            <w:tcW w:w="1220" w:type="dxa"/>
            <w:vAlign w:val="bottom"/>
          </w:tcPr>
          <w:p>
            <w:pPr>
              <w:jc w:val="right"/>
              <w:ind w:right="274"/>
              <w:spacing w:after="0" w:line="151"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53"/>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gridSpan w:val="5"/>
          </w:tcPr>
          <w:p>
            <w:pPr>
              <w:jc w:val="right"/>
              <w:ind w:right="77"/>
              <w:spacing w:after="0"/>
              <w:rPr>
                <w:sz w:val="20"/>
                <w:szCs w:val="20"/>
                <w:color w:val="auto"/>
              </w:rPr>
            </w:pPr>
            <w:r>
              <w:rPr>
                <w:rFonts w:ascii="Arial" w:cs="Arial" w:eastAsia="Arial" w:hAnsi="Arial"/>
                <w:sz w:val="14"/>
                <w:szCs w:val="14"/>
                <w:color w:val="auto"/>
              </w:rPr>
              <w:t>(dollars 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15,438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14,396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13,194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12,312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942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Acquisition, integration and restructuring costs</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Asset impairment charges</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earnings of non-consolidated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3"/>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621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Non-operating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5740" w:type="dxa"/>
            <w:vAlign w:val="bottom"/>
            <w:gridSpan w:val="3"/>
          </w:tcPr>
          <w:p>
            <w:pPr>
              <w:spacing w:after="0"/>
              <w:rPr>
                <w:sz w:val="20"/>
                <w:szCs w:val="20"/>
                <w:color w:val="auto"/>
              </w:rPr>
            </w:pPr>
            <w:r>
              <w:rPr>
                <w:rFonts w:ascii="Arial" w:cs="Arial" w:eastAsia="Arial" w:hAnsi="Arial"/>
                <w:sz w:val="14"/>
                <w:szCs w:val="14"/>
                <w:i w:val="1"/>
                <w:iCs w:val="1"/>
                <w:color w:val="auto"/>
              </w:rPr>
              <w:t>NM - Not meaningful</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Segment and Corporate Results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color w:val="auto"/>
              </w:rPr>
              <w:t>2023 to 2022</w:t>
            </w:r>
          </w:p>
        </w:tc>
        <w:tc>
          <w:tcPr>
            <w:tcW w:w="0" w:type="dxa"/>
            <w:vAlign w:val="bottom"/>
          </w:tcPr>
          <w:p>
            <w:pPr>
              <w:spacing w:after="0"/>
              <w:rPr>
                <w:sz w:val="1"/>
                <w:szCs w:val="1"/>
                <w:color w:val="auto"/>
              </w:rPr>
            </w:pPr>
          </w:p>
        </w:tc>
      </w:tr>
      <w:tr>
        <w:trPr>
          <w:trHeight w:val="150"/>
        </w:trPr>
        <w:tc>
          <w:tcPr>
            <w:tcW w:w="5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Defense Solutions</w:t>
            </w:r>
          </w:p>
        </w:tc>
        <w:tc>
          <w:tcPr>
            <w:tcW w:w="180" w:type="dxa"/>
            <w:vAlign w:val="bottom"/>
          </w:tcPr>
          <w:p>
            <w:pPr>
              <w:spacing w:after="0"/>
              <w:rPr>
                <w:sz w:val="13"/>
                <w:szCs w:val="13"/>
                <w:color w:val="auto"/>
              </w:rPr>
            </w:pPr>
          </w:p>
        </w:tc>
        <w:tc>
          <w:tcPr>
            <w:tcW w:w="1360" w:type="dxa"/>
            <w:vAlign w:val="bottom"/>
            <w:gridSpan w:val="2"/>
          </w:tcPr>
          <w:p>
            <w:pPr>
              <w:jc w:val="center"/>
              <w:ind w:right="320"/>
              <w:spacing w:after="0" w:line="151" w:lineRule="exact"/>
              <w:rPr>
                <w:sz w:val="20"/>
                <w:szCs w:val="20"/>
                <w:color w:val="auto"/>
              </w:rPr>
            </w:pPr>
            <w:r>
              <w:rPr>
                <w:rFonts w:ascii="Arial" w:cs="Arial" w:eastAsia="Arial" w:hAnsi="Arial"/>
                <w:sz w:val="14"/>
                <w:szCs w:val="14"/>
                <w:b w:val="1"/>
                <w:bCs w:val="1"/>
                <w:color w:val="auto"/>
              </w:rPr>
              <w:t>December 29,</w:t>
            </w:r>
          </w:p>
        </w:tc>
        <w:tc>
          <w:tcPr>
            <w:tcW w:w="1560" w:type="dxa"/>
            <w:vAlign w:val="bottom"/>
            <w:gridSpan w:val="5"/>
          </w:tcPr>
          <w:p>
            <w:pPr>
              <w:jc w:val="center"/>
              <w:ind w:right="140"/>
              <w:spacing w:after="0" w:line="151" w:lineRule="exact"/>
              <w:rPr>
                <w:sz w:val="20"/>
                <w:szCs w:val="20"/>
                <w:color w:val="auto"/>
              </w:rPr>
            </w:pPr>
            <w:r>
              <w:rPr>
                <w:rFonts w:ascii="Arial" w:cs="Arial" w:eastAsia="Arial" w:hAnsi="Arial"/>
                <w:sz w:val="14"/>
                <w:szCs w:val="14"/>
                <w:color w:val="auto"/>
              </w:rPr>
              <w:t>December 30,</w:t>
            </w:r>
          </w:p>
        </w:tc>
        <w:tc>
          <w:tcPr>
            <w:tcW w:w="1180" w:type="dxa"/>
            <w:vAlign w:val="bottom"/>
            <w:gridSpan w:val="3"/>
          </w:tcPr>
          <w:p>
            <w:pPr>
              <w:ind w:left="80"/>
              <w:spacing w:after="0" w:line="151" w:lineRule="exact"/>
              <w:rPr>
                <w:sz w:val="20"/>
                <w:szCs w:val="20"/>
                <w:color w:val="auto"/>
              </w:rPr>
            </w:pPr>
            <w:r>
              <w:rPr>
                <w:rFonts w:ascii="Arial" w:cs="Arial" w:eastAsia="Arial" w:hAnsi="Arial"/>
                <w:sz w:val="14"/>
                <w:szCs w:val="14"/>
                <w:color w:val="auto"/>
              </w:rPr>
              <w:t>Dollar change</w:t>
            </w:r>
          </w:p>
        </w:tc>
        <w:tc>
          <w:tcPr>
            <w:tcW w:w="1220" w:type="dxa"/>
            <w:vAlign w:val="bottom"/>
          </w:tcPr>
          <w:p>
            <w:pPr>
              <w:jc w:val="right"/>
              <w:ind w:right="274"/>
              <w:spacing w:after="0" w:line="151"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7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center"/>
              <w:ind w:right="353"/>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294"/>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5"/>
          </w:tcPr>
          <w:p>
            <w:pPr>
              <w:jc w:val="right"/>
              <w:ind w:right="77"/>
              <w:spacing w:after="0"/>
              <w:rPr>
                <w:sz w:val="20"/>
                <w:szCs w:val="20"/>
                <w:color w:val="auto"/>
              </w:rPr>
            </w:pPr>
            <w:r>
              <w:rPr>
                <w:rFonts w:ascii="Arial" w:cs="Arial" w:eastAsia="Arial" w:hAnsi="Arial"/>
                <w:sz w:val="14"/>
                <w:szCs w:val="14"/>
                <w:color w:val="auto"/>
              </w:rPr>
              <w:t>(dollars in millions)</w:t>
            </w: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8,732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8,244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260" w:type="dxa"/>
            <w:vAlign w:val="bottom"/>
          </w:tcPr>
          <w:p>
            <w:pPr>
              <w:jc w:val="right"/>
              <w:ind w:right="175"/>
              <w:spacing w:after="0"/>
              <w:rPr>
                <w:sz w:val="20"/>
                <w:szCs w:val="20"/>
                <w:color w:val="auto"/>
              </w:rPr>
            </w:pPr>
            <w:r>
              <w:rPr>
                <w:rFonts w:ascii="Arial" w:cs="Arial" w:eastAsia="Arial" w:hAnsi="Arial"/>
                <w:sz w:val="18"/>
                <w:szCs w:val="18"/>
                <w:b w:val="1"/>
                <w:bCs w:val="1"/>
                <w:color w:val="auto"/>
              </w:rPr>
              <w:t>636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increase in revenues for fiscal 2023 as compared to fiscal 2022 was primarily attributable to program wins, a net increase in volumes on certain programs and a $94 million net increase in revenues related to our Cobham Special Mission acquisition made in the last quarter of fiscal 2022. The increase was partially offset by the completion of certain contracts and an unfavorable net impact from exchange rate movements.</w:t>
      </w:r>
    </w:p>
    <w:p>
      <w:pPr>
        <w:spacing w:after="0" w:line="6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increase in operating income for fiscal 2023 as compared to fiscal 2022 was primarily attributable to program wins, a net increase in volumes, improved cost control and net write-ups on certain contracts, partially offset by the completion of certain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color w:val="auto"/>
              </w:rPr>
              <w:t>2023 to 2022</w:t>
            </w:r>
          </w:p>
        </w:tc>
        <w:tc>
          <w:tcPr>
            <w:tcW w:w="0" w:type="dxa"/>
            <w:vAlign w:val="bottom"/>
          </w:tcPr>
          <w:p>
            <w:pPr>
              <w:spacing w:after="0"/>
              <w:rPr>
                <w:sz w:val="1"/>
                <w:szCs w:val="1"/>
                <w:color w:val="auto"/>
              </w:rPr>
            </w:pPr>
          </w:p>
        </w:tc>
      </w:tr>
      <w:tr>
        <w:trPr>
          <w:trHeight w:val="150"/>
        </w:trPr>
        <w:tc>
          <w:tcPr>
            <w:tcW w:w="5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Civil</w:t>
            </w:r>
          </w:p>
        </w:tc>
        <w:tc>
          <w:tcPr>
            <w:tcW w:w="200" w:type="dxa"/>
            <w:vAlign w:val="bottom"/>
          </w:tcPr>
          <w:p>
            <w:pPr>
              <w:spacing w:after="0"/>
              <w:rPr>
                <w:sz w:val="13"/>
                <w:szCs w:val="13"/>
                <w:color w:val="auto"/>
              </w:rPr>
            </w:pPr>
          </w:p>
        </w:tc>
        <w:tc>
          <w:tcPr>
            <w:tcW w:w="1300" w:type="dxa"/>
            <w:vAlign w:val="bottom"/>
          </w:tcPr>
          <w:p>
            <w:pPr>
              <w:jc w:val="right"/>
              <w:ind w:right="219"/>
              <w:spacing w:after="0" w:line="151" w:lineRule="exact"/>
              <w:rPr>
                <w:sz w:val="20"/>
                <w:szCs w:val="20"/>
                <w:color w:val="auto"/>
              </w:rPr>
            </w:pPr>
            <w:r>
              <w:rPr>
                <w:rFonts w:ascii="Arial" w:cs="Arial" w:eastAsia="Arial" w:hAnsi="Arial"/>
                <w:sz w:val="14"/>
                <w:szCs w:val="14"/>
                <w:b w:val="1"/>
                <w:bCs w:val="1"/>
                <w:color w:val="auto"/>
              </w:rPr>
              <w:t>December 29,</w:t>
            </w:r>
          </w:p>
        </w:tc>
        <w:tc>
          <w:tcPr>
            <w:tcW w:w="1600" w:type="dxa"/>
            <w:vAlign w:val="bottom"/>
            <w:gridSpan w:val="3"/>
          </w:tcPr>
          <w:p>
            <w:pPr>
              <w:ind w:left="320"/>
              <w:spacing w:after="0" w:line="151" w:lineRule="exact"/>
              <w:rPr>
                <w:sz w:val="20"/>
                <w:szCs w:val="20"/>
                <w:color w:val="auto"/>
              </w:rPr>
            </w:pPr>
            <w:r>
              <w:rPr>
                <w:rFonts w:ascii="Arial" w:cs="Arial" w:eastAsia="Arial" w:hAnsi="Arial"/>
                <w:sz w:val="14"/>
                <w:szCs w:val="14"/>
                <w:color w:val="auto"/>
              </w:rPr>
              <w:t>December 30,</w:t>
            </w:r>
          </w:p>
        </w:tc>
        <w:tc>
          <w:tcPr>
            <w:tcW w:w="1180" w:type="dxa"/>
            <w:vAlign w:val="bottom"/>
            <w:gridSpan w:val="2"/>
          </w:tcPr>
          <w:p>
            <w:pPr>
              <w:ind w:left="100"/>
              <w:spacing w:after="0" w:line="151" w:lineRule="exact"/>
              <w:rPr>
                <w:sz w:val="20"/>
                <w:szCs w:val="20"/>
                <w:color w:val="auto"/>
              </w:rPr>
            </w:pPr>
            <w:r>
              <w:rPr>
                <w:rFonts w:ascii="Arial" w:cs="Arial" w:eastAsia="Arial" w:hAnsi="Arial"/>
                <w:sz w:val="14"/>
                <w:szCs w:val="14"/>
                <w:color w:val="auto"/>
              </w:rPr>
              <w:t>Dollar change</w:t>
            </w:r>
          </w:p>
        </w:tc>
        <w:tc>
          <w:tcPr>
            <w:tcW w:w="1260" w:type="dxa"/>
            <w:vAlign w:val="bottom"/>
          </w:tcPr>
          <w:p>
            <w:pPr>
              <w:jc w:val="right"/>
              <w:ind w:right="36"/>
              <w:spacing w:after="0" w:line="151" w:lineRule="exact"/>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85"/>
        </w:trPr>
        <w:tc>
          <w:tcPr>
            <w:tcW w:w="5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0" w:type="dxa"/>
            <w:vAlign w:val="bottom"/>
          </w:tcPr>
          <w:p>
            <w:pPr>
              <w:jc w:val="right"/>
              <w:ind w:right="477"/>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119"/>
              <w:spacing w:after="0"/>
              <w:rPr>
                <w:sz w:val="20"/>
                <w:szCs w:val="20"/>
                <w:color w:val="auto"/>
              </w:rPr>
            </w:pPr>
            <w:r>
              <w:rPr>
                <w:rFonts w:ascii="Arial" w:cs="Arial" w:eastAsia="Arial" w:hAnsi="Arial"/>
                <w:sz w:val="14"/>
                <w:szCs w:val="14"/>
                <w:color w:val="auto"/>
              </w:rPr>
              <w:t>(dollars in millions)</w:t>
            </w:r>
          </w:p>
        </w:tc>
        <w:tc>
          <w:tcPr>
            <w:tcW w:w="7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3,664</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20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8"/>
                <w:szCs w:val="18"/>
                <w:b w:val="1"/>
                <w:bCs w:val="1"/>
                <w:color w:val="auto"/>
              </w:rPr>
              <w:t>(413)</w:t>
            </w:r>
          </w:p>
        </w:tc>
        <w:tc>
          <w:tcPr>
            <w:tcW w:w="500" w:type="dxa"/>
            <w:vAlign w:val="bottom"/>
          </w:tcPr>
          <w:p>
            <w:pPr>
              <w:spacing w:after="0"/>
              <w:rPr>
                <w:sz w:val="19"/>
                <w:szCs w:val="19"/>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(647)</w:t>
            </w: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(11.3)%</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increase in revenues for fiscal 2023 as compared to fiscal 2022 was primarily attributable to a net increase in volumes on certain programs and program wins.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decrease in operating income for fiscal 2023 as compared to fiscal 2022 was primarily attributable to a net increase in impairment charges of $ 665 million, restructuring charges of $ 10 million and higher margin offerings on certain programs in the prior year. The decrease was partially offset by $19 million in legal reserves and fees resulting from an adverse arbitration ruling in the prior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color w:val="auto"/>
              </w:rPr>
              <w:t>2023 to 2022</w:t>
            </w:r>
          </w:p>
        </w:tc>
        <w:tc>
          <w:tcPr>
            <w:tcW w:w="0" w:type="dxa"/>
            <w:vAlign w:val="bottom"/>
          </w:tcPr>
          <w:p>
            <w:pPr>
              <w:spacing w:after="0"/>
              <w:rPr>
                <w:sz w:val="1"/>
                <w:szCs w:val="1"/>
                <w:color w:val="auto"/>
              </w:rPr>
            </w:pPr>
          </w:p>
        </w:tc>
      </w:tr>
      <w:tr>
        <w:trPr>
          <w:trHeight w:val="146"/>
        </w:trPr>
        <w:tc>
          <w:tcPr>
            <w:tcW w:w="5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Health</w:t>
            </w:r>
          </w:p>
        </w:tc>
        <w:tc>
          <w:tcPr>
            <w:tcW w:w="180" w:type="dxa"/>
            <w:vAlign w:val="bottom"/>
          </w:tcPr>
          <w:p>
            <w:pPr>
              <w:spacing w:after="0"/>
              <w:rPr>
                <w:sz w:val="12"/>
                <w:szCs w:val="12"/>
                <w:color w:val="auto"/>
              </w:rPr>
            </w:pPr>
          </w:p>
        </w:tc>
        <w:tc>
          <w:tcPr>
            <w:tcW w:w="1320" w:type="dxa"/>
            <w:vAlign w:val="bottom"/>
          </w:tcPr>
          <w:p>
            <w:pPr>
              <w:jc w:val="right"/>
              <w:ind w:right="239"/>
              <w:spacing w:after="0" w:line="146" w:lineRule="exact"/>
              <w:rPr>
                <w:sz w:val="20"/>
                <w:szCs w:val="20"/>
                <w:color w:val="auto"/>
              </w:rPr>
            </w:pPr>
            <w:r>
              <w:rPr>
                <w:rFonts w:ascii="Arial" w:cs="Arial" w:eastAsia="Arial" w:hAnsi="Arial"/>
                <w:sz w:val="14"/>
                <w:szCs w:val="14"/>
                <w:b w:val="1"/>
                <w:bCs w:val="1"/>
                <w:color w:val="auto"/>
              </w:rPr>
              <w:t>December 29,</w:t>
            </w:r>
          </w:p>
        </w:tc>
        <w:tc>
          <w:tcPr>
            <w:tcW w:w="1600" w:type="dxa"/>
            <w:vAlign w:val="bottom"/>
            <w:gridSpan w:val="3"/>
          </w:tcPr>
          <w:p>
            <w:pPr>
              <w:ind w:left="320"/>
              <w:spacing w:after="0" w:line="146" w:lineRule="exact"/>
              <w:rPr>
                <w:sz w:val="20"/>
                <w:szCs w:val="20"/>
                <w:color w:val="auto"/>
              </w:rPr>
            </w:pPr>
            <w:r>
              <w:rPr>
                <w:rFonts w:ascii="Arial" w:cs="Arial" w:eastAsia="Arial" w:hAnsi="Arial"/>
                <w:sz w:val="14"/>
                <w:szCs w:val="14"/>
                <w:color w:val="auto"/>
              </w:rPr>
              <w:t>December 30,</w:t>
            </w:r>
          </w:p>
        </w:tc>
        <w:tc>
          <w:tcPr>
            <w:tcW w:w="1280" w:type="dxa"/>
            <w:vAlign w:val="bottom"/>
            <w:gridSpan w:val="2"/>
          </w:tcPr>
          <w:p>
            <w:pPr>
              <w:jc w:val="right"/>
              <w:ind w:right="216"/>
              <w:spacing w:after="0" w:line="146" w:lineRule="exact"/>
              <w:rPr>
                <w:sz w:val="20"/>
                <w:szCs w:val="20"/>
                <w:color w:val="auto"/>
              </w:rPr>
            </w:pPr>
            <w:r>
              <w:rPr>
                <w:rFonts w:ascii="Arial" w:cs="Arial" w:eastAsia="Arial" w:hAnsi="Arial"/>
                <w:sz w:val="14"/>
                <w:szCs w:val="14"/>
                <w:color w:val="auto"/>
              </w:rPr>
              <w:t>Dollar change</w:t>
            </w:r>
          </w:p>
        </w:tc>
        <w:tc>
          <w:tcPr>
            <w:tcW w:w="1140" w:type="dxa"/>
            <w:vAlign w:val="bottom"/>
          </w:tcPr>
          <w:p>
            <w:pPr>
              <w:jc w:val="right"/>
              <w:ind w:right="279"/>
              <w:spacing w:after="0" w:line="146"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9"/>
        </w:trPr>
        <w:tc>
          <w:tcPr>
            <w:tcW w:w="5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0" w:type="dxa"/>
            <w:vAlign w:val="bottom"/>
          </w:tcPr>
          <w:p>
            <w:pPr>
              <w:jc w:val="right"/>
              <w:ind w:right="477"/>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jc w:val="right"/>
              <w:ind w:right="29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88"/>
        </w:trPr>
        <w:tc>
          <w:tcPr>
            <w:tcW w:w="5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(dollars in millions)</w:t>
            </w:r>
          </w:p>
        </w:tc>
        <w:tc>
          <w:tcPr>
            <w:tcW w:w="8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3,042</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354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320" w:type="dxa"/>
            <w:vAlign w:val="bottom"/>
          </w:tcPr>
          <w:p>
            <w:pPr>
              <w:jc w:val="right"/>
              <w:ind w:right="219"/>
              <w:spacing w:after="0"/>
              <w:rPr>
                <w:sz w:val="20"/>
                <w:szCs w:val="20"/>
                <w:color w:val="auto"/>
              </w:rPr>
            </w:pPr>
            <w:r>
              <w:rPr>
                <w:rFonts w:ascii="Arial" w:cs="Arial" w:eastAsia="Arial" w:hAnsi="Arial"/>
                <w:sz w:val="18"/>
                <w:szCs w:val="18"/>
                <w:b w:val="1"/>
                <w:bCs w:val="1"/>
                <w:color w:val="auto"/>
              </w:rPr>
              <w:t>528</w:t>
            </w:r>
          </w:p>
        </w:tc>
        <w:tc>
          <w:tcPr>
            <w:tcW w:w="500" w:type="dxa"/>
            <w:vAlign w:val="bottom"/>
          </w:tcPr>
          <w:p>
            <w:pPr>
              <w:spacing w:after="0"/>
              <w:rPr>
                <w:sz w:val="19"/>
                <w:szCs w:val="19"/>
                <w:color w:val="auto"/>
              </w:rPr>
            </w:pP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ind w:right="196"/>
              <w:spacing w:after="0"/>
              <w:rPr>
                <w:sz w:val="20"/>
                <w:szCs w:val="20"/>
                <w:color w:val="auto"/>
              </w:rPr>
            </w:pPr>
            <w:r>
              <w:rPr>
                <w:rFonts w:ascii="Arial" w:cs="Arial" w:eastAsia="Arial" w:hAnsi="Arial"/>
                <w:sz w:val="18"/>
                <w:szCs w:val="18"/>
                <w:color w:val="auto"/>
              </w:rPr>
              <w:t>107</w:t>
            </w:r>
          </w:p>
        </w:tc>
        <w:tc>
          <w:tcPr>
            <w:tcW w:w="11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17.4 %</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increase in revenues for fiscal 2023 as compared to fiscal 2022 was primarily attributable to a net increase in volumes on certain programs, program wins and increased earnings from incentive awards. The increase was partially offset by completion of certain contracts and a net decrease in the recovery of expenditures in the medical examination business.</w:t>
      </w:r>
    </w:p>
    <w:p>
      <w:pPr>
        <w:spacing w:after="0" w:line="6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increase in operating income for fiscal 2023 as compared to fiscal 2022 was primarily attributable to increased earnings from incentive awards and a net increase in volumes on certain programs, partially offset by a net decrease in the recovery of expenditures in the medical examination business.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924"/>
              <w:spacing w:after="0"/>
              <w:rPr>
                <w:sz w:val="20"/>
                <w:szCs w:val="20"/>
                <w:color w:val="auto"/>
              </w:rPr>
            </w:pPr>
            <w:r>
              <w:rPr>
                <w:rFonts w:ascii="Arial" w:cs="Arial" w:eastAsia="Arial" w:hAnsi="Arial"/>
                <w:sz w:val="14"/>
                <w:szCs w:val="14"/>
                <w:color w:val="auto"/>
              </w:rPr>
              <w:t>Year Ended</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color w:val="auto"/>
              </w:rPr>
              <w:t>2023 to 2022</w:t>
            </w:r>
          </w:p>
        </w:tc>
        <w:tc>
          <w:tcPr>
            <w:tcW w:w="0" w:type="dxa"/>
            <w:vAlign w:val="bottom"/>
          </w:tcPr>
          <w:p>
            <w:pPr>
              <w:spacing w:after="0"/>
              <w:rPr>
                <w:sz w:val="1"/>
                <w:szCs w:val="1"/>
                <w:color w:val="auto"/>
              </w:rPr>
            </w:pPr>
          </w:p>
        </w:tc>
      </w:tr>
      <w:tr>
        <w:trPr>
          <w:trHeight w:val="150"/>
        </w:trPr>
        <w:tc>
          <w:tcPr>
            <w:tcW w:w="5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3"/>
                <w:szCs w:val="13"/>
                <w:color w:val="auto"/>
              </w:rPr>
            </w:pPr>
          </w:p>
        </w:tc>
        <w:tc>
          <w:tcPr>
            <w:tcW w:w="1220" w:type="dxa"/>
            <w:vAlign w:val="bottom"/>
          </w:tcPr>
          <w:p>
            <w:pPr>
              <w:jc w:val="center"/>
              <w:ind w:right="124"/>
              <w:spacing w:after="0" w:line="151"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2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December 30,</w:t>
            </w:r>
          </w:p>
        </w:tc>
        <w:tc>
          <w:tcPr>
            <w:tcW w:w="1340" w:type="dxa"/>
            <w:vAlign w:val="bottom"/>
            <w:gridSpan w:val="2"/>
          </w:tcPr>
          <w:p>
            <w:pPr>
              <w:jc w:val="right"/>
              <w:ind w:right="259"/>
              <w:spacing w:after="0" w:line="151" w:lineRule="exact"/>
              <w:rPr>
                <w:sz w:val="20"/>
                <w:szCs w:val="20"/>
                <w:color w:val="auto"/>
              </w:rPr>
            </w:pPr>
            <w:r>
              <w:rPr>
                <w:rFonts w:ascii="Arial" w:cs="Arial" w:eastAsia="Arial" w:hAnsi="Arial"/>
                <w:sz w:val="14"/>
                <w:szCs w:val="14"/>
                <w:color w:val="auto"/>
              </w:rPr>
              <w:t>Dollar change</w:t>
            </w:r>
          </w:p>
        </w:tc>
        <w:tc>
          <w:tcPr>
            <w:tcW w:w="1140" w:type="dxa"/>
            <w:vAlign w:val="bottom"/>
          </w:tcPr>
          <w:p>
            <w:pPr>
              <w:ind w:left="260"/>
              <w:spacing w:after="0" w:line="151"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85"/>
        </w:trPr>
        <w:tc>
          <w:tcPr>
            <w:tcW w:w="5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40" w:type="dxa"/>
            <w:vAlign w:val="bottom"/>
          </w:tcPr>
          <w:p>
            <w:pPr>
              <w:jc w:val="right"/>
              <w:ind w:right="424"/>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2"/>
        </w:trPr>
        <w:tc>
          <w:tcPr>
            <w:tcW w:w="5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4"/>
                <w:szCs w:val="14"/>
                <w:color w:val="auto"/>
              </w:rPr>
              <w:t>(dollars in millions)</w:t>
            </w:r>
          </w:p>
        </w:tc>
        <w:tc>
          <w:tcPr>
            <w:tcW w:w="7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increase in operating loss for fiscal 2023 as compared to fiscal 2022 was primarily attributable to higher legal costs, increased expenses in integration and restructuring activities, partially offset by the impact of foreign payroll tax reserves.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Net</w:t>
      </w:r>
    </w:p>
    <w:p>
      <w:pPr>
        <w:spacing w:after="0" w:line="11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Non-operating expense, net increased by $16 million for fiscal 2023 as compared to fiscal 2022, primarily due to a net increase in interest expense driven by higher interest rates and refinancing activities.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5"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Our effective tax rate was 48.4% and 21.8% in fiscal 2023 and 2022, respectively. The effective tax rate for fiscal 2023 was unfavorably impacted primarily by non tax deductible goodwill impairments. The effective tax rate for fiscal 2022 was favorably impacted primarily by federal research tax credits and excess tax benefits related to employee stock-based payment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Beginning in 2022, the Tax Cuts and Jobs Act of 2017 ("TCJA") eliminated the option to currently deduct certain research and development costs for tax purposes and requires taxpayers to capitalize and amortize research costs over five years. The actual impact will depend on the amount of research and development costs the Company will incur, whether Congress modifies or repeals this provision and whether new guidance and interpretive rules are issued by the U.S. Treasury, among other factors.</w:t>
      </w:r>
    </w:p>
    <w:p>
      <w:pPr>
        <w:spacing w:after="0" w:line="6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December 2021, the Organization for Economic Cooperation and Development (“OECD”) enacted model rules for a new 15% global minimum tax framework (“Pillar Two”). Many governments around the world have enacted or are in the process of enacting Pillar Two legislation. We are evaluating the potential impact of the rules but currently do not expect them to have a material impact.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had net bookings of $16.5 billion and $15.4 billion during fiscal 2023 and 2022,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any impacts from foreign currency or acquisitions and divestitures.</w:t>
      </w:r>
    </w:p>
    <w:p>
      <w:pPr>
        <w:spacing w:after="0" w:line="6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We segregate our backlog into two categories as follows:</w:t>
      </w:r>
    </w:p>
    <w:p>
      <w:pPr>
        <w:spacing w:after="0" w:line="45" w:lineRule="exact"/>
        <w:rPr>
          <w:sz w:val="20"/>
          <w:szCs w:val="20"/>
          <w:color w:val="auto"/>
        </w:rPr>
      </w:pPr>
    </w:p>
    <w:p>
      <w:pPr>
        <w:ind w:left="660" w:right="100" w:hanging="328"/>
        <w:spacing w:after="0" w:line="26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for contracts with the U.S. government represents the value on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less revenues previously recognized on these contracts. Funded backlog for contracts with non-U.S. government entities and commercial customers represents the estimated value on contracts, which may cover multiple future years, under which we are obligated to perform, less revenues previously recognized on the contracts.</w:t>
      </w:r>
    </w:p>
    <w:p>
      <w:pPr>
        <w:spacing w:after="0" w:line="68" w:lineRule="exact"/>
        <w:rPr>
          <w:rFonts w:ascii="Arial" w:cs="Arial" w:eastAsia="Arial" w:hAnsi="Arial"/>
          <w:sz w:val="18"/>
          <w:szCs w:val="18"/>
          <w:color w:val="auto"/>
        </w:rPr>
      </w:pPr>
    </w:p>
    <w:p>
      <w:pPr>
        <w:ind w:left="660" w:right="160" w:hanging="328"/>
        <w:spacing w:after="0" w:line="257" w:lineRule="auto"/>
        <w:tabs>
          <w:tab w:leader="none" w:pos="65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Negotiated Unfunded Backlog. </w:t>
      </w:r>
      <w:r>
        <w:rPr>
          <w:rFonts w:ascii="Arial" w:cs="Arial" w:eastAsia="Arial" w:hAnsi="Arial"/>
          <w:sz w:val="18"/>
          <w:szCs w:val="18"/>
          <w:color w:val="auto"/>
        </w:rPr>
        <w:t>Negotiated unfunded backlog represents estimated amounts of revenue to be earned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for which funding has not been appropriated and unexercised priced contract options. Negotiated unfunded backlog does not include unexercised option periods and future potential task orders expected to be awarded under IDIQ, GSA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for the periods presented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29, 2023</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30, 2022</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Segment</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color w:val="auto"/>
              </w:rPr>
              <w:t>Funded</w:t>
            </w:r>
          </w:p>
        </w:tc>
        <w:tc>
          <w:tcPr>
            <w:tcW w:w="2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color w:val="auto"/>
              </w:rPr>
              <w:t>Unfunded</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color w:val="auto"/>
              </w:rPr>
              <w:t>Funded</w:t>
            </w:r>
          </w:p>
        </w:tc>
        <w:tc>
          <w:tcPr>
            <w:tcW w:w="24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color w:val="auto"/>
              </w:rPr>
              <w:t>Unfunded</w:t>
            </w:r>
          </w:p>
        </w:tc>
        <w:tc>
          <w:tcPr>
            <w:tcW w:w="30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color w:val="auto"/>
              </w:rPr>
              <w:t>Total</w:t>
            </w:r>
          </w:p>
        </w:tc>
      </w:tr>
      <w:tr>
        <w:trPr>
          <w:trHeight w:val="192"/>
        </w:trPr>
        <w:tc>
          <w:tcPr>
            <w:tcW w:w="2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34"/>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Defense Solutions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14,783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18,597</w:t>
            </w: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Civil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10,666</w:t>
            </w: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8,796</w:t>
            </w:r>
          </w:p>
        </w:tc>
        <w:tc>
          <w:tcPr>
            <w:tcW w:w="12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35,782</w:t>
            </w:r>
          </w:p>
        </w:tc>
      </w:tr>
      <w:tr>
        <w:trPr>
          <w:trHeight w:val="21"/>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Bookings and backlog fluctuate from period to period depending on our success rate in winning contracts and the timing of contract awards, renewals, modifications and cancellations, as well as foreign currency movements. Contract awards may be negatively impacted by ongoing industry-wide delays in procurement decisions and budget cuts by the U.S. government as discussed in “Business Environment and Trends”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government customers may include provisions that allow the customer to cancel at any time. Most of our contracts have cancellation terms that would permit us to recover all or a portion of our incurred costs and fees for work performed.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For a discussion of the types of contracts under which we generate revenues, see “Business—Contract Types” in Part I of this Annual Report on Form 10-K. Revenues by contract type as a percentage of our total revenues for the periods presented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Year Ended</w:t>
            </w:r>
          </w:p>
        </w:tc>
        <w:tc>
          <w:tcPr>
            <w:tcW w:w="1440" w:type="dxa"/>
            <w:vAlign w:val="bottom"/>
            <w:tcBorders>
              <w:bottom w:val="single" w:sz="8" w:color="auto"/>
            </w:tcBorders>
          </w:tcPr>
          <w:p>
            <w:pPr>
              <w:spacing w:after="0"/>
              <w:rPr>
                <w:sz w:val="16"/>
                <w:szCs w:val="16"/>
                <w:color w:val="auto"/>
              </w:rPr>
            </w:pPr>
          </w:p>
        </w:tc>
      </w:tr>
      <w:tr>
        <w:trPr>
          <w:trHeight w:val="150"/>
        </w:trPr>
        <w:tc>
          <w:tcPr>
            <w:tcW w:w="6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40"/>
              <w:spacing w:after="0" w:line="151" w:lineRule="exact"/>
              <w:rPr>
                <w:sz w:val="20"/>
                <w:szCs w:val="20"/>
                <w:color w:val="auto"/>
              </w:rPr>
            </w:pPr>
            <w:r>
              <w:rPr>
                <w:rFonts w:ascii="Arial" w:cs="Arial" w:eastAsia="Arial" w:hAnsi="Arial"/>
                <w:sz w:val="14"/>
                <w:szCs w:val="14"/>
                <w:b w:val="1"/>
                <w:bCs w:val="1"/>
                <w:color w:val="auto"/>
              </w:rPr>
              <w:t>December 29,</w:t>
            </w:r>
          </w:p>
        </w:tc>
        <w:tc>
          <w:tcPr>
            <w:tcW w:w="152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rPr>
              <w:t>December 30,</w:t>
            </w:r>
          </w:p>
        </w:tc>
        <w:tc>
          <w:tcPr>
            <w:tcW w:w="1440" w:type="dxa"/>
            <w:vAlign w:val="bottom"/>
          </w:tcPr>
          <w:p>
            <w:pPr>
              <w:jc w:val="right"/>
              <w:ind w:right="196"/>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Cost-reimbursement and fixed-price-incentive-fee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Firm-fixed-price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Time-and-materials and fixed-price-level-of-effort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3"/>
        </w:trPr>
        <w:tc>
          <w:tcPr>
            <w:tcW w:w="67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Liquidity</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29, 2023, we had $777 million in cash and cash equivalents. In March 2023, we entered into a senior unsecured revolving credit facility which can provide up to $1.0 billion in additional borrowing, if required. This new credit facility replaced the previous senior unsecured revolving credit facility. As of December 29, 2023, and December 30, 2022, there were no borrowings outstanding under any revolving credit facility.</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29, 2023, and December 30, 2022, we had outstanding debt of $4.7 billion and $4.9 billion, respectively. In February 2023, we issued and sold $750 million 5.75% fixed-rate senior notes. The annual interest rate is payable on a semi-annual basis. In March 2023, we entered into a Credit Agreement with certain financial institutions, which provided for a senior unsecured term loan facility in an aggregate principal amount of $1.0 billion (the “Term Loan Facility”). The proceeds of the Term Loan Facility and cash on hand were used to repay in full all indebtedness, terminate all commitments and discharge all guarantees existing in connection with a predecessor $1.9 billion senior unsecured term loan facility and a senior unsecured revolving facility.</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29, 2023, borrowings under our Credit Agreement were based on a Term Secured Overnight Financing Rate (“SOFR”) with a 0.10% Term SOFR adjustment and an applicable margin range from 1.00% to 1.50%. At December 29, 2023, the applicable margin for SOFR-denominated borrowings was 1.25%.</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 commercial paper program in which we may issue short-term unsecured commercial paper notes ("Commercial Paper Notes") that have maturities of up to 397 days from the date of issuance (see "Note 13—Debt"). On May 26, 2023, we increased the size of the commercial paper program by $250 million, or not to exceed $1.0 billion. As of December 29, 2023, and December 30, 2022, we did not have any commercial paper notes outstanding.</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made principal payments, excluding the impacts of our Commercial Paper Notes, on our debt of $2,045 million, $ 545 million and $106 million during fiscal 2023, 2022 and 2021, respectively. The activity for fiscal 2023 included a $ 1,210 million payment to discharge the existing Term Loan Facility, a $498 million payment to discharge the $500 million 2.95% notes, due May 2023, and a principal repayment of $320 million to discharge the 364-day term loan credit agreement.</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credit facility, term loan facility, commercial paper notes and notes outstanding as of December 29, 2023, contain financial covenants and customary restrictive covenants. We were in compliance with all covenants as of December 29,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of $201 million for fiscal 2023 and $199 million for both fiscal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fiscal 2023 and 2021, we made open market repurchases of our common stock for an aggregate purchase price of $225 million and $237 million, respectively. There were no open market share repurchases in fiscal 2022.</w:t>
      </w:r>
    </w:p>
    <w:p>
      <w:pPr>
        <w:spacing w:after="0" w:line="4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fiscal 2022, we entered into an ASR with a financial institution to repurchase shares of our outstanding common stock. We paid $500 million to the financial institution and received 4.8 million shares (see "Note 16—Earnings Per Share" of the notes to the consolidated financial statements contained within this Annual Report on Form 10-K). All shares delivered were immediately retired.</w:t>
      </w:r>
    </w:p>
    <w:p>
      <w:pPr>
        <w:spacing w:after="0" w:line="6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Beginning in 2022, a provision in the TCJA which eliminated the option to currently deduct research and development costs for tax purposes, requiring taxpayers to capitalize and amortize the costs over five years became effective. Our tax cash payments increased by approximately $260 million in fiscal 2023, primarily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cover both the fiscal 2022 and 2023 tax obligations related to this provision and we anticipate an increase of approximately $60 million in the fiscal year ending January 3, 2025, ("fiscal 2024"). The actual impact will depend on the amount of research and development costs the Company incurs, whether Congress modifies or repeals this provision and whether new guidance and interpretive rules are issued by the U.S. Treasury, among other factors.</w:t>
      </w:r>
    </w:p>
    <w:p>
      <w:pPr>
        <w:spacing w:after="0" w:line="7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For the next 12 months, we anticipate that we will be able to meet our liquidity needs, including servicing our debt, through cash generated from operations, available cash balances, borrowings from our commercial paper program and, if needed, sales of accounts receivable and borrowings from our revolving credit facility.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information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Year Ended</w:t>
            </w:r>
          </w:p>
        </w:tc>
      </w:tr>
      <w:tr>
        <w:trPr>
          <w:trHeight w:val="150"/>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160"/>
              <w:spacing w:after="0" w:line="151"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160" w:type="dxa"/>
            <w:vAlign w:val="bottom"/>
          </w:tcPr>
          <w:p>
            <w:pPr>
              <w:jc w:val="center"/>
              <w:ind w:right="97"/>
              <w:spacing w:after="0" w:line="151" w:lineRule="exact"/>
              <w:rPr>
                <w:sz w:val="20"/>
                <w:szCs w:val="20"/>
                <w:color w:val="auto"/>
              </w:rPr>
            </w:pPr>
            <w:r>
              <w:rPr>
                <w:rFonts w:ascii="Arial" w:cs="Arial" w:eastAsia="Arial" w:hAnsi="Arial"/>
                <w:sz w:val="14"/>
                <w:szCs w:val="14"/>
                <w:color w:val="auto"/>
              </w:rPr>
              <w:t>December 30,</w:t>
            </w:r>
          </w:p>
        </w:tc>
      </w:tr>
      <w:tr>
        <w:trPr>
          <w:trHeight w:val="185"/>
        </w:trPr>
        <w:tc>
          <w:tcPr>
            <w:tcW w:w="8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2022</w:t>
            </w:r>
          </w:p>
        </w:tc>
      </w:tr>
      <w:tr>
        <w:trPr>
          <w:trHeight w:val="192"/>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3"/>
          </w:tcPr>
          <w:p>
            <w:pPr>
              <w:ind w:left="860"/>
              <w:spacing w:after="0"/>
              <w:rPr>
                <w:sz w:val="20"/>
                <w:szCs w:val="20"/>
                <w:color w:val="auto"/>
              </w:rPr>
            </w:pPr>
            <w:r>
              <w:rPr>
                <w:rFonts w:ascii="Arial" w:cs="Arial" w:eastAsia="Arial" w:hAnsi="Arial"/>
                <w:sz w:val="14"/>
                <w:szCs w:val="14"/>
                <w:color w:val="auto"/>
              </w:rPr>
              <w:t>(in millions)</w:t>
            </w:r>
          </w:p>
        </w:tc>
      </w:tr>
      <w:tr>
        <w:trPr>
          <w:trHeight w:val="234"/>
        </w:trPr>
        <w:tc>
          <w:tcPr>
            <w:tcW w:w="8460" w:type="dxa"/>
            <w:vAlign w:val="bottom"/>
            <w:gridSpan w:val="2"/>
            <w:shd w:val="clear" w:color="auto" w:fill="CCEEFF"/>
          </w:tcPr>
          <w:p>
            <w:pPr>
              <w:ind w:left="20"/>
              <w:spacing w:after="0" w:line="233"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9"/>
              </w:rPr>
              <w:t>992</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240" w:type="dxa"/>
            <w:vAlign w:val="bottom"/>
          </w:tcPr>
          <w:p>
            <w:pPr>
              <w:spacing w:after="0"/>
              <w:rPr>
                <w:sz w:val="19"/>
                <w:szCs w:val="19"/>
                <w:color w:val="auto"/>
              </w:rPr>
            </w:pPr>
          </w:p>
        </w:tc>
        <w:tc>
          <w:tcPr>
            <w:tcW w:w="1160" w:type="dxa"/>
            <w:vAlign w:val="bottom"/>
          </w:tcPr>
          <w:p>
            <w:pPr>
              <w:jc w:val="center"/>
              <w:ind w:left="617"/>
              <w:spacing w:after="0"/>
              <w:rPr>
                <w:sz w:val="20"/>
                <w:szCs w:val="20"/>
                <w:color w:val="auto"/>
              </w:rPr>
            </w:pPr>
            <w:r>
              <w:rPr>
                <w:rFonts w:ascii="Arial" w:cs="Arial" w:eastAsia="Arial" w:hAnsi="Arial"/>
                <w:sz w:val="18"/>
                <w:szCs w:val="18"/>
                <w:color w:val="auto"/>
                <w:w w:val="99"/>
              </w:rPr>
              <w:t>(313)</w:t>
            </w: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9"/>
              </w:rPr>
              <w:t>(865)</w:t>
            </w:r>
          </w:p>
        </w:tc>
      </w:tr>
    </w:tbl>
    <w:p>
      <w:pPr>
        <w:spacing w:after="0" w:line="193" w:lineRule="exact"/>
        <w:rPr>
          <w:sz w:val="20"/>
          <w:szCs w:val="20"/>
          <w:color w:val="auto"/>
        </w:rPr>
      </w:pPr>
    </w:p>
    <w:p>
      <w:pPr>
        <w:ind w:right="520" w:firstLine="8"/>
        <w:spacing w:after="0" w:line="285" w:lineRule="auto"/>
        <w:tabs>
          <w:tab w:leader="none" w:pos="2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Net cash provided by operating activities during the year ended December 30, 2022, was recast to present the effect of foreign exchange rate changes on cash, cash equivalents and restricted cash as a separate line in the consolidated statements of cash flows.</w:t>
      </w:r>
    </w:p>
    <w:p>
      <w:pPr>
        <w:spacing w:after="0" w:line="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operating activities increased $173 million for fiscal 2023 as compared to fiscal 2022. The increase was primarily due to faster collections on receivables and favorable timing of customer advance payments, partially offset by higher tax payments of $260 million mainly in connection with the TCJA provision.</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Net cash used in investing activities decreased $102 million for fiscal 2023 as compared to fiscal 2022. The decrease was primarily due to $190 million of cash paid in connection with our Cobham Special Mission acquisition from the prior year, partially offset with higher capital expenditures of $78 million in the current year.</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financing activities decreased $150 million for fiscal 2023 as compared to fiscal 2022. The decrease was primarily due a net decrease of $ 296 million in stock repurchases driven by the accelerated share repurchase agreement in the prior year and an increase of $1.4 billion in proceeds received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debt in the current year, partially offset by an increase of $1.5 billion in payments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outstanding performance guarantees and cross-indemnity agreements in connection with certain aspects of our business. We have letters of credit outstanding principally related to performance guarantees on contracts and surety bonds outstanding principally related to performance and subcontractor payment bonds as described in "Note 21—Commitments and Contingencies" of the notes to the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future contractual obligations are related to debt, finance and operating leases, long-term liabilities under deferred compensation arrangements, purchase obligations for long-term purchases and service agreements and other liabilities. For more information, see "Note 10 —Leases", "Note 13—Debt", “Note 19—Retirement Plans” and "Note 21—Commitments and Contingencies" of the notes to the consolidated financial statements contained within this Annual Report on Form 10-K.</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interest payments related to our outstanding debt and finance leases. As of December 29, 2023, future scheduled interest payments on our outstanding debt and finance leases were $242 million, expected to be paid in fiscal 2024 and $1.3 billion expected to be paid thereafter.</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29, 2023, future payments on our deferred compensation arrangements and purchase obligations for long-term purchases and service agreements were $51 million, expected to be paid in fiscal 2024, and $157 million expected to be paid thereafter. Our future payments do not include $114 million of income tax liabilities, primarily as a result of uncertain tax positions, and the timing of such payments, if any, cannot be reasonably estimated. For additional information, see "Note 18—Income Taxes"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Guarantors and Issuers of Guaranteed Securities</w:t>
      </w:r>
    </w:p>
    <w:p>
      <w:pPr>
        <w:spacing w:after="0" w:line="11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Leidos Holdings, Inc. (</w:t>
      </w:r>
      <w:r>
        <w:rPr>
          <w:rFonts w:ascii="Arial" w:cs="Arial" w:eastAsia="Arial" w:hAnsi="Arial"/>
          <w:sz w:val="19"/>
          <w:szCs w:val="19"/>
          <w:color w:val="auto"/>
        </w:rPr>
        <w:t>“</w:t>
      </w:r>
      <w:r>
        <w:rPr>
          <w:rFonts w:ascii="Arial" w:cs="Arial" w:eastAsia="Arial" w:hAnsi="Arial"/>
          <w:sz w:val="18"/>
          <w:szCs w:val="18"/>
          <w:color w:val="auto"/>
        </w:rPr>
        <w:t>Guarantor</w:t>
      </w:r>
      <w:r>
        <w:rPr>
          <w:rFonts w:ascii="Arial" w:cs="Arial" w:eastAsia="Arial" w:hAnsi="Arial"/>
          <w:sz w:val="19"/>
          <w:szCs w:val="19"/>
          <w:color w:val="auto"/>
        </w:rPr>
        <w:t>”</w:t>
      </w:r>
      <w:r>
        <w:rPr>
          <w:rFonts w:ascii="Arial" w:cs="Arial" w:eastAsia="Arial" w:hAnsi="Arial"/>
          <w:sz w:val="18"/>
          <w:szCs w:val="18"/>
          <w:color w:val="auto"/>
        </w:rPr>
        <w:t>) has fully and unconditionally guaranteed the debt securities of its subsidiary, Leidos, Inc. (</w:t>
      </w:r>
      <w:r>
        <w:rPr>
          <w:rFonts w:ascii="Arial" w:cs="Arial" w:eastAsia="Arial" w:hAnsi="Arial"/>
          <w:sz w:val="19"/>
          <w:szCs w:val="19"/>
          <w:color w:val="auto"/>
        </w:rPr>
        <w:t>“</w:t>
      </w:r>
      <w:r>
        <w:rPr>
          <w:rFonts w:ascii="Arial" w:cs="Arial" w:eastAsia="Arial" w:hAnsi="Arial"/>
          <w:sz w:val="18"/>
          <w:szCs w:val="18"/>
          <w:color w:val="auto"/>
        </w:rPr>
        <w:t>Issuer</w:t>
      </w:r>
      <w:r>
        <w:rPr>
          <w:rFonts w:ascii="Arial" w:cs="Arial" w:eastAsia="Arial" w:hAnsi="Arial"/>
          <w:sz w:val="19"/>
          <w:szCs w:val="19"/>
          <w:color w:val="auto"/>
        </w:rPr>
        <w:t>”</w:t>
      </w:r>
      <w:r>
        <w:rPr>
          <w:rFonts w:ascii="Arial" w:cs="Arial" w:eastAsia="Arial" w:hAnsi="Arial"/>
          <w:sz w:val="18"/>
          <w:szCs w:val="18"/>
          <w:color w:val="auto"/>
        </w:rPr>
        <w:t>), that were issued pursuant to transactions that were registered under the Securities Act of 1933, as amended (collectively, the “Registered Notes”). The following is a list of the Registered Notes guaranteed by Leidos Holdings, Inc.</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unsecured Registered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$500 million 3.625% notes, due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 million 4.375% notes, due May 2030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$1,000 million 2.300% notes, due February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$750 million 5.750% notes, due March 2033</w:t>
      </w:r>
    </w:p>
    <w:p>
      <w:pPr>
        <w:spacing w:after="0" w:line="18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unsecured unregistered debt securities issued by Leidos,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$250 million 7.125% notes, due July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 million 5.500% notes, due July 2033</w:t>
      </w:r>
    </w:p>
    <w:p>
      <w:pPr>
        <w:spacing w:after="0" w:line="20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unsecured unregistered debt securities issued by 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$300 million 5.950% notes, due December 2040</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summarized financial information includes the assets, liabilities and results of operations for the Guarantor and Issuer of the Registered Notes described above. Intercompany balances and transactions between the Issuer and Guarantor have been eliminated from the financial information below. Investments in the consolidated subsidiaries of the Issuer and Guarantor that do not guarantee the senior unsecured notes have been excluded from the financial information. Intercompany payables represent amounts due to non-guarantor subsidiaries of the Issuer.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Information for the Guarantor and Issuer of Registered Notes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rPr>
              <w:t>December 29,</w:t>
            </w:r>
          </w:p>
        </w:tc>
      </w:tr>
      <w:tr>
        <w:trPr>
          <w:trHeight w:val="189"/>
        </w:trPr>
        <w:tc>
          <w:tcPr>
            <w:tcW w:w="9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2023</w:t>
            </w:r>
          </w:p>
        </w:tc>
      </w:tr>
      <w:tr>
        <w:trPr>
          <w:trHeight w:val="192"/>
        </w:trPr>
        <w:tc>
          <w:tcPr>
            <w:tcW w:w="9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Arial" w:cs="Arial" w:eastAsia="Arial" w:hAnsi="Arial"/>
                <w:sz w:val="14"/>
                <w:szCs w:val="14"/>
                <w:color w:val="auto"/>
              </w:rPr>
              <w:t>(in millions)</w:t>
            </w:r>
          </w:p>
        </w:tc>
      </w:tr>
      <w:tr>
        <w:trPr>
          <w:trHeight w:val="234"/>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5,517</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r>
      <w:tr>
        <w:trPr>
          <w:trHeight w:val="250"/>
        </w:trPr>
        <w:tc>
          <w:tcPr>
            <w:tcW w:w="9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1,983</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Intercompany payables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2,523</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3"/>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 of Operations Information for the Guarantor and Issuer of Registered Notes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Arial" w:cs="Arial" w:eastAsia="Arial" w:hAnsi="Arial"/>
                <w:sz w:val="14"/>
                <w:szCs w:val="14"/>
                <w:b w:val="1"/>
                <w:bCs w:val="1"/>
                <w:color w:val="auto"/>
              </w:rPr>
              <w:t>December 29,</w:t>
            </w:r>
          </w:p>
        </w:tc>
      </w:tr>
      <w:tr>
        <w:trPr>
          <w:trHeight w:val="185"/>
        </w:trPr>
        <w:tc>
          <w:tcPr>
            <w:tcW w:w="9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2023</w:t>
            </w:r>
          </w:p>
        </w:tc>
      </w:tr>
      <w:tr>
        <w:trPr>
          <w:trHeight w:val="192"/>
        </w:trPr>
        <w:tc>
          <w:tcPr>
            <w:tcW w:w="9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4"/>
                <w:szCs w:val="14"/>
                <w:color w:val="auto"/>
              </w:rPr>
              <w:t>(in millions)</w:t>
            </w:r>
          </w:p>
        </w:tc>
      </w:tr>
      <w:tr>
        <w:trPr>
          <w:trHeight w:val="23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and best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identified the following accounting policies as critical because they require significant judgments and assumptions about highly complex and inherently uncertain matters and the use of reasonably different estimates and assumptions could have a material impact on our results of operations or financial condition.</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right="8120" w:firstLine="332"/>
        <w:spacing w:after="0" w:line="375" w:lineRule="auto"/>
        <w:tabs>
          <w:tab w:leader="none" w:pos="6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Goodwill and Intangible Assets </w:t>
      </w:r>
      <w:r>
        <w:rPr>
          <w:rFonts w:ascii="Arial" w:cs="Arial" w:eastAsia="Arial" w:hAnsi="Arial"/>
          <w:sz w:val="18"/>
          <w:szCs w:val="18"/>
          <w:i w:val="1"/>
          <w:iCs w:val="1"/>
          <w:color w:val="auto"/>
        </w:rPr>
        <w:t>Revenue Recognition</w:t>
      </w:r>
    </w:p>
    <w:p>
      <w:pPr>
        <w:spacing w:after="0" w:line="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perform work under various types of contracts, which include FFP, T&amp;M, FP-LOE, cost-plus-fixed-fee, cost-plus-award-fee, cost-plus-incentive-fee and fixed-price-incentive-fee contracts.</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FFP contracts requiring system integration and cost-plus contracts with variable consideration, revenue is generally recognized over time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which require us to use estimates of the revenue and cost associated with the design, manufacture and delivery of our offerings and services. A performance obligation's EAC includes all direct costs such as materials, labor, subcontract costs, overhead and a ratable portion of general and administrative costs. If the estimated cost of a performance obligation whose associated revenue is recognized using the cost-to-cost method exceeds the estimated transaction price, the entire amount of the loss is recognized in operations in the period the loss is known.</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Some of our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allocate the transaction price of a contract to its performance obligations proportionately based upon the individual selling prices. The standalone selling price of the performance obligations is generally based on an expected cost-plus margin approach. For certain product sales, prices from other standalone sales are used. Substantially all of our contracts do not contain a significant financing component, which would require an adjustment to the transaction price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For the impacts of changes in estimates on our contracts, see "Note 3—Summary of Significant Accounting Policies" of the notes to the consolidated financial statements contained within this Annual Report on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We recognize purchased intangible assets in connection with our business acquisitions at fair value on the acquisition date.</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Goodwill is not amortized, but instead is tested annually, at the beginning of the fourth quarter, for impairment at the reporting unit level and may be tested more frequently if events or circumstances indicate that the carrying value may not be recoverable. Intangible assets with indefinite lives are not amortized but are assessed for impairment at the beginning of the fourth quarter and whenever events or changes in circumstances indicate that the carrying value may not be recoverable.</w:t>
      </w:r>
    </w:p>
    <w:p>
      <w:pPr>
        <w:spacing w:after="0" w:line="6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Goodwill and intangible assets, net, collectively represent 53% and 59% of our total assets as of December 29, 2023, and December 30, 2022, respectively.</w:t>
      </w:r>
    </w:p>
    <w:p>
      <w:pPr>
        <w:spacing w:after="0" w:line="5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may perform qualitative or quantitative analysis to test for impairment. Qualitative factors include macroeconomic, industry and market considerations, overall financial performance, industry, legal and other relevant events and factors affecting the reporting unit.</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quantitative analysis utilizes discounted cash flow models and market multiple valuation methods to estimate reporting unit fair values. Discounted cash flow analyses rely on significant judgment and assumptions about expected future cash flows, weighted-average cost of capital, discount rates, expected long-term growth rates and operating margins. These assumptions are based on estimates of future sales and earnings after considering such factors as general market conditions, customer budgets, existing firm and future orders, changes in working capital, long term business plans and recent operating performance. Market multiple analyses incorporate significant judgments and assumptions related to the selection of guideline public companies, our forecast earnings before interest, taxes, depreciation and amortization (“EBITDA”), forecast EBITDA of guideline public companies and control premium estimates.</w:t>
      </w:r>
    </w:p>
    <w:p>
      <w:pPr>
        <w:spacing w:after="0" w:line="7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Operations of the Security Enterprise Solutions ("SES") reporting unit rely heavily on the sales and servicing of security and detection products, which continue to be negatively impacted due to delays in airline travel infrastructure projects as customer budgets recover from the pandemic.</w:t>
      </w:r>
    </w:p>
    <w:p>
      <w:pPr>
        <w:spacing w:after="0" w:line="6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During the third quarter of fiscal 2023, the SES reporting unit refined its portfolio and made strategic business decisions to exit certain product offerings, as well as cease operations in certain countries in order to align the operations of the reporting unit with its strategic business plan. These decisions, along with the delays in airline travel infrastructure projects and higher than anticipated servicing costs, contributed to a significant reduction in the reporting unit’s forecasted revenue and cash flows.</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we conducted an interim quantitative goodwill impairment analysis and our estimates led us to determine that the carrying value of the SES reporting unit exceeded its estimated fair value (see “Note 11—Fair Value Measurements” of the notes to the consolidated financial statements contained within this Annual Report on Form 10-K).</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Accordingly, we recognized a non-cash goodwill impairment charge of $596 million for fiscal 2023 (see “Note 8—Goodwill and Intangible Assets” of the notes to the consolidated financial statements contained within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performed our annual test for impairment as of September 30, 2023, which resulted in no further impairments being identified.</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strategic decisions regarding SES’ product offerings and operating regions caused certain technology and In-process research and development intangible assets to be abandoned and the carrying values of certain program intangible assets to become unrecoverable. As a result, we recognized intangible asset impairment charges of $79 million for fiscal 2023 (see “Note 8—Goodwill and Intangible Assets”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a number of reviews, investigations, claims, lawsuits, other uncertainties and future obligations related to our business. For a discussion of these items, see "Note 10—Leases" and "Note 21—Commitments and Contingencies" of the notes to the consolidated financial statements contained within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17"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For a discussion of these items, see "Note 2—Accounting Standards" of the notes to the consolidated financial statements contained within this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derivatives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At December 29, 2023, and December 30, 2022, we had $4.7 billion and $4.9 billion, respectively, of debt, which included $1.0 billion and</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$1.5 billion, respectively, related to our senior unsecured term loans that have a variable stated interest rate that is determined based on the Secured Overnight Financing Rate ("SOFR") plus a margin. As a result, we may experience fluctuations in interest expense.</w:t>
      </w:r>
    </w:p>
    <w:p>
      <w:pPr>
        <w:spacing w:after="0" w:line="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interest rate swap agreements to hedge the cash flows of a portion of our variable rate senior unsecured term loan ("Variable Rate Loan"). During fiscal 2023, we modified our interest rate swap agreements to receive monthly variable interest payments based on the one-month SOFR rate, and we will continue to pay interest at a fixed rate. We applied the guidance of Accounting Standards Codification 848 which permits the continuation of hedge accounting for such modification. As of December 29, 2023, the notional value of the interest rate swap agreements was $500 million. The interest rate swap agreements effectively converted a portion of our variable rate borrowing to a fixed rate borrowing. The fair value of our interest rate swap agreements with respect to our Variable Rate Loan was an asset of $11 million and $20 million as of December 29, 2023, and December 30, 2022, respectively.</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A net hypothetical 10% movement in the one-month SOFR rate would not have a significant impact on our annual interest expense. For additional information related to our interest rate swap agreements and debt, see "Note 12—Derivative Instruments" and "Note 13—Debt," respectively, of the notes to the consolidated financial statements contained within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29, 2023, and December 30, 2022, our cash and cash equivalents included investments in several large institutional money market accounts. For fiscal 2023 and fiscal 2022, a hypothetical 10% interest rate movement would not have a significant impact on the value of our holdings or on interest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9% of total revenues for fiscal 2023 and 8% for both fiscal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140" w:type="dxa"/>
            <w:vAlign w:val="bottom"/>
            <w:gridSpan w:val="15"/>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500" w:type="dxa"/>
            <w:vAlign w:val="bottom"/>
            <w:gridSpan w:val="9"/>
          </w:tcPr>
          <w:p>
            <w:pPr>
              <w:jc w:val="center"/>
              <w:ind w:right="2540"/>
              <w:spacing w:after="0"/>
              <w:rPr>
                <w:sz w:val="20"/>
                <w:szCs w:val="20"/>
                <w:color w:val="auto"/>
              </w:rPr>
            </w:pPr>
            <w:r>
              <w:rPr>
                <w:rFonts w:ascii="Arial" w:cs="Arial" w:eastAsia="Arial" w:hAnsi="Arial"/>
                <w:sz w:val="18"/>
                <w:szCs w:val="18"/>
                <w:b w:val="1"/>
                <w:bCs w:val="1"/>
                <w:color w:val="auto"/>
                <w:w w:val="99"/>
              </w:rPr>
              <w:t>LEIDOS HOLDINGS, INC.</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20" w:type="dxa"/>
            <w:vAlign w:val="bottom"/>
            <w:gridSpan w:val="10"/>
          </w:tcPr>
          <w:p>
            <w:pPr>
              <w:jc w:val="center"/>
              <w:ind w:right="10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0"/>
        </w:trPr>
        <w:tc>
          <w:tcPr>
            <w:tcW w:w="10020" w:type="dxa"/>
            <w:vAlign w:val="bottom"/>
            <w:gridSpan w:val="14"/>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6420" w:type="dxa"/>
            <w:vAlign w:val="bottom"/>
            <w:gridSpan w:val="8"/>
          </w:tcPr>
          <w:p>
            <w:pPr>
              <w:spacing w:after="0"/>
              <w:rPr>
                <w:sz w:val="20"/>
                <w:szCs w:val="20"/>
                <w:color w:val="auto"/>
              </w:rPr>
            </w:pPr>
            <w:r>
              <w:rPr>
                <w:rFonts w:ascii="Arial" w:cs="Arial" w:eastAsia="Arial" w:hAnsi="Arial"/>
                <w:sz w:val="18"/>
                <w:szCs w:val="18"/>
                <w:color w:val="0000FF"/>
                <w:w w:val="99"/>
              </w:rPr>
              <w:t>Consolidated Balance Sheets as of December 29, 2023 and December 30, 2022</w:t>
            </w:r>
          </w:p>
        </w:tc>
        <w:tc>
          <w:tcPr>
            <w:tcW w:w="3580" w:type="dxa"/>
            <w:vAlign w:val="bottom"/>
            <w:gridSpan w:val="6"/>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260" w:type="dxa"/>
            <w:vAlign w:val="bottom"/>
            <w:tcBorders>
              <w:bottom w:val="single" w:sz="8" w:color="0000FF"/>
            </w:tcBorders>
            <w:shd w:val="clear" w:color="auto" w:fill="0000FF"/>
          </w:tcPr>
          <w:p>
            <w:pPr>
              <w:spacing w:after="0" w:line="20" w:lineRule="exact"/>
              <w:rPr>
                <w:sz w:val="1"/>
                <w:szCs w:val="1"/>
                <w:color w:val="auto"/>
              </w:rPr>
            </w:pPr>
          </w:p>
        </w:tc>
        <w:tc>
          <w:tcPr>
            <w:tcW w:w="1520" w:type="dxa"/>
            <w:vAlign w:val="bottom"/>
            <w:tcBorders>
              <w:bottom w:val="single" w:sz="8" w:color="0000FF"/>
            </w:tcBorders>
            <w:shd w:val="clear" w:color="auto" w:fill="0000FF"/>
          </w:tcPr>
          <w:p>
            <w:pPr>
              <w:spacing w:after="0" w:line="20" w:lineRule="exact"/>
              <w:rPr>
                <w:sz w:val="1"/>
                <w:szCs w:val="1"/>
                <w:color w:val="auto"/>
              </w:rPr>
            </w:pPr>
          </w:p>
        </w:tc>
        <w:tc>
          <w:tcPr>
            <w:tcW w:w="2920" w:type="dxa"/>
            <w:vAlign w:val="bottom"/>
            <w:tcBorders>
              <w:bottom w:val="single" w:sz="8" w:color="0000FF"/>
            </w:tcBorders>
            <w:gridSpan w:val="3"/>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 w:type="dxa"/>
            <w:vAlign w:val="bottom"/>
          </w:tcPr>
          <w:p>
            <w:pPr>
              <w:spacing w:after="0"/>
              <w:rPr>
                <w:sz w:val="21"/>
                <w:szCs w:val="21"/>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FF"/>
              </w:rPr>
              <w:t>Consolidated Statements of Operations for the fiscal years ended December 29, 2023, December 30, 2022 and December</w:t>
            </w:r>
          </w:p>
        </w:tc>
        <w:tc>
          <w:tcPr>
            <w:tcW w:w="8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31, 2021</w:t>
            </w:r>
          </w:p>
        </w:tc>
        <w:tc>
          <w:tcPr>
            <w:tcW w:w="126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16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9540" w:type="dxa"/>
            <w:vAlign w:val="bottom"/>
            <w:gridSpan w:val="9"/>
          </w:tcPr>
          <w:p>
            <w:pPr>
              <w:spacing w:after="0"/>
              <w:rPr>
                <w:sz w:val="20"/>
                <w:szCs w:val="20"/>
                <w:color w:val="auto"/>
              </w:rPr>
            </w:pPr>
            <w:r>
              <w:rPr>
                <w:rFonts w:ascii="Arial" w:cs="Arial" w:eastAsia="Arial" w:hAnsi="Arial"/>
                <w:sz w:val="18"/>
                <w:szCs w:val="18"/>
                <w:color w:val="0000FF"/>
                <w:w w:val="99"/>
              </w:rPr>
              <w:t>Consolidated Statements of Comprehensive Income for the fiscal years ended December 29, 2023, December 30, 2022</w:t>
            </w:r>
          </w:p>
        </w:tc>
        <w:tc>
          <w:tcPr>
            <w:tcW w:w="46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70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5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and December 31, 2021,</w:t>
            </w:r>
          </w:p>
        </w:tc>
        <w:tc>
          <w:tcPr>
            <w:tcW w:w="46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line="20" w:lineRule="exact"/>
              <w:rPr>
                <w:sz w:val="1"/>
                <w:szCs w:val="1"/>
                <w:color w:val="auto"/>
              </w:rPr>
            </w:pPr>
          </w:p>
        </w:tc>
      </w:tr>
      <w:tr>
        <w:trPr>
          <w:trHeight w:val="298"/>
        </w:trPr>
        <w:tc>
          <w:tcPr>
            <w:tcW w:w="14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FF"/>
              </w:rPr>
              <w:t>Consolidated Statements of Equity for the fiscal years ended December 29, 2023, December 30, 2022 and December 31,</w:t>
            </w:r>
          </w:p>
        </w:tc>
        <w:tc>
          <w:tcPr>
            <w:tcW w:w="11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4"/>
              </w:rPr>
              <w:t>2021</w:t>
            </w: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16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4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FF"/>
              </w:rPr>
              <w:t>Consolidated Statements of Cash Flows for the fiscal years ended December 29, 2023, December 30, 2022 and December</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0000FF"/>
              </w:rPr>
              <w:t>72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6"/>
              </w:rPr>
              <w:t>31, 2021</w:t>
            </w:r>
          </w:p>
        </w:tc>
        <w:tc>
          <w:tcPr>
            <w:tcW w:w="2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16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1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14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FF"/>
              </w:rPr>
              <w:t>Notes to Consolidated Financial Statements</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0000FF"/>
              </w:rPr>
              <w:t>74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presented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Leidos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audited the accompanying consolidated balance sheets of Leidos Holdings, Inc. and subsidiaries (the "Company") as of December 29, 2023 and December 30, 2022, the related consolidated statements of operations, comprehensive income, equity, and cash flows, for the fiscal years ended December 29, 2023, December 30, 2022, and December 31, 2021, and the related notes (collectively referred to as the "financial statements"). In our opinion, the financial statements present fairly, in all material respects, the financial position of the Company as of December 29, 2023 and December 30, 2022, and the results of its operations and its cash flows for the fiscal years ended December 29, 2023, December 30, 2022, and December 31, 2021, in conformity with accounting principles generally accepted in the United States of America.</w:t>
      </w:r>
    </w:p>
    <w:p>
      <w:pPr>
        <w:spacing w:after="0" w:line="75"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29,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issued by the Committee of Sponsoring Organizations of the Treadway Commission and our report dated February 13,</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b w:val="1"/>
          <w:bCs w:val="1"/>
          <w:color w:val="auto"/>
        </w:rPr>
        <w:t xml:space="preserve">Goodwill Valuation – Security Enterprise Solutions Reporting Unit - Refer to Note 3 and Note 8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accounting policy is to test goodwill for impairment on the first day of the fourth quarter of each year and more frequently if events or circumstances indicate that the carrying value may not be recoverable. During the third quarter of fiscal year 2023, the Security Enterprise Solutions (“SES”) reporting unit refined its business portfolio and made strategic business decisions to exit certain product offerings, as well as cease operations in certain countries in order to align the operations of the reporting unit with its strategic business plan. These decisions, along with the continued delays in airline travel infrastructure projects and higher than anticipated servicing costs, contributed to a significant reduction in the reporting unit’s forecasted revenue and cash flows. As a result, the Company performed an interim quantitative impairment analysis of goodwill for the SES reporting unit by comparing the estimated fair value of the reporting unit to its carrying value. The Company’s determination of the estimated fair value of the reporting unit was based on a blended approach, including discounted cash flow-models and market earnings multiple. Estimating the fair value of a reporting unit requires the exercise of significant judgment and assumptions including judgments about expected future cash flows, weighted-average cost of capital, and growth rates in revenue and margins. Changes in these assumptions could have a significant impact on the fair value of the reporting unit, the amount of any goodwill impairment charge, or both. As a result of the quantitative assessment, the Company concluded that the carrying value of the reporting unit exceeded the fair value and recognized a goodwill impairment charge of $596 million for the year ended December 29, 2023.</w:t>
      </w:r>
    </w:p>
    <w:p>
      <w:pPr>
        <w:spacing w:after="0" w:line="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identified goodwill for the SES reporting unit as a critical audit matter due to the significant judgments made by management to estimate the fair value of the reporting unit and the sensitivity of the fair value to changes in these estimates. Performing audit procedures to evaluate the reasonableness of management’s estimate required a high degree of auditor judgment and an increased extent of effort, including the need to involve our fair value specialists.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Our audit procedures related to the selection of the discount rate, terminal growth rate and forecasts of future revenues and cash flows for the Security Enterprise Solutions reporting unit included the following, among others:</w:t>
      </w:r>
    </w:p>
    <w:p>
      <w:pPr>
        <w:spacing w:after="0" w:line="73" w:lineRule="exact"/>
        <w:rPr>
          <w:sz w:val="20"/>
          <w:szCs w:val="20"/>
          <w:color w:val="auto"/>
        </w:rPr>
      </w:pPr>
    </w:p>
    <w:p>
      <w:pPr>
        <w:ind w:left="660" w:right="120" w:hanging="328"/>
        <w:spacing w:after="0" w:line="254"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We tested the effectiveness of controls over management’s goodwill impairment evaluation, including those over the selection of the discount, and terminal growth rates and management’s development of forecasted revenues and cash flows, including the completeness, accuracy and reasonableness of the forecasted amounts.</w:t>
      </w:r>
    </w:p>
    <w:p>
      <w:pPr>
        <w:spacing w:after="0" w:line="60" w:lineRule="exact"/>
        <w:rPr>
          <w:rFonts w:ascii="Arial" w:cs="Arial" w:eastAsia="Arial" w:hAnsi="Arial"/>
          <w:sz w:val="20"/>
          <w:szCs w:val="20"/>
          <w:color w:val="auto"/>
        </w:rPr>
      </w:pPr>
    </w:p>
    <w:p>
      <w:pPr>
        <w:ind w:left="660" w:right="100" w:hanging="328"/>
        <w:spacing w:after="0" w:line="245"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We performed a sensitivity analysis of the forecasts of future revenue, earnings before interest, taxes, depreciation and amortization (“EBITDA”) and capital expenditures, which included their impact on the fair value of the SES reporting unit.</w:t>
      </w:r>
    </w:p>
    <w:p>
      <w:pPr>
        <w:spacing w:after="0" w:line="66" w:lineRule="exact"/>
        <w:rPr>
          <w:rFonts w:ascii="Arial" w:cs="Arial" w:eastAsia="Arial" w:hAnsi="Arial"/>
          <w:sz w:val="20"/>
          <w:szCs w:val="20"/>
          <w:color w:val="auto"/>
        </w:rPr>
      </w:pPr>
    </w:p>
    <w:p>
      <w:pPr>
        <w:ind w:left="660" w:right="40" w:hanging="328"/>
        <w:spacing w:after="0" w:line="245"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We evaluated management’s ability to accurately forecast future SES reporting unit revenue and operating income, comparing actual results to management’s historical forecasts.</w:t>
      </w:r>
    </w:p>
    <w:p>
      <w:pPr>
        <w:spacing w:after="0" w:line="80" w:lineRule="exact"/>
        <w:rPr>
          <w:rFonts w:ascii="Arial" w:cs="Arial" w:eastAsia="Arial" w:hAnsi="Arial"/>
          <w:sz w:val="20"/>
          <w:szCs w:val="20"/>
          <w:color w:val="auto"/>
        </w:rPr>
      </w:pPr>
    </w:p>
    <w:p>
      <w:pPr>
        <w:ind w:left="660" w:right="460" w:hanging="328"/>
        <w:spacing w:after="0" w:line="276"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We evaluated the reasonableness of management’s SES reporting unit revenue growth rates, EBITDA projections and timing of future cash flows by comparing the forecasts to:</w:t>
      </w:r>
    </w:p>
    <w:p>
      <w:pPr>
        <w:spacing w:after="0" w:line="50" w:lineRule="exact"/>
        <w:rPr>
          <w:rFonts w:ascii="Arial" w:cs="Arial" w:eastAsia="Arial" w:hAnsi="Arial"/>
          <w:sz w:val="20"/>
          <w:szCs w:val="20"/>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Historical results and current performance.</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Forecasted information included in industry reports considering macroeconomic factors.</w:t>
      </w:r>
    </w:p>
    <w:p>
      <w:pPr>
        <w:spacing w:after="0" w:line="99" w:lineRule="exact"/>
        <w:rPr>
          <w:rFonts w:ascii="Arial" w:cs="Arial" w:eastAsia="Arial" w:hAnsi="Arial"/>
          <w:sz w:val="18"/>
          <w:szCs w:val="18"/>
          <w:color w:val="auto"/>
        </w:rPr>
      </w:pPr>
    </w:p>
    <w:p>
      <w:pPr>
        <w:ind w:left="660" w:right="160" w:hanging="328"/>
        <w:spacing w:after="0" w:line="231"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With the assistance of our fair value specialists, we evaluated (1) the valuation methodology utilized, including testing mathematical accuracy of calculations and (2) the projections of future revenue growth rates, the discount rate and the determination of market multiples by either testing the underlying source information, or by developing a range of independent estimates and comparing those to the rate selected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500"/>
        <w:spacing w:after="0" w:line="360" w:lineRule="auto"/>
        <w:rPr>
          <w:sz w:val="20"/>
          <w:szCs w:val="20"/>
          <w:color w:val="auto"/>
        </w:rPr>
      </w:pPr>
      <w:r>
        <w:rPr>
          <w:rFonts w:ascii="Arial" w:cs="Arial" w:eastAsia="Arial" w:hAnsi="Arial"/>
          <w:sz w:val="18"/>
          <w:szCs w:val="18"/>
          <w:b w:val="1"/>
          <w:bCs w:val="1"/>
          <w:color w:val="auto"/>
        </w:rPr>
        <w:t xml:space="preserve">Revenues — Refer to Note 3 and Note 4 to the financial statements </w:t>
      </w:r>
      <w:r>
        <w:rPr>
          <w:rFonts w:ascii="Arial" w:cs="Arial" w:eastAsia="Arial" w:hAnsi="Arial"/>
          <w:sz w:val="18"/>
          <w:szCs w:val="18"/>
          <w:i w:val="1"/>
          <w:iCs w:val="1"/>
          <w:color w:val="auto"/>
        </w:rPr>
        <w:t>Critical Audit Matter Description</w:t>
      </w:r>
    </w:p>
    <w:p>
      <w:pPr>
        <w:ind w:right="40"/>
        <w:spacing w:after="0" w:line="256" w:lineRule="auto"/>
        <w:rPr>
          <w:sz w:val="20"/>
          <w:szCs w:val="20"/>
          <w:color w:val="auto"/>
        </w:rPr>
      </w:pPr>
      <w:r>
        <w:rPr>
          <w:rFonts w:ascii="Arial" w:cs="Arial" w:eastAsia="Arial" w:hAnsi="Arial"/>
          <w:sz w:val="18"/>
          <w:szCs w:val="18"/>
          <w:color w:val="auto"/>
        </w:rPr>
        <w:t>The Company recognized certain customer contract revenue over time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The accounting for these contracts involves judgment, particularly as it relates to the process of estimating total costs for the performance obligation. In addition, an EAC of a performance obligation includes future losses estimated to be incurred on onerous contracts, as and when known.</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Given the judgments necessary to determine whether multiple promises within a single contract represent a single performance obligation, whether or not the Company is acting as principal in the fulfillment of the identified performance obligations on certain contracts, and estimates of total costs for the performance obligations that recognize revenue using the cost-to-cost method, auditing such accounting conclusions and estimates required extensive audit effort due to the volume and complexity of these contracts and a high degree of auditor judgment when performing audit procedures and evaluating the results of those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audit procedures related to management’s conclusions regarding whether multiple promises within a single contract represent a single performance obligation, whether the Company is acting as a principal or an agent in fulfilling identified performance obligations on certain contracts, and estimates of total costs for the performance obligations that recognize revenue using the cost-to-cost method included the following, among others:</w:t>
      </w:r>
    </w:p>
    <w:p>
      <w:pPr>
        <w:spacing w:after="0" w:line="28" w:lineRule="exact"/>
        <w:rPr>
          <w:sz w:val="20"/>
          <w:szCs w:val="20"/>
          <w:color w:val="auto"/>
        </w:rPr>
      </w:pPr>
    </w:p>
    <w:p>
      <w:pPr>
        <w:ind w:left="660" w:right="40" w:hanging="328"/>
        <w:spacing w:after="0" w:line="272"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18"/>
          <w:szCs w:val="18"/>
          <w:color w:val="auto"/>
        </w:rPr>
        <w:t>We tested the effectiveness of controls over contract revenue, including management’s controls over the initial setup of new contract arrangements and the estimates of total costs and revenues for identified performance obligations.</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18"/>
          <w:szCs w:val="18"/>
          <w:color w:val="auto"/>
        </w:rPr>
        <w:t>We developed an expectation of revenue and compared it to the recorded balance.</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18"/>
          <w:szCs w:val="18"/>
          <w:color w:val="auto"/>
        </w:rPr>
        <w:t>For a selection of contracts, we performed the following for each contract:</w:t>
      </w:r>
    </w:p>
    <w:p>
      <w:pPr>
        <w:spacing w:after="0" w:line="14" w:lineRule="exact"/>
        <w:rPr>
          <w:rFonts w:ascii="Arial" w:cs="Arial" w:eastAsia="Arial" w:hAnsi="Arial"/>
          <w:sz w:val="20"/>
          <w:szCs w:val="20"/>
          <w:color w:val="auto"/>
        </w:rPr>
      </w:pPr>
    </w:p>
    <w:p>
      <w:pPr>
        <w:ind w:left="1300" w:hanging="320"/>
        <w:spacing w:after="0" w:line="251" w:lineRule="auto"/>
        <w:tabs>
          <w:tab w:leader="none" w:pos="12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terms and conditions of each contract and the appropriateness of the accounting treatment in accordance with accounting principles generally accepted in the United States of America, by:</w:t>
      </w:r>
    </w:p>
    <w:p>
      <w:pPr>
        <w:spacing w:after="0" w:line="1" w:lineRule="exact"/>
        <w:rPr>
          <w:rFonts w:ascii="Arial" w:cs="Arial" w:eastAsia="Arial" w:hAnsi="Arial"/>
          <w:sz w:val="18"/>
          <w:szCs w:val="18"/>
          <w:color w:val="auto"/>
        </w:rPr>
      </w:pPr>
    </w:p>
    <w:p>
      <w:pPr>
        <w:ind w:left="1960" w:right="340" w:hanging="332"/>
        <w:spacing w:after="0" w:line="250" w:lineRule="auto"/>
        <w:tabs>
          <w:tab w:leader="none" w:pos="1956" w:val="left"/>
        </w:tabs>
        <w:numPr>
          <w:ilvl w:val="2"/>
          <w:numId w:val="32"/>
        </w:numPr>
        <w:rPr>
          <w:rFonts w:ascii="Arial" w:cs="Arial" w:eastAsia="Arial" w:hAnsi="Arial"/>
          <w:sz w:val="18"/>
          <w:szCs w:val="18"/>
          <w:color w:val="auto"/>
        </w:rPr>
      </w:pPr>
      <w:r>
        <w:rPr>
          <w:rFonts w:ascii="Arial" w:cs="Arial" w:eastAsia="Arial" w:hAnsi="Arial"/>
          <w:sz w:val="18"/>
          <w:szCs w:val="18"/>
          <w:color w:val="auto"/>
        </w:rPr>
        <w:t>Inspecting the executed contract to verify that the facts on which management’s conclusions were reached were consistent with the actual terms and conditions of the contract.</w:t>
      </w:r>
    </w:p>
    <w:p>
      <w:pPr>
        <w:ind w:left="1960" w:hanging="332"/>
        <w:spacing w:after="0" w:line="265" w:lineRule="auto"/>
        <w:tabs>
          <w:tab w:leader="none" w:pos="1956" w:val="left"/>
        </w:tabs>
        <w:numPr>
          <w:ilvl w:val="2"/>
          <w:numId w:val="32"/>
        </w:numPr>
        <w:rPr>
          <w:rFonts w:ascii="Arial" w:cs="Arial" w:eastAsia="Arial" w:hAnsi="Arial"/>
          <w:sz w:val="17"/>
          <w:szCs w:val="17"/>
          <w:color w:val="auto"/>
        </w:rPr>
      </w:pPr>
      <w:r>
        <w:rPr>
          <w:rFonts w:ascii="Arial" w:cs="Arial" w:eastAsia="Arial" w:hAnsi="Arial"/>
          <w:sz w:val="17"/>
          <w:szCs w:val="17"/>
          <w:color w:val="auto"/>
        </w:rPr>
        <w:t>Evaluating the contract within the context of the five-step model and that management’s conclusions were appropriate by evaluating the nature of the promises within the contract, the interrelationship of the promised services and/or products provided, the pattern by which obligations are fulfilled, the number of performance obligations identified, and which party is acting as principal in the fulfillment of the identified performance obligations.</w:t>
      </w:r>
    </w:p>
    <w:p>
      <w:pPr>
        <w:ind w:left="1960" w:right="120" w:hanging="332"/>
        <w:spacing w:after="0" w:line="266" w:lineRule="auto"/>
        <w:tabs>
          <w:tab w:leader="none" w:pos="1956" w:val="left"/>
        </w:tabs>
        <w:numPr>
          <w:ilvl w:val="2"/>
          <w:numId w:val="32"/>
        </w:numPr>
        <w:rPr>
          <w:rFonts w:ascii="Arial" w:cs="Arial" w:eastAsia="Arial" w:hAnsi="Arial"/>
          <w:sz w:val="18"/>
          <w:szCs w:val="18"/>
          <w:color w:val="auto"/>
        </w:rPr>
      </w:pPr>
      <w:r>
        <w:rPr>
          <w:rFonts w:ascii="Arial" w:cs="Arial" w:eastAsia="Arial" w:hAnsi="Arial"/>
          <w:sz w:val="18"/>
          <w:szCs w:val="18"/>
          <w:color w:val="auto"/>
        </w:rPr>
        <w:t>Evaluating the appropriateness and consistency of the methods and assumptions used by management to develop estimates of future revenues that will be recognized and costs that will be incurred.</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Tested the mathematical accuracy of management’s calculation of revenue for the performance obligation.</w:t>
      </w:r>
    </w:p>
    <w:p>
      <w:pPr>
        <w:spacing w:after="0" w:line="63" w:lineRule="exact"/>
        <w:rPr>
          <w:rFonts w:ascii="Arial" w:cs="Arial" w:eastAsia="Arial" w:hAnsi="Arial"/>
          <w:sz w:val="18"/>
          <w:szCs w:val="18"/>
          <w:color w:val="auto"/>
        </w:rPr>
      </w:pPr>
    </w:p>
    <w:p>
      <w:pPr>
        <w:ind w:left="660" w:right="300" w:hanging="328"/>
        <w:spacing w:after="0" w:line="31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analyzed cumulative adjustments recorded during the year and tested those with characteristics of audit interest to determine that the adjustments were the result of changes in facts and circumstances and not estimates that were previously inaccurate.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1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8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46"/>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4"/>
          </w:tcPr>
          <w:p>
            <w:pPr>
              <w:jc w:val="right"/>
              <w:ind w:right="31"/>
              <w:spacing w:after="0" w:line="147" w:lineRule="exact"/>
              <w:rPr>
                <w:sz w:val="20"/>
                <w:szCs w:val="20"/>
                <w:color w:val="auto"/>
              </w:rPr>
            </w:pPr>
            <w:r>
              <w:rPr>
                <w:rFonts w:ascii="Arial" w:cs="Arial" w:eastAsia="Arial" w:hAnsi="Arial"/>
                <w:sz w:val="14"/>
                <w:szCs w:val="14"/>
                <w:color w:val="auto"/>
              </w:rPr>
              <w:t>(in millions, except share and per share</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data)</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29"/>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3"/>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29"/>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9"/>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 and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29"/>
        </w:trPr>
        <w:tc>
          <w:tcPr>
            <w:tcW w:w="842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21)</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Preferred stock, $0.0001 par value, 10,000,000 shares authorized and no shares issued and</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gridSpan w:val="2"/>
          </w:tcPr>
          <w:p>
            <w:pPr>
              <w:ind w:left="300"/>
              <w:spacing w:after="0"/>
              <w:rPr>
                <w:sz w:val="20"/>
                <w:szCs w:val="20"/>
                <w:color w:val="auto"/>
              </w:rPr>
            </w:pPr>
            <w:r>
              <w:rPr>
                <w:rFonts w:ascii="Arial" w:cs="Arial" w:eastAsia="Arial" w:hAnsi="Arial"/>
                <w:sz w:val="18"/>
                <w:szCs w:val="18"/>
                <w:color w:val="auto"/>
              </w:rPr>
              <w:t>outstanding at December 29, 2023 and December 30, 2022</w:t>
            </w:r>
          </w:p>
        </w:tc>
        <w:tc>
          <w:tcPr>
            <w:tcW w:w="14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4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$0.0001 par value, 500,000,000 shares authorized, 135,766,419 and 136,926,990</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shares issued and outstanding at December 29, 2023, and December 30, 2022, respectively</w:t>
            </w:r>
          </w:p>
        </w:tc>
        <w:tc>
          <w:tcPr>
            <w:tcW w:w="14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Leidos stockholders’ equity</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23"/>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12,695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0"/>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12"/>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2021</w:t>
            </w:r>
          </w:p>
        </w:tc>
      </w:tr>
      <w:tr>
        <w:trPr>
          <w:trHeight w:val="192"/>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40" w:type="dxa"/>
            <w:vAlign w:val="bottom"/>
            <w:gridSpan w:val="7"/>
          </w:tcPr>
          <w:p>
            <w:pPr>
              <w:jc w:val="center"/>
              <w:ind w:right="72"/>
              <w:spacing w:after="0"/>
              <w:rPr>
                <w:sz w:val="20"/>
                <w:szCs w:val="20"/>
                <w:color w:val="auto"/>
              </w:rPr>
            </w:pPr>
            <w:r>
              <w:rPr>
                <w:rFonts w:ascii="Arial" w:cs="Arial" w:eastAsia="Arial" w:hAnsi="Arial"/>
                <w:sz w:val="14"/>
                <w:szCs w:val="14"/>
                <w:color w:val="auto"/>
              </w:rPr>
              <w:t>(in millions, except per share data)</w:t>
            </w:r>
          </w:p>
        </w:tc>
      </w:tr>
      <w:tr>
        <w:trPr>
          <w:trHeight w:val="23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2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11,723</w:t>
            </w:r>
          </w:p>
        </w:tc>
      </w:tr>
      <w:tr>
        <w:trPr>
          <w:trHeight w:val="23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Acquisition, integration and restructuring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Goodwill impairment charges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earnings of non-consolidated subsidiaries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7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7"/>
        </w:trPr>
        <w:tc>
          <w:tcPr>
            <w:tcW w:w="70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r>
    </w:tbl>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0"/>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14"/>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2021</w:t>
            </w:r>
          </w:p>
        </w:tc>
      </w:t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698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Unrecognized (loss) gain on derivative instruments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Pension adjustments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29"/>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net income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21"/>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37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Leidos</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4"/>
                <w:szCs w:val="14"/>
                <w:color w:val="auto"/>
              </w:rPr>
            </w:pPr>
          </w:p>
        </w:tc>
        <w:tc>
          <w:tcPr>
            <w:tcW w:w="1000" w:type="dxa"/>
            <w:vAlign w:val="bottom"/>
            <w:vMerge w:val="restart"/>
          </w:tcPr>
          <w:p>
            <w:pPr>
              <w:jc w:val="center"/>
              <w:ind w:right="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9"/>
              </w:rPr>
              <w:t>paid-in</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stockholders'</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controlling</w:t>
            </w:r>
          </w:p>
        </w:tc>
        <w:tc>
          <w:tcPr>
            <w:tcW w:w="120" w:type="dxa"/>
            <w:vAlign w:val="bottom"/>
          </w:tcPr>
          <w:p>
            <w:pPr>
              <w:spacing w:after="0"/>
              <w:rPr>
                <w:sz w:val="12"/>
                <w:szCs w:val="12"/>
                <w:color w:val="auto"/>
              </w:rPr>
            </w:pPr>
          </w:p>
        </w:tc>
        <w:tc>
          <w:tcPr>
            <w:tcW w:w="1000" w:type="dxa"/>
            <w:vAlign w:val="bottom"/>
          </w:tcPr>
          <w:p>
            <w:pPr>
              <w:jc w:val="center"/>
              <w:ind w:right="32"/>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stock</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income (loss)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interest</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60" w:type="dxa"/>
            <w:vAlign w:val="bottom"/>
            <w:gridSpan w:val="8"/>
          </w:tcPr>
          <w:p>
            <w:pPr>
              <w:ind w:left="620"/>
              <w:spacing w:after="0"/>
              <w:rPr>
                <w:sz w:val="20"/>
                <w:szCs w:val="20"/>
                <w:color w:val="auto"/>
              </w:rPr>
            </w:pPr>
            <w:r>
              <w:rPr>
                <w:rFonts w:ascii="Arial" w:cs="Arial" w:eastAsia="Arial" w:hAnsi="Arial"/>
                <w:sz w:val="14"/>
                <w:szCs w:val="14"/>
                <w:color w:val="auto"/>
              </w:rPr>
              <w:t>(in millions, except for per share data)</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Balance at January 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Other comprehensive income, net of</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taxes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Issuances of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Dividends of $1.40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7"/>
        </w:trPr>
        <w:tc>
          <w:tcPr>
            <w:tcW w:w="3180" w:type="dxa"/>
            <w:vAlign w:val="bottom"/>
            <w:gridSpan w:val="2"/>
          </w:tcPr>
          <w:p>
            <w:pPr>
              <w:ind w:left="120"/>
              <w:spacing w:after="0" w:line="167" w:lineRule="exact"/>
              <w:rPr>
                <w:sz w:val="20"/>
                <w:szCs w:val="20"/>
                <w:color w:val="auto"/>
              </w:rPr>
            </w:pPr>
            <w:r>
              <w:rPr>
                <w:rFonts w:ascii="Arial" w:cs="Arial" w:eastAsia="Arial" w:hAnsi="Arial"/>
                <w:sz w:val="17"/>
                <w:szCs w:val="17"/>
                <w:color w:val="auto"/>
              </w:rPr>
              <w:t>Net capital contributions from non-</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3180" w:type="dxa"/>
            <w:vAlign w:val="bottom"/>
            <w:gridSpan w:val="2"/>
          </w:tcPr>
          <w:p>
            <w:pPr>
              <w:ind w:left="280"/>
              <w:spacing w:after="0"/>
              <w:rPr>
                <w:sz w:val="20"/>
                <w:szCs w:val="20"/>
                <w:color w:val="auto"/>
              </w:rPr>
            </w:pPr>
            <w:r>
              <w:rPr>
                <w:rFonts w:ascii="Arial" w:cs="Arial" w:eastAsia="Arial" w:hAnsi="Arial"/>
                <w:sz w:val="17"/>
                <w:szCs w:val="17"/>
                <w:color w:val="auto"/>
              </w:rPr>
              <w:t>controlling interest</w:t>
            </w: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Balance at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Other comprehensive loss, net of</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taxes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Issuances of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Dividends of $1.44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7"/>
        </w:trPr>
        <w:tc>
          <w:tcPr>
            <w:tcW w:w="3180" w:type="dxa"/>
            <w:vAlign w:val="bottom"/>
            <w:gridSpan w:val="2"/>
          </w:tcPr>
          <w:p>
            <w:pPr>
              <w:ind w:left="120"/>
              <w:spacing w:after="0" w:line="167" w:lineRule="exact"/>
              <w:rPr>
                <w:sz w:val="20"/>
                <w:szCs w:val="20"/>
                <w:color w:val="auto"/>
              </w:rPr>
            </w:pPr>
            <w:r>
              <w:rPr>
                <w:rFonts w:ascii="Arial" w:cs="Arial" w:eastAsia="Arial" w:hAnsi="Arial"/>
                <w:sz w:val="17"/>
                <w:szCs w:val="17"/>
                <w:color w:val="auto"/>
              </w:rPr>
              <w:t>Net capital distributions to non-</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180" w:type="dxa"/>
            <w:vAlign w:val="bottom"/>
            <w:gridSpan w:val="2"/>
          </w:tcPr>
          <w:p>
            <w:pPr>
              <w:ind w:left="280"/>
              <w:spacing w:after="0"/>
              <w:rPr>
                <w:sz w:val="20"/>
                <w:szCs w:val="20"/>
                <w:color w:val="auto"/>
              </w:rPr>
            </w:pPr>
            <w:r>
              <w:rPr>
                <w:rFonts w:ascii="Arial" w:cs="Arial" w:eastAsia="Arial" w:hAnsi="Arial"/>
                <w:sz w:val="17"/>
                <w:szCs w:val="17"/>
                <w:color w:val="auto"/>
              </w:rPr>
              <w:t>controlling interest</w:t>
            </w: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Balance at December 30,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EEFF"/>
          </w:tcPr>
          <w:p>
            <w:pPr>
              <w:ind w:left="120"/>
              <w:spacing w:after="0" w:line="167" w:lineRule="exact"/>
              <w:rPr>
                <w:sz w:val="20"/>
                <w:szCs w:val="20"/>
                <w:color w:val="auto"/>
              </w:rPr>
            </w:pPr>
            <w:r>
              <w:rPr>
                <w:rFonts w:ascii="Arial" w:cs="Arial" w:eastAsia="Arial" w:hAnsi="Arial"/>
                <w:sz w:val="17"/>
                <w:szCs w:val="17"/>
                <w:color w:val="auto"/>
              </w:rPr>
              <w:t>Other comprehensive income, net of</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31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taxes</w:t>
            </w:r>
          </w:p>
        </w:tc>
        <w:tc>
          <w:tcPr>
            <w:tcW w:w="10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Issuances of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3180" w:type="dxa"/>
            <w:vAlign w:val="bottom"/>
            <w:gridSpan w:val="2"/>
          </w:tcPr>
          <w:p>
            <w:pPr>
              <w:ind w:left="120"/>
              <w:spacing w:after="0"/>
              <w:rPr>
                <w:sz w:val="20"/>
                <w:szCs w:val="20"/>
                <w:color w:val="auto"/>
              </w:rPr>
            </w:pPr>
            <w:r>
              <w:rPr>
                <w:rFonts w:ascii="Arial" w:cs="Arial" w:eastAsia="Arial" w:hAnsi="Arial"/>
                <w:sz w:val="17"/>
                <w:szCs w:val="17"/>
                <w:color w:val="auto"/>
              </w:rPr>
              <w:t>Dividends of $1.46 per share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7"/>
        </w:trPr>
        <w:tc>
          <w:tcPr>
            <w:tcW w:w="3180" w:type="dxa"/>
            <w:vAlign w:val="bottom"/>
            <w:gridSpan w:val="2"/>
          </w:tcPr>
          <w:p>
            <w:pPr>
              <w:ind w:left="120"/>
              <w:spacing w:after="0" w:line="167" w:lineRule="exact"/>
              <w:rPr>
                <w:sz w:val="20"/>
                <w:szCs w:val="20"/>
                <w:color w:val="auto"/>
              </w:rPr>
            </w:pPr>
            <w:r>
              <w:rPr>
                <w:rFonts w:ascii="Arial" w:cs="Arial" w:eastAsia="Arial" w:hAnsi="Arial"/>
                <w:sz w:val="17"/>
                <w:szCs w:val="17"/>
                <w:color w:val="auto"/>
              </w:rPr>
              <w:t>Net capital distributions to non-</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3180" w:type="dxa"/>
            <w:vAlign w:val="bottom"/>
            <w:gridSpan w:val="2"/>
          </w:tcPr>
          <w:p>
            <w:pPr>
              <w:ind w:left="280"/>
              <w:spacing w:after="0"/>
              <w:rPr>
                <w:sz w:val="20"/>
                <w:szCs w:val="20"/>
                <w:color w:val="auto"/>
              </w:rPr>
            </w:pPr>
            <w:r>
              <w:rPr>
                <w:rFonts w:ascii="Arial" w:cs="Arial" w:eastAsia="Arial" w:hAnsi="Arial"/>
                <w:sz w:val="17"/>
                <w:szCs w:val="17"/>
                <w:color w:val="auto"/>
              </w:rPr>
              <w:t>controlling interest</w:t>
            </w: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b w:val="1"/>
                <w:bCs w:val="1"/>
                <w:color w:val="auto"/>
              </w:rPr>
              <w:t>Balance at December 29,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4,258</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0"/>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Arial" w:cs="Arial" w:eastAsia="Arial" w:hAnsi="Arial"/>
                <w:sz w:val="14"/>
                <w:szCs w:val="14"/>
                <w:color w:val="auto"/>
              </w:rPr>
              <w:t>December 30,</w:t>
            </w:r>
          </w:p>
        </w:tc>
        <w:tc>
          <w:tcPr>
            <w:tcW w:w="160" w:type="dxa"/>
            <w:vAlign w:val="bottom"/>
          </w:tcPr>
          <w:p>
            <w:pPr>
              <w:spacing w:after="0"/>
              <w:rPr>
                <w:sz w:val="13"/>
                <w:szCs w:val="13"/>
                <w:color w:val="auto"/>
              </w:rPr>
            </w:pPr>
          </w:p>
        </w:tc>
        <w:tc>
          <w:tcPr>
            <w:tcW w:w="1120" w:type="dxa"/>
            <w:vAlign w:val="bottom"/>
          </w:tcPr>
          <w:p>
            <w:pPr>
              <w:jc w:val="right"/>
              <w:ind w:right="91"/>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7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2021</w:t>
            </w:r>
          </w:p>
        </w:tc>
      </w:t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operations: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29"/>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7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Goodwill impairment charges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Asset impairment charges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Change in assets and liabilities, net of effects of acquisitions and dispositions: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200" w:type="dxa"/>
            <w:vAlign w:val="bottom"/>
            <w:gridSpan w:val="2"/>
          </w:tcPr>
          <w:p>
            <w:pPr>
              <w:ind w:left="300"/>
              <w:spacing w:after="0"/>
              <w:rPr>
                <w:sz w:val="20"/>
                <w:szCs w:val="20"/>
                <w:color w:val="auto"/>
              </w:rPr>
            </w:pPr>
            <w:r>
              <w:rPr>
                <w:rFonts w:ascii="Arial" w:cs="Arial" w:eastAsia="Arial" w:hAnsi="Arial"/>
                <w:sz w:val="18"/>
                <w:szCs w:val="18"/>
                <w:color w:val="auto"/>
              </w:rPr>
              <w:t>Other current assets and other long-term assets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7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 and accrued liabilities and other long-term liabilities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200" w:type="dxa"/>
            <w:vAlign w:val="bottom"/>
            <w:gridSpan w:val="2"/>
          </w:tcPr>
          <w:p>
            <w:pPr>
              <w:ind w:left="30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Income taxes receivable/payable</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property, equipment and software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Proceeds from disposition of businesses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proceeds from sale of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debt issuance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Repayments of borrowings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for debt issuance and modification costs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Dividend payments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Repurchases of stock and other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Proceeds from issuances of stock</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capital (distributions to) contributions from 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restricted cash at end of year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0"/>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ind w:right="96"/>
              <w:spacing w:after="0" w:line="151"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140" w:type="dxa"/>
            <w:vAlign w:val="bottom"/>
          </w:tcPr>
          <w:p>
            <w:pPr>
              <w:jc w:val="center"/>
              <w:ind w:right="79"/>
              <w:spacing w:after="0" w:line="151" w:lineRule="exact"/>
              <w:rPr>
                <w:sz w:val="20"/>
                <w:szCs w:val="20"/>
                <w:color w:val="auto"/>
              </w:rPr>
            </w:pPr>
            <w:r>
              <w:rPr>
                <w:rFonts w:ascii="Arial" w:cs="Arial" w:eastAsia="Arial" w:hAnsi="Arial"/>
                <w:sz w:val="14"/>
                <w:szCs w:val="14"/>
                <w:color w:val="auto"/>
              </w:rPr>
              <w:t>December 30,</w:t>
            </w:r>
          </w:p>
        </w:tc>
        <w:tc>
          <w:tcPr>
            <w:tcW w:w="240" w:type="dxa"/>
            <w:vAlign w:val="bottom"/>
          </w:tcPr>
          <w:p>
            <w:pPr>
              <w:spacing w:after="0"/>
              <w:rPr>
                <w:sz w:val="13"/>
                <w:szCs w:val="13"/>
                <w:color w:val="auto"/>
              </w:rPr>
            </w:pPr>
          </w:p>
        </w:tc>
        <w:tc>
          <w:tcPr>
            <w:tcW w:w="1120" w:type="dxa"/>
            <w:vAlign w:val="bottom"/>
          </w:tcPr>
          <w:p>
            <w:pPr>
              <w:jc w:val="right"/>
              <w:ind w:right="96"/>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7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2021</w:t>
            </w:r>
          </w:p>
        </w:tc>
      </w:t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Supplementary cash flow information:</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200" w:type="dxa"/>
            <w:vAlign w:val="bottom"/>
            <w:gridSpan w:val="2"/>
          </w:tcPr>
          <w:p>
            <w:pPr>
              <w:ind w:left="14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b w:val="1"/>
                <w:bCs w:val="1"/>
                <w:color w:val="auto"/>
              </w:rPr>
              <w:t>207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435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Non-cash investing activity: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additions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Non-cash financing activity: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Leidos Holdings, Inc. ("Leidos"), a Delaware corporation, is a holding company whose direct 100%-owned subsidiary and principal operating company is Leidos, Inc. Leidos, recognized as a member of the Fortune 500®, is a dynamic innovation company that is at the forefront of addressing the world’s most challenging issues in national security and health sectors. With a global workforce of approximately 47,000, Leidos is committed to developing smarter technology solutions, particularly for customers in highly regulated industries. Leidos'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 Our business has been aligned into three reportable segments: Defense Solutions, Civil and Health. Additionally, we separately present the unallocable costs associated with corporate functions as Corporate.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an 88% controlling interest in Mission Support Alliance, LLC ("MSA"), a joint venture with Centerra Group, LLC, which includes 41% purchased from Jacobs Group, LLC on January 26, 2018. MSA’s contract ended on January 24, 2021. We also have a 53% controlling interest in Hanford Mission Integration Solutions, LLC ("HMIS"), the legal entity for the follow-on contract to MSA's contract and a joint venture with Centerra Group, LLC and Parsons Government Services, Inc. We consolidate the financial results for MSA and HMIS into our consolidated financial statements.</w:t>
      </w:r>
    </w:p>
    <w:p>
      <w:pPr>
        <w:spacing w:after="0" w:line="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consolidated financial statements for the periods presented. Intercompany accounts and transactions between consolidated companies have been eliminated in consolidation.</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Certain amounts in the prior year financial statements have been reclassified to conform to the current year presentation. We combined "Credit losses (recoveries), net" into "Selling, general and administrative expenses" on the consolidated statements of operations. We have certain entities where the functional currency is not the U.S. dollar and have separately presented the effect of exchange rate changes on cash, cash equivalents and restricted cash held in foreign currencies as a separate line in the consolidated statements of cash flows.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2—Accounting Standards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Updates ("ASU") 2020-04, ASU 2021-01, and ASU 2022-06 Reference Rate Reform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2020, the Financial Accounting Standards Board ("FASB") issued ASU 2020-04, which provides companies with optional expedients and exceptions to ease the potential accounting burden associated with transitioning away from reference rates that are expected to be discontinued. This update provides optional expedients for applying accounting guidance to contracts, hedging relationships and other transactions that reference the London Interbank Offered Rate ("LIBOR") or another reference rate expected to be discontinued because of the reference rate reform. The amendments in this update are effective for all entities as of March 2020 and can be adopted using a prospective approach no later than December 31, 2022.</w:t>
      </w:r>
    </w:p>
    <w:p>
      <w:pPr>
        <w:spacing w:after="0" w:line="74" w:lineRule="exact"/>
        <w:rPr>
          <w:sz w:val="20"/>
          <w:szCs w:val="20"/>
          <w:color w:val="auto"/>
        </w:rPr>
      </w:pPr>
    </w:p>
    <w:p>
      <w:pPr>
        <w:ind w:right="1980"/>
        <w:spacing w:after="0" w:line="276" w:lineRule="auto"/>
        <w:rPr>
          <w:sz w:val="20"/>
          <w:szCs w:val="20"/>
          <w:color w:val="auto"/>
        </w:rPr>
      </w:pPr>
      <w:r>
        <w:rPr>
          <w:rFonts w:ascii="Arial" w:cs="Arial" w:eastAsia="Arial" w:hAnsi="Arial"/>
          <w:sz w:val="17"/>
          <w:szCs w:val="17"/>
          <w:color w:val="auto"/>
        </w:rPr>
        <w:t>In January 2021, the FASB issued ASU 2021-01 which amends the scope of ASU 2020-04. The amendments in this update are elective and provide optional relief for entities with hedge accounting and contract modifications affected</w:t>
      </w:r>
    </w:p>
    <w:p>
      <w:pPr>
        <w:ind w:right="120"/>
        <w:spacing w:after="0" w:line="253" w:lineRule="auto"/>
        <w:rPr>
          <w:sz w:val="20"/>
          <w:szCs w:val="20"/>
          <w:color w:val="auto"/>
        </w:rPr>
      </w:pPr>
      <w:r>
        <w:rPr>
          <w:rFonts w:ascii="Arial" w:cs="Arial" w:eastAsia="Arial" w:hAnsi="Arial"/>
          <w:sz w:val="18"/>
          <w:szCs w:val="18"/>
          <w:color w:val="auto"/>
        </w:rPr>
        <w:t>by the transition from LIBOR through December 31, 2022. In December 2022, the FASB issued ASU 2022-06 which extend the deadline for application of ASU 2021-01 through December 31, 2024. Under this relief, entities may continue to account for contract modifications as a continuation of the existing contract and the continuation of the hedge accounting arrangement. In the first half of fiscal 2023, we adopted certain practical expedients available under Accounting Standards Codification ("ASC") 848. Our term loans are based on a Secured Overnight Financing Rate (“SOFR”) rate (see "Note 13—Debt"). In fiscal 2023, we modified our interest rate swap agreements to reference SOFR (see "Note 12—Derivative Instruments") in conformity with the relief available under ASC 848. The standard did not have a material impact on our financial position, results of operations or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2023-07 Segment Reporting</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November 2023, the FASB issued ASU 2023-07, to improve reportable segment disclosure requirements. This update requires companies to disclose significant segment expense categories that are regularly provided to the chief operating decision maker ("CODM") on an interim and annual basis and disclosures about a reportable segment’s profit or loss and assets that are currently required annually on an interim basis. Companies must also disclose how segment measures of profit or loss are used by the CODM.</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amendments in this update are effective for public entities as of November 2023 and should be adopted retrospectively for annual periods beginning after December 15, 2023, and interim periods beginning after December 15, 2024. We are evaluating the impact of the update and plan to adopt the amendments for annual disclosures in fiscal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ASU 2023-09 Income Taxes</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December 2023, the FASB issued ASU 2023-09, to enhance the transparency and usefulness of income tax disclosures. The update requires enhancements to the annual rate reconciliation, including disclosure of specific categories and additional information for reconciling items meeting a quantitative threshold. The update also requires disclosure of income taxes paid disaggregated by federal, state and foreign taxes, and individual jurisdictions meeting a quantitative threshold.</w:t>
      </w:r>
    </w:p>
    <w:p>
      <w:pPr>
        <w:spacing w:after="0" w:line="66"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amendments in this update are effective for public business entities for annual periods beginning after December 15, 2024, and may be adopted on a prospective or retrospective basis. Early adoption is permitted. We are currently evaluating the impacts of this update and plan to adopt these amendments using the prospective approach for annual disclosures in fiscal year 2025.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Periods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Leidos' fiscal year ends on the Friday nearest the end of December. Fiscal 2023 ended December 29, 2023, fiscal 2022 ended December 30, 2022, and fiscal 2021 ended December 31, 2021. Each fiscal year included 52 weeks.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("ROU") assets and lease liabilities, fair value and impairment of intangible assets and goodwill, income taxes, pension benefits, stock-based compensation expense and contingencies. These estimates have been prepared by management on the basis of the most current and best available information; however, actual results could differ materially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Cycle</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operating cycle for long-term contracts may be greater than one year and is measured by the average time intervening between the inception and the completion of those contracts.</w:t>
      </w:r>
    </w:p>
    <w:p>
      <w:pPr>
        <w:spacing w:after="0" w:line="47" w:lineRule="exact"/>
        <w:rPr>
          <w:sz w:val="20"/>
          <w:szCs w:val="20"/>
          <w:color w:val="auto"/>
        </w:rPr>
      </w:pPr>
    </w:p>
    <w:p>
      <w:pPr>
        <w:ind w:right="5520"/>
        <w:spacing w:after="0" w:line="374" w:lineRule="auto"/>
        <w:rPr>
          <w:sz w:val="20"/>
          <w:szCs w:val="20"/>
          <w:color w:val="auto"/>
        </w:rPr>
      </w:pPr>
      <w:r>
        <w:rPr>
          <w:rFonts w:ascii="Arial" w:cs="Arial" w:eastAsia="Arial" w:hAnsi="Arial"/>
          <w:sz w:val="18"/>
          <w:szCs w:val="18"/>
          <w:b w:val="1"/>
          <w:bCs w:val="1"/>
          <w:i w:val="1"/>
          <w:iCs w:val="1"/>
          <w:color w:val="auto"/>
        </w:rPr>
        <w:t xml:space="preserve">Business Combinations, Investments and Variable Interest Entities </w:t>
      </w:r>
      <w:r>
        <w:rPr>
          <w:rFonts w:ascii="Arial" w:cs="Arial" w:eastAsia="Arial" w:hAnsi="Arial"/>
          <w:sz w:val="18"/>
          <w:szCs w:val="18"/>
          <w:i w:val="1"/>
          <w:iCs w:val="1"/>
          <w:color w:val="auto"/>
        </w:rPr>
        <w:t>Business Combinations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accounting for business combinations requires management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judgments about expected future cash flows, weighted-average cost of capital, discount rates and expected long-term growth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Investments in entities and corporate joint ventures where we have a non -controlling ownership interest but over which we have the ability to exercise significant influence, are accounted for under the equity method of accounting. We recognize our proportionate share of the entities' net income or loss and do not consolidate the entities' assets and liabilities.</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Equity investments in entities over which we do not have the ability to exercise significant influence and whose securities do not have a readily determinable fair value are carried at cost or cost net of other-than-temporary impairments.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occasionally form joint ventures and/or enter into arrangements with special purpose limited liability companies for the purpose of bidding and executing on specific projects. We analyze each such arrangement to determine whether it represents a VIE. If the arrangement is determined to be a VIE, we assess whether we are the primary beneficiary of the VIE and are consequently required to consolidate the VIE.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time-to-time, we may dispose (or management may commit to plans to dispose) of strategic or non-strategic components of the business. Divestitures representing a strategic shift that has (or will have) a major effect in operations and financial results are classified as discontinued operations, whereas non-strategic divestitures remain in continuing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Restructuring expenses are incurred in connection with programs aimed at reducing our costs. Restructuring costs may include employee severance benefits, costs to terminate contracts and other permanent exit costs to consolidate or close facilities directly related to the restructuring program.</w:t>
      </w:r>
    </w:p>
    <w:p>
      <w:pPr>
        <w:spacing w:after="0" w:line="6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One-time involuntary termination benefits with a required service period of less than 60 days are recognized when the benefits have been communicated to employees and one-time termination benefits with a required service period in excess of 60 days are recognized over the requisite period. Ongoing termination benefit arrangements are recognized at estimated fair value when it is probable that they will be incurred and are reasonably estimable. Costs associated with exit or disposal activities, including the related one-time and ongoing involuntary termination benefits, are included as "Acquisition, integration and restructuring costs" on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revenues from contracts with customers are from offerings including digital modernization, cyber operations, mission software systems, integrated systems and mission operations, primarily with the U.S. government and its agencies. We also serve various state and local governments, foreign governments and commercial customers.</w:t>
      </w:r>
    </w:p>
    <w:p>
      <w:pPr>
        <w:spacing w:after="0" w:line="63"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We perform under various types of contracts, which include firm-fixed-price ("FFP"), time-and-materials ("T&amp;M"), fixed-price-level-of-effort ("FP-LOE"), cost-plus-fixed-fee ("CPFF"), cost-plus-award-fee, cost-plus-incentive-fee and fixed-price-incentive-fee ("FP-IF") contracts.</w:t>
      </w:r>
    </w:p>
    <w:p>
      <w:pPr>
        <w:spacing w:after="0" w:line="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indefinite delivery/indefinite quantity ("IDIQ") award. In addition, we assess contract modifications to determine whether changes to existing contracts should be accounted for as part of the original performance obligation or as a separate performance obligation. Contract modifications generally relate to changes in contract specifications and requirements and do not add distinct services, and therefore are accounted for as part of the original performance obligation. If contract modifications add distinct goods or services and increase the contract value by an amount that reflects the standalone selling price, those modifications are accounted for as separate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Most of our contracts contain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performance obligations when they include distinct goods or services at standalone selling prices.</w:t>
      </w:r>
    </w:p>
    <w:p>
      <w:pPr>
        <w:spacing w:after="0" w:line="6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Contracts with the U.S. government are subject to the Federal Acquisition Regulation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We allocate the transaction price of a contract to its performance obligations based on their respective standalone selling prices. The performance obligation's standalone selling price is generally based on an expected cost-plus margin approach. For certain product sales, prices from other standalone sales are used. Substantially all of our contracts do not contain a significant financing component, which would require an adjustment to the transaction price of the contract. Any taxes collected or imposed when determining the transaction price are excluded.</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revenue on our service-based contracts primarily over time as there is continuous transfer of control to the customer over the duration of the performance period as the work is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revenue contracts are recognized when incurred over the contract term while the full amount of anticipated losses on other contracts are recognized during the period in which the losses are determined. In certain product sales, where the products have an alternate use, revenue is recognized at a point in time when the customer takes control of the asset usually denoted by possession, transfer of legal title and acceptance by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performance obligations that require system integration and capability development efforts or contain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w:t>
      </w:r>
    </w:p>
    <w:p>
      <w:pPr>
        <w:spacing w:after="0" w:line="7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On certain other performance obligations, principally associated with T&amp;M, FP-LOE and CPFF contracts, revenue is generally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Contract costs generally include direct costs such as labor, materials, subcontract costs and indirect costs identifiable with or allocable to a specific contract. Costs are expensed as incurred unless they qualify for deferral and capitalization. Contract costs incurred for U.S. government contracts, including indirect costs, are subject to audit and adjustment by the Defense Contract Audit Agency ("DCAA") (see "Note 21—Commitments and Contingencies").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Pre-contract Costs</w:t>
      </w:r>
    </w:p>
    <w:p>
      <w:pPr>
        <w:spacing w:after="0" w:line="11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Certain eligible costs incurred prior to the start of a project are deferred as assets when we are required to incur costs prior to contract execution in order to be able to perform on the contract and it is probable that we will recover the costs when the contract is issued. Pre-contract costs are amortized over the requisite service period for which the cost relates.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Costs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Under certain service contracts, costs are incurred at the beginning of the contract to transition services, employees, and equipment to or from the customer or from a prior contractor. These costs are generally capitalized as deferred assets and amortized on a straight-line basis over the anticipated term of the contract or a specified period of performance, including unexercised option periods that are reasonably certain of being exercised.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 Assets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Purchases of assets used to fulfill a specific contract with a customer that do not constitute other specific asset classes are capitalized as project assets when the costs are generally expected to be recovered, we maintain ownership of the asset and the benefit is received over a period of time. Project assets include prepaid services and maintenance agreements, certain material purchases and other costs incurred on contracts. Project assets are amortized using the straight-line method over the shorter of the estimated useful life of the asset or the expected contract period of performance.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on Contracts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Changes in estimates on contracts for the periods presented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43630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Favorable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Unfavorable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favorable impact to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Year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40"/>
              <w:spacing w:after="0" w:line="154" w:lineRule="exact"/>
              <w:rPr>
                <w:sz w:val="20"/>
                <w:szCs w:val="20"/>
                <w:color w:val="auto"/>
              </w:rPr>
            </w:pPr>
            <w:r>
              <w:rPr>
                <w:rFonts w:ascii="Arial" w:cs="Arial" w:eastAsia="Arial" w:hAnsi="Arial"/>
                <w:sz w:val="14"/>
                <w:szCs w:val="14"/>
                <w:b w:val="1"/>
                <w:bCs w:val="1"/>
                <w:color w:val="auto"/>
              </w:rPr>
              <w:t>December 29,</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280"/>
              <w:spacing w:after="0" w:line="154" w:lineRule="exact"/>
              <w:rPr>
                <w:sz w:val="20"/>
                <w:szCs w:val="20"/>
                <w:color w:val="auto"/>
              </w:rPr>
            </w:pPr>
            <w:r>
              <w:rPr>
                <w:rFonts w:ascii="Arial" w:cs="Arial" w:eastAsia="Arial" w:hAnsi="Arial"/>
                <w:sz w:val="14"/>
                <w:szCs w:val="14"/>
                <w:color w:val="auto"/>
              </w:rPr>
              <w:t>December 30,</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37"/>
              <w:spacing w:after="0" w:line="154" w:lineRule="exact"/>
              <w:rPr>
                <w:sz w:val="20"/>
                <w:szCs w:val="20"/>
                <w:color w:val="auto"/>
              </w:rPr>
            </w:pPr>
            <w:r>
              <w:rPr>
                <w:rFonts w:ascii="Arial" w:cs="Arial" w:eastAsia="Arial" w:hAnsi="Arial"/>
                <w:sz w:val="14"/>
                <w:szCs w:val="14"/>
                <w:color w:val="auto"/>
              </w:rPr>
              <w:t>December 31,</w:t>
            </w:r>
          </w:p>
        </w:tc>
      </w:tr>
      <w:tr>
        <w:trPr>
          <w:trHeight w:val="185"/>
        </w:trPr>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2021</w:t>
            </w:r>
          </w:p>
        </w:tc>
      </w:tr>
      <w:tr>
        <w:trPr>
          <w:trHeight w:val="188"/>
        </w:trPr>
        <w:tc>
          <w:tcPr>
            <w:tcW w:w="160" w:type="dxa"/>
            <w:vAlign w:val="bottom"/>
          </w:tcPr>
          <w:p>
            <w:pPr>
              <w:spacing w:after="0"/>
              <w:rPr>
                <w:sz w:val="16"/>
                <w:szCs w:val="16"/>
                <w:color w:val="auto"/>
              </w:rPr>
            </w:pPr>
          </w:p>
        </w:tc>
        <w:tc>
          <w:tcPr>
            <w:tcW w:w="4080" w:type="dxa"/>
            <w:vAlign w:val="bottom"/>
            <w:gridSpan w:val="7"/>
          </w:tcPr>
          <w:p>
            <w:pPr>
              <w:jc w:val="center"/>
              <w:ind w:right="77"/>
              <w:spacing w:after="0"/>
              <w:rPr>
                <w:sz w:val="20"/>
                <w:szCs w:val="20"/>
                <w:color w:val="auto"/>
              </w:rPr>
            </w:pPr>
            <w:r>
              <w:rPr>
                <w:rFonts w:ascii="Arial" w:cs="Arial" w:eastAsia="Arial" w:hAnsi="Arial"/>
                <w:sz w:val="14"/>
                <w:szCs w:val="14"/>
                <w:color w:val="auto"/>
              </w:rPr>
              <w:t>(in millions, except for per share amounts)</w:t>
            </w:r>
          </w:p>
        </w:tc>
      </w:tr>
      <w:tr>
        <w:trPr>
          <w:trHeight w:val="232"/>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5"/>
        </w:trPr>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40"/>
          </w:cols>
          <w:pgMar w:left="320" w:top="179" w:right="359" w:bottom="1440" w:gutter="0" w:footer="0" w:header="0"/>
          <w:type w:val="continuous"/>
        </w:sectPr>
      </w:pPr>
    </w:p>
    <w:p>
      <w:pPr>
        <w:spacing w:after="0" w:line="38" w:lineRule="exact"/>
        <w:rPr>
          <w:sz w:val="20"/>
          <w:szCs w:val="20"/>
          <w:color w:val="auto"/>
        </w:rPr>
      </w:pPr>
    </w:p>
    <w:p>
      <w:pPr>
        <w:ind w:left="20"/>
        <w:spacing w:after="0"/>
        <w:tabs>
          <w:tab w:leader="none" w:pos="6980" w:val="left"/>
          <w:tab w:leader="none" w:pos="7880" w:val="left"/>
          <w:tab w:leader="none" w:pos="8440" w:val="left"/>
          <w:tab w:leader="none" w:pos="9320" w:val="left"/>
          <w:tab w:leader="none" w:pos="9880" w:val="left"/>
          <w:tab w:leader="none" w:pos="10760" w:val="left"/>
        </w:tabs>
        <w:rPr>
          <w:sz w:val="20"/>
          <w:szCs w:val="20"/>
          <w:color w:val="auto"/>
        </w:rPr>
      </w:pPr>
      <w:r>
        <w:rPr>
          <w:rFonts w:ascii="Arial" w:cs="Arial" w:eastAsia="Arial" w:hAnsi="Arial"/>
          <w:sz w:val="18"/>
          <w:szCs w:val="18"/>
          <w:color w:val="auto"/>
        </w:rPr>
        <w:t>Impact on diluted EPS attributable to Leidos common stockholders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0.22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0.17</w:t>
        <w:tab/>
        <w:t>$</w:t>
      </w:r>
      <w:r>
        <w:rPr>
          <w:sz w:val="20"/>
          <w:szCs w:val="20"/>
          <w:color w:val="auto"/>
        </w:rPr>
        <w:tab/>
      </w:r>
      <w:r>
        <w:rPr>
          <w:rFonts w:ascii="Arial" w:cs="Arial" w:eastAsia="Arial" w:hAnsi="Arial"/>
          <w:sz w:val="18"/>
          <w:szCs w:val="18"/>
          <w:color w:val="auto"/>
        </w:rPr>
        <w:t>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92"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 xml:space="preserve">The impact on diluted earnings per share ("EPS") attributable to Leidos common stockholders is calculated using our statutory tax rate. </w:t>
      </w:r>
      <w:r>
        <w:rPr>
          <w:rFonts w:ascii="Arial" w:cs="Arial" w:eastAsia="Arial" w:hAnsi="Arial"/>
          <w:sz w:val="18"/>
          <w:szCs w:val="18"/>
          <w:i w:val="1"/>
          <w:iCs w:val="1"/>
          <w:color w:val="auto"/>
        </w:rPr>
        <w:t>Revenue Recognized from Prior Obligations</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fiscal 2023, 2022 and 2021, revenue recognized from performance obligations satisfied in previous periods was $8 million, $9 million and $26 million, respectively. The changes primarily relate to revisions of variable consideration, including award and incentive fees, and revisions to estimates at completion resulting from changes in contract scope, mitigation of contract risks or due to true-ups of contract estimates at the end of contract performance.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5"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classify indirect costs incurred within or allocated to our U.S. government customers as overhead (included in "Cost of revenues") or general and administrative expenses in the same manner as such costs are defined in our disclosure statements under U.S. government Cost Accounting Standards.</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Selling, general and administrative expenses include general and administrative, bid and proposal, company-funded research and development expenses, and legal fees and settlements.</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research and development funds. Company-funded research and development expense was $128 million, $ 116 million and $109 million for fiscal 2023, 2022 and 2021, respectively. Expenses for research and development activities performed under customer contracts are charged directly to cost of revenues for those contracts.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record liabilities for uncertain tax positions in accordance with ASC 740 on the basis of a two-step process in which we determine whether it is more likely than not that the tax positions will be sustained on the basis of the technical merits of the position and for those tax positions that meet the more-likely-than-not recognition threshold, we recognize the largest amount of tax benefit that is more than 50 percent likely to be realized upon ultimate settlement with the related tax authority. We recognize interest and penalties related to uncertain tax positions in our income tax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cash equivalents are primarily comprised of investments in several large institutional money market accounts, with original maturity of three months or less. Outstanding payments are included within "Cash and cash equivalents" and "Accounts payable and accrued liabilities" correspondingly on the consolidated balance sheets. At December 29, 2023, and December 30, 2022, $136 million and $158 million, respectively, of outstanding payments were included within "Cash and cash equivalents."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restricted cash balances, primarily representing advances from customers that are restricted as to use for certain expenditures related to that customer's contract. Restricted cash balances are included within "Other current assets" on the consolidated balance sheets. Our restricted cash balances were $151 million and $167 million at December 29, 2023, and December 30, 2022,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Receivables include amounts billed and currently due from customers, amounts billable where the right to consideration is unconditional and amounts unbilled. Billable and unbilled amounts are recognized at estimated realizable value and consist of costs and fees, most of which are expected to be billed and collected generally within one year. Unbilled amounts also include rate variances that are billable upon negotiation of final indirect rates with the Defense Contract Management Agency.</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Cost-reimbursable and T&amp;M contracts are generally billed as costs are incurred. FFP contracts are billed either based on milestones, which are the achievement of specific events as defined in the contract, or based on progress payments, which are interim payments up to a designated amount of costs incurred as work progresses. On certain contracts, the customer withholds a certain percentage of the contract price (retainage). These withheld amounts are included within unbilled receivables and are billed upon contract completion or the occurrence of a specified event, typically after negotiation of final indirect rates with the U.S. government. Based on our historical experience, the write-offs of retention balances have not been significant.</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When events or conditions indicate that amounts outstanding from customers may become uncollectible, an allowance is estimated and recorded. This estimate is based on the age of outstanding receivables or specific identification of balances at risk of becoming uncollectible.</w:t>
      </w:r>
    </w:p>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Amounts billed and collected on contracts but not yet recorded as revenue because we have not performed our obligation under the arrangement with a customer are deferred and included within "Accounts payable and accrued liabilities" or "Other long-term liabilities" on the consolidated balance sheets.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Financial instruments that potentially subject us to concentrations of credit risk primarily consist of accounts receivable and derivatives. Since our receivables are primarily with the U.S. government, we do not have exposure to material credit risk. We manage our credit risk related to derivatives through the use of multiple counterparties with high credit standards.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Inventories are valued at the lower of cost or estimated net realizable value. Generally, raw material inventory is valued using the moving average cost method. Work-in-process inventory may include material costs, labor and allocable overhead costs. The majority of finished goods inventory consists of technology and security products, inspection systems, baggage scanning equipment and small glide munitions. Inventory is evaluated against historical or planned usage to determine appropriate provisions for obsolete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is tested for impairment at the reporting unit level on an annual basis and more frequently if events or circumstances indicate that the carrying value of the reporting unit may not be recoverable. Our policy is to perform our annual goodwill impairment evaluation as of the first day of the fourth quarter of our fiscal year. During both fiscal 2023 and 2022, we had seven reporting units for the purpose of testing goodwill for impairment.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is evaluated for impairment either under a qualitative assessment option or a quantitative approach, which depends on the facts and circumstances of a reporting unit, consideration of the excess of a reporting unit's fair value over its carrying amount in previous assessments and changes in business environment.</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When performing a qualitative assessment, we consider factors including, but not limited to, current macroeconomic conditions, industry and market conditions, cost factors, financial performance and other relevant events to determine whether it is more likely than not that the fair value of a reporting unit is less than its carrying value. If we determine that it is more likely than not that a reporting unit's fair value is less than its carrying value, a quantitative goodwill impairment test is performed.</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When performing a quantitative goodwill impairment test, the reporting unit carrying value is compared to its fair value. Goodwill is deemed impaired if, and the impairment loss is recognized for the amount by which, the reporting unit carrying value exceeds its fair value.</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estimate the fair value of each reporting unit using Level 3 inputs when a quantitative analysis is performed. These analyses rely on significant judgments and assumptions about expected future cash flows, weighted-average cost of capital, discount rates, expected long-term growth rates, operating margins and on the selection of guideline public companies.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Acquired intangible assets with finite lives and internally developed software are amortized using the method that best reflects how their economic benefits are utilized or, if a pattern of economic benefits cannot be reliably determined, on a straight-line basis over their estimated useful lives. Program intangible assets are amortized over their respective estimated useful lives in proportion to the pattern of economic benefit based on expected future discounted cash flows. Backlog and trade name intangible assets are amortized on a straight-line basis over their estimated useful lives. 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lives are amortized over the following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Estimated useful lives (in years)</w:t>
            </w: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8-10</w:t>
            </w: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4-13</w:t>
            </w:r>
          </w:p>
        </w:tc>
      </w:tr>
      <w:tr>
        <w:trPr>
          <w:trHeight w:val="230"/>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Software and technology</w:t>
            </w: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3-15</w:t>
            </w:r>
          </w:p>
        </w:tc>
      </w:tr>
      <w:tr>
        <w:trPr>
          <w:trHeight w:val="23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bl>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Purchases of property, plant and equipment, including purchases of software and software licenses, as well as costs associated with major renewals and improvements are capitalized. Maintenance, repairs and minor renewals and improvements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Construction-in-progress ("CIP") is used to accumulate all costs for projects that are not yet complete. CIP balances are transferred to the appropriate asset account when the asset is capitalized and ready for its intended use.</w:t>
      </w:r>
    </w:p>
    <w:p>
      <w:pPr>
        <w:spacing w:after="0" w:line="45"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When assets are sold or otherwise disposed of, the cost and related accumulated depreciation or amortization is removed from the accounts and any resulting gain or loss is recognized. Depreciation is recognized using the methods and estimated useful lives as follows:</w:t>
      </w:r>
    </w:p>
    <w:p>
      <w:pPr>
        <w:spacing w:after="0" w:line="1" w:lineRule="exact"/>
        <w:rPr>
          <w:sz w:val="20"/>
          <w:szCs w:val="20"/>
          <w:color w:val="auto"/>
        </w:rPr>
      </w:pPr>
    </w:p>
    <w:p>
      <w:pPr>
        <w:ind w:left="5600"/>
        <w:spacing w:after="0"/>
        <w:tabs>
          <w:tab w:leader="none" w:pos="8680" w:val="left"/>
        </w:tabs>
        <w:rPr>
          <w:sz w:val="20"/>
          <w:szCs w:val="20"/>
          <w:color w:val="auto"/>
        </w:rPr>
      </w:pPr>
      <w:r>
        <w:rPr>
          <w:rFonts w:ascii="Arial" w:cs="Arial" w:eastAsia="Arial" w:hAnsi="Arial"/>
          <w:sz w:val="14"/>
          <w:szCs w:val="14"/>
          <w:color w:val="auto"/>
        </w:rPr>
        <w:t>Depreciation method</w:t>
      </w:r>
      <w:r>
        <w:rPr>
          <w:sz w:val="20"/>
          <w:szCs w:val="20"/>
          <w:color w:val="auto"/>
        </w:rPr>
        <w:tab/>
      </w:r>
      <w:r>
        <w:rPr>
          <w:rFonts w:ascii="Arial" w:cs="Arial" w:eastAsia="Arial" w:hAnsi="Arial"/>
          <w:sz w:val="14"/>
          <w:szCs w:val="14"/>
          <w:color w:val="auto"/>
        </w:rPr>
        <w:t>Estimated useful lives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45" w:lineRule="exact"/>
        <w:rPr>
          <w:sz w:val="20"/>
          <w:szCs w:val="20"/>
          <w:color w:val="auto"/>
        </w:rPr>
      </w:pPr>
    </w:p>
    <w:p>
      <w:pPr>
        <w:ind w:left="20" w:right="1600"/>
        <w:spacing w:after="0" w:line="303" w:lineRule="auto"/>
        <w:rPr>
          <w:sz w:val="20"/>
          <w:szCs w:val="20"/>
          <w:color w:val="auto"/>
        </w:rPr>
      </w:pPr>
      <w:r>
        <w:rPr>
          <w:rFonts w:ascii="Arial" w:cs="Arial" w:eastAsia="Arial" w:hAnsi="Arial"/>
          <w:sz w:val="18"/>
          <w:szCs w:val="18"/>
          <w:color w:val="auto"/>
        </w:rPr>
        <w:t>Computers and other equipment Buildings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 improvements and leasehold improvements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Vehicles and transportation equipment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 furniture and fixtures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Straight-line or declining-balance</w:t>
            </w:r>
          </w:p>
        </w:tc>
        <w:tc>
          <w:tcPr>
            <w:tcW w:w="120" w:type="dxa"/>
            <w:vAlign w:val="bottom"/>
          </w:tcPr>
          <w:p>
            <w:pPr>
              <w:spacing w:after="0"/>
              <w:rPr>
                <w:sz w:val="19"/>
                <w:szCs w:val="19"/>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30"/>
        </w:trPr>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Straight-line</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Not to exceed 40</w:t>
            </w:r>
          </w:p>
        </w:tc>
        <w:tc>
          <w:tcPr>
            <w:tcW w:w="0" w:type="dxa"/>
            <w:vAlign w:val="bottom"/>
          </w:tcPr>
          <w:p>
            <w:pPr>
              <w:spacing w:after="0"/>
              <w:rPr>
                <w:sz w:val="1"/>
                <w:szCs w:val="1"/>
                <w:color w:val="auto"/>
              </w:rPr>
            </w:pPr>
          </w:p>
        </w:tc>
      </w:tr>
      <w:tr>
        <w:trPr>
          <w:trHeight w:val="189"/>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Straight-line</w:t>
            </w:r>
          </w:p>
        </w:tc>
        <w:tc>
          <w:tcPr>
            <w:tcW w:w="3060" w:type="dxa"/>
            <w:vAlign w:val="bottom"/>
          </w:tcPr>
          <w:p>
            <w:pPr>
              <w:jc w:val="center"/>
              <w:spacing w:after="0" w:line="189" w:lineRule="exact"/>
              <w:rPr>
                <w:sz w:val="20"/>
                <w:szCs w:val="20"/>
                <w:color w:val="auto"/>
              </w:rPr>
            </w:pPr>
            <w:r>
              <w:rPr>
                <w:rFonts w:ascii="Arial" w:cs="Arial" w:eastAsia="Arial" w:hAnsi="Arial"/>
                <w:sz w:val="18"/>
                <w:szCs w:val="18"/>
                <w:color w:val="auto"/>
              </w:rPr>
              <w:t>Shorter of useful life of asset or</w:t>
            </w:r>
          </w:p>
        </w:tc>
        <w:tc>
          <w:tcPr>
            <w:tcW w:w="0" w:type="dxa"/>
            <w:vAlign w:val="bottom"/>
          </w:tcPr>
          <w:p>
            <w:pPr>
              <w:spacing w:after="0"/>
              <w:rPr>
                <w:sz w:val="1"/>
                <w:szCs w:val="1"/>
                <w:color w:val="auto"/>
              </w:rPr>
            </w:pPr>
          </w:p>
        </w:tc>
      </w:tr>
      <w:tr>
        <w:trPr>
          <w:trHeight w:val="144"/>
        </w:trPr>
        <w:tc>
          <w:tcPr>
            <w:tcW w:w="3700" w:type="dxa"/>
            <w:vAlign w:val="bottom"/>
            <w:gridSpan w:val="2"/>
            <w:vMerge w:val="continue"/>
          </w:tcPr>
          <w:p>
            <w:pPr>
              <w:spacing w:after="0"/>
              <w:rPr>
                <w:sz w:val="12"/>
                <w:szCs w:val="12"/>
                <w:color w:val="auto"/>
              </w:rPr>
            </w:pPr>
          </w:p>
        </w:tc>
        <w:tc>
          <w:tcPr>
            <w:tcW w:w="3060" w:type="dxa"/>
            <w:vAlign w:val="bottom"/>
            <w:vMerge w:val="restart"/>
          </w:tcPr>
          <w:p>
            <w:pPr>
              <w:jc w:val="center"/>
              <w:spacing w:after="0"/>
              <w:rPr>
                <w:sz w:val="20"/>
                <w:szCs w:val="20"/>
                <w:color w:val="auto"/>
              </w:rPr>
            </w:pPr>
            <w:r>
              <w:rPr>
                <w:rFonts w:ascii="Arial" w:cs="Arial" w:eastAsia="Arial" w:hAnsi="Arial"/>
                <w:sz w:val="18"/>
                <w:szCs w:val="18"/>
                <w:color w:val="auto"/>
                <w:w w:val="99"/>
              </w:rPr>
              <w:t>remaining lease term</w:t>
            </w:r>
          </w:p>
        </w:tc>
        <w:tc>
          <w:tcPr>
            <w:tcW w:w="0" w:type="dxa"/>
            <w:vAlign w:val="bottom"/>
          </w:tcPr>
          <w:p>
            <w:pPr>
              <w:spacing w:after="0"/>
              <w:rPr>
                <w:sz w:val="1"/>
                <w:szCs w:val="1"/>
                <w:color w:val="auto"/>
              </w:rPr>
            </w:pPr>
          </w:p>
        </w:tc>
      </w:tr>
      <w:tr>
        <w:trPr>
          <w:trHeight w:val="85"/>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Straight-line</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3-15</w:t>
            </w:r>
          </w:p>
        </w:tc>
        <w:tc>
          <w:tcPr>
            <w:tcW w:w="0" w:type="dxa"/>
            <w:vAlign w:val="bottom"/>
          </w:tcPr>
          <w:p>
            <w:pPr>
              <w:spacing w:after="0"/>
              <w:rPr>
                <w:sz w:val="1"/>
                <w:szCs w:val="1"/>
                <w:color w:val="auto"/>
              </w:rPr>
            </w:pPr>
          </w:p>
        </w:tc>
      </w:tr>
      <w:tr>
        <w:trPr>
          <w:trHeight w:val="239"/>
        </w:trPr>
        <w:tc>
          <w:tcPr>
            <w:tcW w:w="3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Straight-line or declining-balance</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-559435</wp:posOffset>
            </wp:positionV>
            <wp:extent cx="713232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-147320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200" w:space="280"/>
            <w:col w:w="6760"/>
          </w:cols>
          <w:pgMar w:left="320" w:top="179" w:right="339" w:bottom="1440" w:gutter="0" w:footer="0" w:header="0"/>
          <w:type w:val="continuous"/>
        </w:sectPr>
      </w:pPr>
    </w:p>
    <w:p>
      <w:pPr>
        <w:ind w:right="80"/>
        <w:spacing w:after="0" w:line="287" w:lineRule="auto"/>
        <w:rPr>
          <w:sz w:val="20"/>
          <w:szCs w:val="20"/>
          <w:color w:val="auto"/>
        </w:rPr>
      </w:pPr>
      <w:r>
        <w:rPr>
          <w:rFonts w:ascii="Arial" w:cs="Arial" w:eastAsia="Arial" w:hAnsi="Arial"/>
          <w:sz w:val="18"/>
          <w:szCs w:val="18"/>
          <w:color w:val="auto"/>
        </w:rPr>
        <w:t>We evaluate our long-lived assets for potential impairment whenever there is evidence that events or changes in circumstances indicate that the carrying value may not be recoverable and the carrying value of the asset exceeds its estimated fair value.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15"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We have facilities and equipment lease arrangements. An arrangement is determined to be a lease at inception if it conveys the right to control the use of identified property, plant, or equipment for a period of time in exchange for consideration. Right-of-use ("ROU") assets represent the right to use an underlying asset over the lease term and lease liabilities represent the obligation to make lease payments arising from the lease.</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ROU assets and lease liabilities are recorded on the consolidated balance sheet at lease commencement date based on the present value of the future minimum lease payments over the lease term. We generally do not know the discount rate implicit in our leases; therefore, the discount rate used is our incremental borrowing rate which is determined based on the rate of interest that we would have to pay to borrow an amount equal to the lease payments on a collateralized basis over a similar term. A ROU asset is initially measured by the present value of the remaining lease payments, plus initial direct costs and prepaid lease payments, less any lease incentives received before commencement. The remaining lease cost is allocated over the remaining lease term on a straight-line basis unless another systematic or rational basis is more representative of the pattern in which the underlying asset is expected to be used.</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facility leases contain options to renew or extend the terms of the lease which are included in the determination of the ROU assets and lease liabilities when it is reasonably certain that we will exercise the option.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 payments that do not depend on an index or rate are recorded as lease expense in the period incurred. At December 29, 2023, certain of the Company's equipment leases include residual value guarantees.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use the practical expedient to not separate non-lease components from lease components and instead account for both components as a single lease. The practical expedient is applied to all material classes of leased assets except for aircraft, for which we account for the lease component and non-lease component separately.</w:t>
      </w:r>
    </w:p>
    <w:p>
      <w:pPr>
        <w:spacing w:after="0" w:line="10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related lease payments on short-term facility and equipment leases are recognized as expense on a straight-line basis over the lease term.</w:t>
      </w:r>
    </w:p>
    <w:p>
      <w:pPr>
        <w:spacing w:after="0" w:line="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ROU assets are evaluated for impairment in a manner consistent with the treatment of other long-lived assets. ROU assets are assessed for potential impairment whenever there is evidence that events or changes in circumstances indicate that the carrying value of the asset may not be recoverable and the carrying amount of the asset exceeds its estimated fair value. This includes an establishment of a plan of abandonment, which occurs when we have committed to a plan to abandon the lease before the end of its previously estimated useful life and there is no expectation that we will re-enter or re-purpose the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 lessor on certain equipment sales-type and operating lease arrangements with our customers. To be considered lease revenue, the contract must contain a specified asset, we must not have a substantive substitution right, the customer must have the right to direct the use of the specified asset during the period of use and the customer must have the right to obtain substantially all of the economic benefit of the specified asset.</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Certain arrangements may contain variable payments that depend on an index or rate and are measured using the index or rate on the commencement date. Variable payments that are not included in the net investments are recorded as revenue as incurred. Arrangements may also contain options to renew or extend the performance period. Option periods are included in the lease term if we determine that it is reasonably certain the customer will exercise an option.</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arrangements that contain both lease and non-lease components. We account for them as one unit of account if the timing and pattern of transfer is identical for both the lease and the non-lease components and the lease component would be classified as an operating lease if accounted for separately. If both criteria are met and the predominant component is a lease, then the entire arrangement will be accounted for in accordance with ASC 842. If we account for an arrangement both as a lease and non-lease component, then the allocation of consideration for each component will be based on the relative standalone sales price.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for identical assets or liabilities that are observable either directly or indirectly or quoted prices that are not active (Level 2); and unobservable inputs in which there is little or no market data (e.g., discounted cash flow and other similar pricing models), which requires us to develop our own assumptions about the assumptions that market participants would use in pricing the asset or liability (Level 3).</w:t>
      </w:r>
    </w:p>
    <w:p>
      <w:pPr>
        <w:spacing w:after="0" w:line="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accounting guidance for fair value measurements requires that we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 We have not made fair value option elections on any of our financial assets and liabilities.</w:t>
      </w:r>
    </w:p>
    <w:p>
      <w:pPr>
        <w:spacing w:after="0" w:line="6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fair value of financial instruments is determined based on quoted market prices, if available, or management's best estimate (see "Financial Instruments" below).</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evaluates its investments for impairment at each balance sheet date. When testing long-term investments for recovery of carrying value, the fair value of long-term investments is determined using various valuation techniques and factors, such as market prices of comparable companies (Level 2 input) and discounted cash flow models (Level 3 input). If management determines that an other-than-temporary decline in the fair value of an investment has occurred, an impairment loss is recognized to reduce the investment to its estimated fair value.</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we generally classify non-financial instruments as either Level 2 or Level 3 fair value measurements.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exposed to certain market risks which are inherent in certain transactions entered into during the normal course of business. These transactions include sales or purchase contracts denominated in foreign currencies and exposure to changing interest rates. We manage our risk to changes in interest rates and foreign currency exchange rates through the use of derivative instruments.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variable rate borrowings, we use fixed interest rate swaps, effectively converting a portion of the variable interest rate payments to fixed interest rate payments. These swaps are designated as cash flow hedges. The fair value of these interest rate swaps is determined based on observed values for the underlying interest rates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enter into foreign currency forward contracts in order to mitigate fluctuations in our earnings and cash flows due to changes in foreign currency exchange rates. The foreign currency forward contracts are not designated as hedges and hedge accounting does not apply. We do not hold derivative instruments for trading or speculative purposes.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defined benefit plan assets consist of investments in pooled funds that contain investments with values based on quoted market prices, but for which the pools are not valued on a daily quoted market basis (Level 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account for stock-based compensation at the grant date based on the fair value of the award and recognize expense over the requisite service period, which is generally the vesting period, net of an estimated forfeiture rate.</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restricted stock awards and performance-based stock awards is based on the closing price of Leidos common stock on the last business day prior to the grant date. The fair value of performance-based stock awards with market conditions is based on using a Monte Carlo simulation.</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fair value of stock option awards granted is based on using the Black-Scholes-Merton option pricing model. The estimation of stock option fair value requires management to make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loss in stockholders' equity. Gains and losses due to movements in foreign currency exchange rates are recognized as "Other expense, net" on the consolidated statements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Remaining performance obligations ("RPO") represent the expected value of exercised contracts, both funded and unfunded, less revenue recognized to date. RPO does not include unexercised option periods and future potential task orders expected to be awarded under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December 29, 2023, we had $15.4 billion of RPO and expect to recognize approximately 62% and 79% over the next 12 months and 24 months, respectively, with the remaining to be recognized thereafter.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disaggregate revenues by customer-type, contract-type and geographic location for each of our reportable segments. These categories represent how the nature, timing and uncertainty of revenues and cash flows are affected.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customer-type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Ended December 29, 2023</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3"/>
        </w:trPr>
        <w:tc>
          <w:tcPr>
            <w:tcW w:w="5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Defense Solutions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6"/>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 and U.S. Intelligence Community</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7,577</w:t>
            </w:r>
          </w:p>
        </w:tc>
      </w:tr>
      <w:tr>
        <w:trPr>
          <w:trHeight w:val="229"/>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U.S. government agencies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5,734</w:t>
            </w: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r>
      <w:tr>
        <w:trPr>
          <w:trHeight w:val="22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15,339</w:t>
            </w:r>
          </w:p>
        </w:tc>
      </w:tr>
      <w:tr>
        <w:trPr>
          <w:trHeight w:val="21"/>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1780"/>
        <w:spacing w:after="0"/>
        <w:rPr>
          <w:sz w:val="20"/>
          <w:szCs w:val="20"/>
          <w:color w:val="auto"/>
        </w:rPr>
      </w:pPr>
      <w:r>
        <w:rPr>
          <w:rFonts w:ascii="Arial" w:cs="Arial" w:eastAsia="Arial" w:hAnsi="Arial"/>
          <w:sz w:val="14"/>
          <w:szCs w:val="14"/>
          <w:color w:val="auto"/>
        </w:rPr>
        <w:t>Year Ended December 30, 2022</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 w:right="1820"/>
        <w:spacing w:after="0" w:line="251" w:lineRule="auto"/>
        <w:rPr>
          <w:sz w:val="20"/>
          <w:szCs w:val="20"/>
          <w:color w:val="auto"/>
        </w:rPr>
      </w:pPr>
      <w:r>
        <w:rPr>
          <w:rFonts w:ascii="Arial" w:cs="Arial" w:eastAsia="Arial" w:hAnsi="Arial"/>
          <w:sz w:val="18"/>
          <w:szCs w:val="18"/>
          <w:color w:val="auto"/>
        </w:rPr>
        <w:t>DoD and U.S. Intelligence Community Other U.S. government agencies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Commercial and non-U.S.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3480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4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7,110</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5,240</w:t>
            </w:r>
          </w:p>
        </w:tc>
      </w:tr>
      <w:tr>
        <w:trPr>
          <w:trHeight w:val="235"/>
        </w:trPr>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r>
      <w:tr>
        <w:trPr>
          <w:trHeight w:val="223"/>
        </w:trPr>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-624840</wp:posOffset>
            </wp:positionV>
            <wp:extent cx="7115175"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-333375</wp:posOffset>
            </wp:positionV>
            <wp:extent cx="71151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06"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Year Ended December 31, 2021</w:t>
      </w:r>
    </w:p>
    <w:p>
      <w:pPr>
        <w:spacing w:after="0" w:line="29" w:lineRule="exact"/>
        <w:rPr>
          <w:sz w:val="20"/>
          <w:szCs w:val="20"/>
          <w:color w:val="auto"/>
        </w:rPr>
      </w:pPr>
    </w:p>
    <w:p>
      <w:pPr>
        <w:sectPr>
          <w:pgSz w:w="11900" w:h="16838" w:orient="portrait"/>
          <w:cols w:equalWidth="0" w:num="2">
            <w:col w:w="4880" w:space="720"/>
            <w:col w:w="5620"/>
          </w:cols>
          <w:pgMar w:left="320" w:top="179" w:right="35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5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6"/>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 and U.S. Intelligence Community</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r>
      <w:tr>
        <w:trPr>
          <w:trHeight w:val="229"/>
        </w:trPr>
        <w:tc>
          <w:tcPr>
            <w:tcW w:w="5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Other U.S. government agencies</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5,092</w:t>
            </w:r>
          </w:p>
        </w:tc>
      </w:tr>
      <w:tr>
        <w:trPr>
          <w:trHeight w:val="23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2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w:t>
            </w:r>
          </w:p>
        </w:tc>
      </w:tr>
      <w:tr>
        <w:trPr>
          <w:trHeight w:val="21"/>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Includes federal government agencies other than the DoD and U.S. Intelligence Community, as well as state and local government agencies.</w:t>
      </w:r>
    </w:p>
    <w:p>
      <w:pPr>
        <w:spacing w:after="0" w:line="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majority of our revenues are generated from U.S. government contracts, either as a prime contractor or as a subcontractor to other contractors. Revenues from the U.S. government can be adversely impacted by spending caps or changes in budgetary priorities of the U.S. government, as well as delays in program start dates or the award of a contract.</w:t>
      </w:r>
    </w:p>
    <w:p>
      <w:pPr>
        <w:sectPr>
          <w:pgSz w:w="11900" w:h="16838" w:orient="portrait"/>
          <w:cols w:equalWidth="0" w:num="1">
            <w:col w:w="11220"/>
          </w:cols>
          <w:pgMar w:left="320" w:top="179" w:right="3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contract-type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480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right="920"/>
        <w:spacing w:after="0" w:line="271" w:lineRule="auto"/>
        <w:rPr>
          <w:sz w:val="20"/>
          <w:szCs w:val="20"/>
          <w:color w:val="auto"/>
        </w:rPr>
      </w:pPr>
      <w:r>
        <w:rPr>
          <w:rFonts w:ascii="Arial" w:cs="Arial" w:eastAsia="Arial" w:hAnsi="Arial"/>
          <w:sz w:val="18"/>
          <w:szCs w:val="18"/>
          <w:color w:val="auto"/>
        </w:rPr>
        <w:t>Cost-reimbursement and fixed-price-incentive-fee Firm-fixed-price</w:t>
      </w:r>
    </w:p>
    <w:p>
      <w:pPr>
        <w:spacing w:after="0" w:line="1" w:lineRule="exact"/>
        <w:rPr>
          <w:sz w:val="20"/>
          <w:szCs w:val="20"/>
          <w:color w:val="auto"/>
        </w:rPr>
      </w:pPr>
    </w:p>
    <w:p>
      <w:pPr>
        <w:ind w:left="40" w:right="980" w:hanging="12"/>
        <w:spacing w:after="0" w:line="339" w:lineRule="auto"/>
        <w:rPr>
          <w:sz w:val="20"/>
          <w:szCs w:val="20"/>
          <w:color w:val="auto"/>
        </w:rPr>
      </w:pPr>
      <w:r>
        <w:rPr>
          <w:rFonts w:ascii="Arial" w:cs="Arial" w:eastAsia="Arial" w:hAnsi="Arial"/>
          <w:sz w:val="18"/>
          <w:szCs w:val="18"/>
          <w:color w:val="auto"/>
        </w:rPr>
        <w:t>Time-and-materials and fixed-price-level-of-effort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3480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right="920"/>
        <w:spacing w:after="0" w:line="271" w:lineRule="auto"/>
        <w:rPr>
          <w:sz w:val="20"/>
          <w:szCs w:val="20"/>
          <w:color w:val="auto"/>
        </w:rPr>
      </w:pPr>
      <w:r>
        <w:rPr>
          <w:rFonts w:ascii="Arial" w:cs="Arial" w:eastAsia="Arial" w:hAnsi="Arial"/>
          <w:sz w:val="18"/>
          <w:szCs w:val="18"/>
          <w:color w:val="auto"/>
        </w:rPr>
        <w:t>Cost-reimbursement and fixed-price-incentive-fee Firm-fixed-price</w:t>
      </w:r>
    </w:p>
    <w:p>
      <w:pPr>
        <w:spacing w:after="0" w:line="1" w:lineRule="exact"/>
        <w:rPr>
          <w:sz w:val="20"/>
          <w:szCs w:val="20"/>
          <w:color w:val="auto"/>
        </w:rPr>
      </w:pPr>
    </w:p>
    <w:p>
      <w:pPr>
        <w:ind w:left="40" w:right="980" w:hanging="12"/>
        <w:spacing w:after="0" w:line="339" w:lineRule="auto"/>
        <w:rPr>
          <w:sz w:val="20"/>
          <w:szCs w:val="20"/>
          <w:color w:val="auto"/>
        </w:rPr>
      </w:pPr>
      <w:r>
        <w:rPr>
          <w:rFonts w:ascii="Arial" w:cs="Arial" w:eastAsia="Arial" w:hAnsi="Arial"/>
          <w:sz w:val="18"/>
          <w:szCs w:val="18"/>
          <w:color w:val="auto"/>
        </w:rPr>
        <w:t>Time-and-materials and fixed-price-level-of-effort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3480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right="920"/>
        <w:spacing w:after="0" w:line="271" w:lineRule="auto"/>
        <w:rPr>
          <w:sz w:val="20"/>
          <w:szCs w:val="20"/>
          <w:color w:val="auto"/>
        </w:rPr>
      </w:pPr>
      <w:r>
        <w:rPr>
          <w:rFonts w:ascii="Arial" w:cs="Arial" w:eastAsia="Arial" w:hAnsi="Arial"/>
          <w:sz w:val="18"/>
          <w:szCs w:val="18"/>
          <w:color w:val="auto"/>
        </w:rPr>
        <w:t>Cost-reimbursement and fixed-price-incentive-fee Firm-fixed-price</w:t>
      </w:r>
    </w:p>
    <w:p>
      <w:pPr>
        <w:spacing w:after="0" w:line="1" w:lineRule="exact"/>
        <w:rPr>
          <w:sz w:val="20"/>
          <w:szCs w:val="20"/>
          <w:color w:val="auto"/>
        </w:rPr>
      </w:pPr>
    </w:p>
    <w:p>
      <w:pPr>
        <w:ind w:left="40" w:right="980" w:hanging="12"/>
        <w:spacing w:after="0" w:line="339" w:lineRule="auto"/>
        <w:rPr>
          <w:sz w:val="20"/>
          <w:szCs w:val="20"/>
          <w:color w:val="auto"/>
        </w:rPr>
      </w:pPr>
      <w:r>
        <w:rPr>
          <w:rFonts w:ascii="Arial" w:cs="Arial" w:eastAsia="Arial" w:hAnsi="Arial"/>
          <w:sz w:val="18"/>
          <w:szCs w:val="18"/>
          <w:color w:val="auto"/>
        </w:rPr>
        <w:t>Time-and-materials and fixed-price-level-of-effort Total</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Year Ended December 29,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7"/>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4,793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7,341</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5,964</w:t>
            </w:r>
          </w:p>
        </w:tc>
      </w:tr>
      <w:tr>
        <w:trPr>
          <w:trHeight w:val="235"/>
        </w:trPr>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w:t>
            </w:r>
          </w:p>
        </w:tc>
      </w:tr>
      <w:tr>
        <w:trPr>
          <w:trHeight w:val="223"/>
        </w:trPr>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15,339</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0"/>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30, 2022</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7"/>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7,113</w:t>
            </w:r>
          </w:p>
        </w:tc>
      </w:tr>
      <w:tr>
        <w:trPr>
          <w:trHeight w:val="229"/>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5,402</w:t>
            </w:r>
          </w:p>
        </w:tc>
      </w:tr>
      <w:tr>
        <w:trPr>
          <w:trHeight w:val="235"/>
        </w:trPr>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r>
      <w:tr>
        <w:trPr>
          <w:trHeight w:val="223"/>
        </w:trPr>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3"/>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31,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7"/>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6,876</w:t>
            </w:r>
          </w:p>
        </w:tc>
      </w:tr>
      <w:tr>
        <w:trPr>
          <w:trHeight w:val="23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4,971</w:t>
            </w:r>
          </w:p>
        </w:tc>
      </w:tr>
      <w:tr>
        <w:trPr>
          <w:trHeight w:val="235"/>
        </w:trPr>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23"/>
        </w:trPr>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-2828290</wp:posOffset>
            </wp:positionV>
            <wp:extent cx="711517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-2536825</wp:posOffset>
            </wp:positionV>
            <wp:extent cx="711517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-1731010</wp:posOffset>
            </wp:positionV>
            <wp:extent cx="71151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-1439545</wp:posOffset>
            </wp:positionV>
            <wp:extent cx="711517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-624840</wp:posOffset>
            </wp:positionV>
            <wp:extent cx="711517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-334010</wp:posOffset>
            </wp:positionV>
            <wp:extent cx="711517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4880" w:space="720"/>
            <w:col w:w="5620"/>
          </w:cols>
          <w:pgMar w:left="320" w:top="1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Cost-reimbursement and FP-IF contracts are generally lower risk and have lower profits. T&amp;M and FP-LOE contracts are also lower risk, but profits may vary depending on actual labor costs compared to negotiated contract billing rates. FFP contracts offer the potential for higher profits while increasing the exposure to risk of cost overruns.</w:t>
      </w:r>
    </w:p>
    <w:p>
      <w:pPr>
        <w:sectPr>
          <w:pgSz w:w="11900" w:h="16838" w:orient="portrait"/>
          <w:cols w:equalWidth="0" w:num="1">
            <w:col w:w="11220"/>
          </w:cols>
          <w:pgMar w:left="320" w:top="179" w:right="359" w:bottom="1440" w:gutter="0" w:footer="0" w:header="0"/>
        </w:sectPr>
      </w:pP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geographic location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3480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3480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3480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International</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Year Ended December 29,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7,594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3,381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3,040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14,015</w:t>
            </w:r>
          </w:p>
        </w:tc>
      </w:tr>
      <w:tr>
        <w:trPr>
          <w:trHeight w:val="235"/>
        </w:trPr>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15,339</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68"/>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30, 2022</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13,098</w:t>
            </w:r>
          </w:p>
        </w:tc>
      </w:tr>
      <w:tr>
        <w:trPr>
          <w:trHeight w:val="235"/>
        </w:trPr>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14,287</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3"/>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color w:val="auto"/>
              </w:rPr>
              <w:t>Year Ended December 31,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6"/>
        </w:trPr>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Total</w:t>
            </w:r>
          </w:p>
        </w:tc>
      </w:tr>
      <w:tr>
        <w:trPr>
          <w:trHeight w:val="192"/>
        </w:trPr>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left="619"/>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12,469</w:t>
            </w:r>
          </w:p>
        </w:tc>
      </w:tr>
      <w:tr>
        <w:trPr>
          <w:trHeight w:val="235"/>
        </w:trPr>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23"/>
        </w:trPr>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-2433955</wp:posOffset>
            </wp:positionV>
            <wp:extent cx="711517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-2142490</wp:posOffset>
            </wp:positionV>
            <wp:extent cx="711517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-1439545</wp:posOffset>
            </wp:positionV>
            <wp:extent cx="711517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-1148080</wp:posOffset>
            </wp:positionV>
            <wp:extent cx="711517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-479425</wp:posOffset>
            </wp:positionV>
            <wp:extent cx="711517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-187960</wp:posOffset>
            </wp:positionV>
            <wp:extent cx="711517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5140" w:space="460"/>
            <w:col w:w="5620"/>
          </w:cols>
          <w:pgMar w:left="320" w:top="179" w:right="359" w:bottom="1440" w:gutter="0" w:footer="0" w:header="0"/>
          <w:type w:val="continuous"/>
        </w:sectPr>
      </w:pPr>
    </w:p>
    <w:p>
      <w:pPr>
        <w:ind w:right="260"/>
        <w:spacing w:after="0" w:line="268" w:lineRule="auto"/>
        <w:rPr>
          <w:sz w:val="20"/>
          <w:szCs w:val="20"/>
          <w:color w:val="auto"/>
        </w:rPr>
      </w:pPr>
      <w:r>
        <w:rPr>
          <w:rFonts w:ascii="Arial" w:cs="Arial" w:eastAsia="Arial" w:hAnsi="Arial"/>
          <w:sz w:val="18"/>
          <w:szCs w:val="18"/>
          <w:color w:val="auto"/>
        </w:rPr>
        <w:t>Our international business operations, primarily located in Australia and the U.K., are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our services, sales of products or repatriation of profits. International transactions can also involve increased financial and legal risks arising from foreign exchange variability, imposition of tariffs or additional taxes and restrictive trade policies and delays or failure to collect amounts due to differing legal systems.</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Revenues by contract-type, customer-type and geographic location exclude lease income of $99 million, $109 million and $120 million for fiscal 2023, 2022 and 2021, respectively (see "Note 10—Leases").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Contract assets consist of unbilled receivables, which is the amount of revenue recognized that exceeds the amount billed to the customer. Unbilled receivables exclude amounts billable where the right to consideration is solely subject to the passage of time. Contract liabilities consist of deferred revenue, which represents cash advances received prior to performance for programs and billings in excess of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 assets and contract liabilities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4"/>
                <w:szCs w:val="14"/>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29,</w:t>
            </w:r>
          </w:p>
        </w:tc>
        <w:tc>
          <w:tcPr>
            <w:tcW w:w="26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160" w:type="dxa"/>
            <w:vAlign w:val="bottom"/>
          </w:tcPr>
          <w:p>
            <w:pPr>
              <w:jc w:val="right"/>
              <w:ind w:right="41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3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3"/>
          </w:tcPr>
          <w:p>
            <w:pPr>
              <w:jc w:val="right"/>
              <w:ind w:right="95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assets - current:</w:t>
            </w:r>
          </w:p>
        </w:tc>
        <w:tc>
          <w:tcPr>
            <w:tcW w:w="4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Unbilled receivables</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1,041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Contract liabilities - current:</w:t>
            </w: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r>
              <w:rPr>
                <w:rFonts w:ascii="Arial" w:cs="Arial" w:eastAsia="Arial" w:hAnsi="Arial"/>
                <w:sz w:val="9"/>
                <w:szCs w:val="9"/>
                <w:color w:val="auto"/>
              </w:rPr>
              <w:t>(1)</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liabilities - non-current:</w:t>
            </w:r>
          </w:p>
        </w:tc>
        <w:tc>
          <w:tcPr>
            <w:tcW w:w="4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r>
              <w:rPr>
                <w:rFonts w:ascii="Arial" w:cs="Arial" w:eastAsia="Arial" w:hAnsi="Arial"/>
                <w:sz w:val="9"/>
                <w:szCs w:val="9"/>
                <w:color w:val="auto"/>
              </w:rPr>
              <w:t>(1)</w:t>
            </w: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Certain contracts record revenue on a net contract basis, and therefore, the respective deferred revenue balance will not fully convert to revenue.</w:t>
      </w:r>
    </w:p>
    <w:p>
      <w:pPr>
        <w:spacing w:after="0" w:line="8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increase in deferred revenue was primarily due to the timing of advanced payments from customers, offset by revenue recognized during the period.</w:t>
      </w:r>
    </w:p>
    <w:p>
      <w:pPr>
        <w:spacing w:after="0" w:line="4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Revenue recognized during fiscal 2023 and 2022 of $232 million and $270 million, respectively, was included as a contract liability at December 30, 2022, and December 31, 2021,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recognized on contract assets during fiscal 2023,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may acquire businesses as part of our growth strategy to provide new or enhance existing capabilities and offerings to customers. During fiscal 2022, we completed the acquisition of Cobham Aviation Services Australia’s Special Mission business ("Cobham Special Mission"). During fiscal 2021, we completed the acquisitions of Gibbs &amp; Cox, 1901 Group, LLC ("1901 Group") and an immaterial strategic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Cobham Special Mission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October 30, 2022 (the "Agreement Date"), we completed the acquisition of Cobham Special Mission for purchase consideration of</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$298 million Australian dollars, net of $10 million of Australian dollars acquired, or $192 million United States dollars, net of $6 million of cash acquired. Cobham Special Mission provides airborne border surveillance and search and rescue services to the Australian Federal Government.</w:t>
      </w:r>
    </w:p>
    <w:p>
      <w:pPr>
        <w:spacing w:after="0" w:line="7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the third quarter of fiscal 2023, we completed the determination of fair values of the assets acquired and liabilities assumed. The final goodwill recognized of $22 million represents intellectual capital and the acquired assembled workforce, neither of which qualify for recognition as a separate intangible asset. None of the goodwill recognized is tax deductible.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this acquisition, we acquired property, plant and equipment with a fair value of $ 148 million at the Agreement Date. The following table summarizes the fair value of intangible assets acquired at the Agreement Date and the related weighted average amortization period: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4"/>
                <w:szCs w:val="14"/>
                <w:color w:val="auto"/>
              </w:rPr>
            </w:pPr>
          </w:p>
        </w:tc>
        <w:tc>
          <w:tcPr>
            <w:tcW w:w="1120" w:type="dxa"/>
            <w:vAlign w:val="bottom"/>
            <w:vMerge w:val="restart"/>
          </w:tcPr>
          <w:p>
            <w:pPr>
              <w:jc w:val="right"/>
              <w:ind w:right="277"/>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16"/>
                <w:szCs w:val="16"/>
                <w:color w:val="auto"/>
              </w:rPr>
            </w:pPr>
          </w:p>
        </w:tc>
        <w:tc>
          <w:tcPr>
            <w:tcW w:w="1120" w:type="dxa"/>
            <w:vAlign w:val="bottom"/>
          </w:tcPr>
          <w:p>
            <w:pPr>
              <w:jc w:val="right"/>
              <w:ind w:right="21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4"/>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Technology</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For fiscal 2023 and 2022, $115 million and $21 million, respectively, of revenues related to the Cobham Special Mission acquisition were recognized within the Defense Solutions reportable segmen</w:t>
      </w:r>
      <w:r>
        <w:rPr>
          <w:rFonts w:ascii="Arial" w:cs="Arial" w:eastAsia="Arial" w:hAnsi="Arial"/>
          <w:sz w:val="19"/>
          <w:szCs w:val="19"/>
          <w:color w:val="1F497D"/>
        </w:rPr>
        <w:t>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Gibbs &amp; Cox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May 7, 2021 (the "Purchase Date"), we completed the acquisition of Gibbs &amp; Cox for purchase consideration of approximately</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$375 million, net of $1 million of cash acquired. Gibbs &amp; Cox is an independent engineering and design firm specializing in naval architecture, marine engineering, management support and engineering consulting.</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final goodwill recognized of $276 million represents intellectual capital and the acquired assembled workforce, neither of which qualify for recognition as a separate intangible asset. All of the goodwill recognized is tax deductible.</w:t>
      </w:r>
    </w:p>
    <w:p>
      <w:pPr>
        <w:spacing w:after="0" w:line="45" w:lineRule="exact"/>
        <w:rPr>
          <w:sz w:val="20"/>
          <w:szCs w:val="20"/>
          <w:color w:val="auto"/>
        </w:rPr>
      </w:pPr>
    </w:p>
    <w:p>
      <w:pPr>
        <w:ind w:right="840"/>
        <w:spacing w:after="0" w:line="279" w:lineRule="auto"/>
        <w:rPr>
          <w:sz w:val="20"/>
          <w:szCs w:val="20"/>
          <w:color w:val="auto"/>
        </w:rPr>
      </w:pPr>
      <w:r>
        <w:rPr>
          <w:rFonts w:ascii="Arial" w:cs="Arial" w:eastAsia="Arial" w:hAnsi="Arial"/>
          <w:sz w:val="18"/>
          <w:szCs w:val="18"/>
          <w:color w:val="auto"/>
        </w:rPr>
        <w:t>The following table summarizes the fair value of intangible assets acquired at the Purchase Date and the related weighted average amortization period:</w:t>
      </w: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2"/>
                <w:szCs w:val="12"/>
                <w:color w:val="auto"/>
              </w:rPr>
            </w:pPr>
          </w:p>
        </w:tc>
        <w:tc>
          <w:tcPr>
            <w:tcW w:w="1120" w:type="dxa"/>
            <w:vAlign w:val="bottom"/>
            <w:vMerge w:val="restart"/>
          </w:tcPr>
          <w:p>
            <w:pPr>
              <w:jc w:val="center"/>
              <w:ind w:right="142"/>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For fiscal 2023, 2022 and 2021, $129 million, $114 million and $98 million, respectively, of revenues related to the Gibbs &amp; Cox acquisition were recognized within the Defense Solutions reportable segment</w:t>
      </w:r>
      <w:r>
        <w:rPr>
          <w:rFonts w:ascii="Arial" w:cs="Arial" w:eastAsia="Arial" w:hAnsi="Arial"/>
          <w:sz w:val="19"/>
          <w:szCs w:val="19"/>
          <w:color w:val="1F497D"/>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1901 Group Acquisition</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On January 14, 2021 (the "Closing Date"), we completed the acquisition of 1901 Group for purchase consideration of $212 million, net of $2 million of cash acquired.</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final goodwill recognized of $123 million represents intellectual capital and the acquired assembled workforce, none of which qualify for recognition as separate intangible assets. Of the goodwill recognized, $118 million is tax deductible.</w:t>
      </w:r>
    </w:p>
    <w:p>
      <w:pPr>
        <w:spacing w:after="0" w:line="45" w:lineRule="exact"/>
        <w:rPr>
          <w:sz w:val="20"/>
          <w:szCs w:val="20"/>
          <w:color w:val="auto"/>
        </w:rPr>
      </w:pPr>
    </w:p>
    <w:p>
      <w:pPr>
        <w:ind w:right="1000"/>
        <w:spacing w:after="0" w:line="279" w:lineRule="auto"/>
        <w:rPr>
          <w:sz w:val="20"/>
          <w:szCs w:val="20"/>
          <w:color w:val="auto"/>
        </w:rPr>
      </w:pPr>
      <w:r>
        <w:rPr>
          <w:rFonts w:ascii="Arial" w:cs="Arial" w:eastAsia="Arial" w:hAnsi="Arial"/>
          <w:sz w:val="18"/>
          <w:szCs w:val="18"/>
          <w:color w:val="auto"/>
        </w:rPr>
        <w:t>The following table summarizes the fair value of intangible assets acquired at the Closing Date and the related weighted average amortization period:</w:t>
      </w:r>
    </w:p>
    <w:tbl>
      <w:tblPr>
        <w:tblLayout w:type="fixed"/>
        <w:tblInd w:w="0"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Weighted average</w:t>
            </w:r>
          </w:p>
        </w:tc>
        <w:tc>
          <w:tcPr>
            <w:tcW w:w="22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amortization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years)</w:t>
            </w:r>
          </w:p>
        </w:tc>
        <w:tc>
          <w:tcPr>
            <w:tcW w:w="22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4"/>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Programs</w:t>
            </w: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For fiscal 2023, 2022 and 2021, $46 million, $40 million and $47 million, respectively, of revenues related to the 1901 Group acquisition were recognized within the Defense Solutions reportable segmen</w:t>
      </w:r>
      <w:r>
        <w:rPr>
          <w:rFonts w:ascii="Arial" w:cs="Arial" w:eastAsia="Arial" w:hAnsi="Arial"/>
          <w:sz w:val="19"/>
          <w:szCs w:val="19"/>
          <w:color w:val="1F497D"/>
        </w:rPr>
        <w:t>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Business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21, 2021, we completed an immaterial strategic business acquisition for purchase consideration of approximately $36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transaction, the Company recognized an $8 million program intangible asset and goodwill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and Integration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expenses were incurred related to the Company's acquisitions: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0"/>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37"/>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2021</w:t>
            </w:r>
          </w:p>
        </w:tc>
      </w:tr>
      <w:tr>
        <w:trPr>
          <w:trHeight w:val="192"/>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3"/>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Integration costs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acquisition and integration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These acquisition and integration costs have been primarily recorded within Corporate and presented in "Acquisition, integration and restructuring costs" on the consolidated statement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Immaterial Divestiture</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On October 20, 2023, we disposed of an immaterial business within our Defense Solutions reportable segment. The preliminary sales price was approximately $2 million and net assets of $7 million were divested as a result of the transaction.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Aviation &amp; Missile Solutions LLC ("AMS")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22, 2021, our Defense Solutions reportable segment signed a definitive agreement to dispose of its AMS business in order to focus on leading-edge and technologically advanced services, solutions and products. The divestiture was completed on April 29, 2022. The net sales price was $15 million and net assets of $19 million were divested. The loss was recorded within "Other expense, net" on the consolidated statements of operations. This disposition did not meet the criteria to be classified as a discontinued operation in the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180" w:type="dxa"/>
            <w:vAlign w:val="bottom"/>
          </w:tcPr>
          <w:p>
            <w:pPr>
              <w:jc w:val="right"/>
              <w:ind w:right="136"/>
              <w:spacing w:after="0"/>
              <w:rPr>
                <w:sz w:val="20"/>
                <w:szCs w:val="20"/>
                <w:color w:val="auto"/>
              </w:rPr>
            </w:pPr>
            <w:r>
              <w:rPr>
                <w:rFonts w:ascii="Arial" w:cs="Arial" w:eastAsia="Arial" w:hAnsi="Arial"/>
                <w:sz w:val="14"/>
                <w:szCs w:val="14"/>
                <w:color w:val="auto"/>
              </w:rPr>
              <w:t>December 30,</w:t>
            </w:r>
          </w:p>
        </w:tc>
      </w:tr>
      <w:tr>
        <w:trPr>
          <w:trHeight w:val="185"/>
        </w:trPr>
        <w:tc>
          <w:tcPr>
            <w:tcW w:w="8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2022</w:t>
            </w:r>
          </w:p>
        </w:tc>
      </w:t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956"/>
              <w:spacing w:after="0"/>
              <w:rPr>
                <w:sz w:val="20"/>
                <w:szCs w:val="20"/>
                <w:color w:val="auto"/>
              </w:rPr>
            </w:pPr>
            <w:r>
              <w:rPr>
                <w:rFonts w:ascii="Arial" w:cs="Arial" w:eastAsia="Arial" w:hAnsi="Arial"/>
                <w:sz w:val="14"/>
                <w:szCs w:val="14"/>
                <w:color w:val="auto"/>
              </w:rPr>
              <w:t>(in millions)</w:t>
            </w:r>
          </w:p>
        </w:tc>
      </w:tr>
      <w:tr>
        <w:trPr>
          <w:trHeight w:val="23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 and billable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Accounts Receivable</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entered into purchase agreements with a financial institution which provide us the election to sell accounts receivable at a discount. The receivables sold are typically collectable from our customers within 30 days of the sale date. During fiscal 2022 and 2021, we sold $209 million and $693 million, respectively, of accounts receivable under the agreements and received proceeds of $209 million and</w:t>
      </w:r>
    </w:p>
    <w:p>
      <w:pPr>
        <w:spacing w:after="0" w:line="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$693 million, respectively. These activities are classified as operating activities in the consolidated statements of cash flows. There were no sales of accounts receivable during fiscal 2023.</w:t>
      </w:r>
    </w:p>
    <w:p>
      <w:pPr>
        <w:spacing w:after="0" w:line="6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These transfers have been recognized as a sale, as the receivables had been legally isolated from Leidos, the financial institution had the right to pledge or exchange the assets received and we did not maintain effective control over the transferred accounts receivable. As of December 30, 2022, and December 31, 2021, all sold receivables had been remitted to the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net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180" w:type="dxa"/>
            <w:vAlign w:val="bottom"/>
          </w:tcPr>
          <w:p>
            <w:pPr>
              <w:jc w:val="right"/>
              <w:ind w:right="136"/>
              <w:spacing w:after="0"/>
              <w:rPr>
                <w:sz w:val="20"/>
                <w:szCs w:val="20"/>
                <w:color w:val="auto"/>
              </w:rPr>
            </w:pPr>
            <w:r>
              <w:rPr>
                <w:rFonts w:ascii="Arial" w:cs="Arial" w:eastAsia="Arial" w:hAnsi="Arial"/>
                <w:sz w:val="14"/>
                <w:szCs w:val="14"/>
                <w:color w:val="auto"/>
              </w:rPr>
              <w:t>December 30,</w:t>
            </w:r>
          </w:p>
        </w:tc>
      </w:tr>
      <w:tr>
        <w:trPr>
          <w:trHeight w:val="185"/>
        </w:trPr>
        <w:tc>
          <w:tcPr>
            <w:tcW w:w="8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2022</w:t>
            </w:r>
          </w:p>
        </w:tc>
      </w:t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956"/>
              <w:spacing w:after="0"/>
              <w:rPr>
                <w:sz w:val="20"/>
                <w:szCs w:val="20"/>
                <w:color w:val="auto"/>
              </w:rPr>
            </w:pPr>
            <w:r>
              <w:rPr>
                <w:rFonts w:ascii="Arial" w:cs="Arial" w:eastAsia="Arial" w:hAnsi="Arial"/>
                <w:sz w:val="14"/>
                <w:szCs w:val="14"/>
                <w:color w:val="auto"/>
              </w:rPr>
              <w:t>(in millions)</w:t>
            </w:r>
          </w:p>
        </w:tc>
      </w:tr>
      <w:tr>
        <w:trPr>
          <w:trHeight w:val="23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 and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carrying amount of goodwill by reportable segment: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Defense Solutions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Total</w:t>
            </w:r>
          </w:p>
        </w:tc>
      </w:tr>
      <w:tr>
        <w:trPr>
          <w:trHeight w:val="196"/>
        </w:trPr>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3"/>
        </w:trPr>
        <w:tc>
          <w:tcPr>
            <w:tcW w:w="5600" w:type="dxa"/>
            <w:vAlign w:val="bottom"/>
            <w:gridSpan w:val="2"/>
            <w:shd w:val="clear" w:color="auto" w:fill="CCEEFF"/>
          </w:tcPr>
          <w:p>
            <w:pPr>
              <w:ind w:left="20"/>
              <w:spacing w:after="0" w:line="233" w:lineRule="exact"/>
              <w:rPr>
                <w:sz w:val="20"/>
                <w:szCs w:val="20"/>
                <w:color w:val="auto"/>
              </w:rPr>
            </w:pPr>
            <w:r>
              <w:rPr>
                <w:rFonts w:ascii="Arial" w:cs="Arial" w:eastAsia="Arial" w:hAnsi="Arial"/>
                <w:sz w:val="18"/>
                <w:szCs w:val="18"/>
                <w:color w:val="auto"/>
              </w:rPr>
              <w:t>Goodwill at December 31, 2021</w:t>
            </w:r>
            <w:r>
              <w:rPr>
                <w:rFonts w:ascii="Arial" w:cs="Arial" w:eastAsia="Arial" w:hAnsi="Arial"/>
                <w:sz w:val="23"/>
                <w:szCs w:val="23"/>
                <w:color w:val="auto"/>
                <w:vertAlign w:val="superscript"/>
              </w:rPr>
              <w:t>(1)</w:t>
            </w:r>
          </w:p>
        </w:tc>
        <w:tc>
          <w:tcPr>
            <w:tcW w:w="4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Acquisitions of businesses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Divestiture of a business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6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Goodwill at December 30, 2022</w:t>
            </w:r>
            <w:r>
              <w:rPr>
                <w:rFonts w:ascii="Arial" w:cs="Arial" w:eastAsia="Arial" w:hAnsi="Arial"/>
                <w:sz w:val="23"/>
                <w:szCs w:val="23"/>
                <w:color w:val="auto"/>
                <w:vertAlign w:val="superscript"/>
              </w:rPr>
              <w:t>(1)</w:t>
            </w:r>
          </w:p>
        </w:tc>
        <w:tc>
          <w:tcPr>
            <w:tcW w:w="4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56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Acquisitions of a business</w:t>
            </w:r>
            <w:r>
              <w:rPr>
                <w:rFonts w:ascii="Arial" w:cs="Arial" w:eastAsia="Arial" w:hAnsi="Arial"/>
                <w:sz w:val="23"/>
                <w:szCs w:val="23"/>
                <w:color w:val="auto"/>
                <w:vertAlign w:val="superscript"/>
              </w:rPr>
              <w:t>(2)</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56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Goodwill at December 29, 2023</w:t>
            </w:r>
            <w:r>
              <w:rPr>
                <w:rFonts w:ascii="Arial" w:cs="Arial" w:eastAsia="Arial" w:hAnsi="Arial"/>
                <w:sz w:val="23"/>
                <w:szCs w:val="23"/>
                <w:b w:val="1"/>
                <w:bCs w:val="1"/>
                <w:color w:val="auto"/>
                <w:vertAlign w:val="superscript"/>
              </w:rPr>
              <w:t>(3)</w:t>
            </w: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Carrying amount includes accumulated impairment losses of $369 million and $117 million within the Health and Civil segments, respectively.</w:t>
      </w:r>
    </w:p>
    <w:p>
      <w:pPr>
        <w:spacing w:after="0" w:line="59" w:lineRule="exact"/>
        <w:rPr>
          <w:rFonts w:ascii="Arial" w:cs="Arial" w:eastAsia="Arial" w:hAnsi="Arial"/>
          <w:sz w:val="16"/>
          <w:szCs w:val="16"/>
          <w:color w:val="auto"/>
          <w:vertAlign w:val="superscript"/>
        </w:rPr>
      </w:pPr>
    </w:p>
    <w:p>
      <w:pPr>
        <w:ind w:left="140" w:hanging="132"/>
        <w:spacing w:after="0" w:line="229" w:lineRule="auto"/>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Adjustment to goodwill resulting from a measurement period purchase accounting adjustment.</w:t>
      </w:r>
    </w:p>
    <w:p>
      <w:pPr>
        <w:spacing w:after="0" w:line="4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35"/>
        </w:numPr>
        <w:rPr>
          <w:rFonts w:ascii="Arial" w:cs="Arial" w:eastAsia="Arial" w:hAnsi="Arial"/>
          <w:sz w:val="9"/>
          <w:szCs w:val="9"/>
          <w:color w:val="auto"/>
        </w:rPr>
      </w:pPr>
      <w:r>
        <w:rPr>
          <w:rFonts w:ascii="Arial" w:cs="Arial" w:eastAsia="Arial" w:hAnsi="Arial"/>
          <w:sz w:val="14"/>
          <w:szCs w:val="14"/>
          <w:color w:val="auto"/>
        </w:rPr>
        <w:t>Carrying amount includes accumulated impairment losses of $369 million and $713 million within the Health and Civil segments, respectively.</w:t>
      </w:r>
    </w:p>
    <w:p>
      <w:pPr>
        <w:spacing w:after="0" w:line="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Operations of the Security Enterprise Solutions (“SES”) reporting unit rely heavily on the sales and servicing of security and detection products, which continue to be negatively impacted due to delays in airline travel infrastructure projects as customer budgets recover from the pandemic. During the third quarter of fiscal 2023, the SES reporting unit refined its portfolio and made strategic business decisions to exit certain product offerings, and cease operations in certain countries in order to align the operations of the reporting unit with its strategic business plan. These decisions, along with the delays in airline travel infrastructure projects and higher than anticipated servicing costs, contributed to a significant reduction in the reporting unit’s forecasted revenue and cash flows.</w:t>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a result, in fiscal 2023, we conducted a quantitative goodwill impairment analysis and our estimates led us to determine that the carrying value of the SES reporting unit exceeded its estimated fair value (see “Note 11—Fair Value Measurements”). Accordingly, we recognized a non-cash goodwill impairment charge of $ 596 million and had $308 million of goodwill remaining at the SES reporting unit as of December 29, 2023. The impairment was recorded within the Civil reportable segment in the consolidated statements of operations.</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fourth quarter of fiscal 2023, we performed a qualitative analysis for certain reporting units which determined that it was more likely than not that the fair values of these reporting units were in excess of the individual reporting units' carrying values. We performed a second quantitative analysis for the SES reporting unit and concluded that no incremental impairment was necessary as the fair value of the reporting unit exceeded the carrying value as of the fourth quarter of fiscal 2023. In the event that there are significant unfavorable changes to the forecasted cash flows, forecasted revenue, terminal growth rates or the cost of capital used in the fair value estimates, we may be required to record an additional impairment of goodwill at a future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fourth quarter of fiscal 2022 and 2021, we performed a qualitative analysis for certain reporting units which determined that it was more likely than not that the fair values of these reporting units were in excess of the individual reporting units' carrying values. We performed a quantitative analysis for certain reporting units and concluded that these reporting units were not impaired as their fair values exceeded their carrying values.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29, 2023</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rPr>
              <w:t>December 30,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5"/>
              <w:spacing w:after="0" w:line="147"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860" w:type="dxa"/>
            <w:vAlign w:val="bottom"/>
          </w:tcPr>
          <w:p>
            <w:pPr>
              <w:jc w:val="center"/>
              <w:ind w:right="235"/>
              <w:spacing w:after="0" w:line="147" w:lineRule="exact"/>
              <w:rPr>
                <w:sz w:val="20"/>
                <w:szCs w:val="20"/>
                <w:color w:val="auto"/>
              </w:rPr>
            </w:pPr>
            <w:r>
              <w:rPr>
                <w:rFonts w:ascii="Arial" w:cs="Arial" w:eastAsia="Arial" w:hAnsi="Arial"/>
                <w:sz w:val="14"/>
                <w:szCs w:val="14"/>
                <w:color w:val="auto"/>
              </w:rPr>
              <w:t>Gross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960" w:type="dxa"/>
            <w:vAlign w:val="bottom"/>
          </w:tcPr>
          <w:p>
            <w:pPr>
              <w:jc w:val="center"/>
              <w:ind w:right="135"/>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860" w:type="dxa"/>
            <w:vAlign w:val="bottom"/>
          </w:tcPr>
          <w:p>
            <w:pPr>
              <w:jc w:val="center"/>
              <w:ind w:right="235"/>
              <w:spacing w:after="0" w:line="149"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35"/>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Programs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1,689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1,721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Software and technology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5"/>
        </w:trPr>
        <w:tc>
          <w:tcPr>
            <w:tcW w:w="3280" w:type="dxa"/>
            <w:vAlign w:val="bottom"/>
          </w:tcPr>
          <w:p>
            <w:pPr>
              <w:ind w:left="30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 names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8"/>
        <w:spacing w:after="0" w:line="273" w:lineRule="auto"/>
        <w:tabs>
          <w:tab w:leader="none" w:pos="154"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IPR&amp;D intangible assets are indefinite-lived at the acquisition date until placed into service, at which time such assets will be reclassified to a finite-lived amortizable intangible asset. During fiscal 2023, $59 million was placed into service and reclassified to software and technology intangible assets.</w:t>
      </w:r>
    </w:p>
    <w:p>
      <w:pPr>
        <w:spacing w:after="0" w:line="5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strategic decisions regarding SES’ product offerings and operating regions (see the goodwill discussion above) caused certain technology, customer relationships and IPR&amp;D intangible assets to be abandoned and the carrying values of certain program intangible assets to become unrecoverable. As a result, we recognized intangible asset impairment charges of $79 million for fiscal 2023, which included $33 million for IPR&amp;D intangible assets. The impairment was recorded to “Asset impairment charges” in the consolidated statements of operations within the Civil reportable segment. In the event that we are required to make an additional impairment of goodwill at a future date for any of the reasons identified in our discussion of goodwill or if other events occur that negatively impact these intangible assets, we may also be required to record an additional impairment of intangible assets at that time.</w:t>
      </w:r>
    </w:p>
    <w:p>
      <w:pPr>
        <w:spacing w:after="0" w:line="7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Amortization expense related to intangible assets was $202 million, $230 million and $228 million for fiscal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finite-lived intangible assets as of December 29, 2023,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9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6"/>
        </w:trPr>
        <w:tc>
          <w:tcPr>
            <w:tcW w:w="9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color w:val="auto"/>
              </w:rPr>
              <w:t>(in millions)</w:t>
            </w:r>
          </w:p>
        </w:tc>
      </w:tr>
      <w:tr>
        <w:trPr>
          <w:trHeight w:val="233"/>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9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2029 and thereafter</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and other factors.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color w:val="auto"/>
              </w:rPr>
              <w:t>December 30,</w:t>
            </w:r>
          </w:p>
        </w:tc>
      </w:tr>
      <w:tr>
        <w:trPr>
          <w:trHeight w:val="185"/>
        </w:trPr>
        <w:tc>
          <w:tcPr>
            <w:tcW w:w="8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2022</w:t>
            </w:r>
          </w:p>
        </w:tc>
      </w:t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953"/>
              <w:spacing w:after="0"/>
              <w:rPr>
                <w:sz w:val="20"/>
                <w:szCs w:val="20"/>
                <w:color w:val="auto"/>
              </w:rPr>
            </w:pPr>
            <w:r>
              <w:rPr>
                <w:rFonts w:ascii="Arial" w:cs="Arial" w:eastAsia="Arial" w:hAnsi="Arial"/>
                <w:sz w:val="14"/>
                <w:szCs w:val="14"/>
                <w:color w:val="auto"/>
              </w:rPr>
              <w:t>(in millions)</w:t>
            </w:r>
          </w:p>
        </w:tc>
      </w:tr>
      <w:tr>
        <w:trPr>
          <w:trHeight w:val="23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Computers and other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Vehicles and transportation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fixtures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30"/>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23"/>
        </w:trPr>
        <w:tc>
          <w:tcPr>
            <w:tcW w:w="8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$129 million, $103 million and $97 million for fiscal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ROU assets and lease liabilities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0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180" w:type="dxa"/>
            <w:vAlign w:val="bottom"/>
          </w:tcPr>
          <w:p>
            <w:pPr>
              <w:jc w:val="right"/>
              <w:ind w:right="133"/>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3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4"/>
          </w:tcPr>
          <w:p>
            <w:pPr>
              <w:jc w:val="right"/>
              <w:ind w:right="95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4"/>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lease liabilities:</w:t>
            </w: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lease liabilities:</w:t>
            </w:r>
          </w:p>
        </w:tc>
        <w:tc>
          <w:tcPr>
            <w:tcW w:w="5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 fiscal 2022, the Company entered into a Master Lease Agreement whereby we agreed to lease two aircraft from the time each aircraft is accepted through June 30, 2027. In March 2023, we took possession of both aircraft and recognized a $64 million finance lease obligation and a corresponding ROU asset.</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fiscal 2022, we reduced our leased space by exiting and consolidating underutilized buildings as part of an ongoing facility rationalization effort. We used discounted cash flow models to estimate the fair values of the affected assets and as a result, we recorded impairments of ROU and other assets in the amount of $37 million. The impairment charges were allocated across our reportable segments and to Corporate.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 for the periods presented consisted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0"/>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December 30,</w:t>
            </w:r>
          </w:p>
        </w:tc>
        <w:tc>
          <w:tcPr>
            <w:tcW w:w="180" w:type="dxa"/>
            <w:vAlign w:val="bottom"/>
          </w:tcPr>
          <w:p>
            <w:pPr>
              <w:spacing w:after="0"/>
              <w:rPr>
                <w:sz w:val="13"/>
                <w:szCs w:val="13"/>
                <w:color w:val="auto"/>
              </w:rPr>
            </w:pPr>
          </w:p>
        </w:tc>
        <w:tc>
          <w:tcPr>
            <w:tcW w:w="1180" w:type="dxa"/>
            <w:vAlign w:val="bottom"/>
          </w:tcPr>
          <w:p>
            <w:pPr>
              <w:jc w:val="right"/>
              <w:ind w:right="134"/>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2021</w:t>
            </w: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Amortization of ROU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Less: Sublease income</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ROU lease expense of $124 million, $134 million and $150 million for fiscal 2023, 2022 and 2021, respectively.</w:t>
      </w:r>
    </w:p>
    <w:p>
      <w:pPr>
        <w:spacing w:after="0" w:line="8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Lease costs and sublease income are included in "Cost of revenues" and "Selling, general and administrative expenses" within the consolidated statements of operations.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Lease terms and discount rates related to leases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0"/>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5"/>
          </w:tcPr>
          <w:p>
            <w:pPr>
              <w:jc w:val="right"/>
              <w:ind w:right="480"/>
              <w:spacing w:after="0" w:line="151" w:lineRule="exact"/>
              <w:rPr>
                <w:sz w:val="20"/>
                <w:szCs w:val="20"/>
                <w:color w:val="auto"/>
              </w:rPr>
            </w:pPr>
            <w:r>
              <w:rPr>
                <w:rFonts w:ascii="Arial" w:cs="Arial" w:eastAsia="Arial" w:hAnsi="Arial"/>
                <w:sz w:val="14"/>
                <w:szCs w:val="14"/>
                <w:b w:val="1"/>
                <w:bCs w:val="1"/>
                <w:color w:val="auto"/>
              </w:rPr>
              <w:t>December 29,</w:t>
            </w:r>
          </w:p>
        </w:tc>
        <w:tc>
          <w:tcPr>
            <w:tcW w:w="1460" w:type="dxa"/>
            <w:vAlign w:val="bottom"/>
            <w:gridSpan w:val="3"/>
          </w:tcPr>
          <w:p>
            <w:pPr>
              <w:jc w:val="center"/>
              <w:ind w:right="200"/>
              <w:spacing w:after="0" w:line="151" w:lineRule="exact"/>
              <w:rPr>
                <w:sz w:val="20"/>
                <w:szCs w:val="20"/>
                <w:color w:val="auto"/>
              </w:rPr>
            </w:pPr>
            <w:r>
              <w:rPr>
                <w:rFonts w:ascii="Arial" w:cs="Arial" w:eastAsia="Arial" w:hAnsi="Arial"/>
                <w:sz w:val="14"/>
                <w:szCs w:val="14"/>
                <w:color w:val="auto"/>
              </w:rPr>
              <w:t>December 30,</w:t>
            </w:r>
          </w:p>
        </w:tc>
        <w:tc>
          <w:tcPr>
            <w:tcW w:w="260" w:type="dxa"/>
            <w:vAlign w:val="bottom"/>
          </w:tcPr>
          <w:p>
            <w:pPr>
              <w:spacing w:after="0"/>
              <w:rPr>
                <w:sz w:val="13"/>
                <w:szCs w:val="13"/>
                <w:color w:val="auto"/>
              </w:rPr>
            </w:pPr>
          </w:p>
        </w:tc>
        <w:tc>
          <w:tcPr>
            <w:tcW w:w="1200" w:type="dxa"/>
            <w:vAlign w:val="bottom"/>
          </w:tcPr>
          <w:p>
            <w:pPr>
              <w:jc w:val="right"/>
              <w:ind w:right="196"/>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2021</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64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7"/>
        </w:trPr>
        <w:tc>
          <w:tcPr>
            <w:tcW w:w="664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405"/>
        </w:trPr>
        <w:tc>
          <w:tcPr>
            <w:tcW w:w="6640" w:type="dxa"/>
            <w:vAlign w:val="bottom"/>
            <w:gridSpan w:val="2"/>
          </w:tcPr>
          <w:p>
            <w:pPr>
              <w:spacing w:after="0"/>
              <w:rPr>
                <w:sz w:val="20"/>
                <w:szCs w:val="20"/>
                <w:color w:val="auto"/>
              </w:rPr>
            </w:pPr>
            <w:r>
              <w:rPr>
                <w:rFonts w:ascii="Arial" w:cs="Arial" w:eastAsia="Arial" w:hAnsi="Arial"/>
                <w:sz w:val="18"/>
                <w:szCs w:val="18"/>
                <w:color w:val="auto"/>
              </w:rPr>
              <w:t>Other information related to leases was as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1"/>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50"/>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240"/>
              <w:spacing w:after="0" w:line="151"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2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December 30,</w:t>
            </w:r>
          </w:p>
        </w:tc>
        <w:tc>
          <w:tcPr>
            <w:tcW w:w="260" w:type="dxa"/>
            <w:vAlign w:val="bottom"/>
          </w:tcPr>
          <w:p>
            <w:pPr>
              <w:spacing w:after="0"/>
              <w:rPr>
                <w:sz w:val="13"/>
                <w:szCs w:val="13"/>
                <w:color w:val="auto"/>
              </w:rPr>
            </w:pPr>
          </w:p>
        </w:tc>
        <w:tc>
          <w:tcPr>
            <w:tcW w:w="1200" w:type="dxa"/>
            <w:vAlign w:val="bottom"/>
          </w:tcPr>
          <w:p>
            <w:pPr>
              <w:jc w:val="right"/>
              <w:ind w:right="136"/>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2021</w:t>
            </w:r>
          </w:p>
        </w:tc>
      </w:t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6640" w:type="dxa"/>
            <w:vAlign w:val="bottom"/>
            <w:gridSpan w:val="2"/>
          </w:tcPr>
          <w:p>
            <w:pPr>
              <w:ind w:left="140"/>
              <w:spacing w:after="0"/>
              <w:rPr>
                <w:sz w:val="20"/>
                <w:szCs w:val="20"/>
                <w:color w:val="auto"/>
              </w:rPr>
            </w:pPr>
            <w:r>
              <w:rPr>
                <w:rFonts w:ascii="Arial" w:cs="Arial" w:eastAsia="Arial" w:hAnsi="Arial"/>
                <w:sz w:val="18"/>
                <w:szCs w:val="18"/>
                <w:color w:val="auto"/>
              </w:rPr>
              <w:t>Operating cash related to finance leases</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related to operating leases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6640" w:type="dxa"/>
            <w:vAlign w:val="bottom"/>
            <w:gridSpan w:val="2"/>
          </w:tcPr>
          <w:p>
            <w:pPr>
              <w:ind w:left="140"/>
              <w:spacing w:after="0"/>
              <w:rPr>
                <w:sz w:val="20"/>
                <w:szCs w:val="20"/>
                <w:color w:val="auto"/>
              </w:rPr>
            </w:pPr>
            <w:r>
              <w:rPr>
                <w:rFonts w:ascii="Arial" w:cs="Arial" w:eastAsia="Arial" w:hAnsi="Arial"/>
                <w:sz w:val="18"/>
                <w:szCs w:val="18"/>
                <w:color w:val="auto"/>
              </w:rPr>
              <w:t>Financing cash flows related to finance leases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640" w:type="dxa"/>
            <w:vAlign w:val="bottom"/>
            <w:gridSpan w:val="2"/>
          </w:tcPr>
          <w:p>
            <w:pPr>
              <w:ind w:left="140"/>
              <w:spacing w:after="0"/>
              <w:rPr>
                <w:sz w:val="20"/>
                <w:szCs w:val="20"/>
                <w:color w:val="auto"/>
              </w:rPr>
            </w:pPr>
            <w:r>
              <w:rPr>
                <w:rFonts w:ascii="Arial" w:cs="Arial" w:eastAsia="Arial" w:hAnsi="Arial"/>
                <w:sz w:val="18"/>
                <w:szCs w:val="18"/>
                <w:color w:val="auto"/>
              </w:rPr>
              <w:t>Finance lease liabilities</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bl>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change in operating ROU assets and lease liabilities are presented within cash flows from operations on the consolidated statements of cash flows.</w:t>
      </w:r>
    </w:p>
    <w:p>
      <w:pPr>
        <w:spacing w:after="0" w:line="4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Future minimum lease commitments of our finance and operating leases on an undiscounted basis, reconciled to the respective lease liability at December 29, 2023, were as follows:</w:t>
      </w:r>
    </w:p>
    <w:tbl>
      <w:tblPr>
        <w:tblLayout w:type="fixed"/>
        <w:tblInd w:w="0" w:type="dxa"/>
        <w:tblCellMar>
          <w:top w:w="0" w:type="dxa"/>
          <w:left w:w="0" w:type="dxa"/>
          <w:bottom w:w="0" w:type="dxa"/>
          <w:right w:w="0" w:type="dxa"/>
        </w:tblCellMar>
      </w:tblPr>
      <w:tr>
        <w:trPr>
          <w:trHeight w:val="145"/>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color w:val="auto"/>
              </w:rPr>
              <w:t>Fiscal Year Ending</w:t>
            </w:r>
          </w:p>
        </w:tc>
        <w:tc>
          <w:tcPr>
            <w:tcW w:w="200" w:type="dxa"/>
            <w:vAlign w:val="bottom"/>
          </w:tcPr>
          <w:p>
            <w:pPr>
              <w:spacing w:after="0"/>
              <w:rPr>
                <w:sz w:val="12"/>
                <w:szCs w:val="12"/>
                <w:color w:val="auto"/>
              </w:rPr>
            </w:pPr>
          </w:p>
        </w:tc>
        <w:tc>
          <w:tcPr>
            <w:tcW w:w="136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Finance lease</w:t>
            </w:r>
          </w:p>
        </w:tc>
        <w:tc>
          <w:tcPr>
            <w:tcW w:w="160" w:type="dxa"/>
            <w:vAlign w:val="bottom"/>
          </w:tcPr>
          <w:p>
            <w:pPr>
              <w:spacing w:after="0"/>
              <w:rPr>
                <w:sz w:val="12"/>
                <w:szCs w:val="12"/>
                <w:color w:val="auto"/>
              </w:rPr>
            </w:pPr>
          </w:p>
        </w:tc>
        <w:tc>
          <w:tcPr>
            <w:tcW w:w="1280" w:type="dxa"/>
            <w:vAlign w:val="bottom"/>
          </w:tcPr>
          <w:p>
            <w:pPr>
              <w:jc w:val="right"/>
              <w:ind w:right="133"/>
              <w:spacing w:after="0" w:line="145" w:lineRule="exact"/>
              <w:rPr>
                <w:sz w:val="20"/>
                <w:szCs w:val="20"/>
                <w:color w:val="auto"/>
              </w:rPr>
            </w:pPr>
            <w:r>
              <w:rPr>
                <w:rFonts w:ascii="Arial" w:cs="Arial" w:eastAsia="Arial" w:hAnsi="Arial"/>
                <w:sz w:val="14"/>
                <w:szCs w:val="14"/>
                <w:color w:val="auto"/>
              </w:rPr>
              <w:t>Operating lease</w:t>
            </w:r>
          </w:p>
        </w:tc>
        <w:tc>
          <w:tcPr>
            <w:tcW w:w="0" w:type="dxa"/>
            <w:vAlign w:val="bottom"/>
          </w:tcPr>
          <w:p>
            <w:pPr>
              <w:spacing w:after="0"/>
              <w:rPr>
                <w:sz w:val="1"/>
                <w:szCs w:val="1"/>
                <w:color w:val="auto"/>
              </w:rPr>
            </w:pPr>
          </w:p>
        </w:tc>
      </w:tr>
      <w:tr>
        <w:trPr>
          <w:trHeight w:val="189"/>
        </w:trPr>
        <w:tc>
          <w:tcPr>
            <w:tcW w:w="8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commitments</w:t>
            </w:r>
          </w:p>
        </w:tc>
        <w:tc>
          <w:tcPr>
            <w:tcW w:w="160" w:type="dxa"/>
            <w:vAlign w:val="bottom"/>
          </w:tcPr>
          <w:p>
            <w:pPr>
              <w:spacing w:after="0"/>
              <w:rPr>
                <w:sz w:val="16"/>
                <w:szCs w:val="16"/>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color w:val="auto"/>
              </w:rPr>
              <w:t>commitments</w:t>
            </w:r>
          </w:p>
        </w:tc>
        <w:tc>
          <w:tcPr>
            <w:tcW w:w="0" w:type="dxa"/>
            <w:vAlign w:val="bottom"/>
          </w:tcPr>
          <w:p>
            <w:pPr>
              <w:spacing w:after="0"/>
              <w:rPr>
                <w:sz w:val="1"/>
                <w:szCs w:val="1"/>
                <w:color w:val="auto"/>
              </w:rPr>
            </w:pPr>
          </w:p>
        </w:tc>
      </w:tr>
      <w:tr>
        <w:trPr>
          <w:trHeight w:val="192"/>
        </w:trPr>
        <w:tc>
          <w:tcPr>
            <w:tcW w:w="8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4"/>
          </w:tcPr>
          <w:p>
            <w:pPr>
              <w:jc w:val="right"/>
              <w:ind w:right="105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2029 and 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as of December 29,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29, 2023, we have approximately $195 million of facility lease commitments that have not yet commenced. The leases are expected to commence in fiscal 2024 with lease terms ranging from 12 to 16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of December 29, 2023 and December 30, 2022, we had a total net investment in sales-type leases, which relates to lease payment receivables, of $100 million and $103 million, respectively. The current and non-current portions of net investment in sales-type leases are included within "Other current assets" and "Other long-term assets",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Statement of operations line item</w:t>
            </w:r>
          </w:p>
        </w:tc>
        <w:tc>
          <w:tcPr>
            <w:tcW w:w="160" w:type="dxa"/>
            <w:vAlign w:val="bottom"/>
          </w:tcPr>
          <w:p>
            <w:pPr>
              <w:spacing w:after="0"/>
              <w:rPr>
                <w:sz w:val="13"/>
                <w:szCs w:val="13"/>
                <w:color w:val="auto"/>
              </w:rPr>
            </w:pPr>
          </w:p>
        </w:tc>
        <w:tc>
          <w:tcPr>
            <w:tcW w:w="128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December 30,</w:t>
            </w:r>
          </w:p>
        </w:tc>
        <w:tc>
          <w:tcPr>
            <w:tcW w:w="180" w:type="dxa"/>
            <w:vAlign w:val="bottom"/>
          </w:tcPr>
          <w:p>
            <w:pPr>
              <w:spacing w:after="0"/>
              <w:rPr>
                <w:sz w:val="13"/>
                <w:szCs w:val="13"/>
                <w:color w:val="auto"/>
              </w:rPr>
            </w:pPr>
          </w:p>
        </w:tc>
        <w:tc>
          <w:tcPr>
            <w:tcW w:w="1160" w:type="dxa"/>
            <w:vAlign w:val="bottom"/>
          </w:tcPr>
          <w:p>
            <w:pPr>
              <w:jc w:val="right"/>
              <w:ind w:right="134"/>
              <w:spacing w:after="0" w:line="151"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leases:</w:t>
            </w:r>
          </w:p>
        </w:tc>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140"/>
              <w:spacing w:after="0"/>
              <w:rPr>
                <w:sz w:val="20"/>
                <w:szCs w:val="20"/>
                <w:color w:val="auto"/>
              </w:rPr>
            </w:pPr>
            <w:r>
              <w:rPr>
                <w:rFonts w:ascii="Arial" w:cs="Arial" w:eastAsia="Arial" w:hAnsi="Arial"/>
                <w:sz w:val="18"/>
                <w:szCs w:val="18"/>
                <w:color w:val="auto"/>
              </w:rPr>
              <w:t>Selling price at lease commencement</w:t>
            </w:r>
          </w:p>
        </w:tc>
        <w:tc>
          <w:tcPr>
            <w:tcW w:w="3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underlying asset</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00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on lease receivables</w:t>
            </w: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income</w:t>
            </w: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2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2023, undiscounted cash flows for sales-type and operating leases for the next five years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Fiscal Year Ending</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color w:val="auto"/>
              </w:rPr>
              <w:t>Sales-type leases</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Operating leases</w:t>
            </w:r>
          </w:p>
        </w:tc>
      </w:tr>
      <w:tr>
        <w:trPr>
          <w:trHeight w:val="196"/>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gridSpan w:val="3"/>
          </w:tcPr>
          <w:p>
            <w:pPr>
              <w:jc w:val="right"/>
              <w:ind w:right="642"/>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7"/>
                <w:szCs w:val="17"/>
                <w:color w:val="auto"/>
              </w:rPr>
            </w:pP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40" w:type="dxa"/>
            <w:vAlign w:val="bottom"/>
            <w:gridSpan w:val="2"/>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undiscounted cash flows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040" w:type="dxa"/>
            <w:vAlign w:val="bottom"/>
          </w:tcPr>
          <w:p>
            <w:pPr>
              <w:jc w:val="right"/>
              <w:ind w:right="84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 as lease receivables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2"/>
        </w:trPr>
        <w:tc>
          <w:tcPr>
            <w:tcW w:w="6900" w:type="dxa"/>
            <w:vAlign w:val="bottom"/>
            <w:gridSpan w:val="4"/>
          </w:tcPr>
          <w:p>
            <w:pPr>
              <w:ind w:left="20"/>
              <w:spacing w:after="0"/>
              <w:rPr>
                <w:sz w:val="20"/>
                <w:szCs w:val="20"/>
                <w:color w:val="auto"/>
              </w:rPr>
            </w:pPr>
            <w:r>
              <w:rPr>
                <w:rFonts w:ascii="Arial" w:cs="Arial" w:eastAsia="Arial" w:hAnsi="Arial"/>
                <w:sz w:val="18"/>
                <w:szCs w:val="18"/>
                <w:color w:val="auto"/>
              </w:rPr>
              <w:t>Difference between undiscounted cash flows and discounted cash flows</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66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11—Fair Value Measurements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6"/>
        </w:trPr>
        <w:tc>
          <w:tcPr>
            <w:tcW w:w="8040" w:type="dxa"/>
            <w:vAlign w:val="bottom"/>
            <w:gridSpan w:val="5"/>
          </w:tcPr>
          <w:p>
            <w:pPr>
              <w:spacing w:after="0"/>
              <w:rPr>
                <w:sz w:val="20"/>
                <w:szCs w:val="20"/>
                <w:color w:val="auto"/>
              </w:rPr>
            </w:pPr>
            <w:r>
              <w:rPr>
                <w:rFonts w:ascii="Arial" w:cs="Arial" w:eastAsia="Arial" w:hAnsi="Arial"/>
                <w:sz w:val="18"/>
                <w:szCs w:val="18"/>
                <w:color w:val="auto"/>
              </w:rPr>
              <w:t>Financial instruments measured on a recurring basis at fair value consisted of the following:</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5"/>
        </w:trPr>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December 29, 2023</w:t>
            </w: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color w:val="auto"/>
              </w:rPr>
              <w:t>December 30, 2022</w:t>
            </w:r>
          </w:p>
        </w:tc>
        <w:tc>
          <w:tcPr>
            <w:tcW w:w="320" w:type="dxa"/>
            <w:vAlign w:val="bottom"/>
            <w:tcBorders>
              <w:bottom w:val="single" w:sz="8" w:color="auto"/>
            </w:tcBorders>
          </w:tcPr>
          <w:p>
            <w:pPr>
              <w:spacing w:after="0"/>
              <w:rPr>
                <w:sz w:val="19"/>
                <w:szCs w:val="19"/>
                <w:color w:val="auto"/>
              </w:rPr>
            </w:pPr>
          </w:p>
        </w:tc>
      </w:tr>
      <w:tr>
        <w:trPr>
          <w:trHeight w:val="196"/>
        </w:trPr>
        <w:tc>
          <w:tcPr>
            <w:tcW w:w="5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Carrying value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Carrying value</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c>
          <w:tcPr>
            <w:tcW w:w="320" w:type="dxa"/>
            <w:vAlign w:val="bottom"/>
            <w:tcBorders>
              <w:bottom w:val="single" w:sz="8" w:color="auto"/>
            </w:tcBorders>
          </w:tcPr>
          <w:p>
            <w:pPr>
              <w:spacing w:after="0"/>
              <w:rPr>
                <w:sz w:val="17"/>
                <w:szCs w:val="17"/>
                <w:color w:val="auto"/>
              </w:rPr>
            </w:pPr>
          </w:p>
        </w:tc>
      </w:tr>
      <w:tr>
        <w:trPr>
          <w:trHeight w:val="193"/>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60" w:type="dxa"/>
            <w:vAlign w:val="bottom"/>
            <w:gridSpan w:val="7"/>
          </w:tcPr>
          <w:p>
            <w:pPr>
              <w:jc w:val="right"/>
              <w:ind w:right="955"/>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4"/>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47"/>
        </w:trPr>
        <w:tc>
          <w:tcPr>
            <w:tcW w:w="548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42"/>
              <w:spacing w:after="0"/>
              <w:rPr>
                <w:sz w:val="20"/>
                <w:szCs w:val="20"/>
                <w:color w:val="auto"/>
              </w:rPr>
            </w:pPr>
            <w:r>
              <w:rPr>
                <w:rFonts w:ascii="Arial" w:cs="Arial" w:eastAsia="Arial" w:hAnsi="Arial"/>
                <w:sz w:val="18"/>
                <w:szCs w:val="18"/>
                <w:b w:val="1"/>
                <w:bCs w:val="1"/>
                <w:color w:val="auto"/>
              </w:rPr>
              <w:t>11</w:t>
            </w:r>
          </w:p>
        </w:tc>
        <w:tc>
          <w:tcPr>
            <w:tcW w:w="1140" w:type="dxa"/>
            <w:vAlign w:val="bottom"/>
          </w:tcPr>
          <w:p>
            <w:pPr>
              <w:jc w:val="right"/>
              <w:ind w:right="86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ind w:right="82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5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December 29, 2023, and December 30, 2022, our derivatives primarily consisted of the cash flow interest rate swaps on $500 million and $1.0 billion, respectively, of the variable rate senior unsecured term loan (see "Note 12—Derivative Instruments"). The fair value of the cash flow interest rate swaps is determined based on observed values for underlying interest rates on the one-month SOFR rate as of December 29, 2023 and the LIBOR yield curve as of December 30, 2022 (Level 2 inputs).</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Financial instruments measured on a recurring basis at fair value also include our defined benefit plan assets (Level 2 inputs). See "Note 19 —Retirement Plans" for further details on these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carrying amounts of our financial instruments, other than derivatives, which include cash equivalents, accounts receivable, accounts payable and accrued expenses, are reasonable estimates of their related fair values. The carrying value of our notes receivable of $12 million as of both December 29, 2023, and December 30, 2022, approximates fair value as the stated interest rates within the agreements are consistent with the current market rates used in notes with similar terms in the market (Level 2 inputs).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of December 29, 2023, and December 30, 2022, the fair value of debt was $4.6 billion for both periods, and the carrying amount was $4.7 billion and $4.9 billion, respectively (see "Note 13—Debt"). The fair value of debt is determined based on current interest rates available for debt with terms and maturities similar to our existing debt arrangements (Level 2 inputs).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2023, we recorded impairment charges of SES' goodwill (see "Note 8—Goodwill and Intangible Assets"). The fair values of the assets and liabilities of the SES reporting unit were determined using a blended approach, including discounted cash flow models and market earnings multiples. The market approach estimates fair value based on profitability and valuation metrics for peer companies and applies a multiple to the reporting unit's operating performance. The income approach estimates fair value by discounting the reporting unit's estimated future cash flows using a weighted-average cost of capital reflecting current market conditions as well as the risk profile of the reporting unit. Future cash flows are based on estimates of economic and market assumptions made using the best judgment of management, including growth rates in revenue and margins, and future changes in tax rates and cash expenditures. Other significant assumptions and estimates include estimates of future capital expenditures, terminal value growth rates, and changes in future working capital requirements. The fair value of the SES reporting unit was determined using Level 3 inputs.</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October 30, 2022, non-financial instruments measured at fair value on a non-recurring basis were recorded in connection with the acquisition of Cobham Special Mission. The fair values of the assets acquired and liabilities assumed were determined using Level 3 inputs. See "Note 5—Acquisitions and Divestitures" for further details on this acquisition. As of December 29, 2023, and December 30, 2022, we did not have any assets or liabilities measured at fair value on a non-recurring basis.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interest rate swaps was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4"/>
                <w:szCs w:val="14"/>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color w:val="auto"/>
              </w:rPr>
              <w:t>December 29,</w:t>
            </w:r>
          </w:p>
        </w:tc>
        <w:tc>
          <w:tcPr>
            <w:tcW w:w="260" w:type="dxa"/>
            <w:vAlign w:val="bottom"/>
          </w:tcPr>
          <w:p>
            <w:pPr>
              <w:spacing w:after="0"/>
              <w:rPr>
                <w:sz w:val="14"/>
                <w:szCs w:val="14"/>
                <w:color w:val="auto"/>
              </w:rPr>
            </w:pPr>
          </w:p>
        </w:tc>
        <w:tc>
          <w:tcPr>
            <w:tcW w:w="1160" w:type="dxa"/>
            <w:vAlign w:val="bottom"/>
          </w:tcPr>
          <w:p>
            <w:pPr>
              <w:jc w:val="center"/>
              <w:ind w:right="102"/>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4"/>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4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3"/>
          </w:tcPr>
          <w:p>
            <w:pPr>
              <w:jc w:val="right"/>
              <w:ind w:right="94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flow interest rate swaps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
        <w:spacing w:after="0" w:line="375" w:lineRule="auto"/>
        <w:rPr>
          <w:sz w:val="20"/>
          <w:szCs w:val="20"/>
          <w:color w:val="auto"/>
        </w:rPr>
      </w:pPr>
      <w:r>
        <w:rPr>
          <w:rFonts w:ascii="Arial" w:cs="Arial" w:eastAsia="Arial" w:hAnsi="Arial"/>
          <w:sz w:val="18"/>
          <w:szCs w:val="18"/>
          <w:color w:val="auto"/>
        </w:rPr>
        <w:t xml:space="preserve">The cash flows associated with the interest rate swaps are classified as operating activities in the consolidated statements of cash flows. </w:t>
      </w:r>
      <w:r>
        <w:rPr>
          <w:rFonts w:ascii="Arial" w:cs="Arial" w:eastAsia="Arial" w:hAnsi="Arial"/>
          <w:sz w:val="18"/>
          <w:szCs w:val="18"/>
          <w:b w:val="1"/>
          <w:bCs w:val="1"/>
          <w:i w:val="1"/>
          <w:iCs w:val="1"/>
          <w:color w:val="auto"/>
        </w:rPr>
        <w:t>Cash Flow Hedges</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interest rate swap agreements to hedge the cash flows of $500 million of the variable rate senior unsecured term loan (the "Variable Rate Loan"). These interest rate swap agreements have a maturity date of August 2025 and a fixed interest rate of 2.96%. The objective of these instruments is to reduce variability in the forecasted interest payments of the Variable Rate Loan. During fiscal 2023, we modified our interest rate swap agreements to receive monthly variable interest payments based on the one-month SOFR rate as compared to LIBOR, and we will continue to pay interest at a fixed rate. We applied the guidance of ASC 848 which permits the continuation of hedge accounting for such modification.</w:t>
      </w:r>
    </w:p>
    <w:p>
      <w:pPr>
        <w:spacing w:after="0" w:line="7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The interest rate swap transactions are accounted for as cash flow hedges. The gain/loss on the swaps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cash flow hedges on other comprehensive income (loss) and earnings for the periods presented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77"/>
              <w:spacing w:after="0" w:line="151"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200" w:type="dxa"/>
            <w:vAlign w:val="bottom"/>
          </w:tcPr>
          <w:p>
            <w:pPr>
              <w:jc w:val="center"/>
              <w:ind w:right="120"/>
              <w:spacing w:after="0" w:line="151" w:lineRule="exact"/>
              <w:rPr>
                <w:sz w:val="20"/>
                <w:szCs w:val="20"/>
                <w:color w:val="auto"/>
              </w:rPr>
            </w:pPr>
            <w:r>
              <w:rPr>
                <w:rFonts w:ascii="Arial" w:cs="Arial" w:eastAsia="Arial" w:hAnsi="Arial"/>
                <w:sz w:val="14"/>
                <w:szCs w:val="14"/>
                <w:color w:val="auto"/>
              </w:rPr>
              <w:t>December 30,</w:t>
            </w:r>
          </w:p>
        </w:tc>
        <w:tc>
          <w:tcPr>
            <w:tcW w:w="240" w:type="dxa"/>
            <w:vAlign w:val="bottom"/>
          </w:tcPr>
          <w:p>
            <w:pPr>
              <w:spacing w:after="0"/>
              <w:rPr>
                <w:sz w:val="13"/>
                <w:szCs w:val="13"/>
                <w:color w:val="auto"/>
              </w:rPr>
            </w:pPr>
          </w:p>
        </w:tc>
        <w:tc>
          <w:tcPr>
            <w:tcW w:w="1180" w:type="dxa"/>
            <w:vAlign w:val="bottom"/>
          </w:tcPr>
          <w:p>
            <w:pPr>
              <w:jc w:val="right"/>
              <w:ind w:right="137"/>
              <w:spacing w:after="0" w:line="151"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6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98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8"/>
                <w:szCs w:val="18"/>
                <w:color w:val="auto"/>
              </w:rPr>
              <w:t>Total interest expense, net presented in the consolidated statements of operations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212</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5"/>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which the effects of cash flow hedges are recorded</w:t>
            </w: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Amount recognized in other comprehensive income</w:t>
            </w:r>
          </w:p>
        </w:tc>
        <w:tc>
          <w:tcPr>
            <w:tcW w:w="160" w:type="dxa"/>
            <w:vAlign w:val="bottom"/>
          </w:tcPr>
          <w:p>
            <w:pPr>
              <w:spacing w:after="0"/>
              <w:rPr>
                <w:sz w:val="19"/>
                <w:szCs w:val="19"/>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4"/>
        </w:trPr>
        <w:tc>
          <w:tcPr>
            <w:tcW w:w="69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Amount reclassified from accumulated other comprehensive income (loss) to interest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5"/>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reclassify net gains of $10 million from accumulated other comprehensive loss into earnings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rPr>
              <w:t>Stated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Effective</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rPr>
              <w:t>interest rate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rPr>
              <w:t>interest rate</w:t>
            </w:r>
          </w:p>
        </w:tc>
        <w:tc>
          <w:tcPr>
            <w:tcW w:w="140" w:type="dxa"/>
            <w:vAlign w:val="bottom"/>
          </w:tcPr>
          <w:p>
            <w:pPr>
              <w:spacing w:after="0"/>
              <w:rPr>
                <w:sz w:val="16"/>
                <w:szCs w:val="16"/>
                <w:color w:val="auto"/>
              </w:rPr>
            </w:pPr>
          </w:p>
        </w:tc>
        <w:tc>
          <w:tcPr>
            <w:tcW w:w="11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5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debt and current portion of long-term debt:</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Senior unsecured term loans: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$380 million term loan, due May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debt and current portion of long-term debt</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Senior unsecured term loans: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$1,925 million term loan, due January 2025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$1,000 million term loan, due March 2028</w:t>
            </w:r>
          </w:p>
        </w:tc>
        <w:tc>
          <w:tcPr>
            <w:tcW w:w="146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$500 million notes, due May 2023</w:t>
            </w:r>
          </w:p>
        </w:tc>
        <w:tc>
          <w:tcPr>
            <w:tcW w:w="1460" w:type="dxa"/>
            <w:vAlign w:val="bottom"/>
          </w:tcPr>
          <w:p>
            <w:pPr>
              <w:jc w:val="right"/>
              <w:spacing w:after="0"/>
              <w:rPr>
                <w:sz w:val="20"/>
                <w:szCs w:val="20"/>
                <w:color w:val="auto"/>
              </w:rPr>
            </w:pPr>
            <w:r>
              <w:rPr>
                <w:rFonts w:ascii="Arial" w:cs="Arial" w:eastAsia="Arial" w:hAnsi="Arial"/>
                <w:sz w:val="18"/>
                <w:szCs w:val="18"/>
                <w:color w:val="auto"/>
              </w:rPr>
              <w:t>2.95 %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$500 million notes, due May 2025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$750 million notes, due May 2030</w:t>
            </w:r>
          </w:p>
        </w:tc>
        <w:tc>
          <w:tcPr>
            <w:tcW w:w="1460" w:type="dxa"/>
            <w:vAlign w:val="bottom"/>
          </w:tcPr>
          <w:p>
            <w:pPr>
              <w:jc w:val="right"/>
              <w:spacing w:after="0"/>
              <w:rPr>
                <w:sz w:val="20"/>
                <w:szCs w:val="20"/>
                <w:color w:val="auto"/>
              </w:rPr>
            </w:pPr>
            <w:r>
              <w:rPr>
                <w:rFonts w:ascii="Arial" w:cs="Arial" w:eastAsia="Arial" w:hAnsi="Arial"/>
                <w:sz w:val="18"/>
                <w:szCs w:val="18"/>
                <w:color w:val="auto"/>
              </w:rPr>
              <w:t>4.38 %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$750 million notes, due March 2033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$1,000 million notes, due February 2031</w:t>
            </w:r>
          </w:p>
        </w:tc>
        <w:tc>
          <w:tcPr>
            <w:tcW w:w="1460" w:type="dxa"/>
            <w:vAlign w:val="bottom"/>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$250 million notes, due July 2032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$300 million notes, due July 2033</w:t>
            </w:r>
          </w:p>
        </w:tc>
        <w:tc>
          <w:tcPr>
            <w:tcW w:w="1460" w:type="dxa"/>
            <w:vAlign w:val="bottom"/>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 million notes, due December 2040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Finance leases due on various dates through fiscal 2032</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Various</w:t>
            </w:r>
          </w:p>
        </w:tc>
        <w:tc>
          <w:tcPr>
            <w:tcW w:w="1600" w:type="dxa"/>
            <w:vAlign w:val="bottom"/>
          </w:tcPr>
          <w:p>
            <w:pPr>
              <w:jc w:val="right"/>
              <w:spacing w:after="0"/>
              <w:rPr>
                <w:sz w:val="20"/>
                <w:szCs w:val="20"/>
                <w:color w:val="auto"/>
              </w:rPr>
            </w:pPr>
            <w:r>
              <w:rPr>
                <w:rFonts w:ascii="Arial" w:cs="Arial" w:eastAsia="Arial" w:hAnsi="Arial"/>
                <w:sz w:val="18"/>
                <w:szCs w:val="18"/>
                <w:color w:val="auto"/>
              </w:rPr>
              <w:t>1.84%-6.31%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4"/>
        </w:trPr>
        <w:tc>
          <w:tcPr>
            <w:tcW w:w="5280" w:type="dxa"/>
            <w:vAlign w:val="bottom"/>
            <w:gridSpan w:val="2"/>
            <w:shd w:val="clear" w:color="auto" w:fill="CCEEFF"/>
          </w:tcPr>
          <w:p>
            <w:pPr>
              <w:ind w:left="140"/>
              <w:spacing w:after="0" w:line="183" w:lineRule="exact"/>
              <w:rPr>
                <w:sz w:val="20"/>
                <w:szCs w:val="20"/>
                <w:color w:val="auto"/>
              </w:rPr>
            </w:pPr>
            <w:r>
              <w:rPr>
                <w:rFonts w:ascii="Arial" w:cs="Arial" w:eastAsia="Arial" w:hAnsi="Arial"/>
                <w:sz w:val="18"/>
                <w:szCs w:val="18"/>
                <w:color w:val="auto"/>
              </w:rPr>
              <w:t>Less: unamortized debt discounts and deferred debt issuance</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5"/>
        </w:trPr>
        <w:tc>
          <w:tcPr>
            <w:tcW w:w="5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costs</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 and Revolving Credit Facility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10, 2023 (the “Closing Date”), we entered into a Credit Agreement (the “Credit Agreement”) with certain financial institutions, which provided for a senior unsecured term loan facility in an aggregate principal amount of $ 1.0 billion (the “Term Loan Facility”) and a $1.0 billion senior unsecured revolving facility (the “Revolving Facility” and, together with the Term Loan Facility, the “Credit Facilities”). The Credit Facilities will mature in March 2028. The Revolving Facility permits two additional one-year extensions subject to lender consent. As of December 29, 2023, there were no borrowings outstanding under the Revolving Facility.</w:t>
      </w:r>
    </w:p>
    <w:p>
      <w:pPr>
        <w:spacing w:after="0" w:line="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proceeds of the Term Loan Facility and cash on hand on the Closing Date were used to repay in full all indebtedness, terminate all commitments and discharge all guarantees existing in connection with a predecessor $1.9 billion senior unsecured term loan facility and a $750 million senior unsecured revolving facility. As of December 30, 2022, there were no borrowings outstanding under the predecessor senior unsecured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Borrowings under the Credit Agreement bear interest at a rate determined, at our option, based on either an alternate base rate or a Term SOFR rate with a 0.10%, per annum Term SOFR adjustment, plus, in each case, an applicable margin that varies depending on our credit rating. The applicable margin range for Term SOFR-denominated borrowings is from 1.00% to 1.50%. Based on our current ratings, the applicable margin for Term SOFR-denominated borrowings is 1.25%. Principal payments are made quarterly on the Term Loan Facility beginning in March 2025, with the majority of the principal due at maturity. Interest on the Term Loan Facility for Term SOFR-denominated borrowings is payable on a periodic basis, which must be at least quarterly.</w:t>
      </w:r>
    </w:p>
    <w:p>
      <w:pPr>
        <w:spacing w:after="0" w:line="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financial covenants in the Term Loan Agreement require that we maintain, as of the last day of each fiscal quarter, a ratio of adjusted consolidated total debt to consolidated EBITDA of not more than 3.75 to 1.00, subject to increases to 4.50 to 1.00 following a material acquisition, and a ratio of EBITDA to consolidated interest expense of not less than 3.50 to 1.00.</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May 6, 2022, we entered into a 364-day term loan credit agreement with certain financial institutions, which provided for a senior unsecured term loan facility in an aggregate principal amount of $380 million, and was repaid in fiscal 2023. The proceeds of the term loan were used to repay the $380 million senior unsecured term loan entered into on May 7,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28, 2023, we issued and sold $750 million aggregate principal amount of fixed-rate senior notes (the “Notes”) maturing in March 2033. The Notes are senior unsecured obligations issued by Leidos, Inc. and guaranteed by Leidos Holdings, Inc. The annual interest rate for the Notes is 5.75% and is payable on a semi-annual basis. In connection with the issuance of the Notes, $11 million of debt issuance costs and debt discounts were recognized, which were recorded as an offset against the carrying value of debt. The proceeds from the Notes were used to repay all of the outstanding obligations in respect of principal, interest and fees on the $500 million 2.95% notes, due May 2023, the majority of which were retired on February 28, 2023. The remaining proceeds from the Notes were used to repay $210 million of the outstanding balance on the predecessor $1.9 billion senior unsecured term loan facility, due January 2025, and fund general corporate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a commercial paper program in which the Company may issue short-term unsecured commercial paper notes ("Commercial Paper Notes"). On May 26, 2023, we increased the size of the commercial paper program by $250 million, or not to exceed $ 1.0 billion. The proceeds will be used for general corporate purposes, including working capital, capital expenditures, acquisitions and share repurchases.</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Commercial Paper Notes are issued in minimum denominations of $0.25 million and have maturities of up to 397 days from the date of issuance. The Commercial Paper Notes will bear either a stated or floating interest rate, if interest bearing, or will be sold at a discount from the face amount. As of December 29, 2023, and December 30, 2022, we did not have any Commercial Paper Notes outstanding.</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Credit Facilities, Commercial Paper Notes, senior unsecured term loans and notes are fully and unconditionally guaranteed and contain certain customary restrictive covenants, including among other things, restrictions on our ability to create liens and enter into sale and leaseback transactions under certain circumstances. We were in compliance with all covenants as of December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of debt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Fiscal Year Ending</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2029 and thereafter</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and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14—Accumulated Other Comprehensive Income (Loss)</w:t>
            </w: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5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980" w:type="dxa"/>
            <w:vAlign w:val="bottom"/>
            <w:gridSpan w:val="9"/>
          </w:tcPr>
          <w:p>
            <w:pPr>
              <w:spacing w:after="0"/>
              <w:rPr>
                <w:sz w:val="20"/>
                <w:szCs w:val="20"/>
                <w:color w:val="auto"/>
              </w:rPr>
            </w:pPr>
            <w:r>
              <w:rPr>
                <w:rFonts w:ascii="Arial" w:cs="Arial" w:eastAsia="Arial" w:hAnsi="Arial"/>
                <w:sz w:val="18"/>
                <w:szCs w:val="18"/>
                <w:color w:val="auto"/>
              </w:rPr>
              <w:t>Changes in the components of Accumulated Other Comprehensive Income (Loss) ("AOCI") were as follows: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Foreign currency</w:t>
            </w:r>
          </w:p>
        </w:tc>
        <w:tc>
          <w:tcPr>
            <w:tcW w:w="1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rPr>
              <w:t>Unrecognized gain</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translation</w:t>
            </w:r>
          </w:p>
        </w:tc>
        <w:tc>
          <w:tcPr>
            <w:tcW w:w="100" w:type="dxa"/>
            <w:vAlign w:val="bottom"/>
          </w:tcPr>
          <w:p>
            <w:pPr>
              <w:spacing w:after="0"/>
              <w:rPr>
                <w:sz w:val="12"/>
                <w:szCs w:val="12"/>
                <w:color w:val="auto"/>
              </w:rPr>
            </w:pPr>
          </w:p>
        </w:tc>
        <w:tc>
          <w:tcPr>
            <w:tcW w:w="144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(loss) on derivative</w:t>
            </w:r>
          </w:p>
        </w:tc>
        <w:tc>
          <w:tcPr>
            <w:tcW w:w="1520" w:type="dxa"/>
            <w:vAlign w:val="bottom"/>
            <w:gridSpan w:val="3"/>
            <w:vMerge w:val="restart"/>
          </w:tcPr>
          <w:p>
            <w:pPr>
              <w:ind w:left="60"/>
              <w:spacing w:after="0"/>
              <w:rPr>
                <w:sz w:val="20"/>
                <w:szCs w:val="20"/>
                <w:color w:val="auto"/>
              </w:rPr>
            </w:pPr>
            <w:r>
              <w:rPr>
                <w:rFonts w:ascii="Arial" w:cs="Arial" w:eastAsia="Arial" w:hAnsi="Arial"/>
                <w:sz w:val="14"/>
                <w:szCs w:val="14"/>
                <w:color w:val="auto"/>
              </w:rPr>
              <w:t>Pension adjustments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272"/>
              <w:spacing w:after="0"/>
              <w:rPr>
                <w:sz w:val="20"/>
                <w:szCs w:val="20"/>
                <w:color w:val="auto"/>
              </w:rPr>
            </w:pPr>
            <w:r>
              <w:rPr>
                <w:rFonts w:ascii="Arial" w:cs="Arial" w:eastAsia="Arial" w:hAnsi="Arial"/>
                <w:sz w:val="14"/>
                <w:szCs w:val="14"/>
                <w:color w:val="auto"/>
              </w:rPr>
              <w:t>Total AOCI</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rPr>
              <w:t>adjustments</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instruments</w:t>
            </w:r>
          </w:p>
        </w:tc>
        <w:tc>
          <w:tcPr>
            <w:tcW w:w="15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right"/>
              <w:ind w:right="316"/>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Reclassification from AOCI</w:t>
            </w:r>
          </w:p>
        </w:tc>
        <w:tc>
          <w:tcPr>
            <w:tcW w:w="1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Reclassification from AOCI</w:t>
            </w:r>
          </w:p>
        </w:tc>
        <w:tc>
          <w:tcPr>
            <w:tcW w:w="1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30, 2022</w:t>
            </w: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Reclassification from AOCI</w:t>
            </w:r>
          </w:p>
        </w:tc>
        <w:tc>
          <w:tcPr>
            <w:tcW w:w="1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29,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Reclassifications for unrecognized gain (loss) on derivative instruments are associated with outstanding debt are recorded in "Interest expense, net" on the consolidated statements of operations. See "Note 12—Derivative Instruments" for more information on our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15—Composition of Certain Financial Statement Captions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2"/>
            <w:vMerge w:val="restart"/>
          </w:tcPr>
          <w:p>
            <w:pPr>
              <w:ind w:left="60"/>
              <w:spacing w:after="0"/>
              <w:rPr>
                <w:sz w:val="20"/>
                <w:szCs w:val="20"/>
                <w:color w:val="auto"/>
              </w:rPr>
            </w:pPr>
            <w:r>
              <w:rPr>
                <w:rFonts w:ascii="Arial" w:cs="Arial" w:eastAsia="Arial" w:hAnsi="Arial"/>
                <w:sz w:val="18"/>
                <w:szCs w:val="18"/>
                <w:b w:val="1"/>
                <w:bCs w:val="1"/>
                <w:i w:val="1"/>
                <w:iCs w:val="1"/>
                <w:color w:val="auto"/>
              </w:rPr>
              <w:t>Balance Sheets</w:t>
            </w: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85"/>
        </w:trPr>
        <w:tc>
          <w:tcPr>
            <w:tcW w:w="8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2"/>
        </w:trPr>
        <w:tc>
          <w:tcPr>
            <w:tcW w:w="8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gridSpan w:val="4"/>
          </w:tcPr>
          <w:p>
            <w:pPr>
              <w:jc w:val="right"/>
              <w:ind w:right="93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gridSpan w:val="2"/>
          </w:tcPr>
          <w:p>
            <w:pPr>
              <w:ind w:left="140"/>
              <w:spacing w:after="0"/>
              <w:rPr>
                <w:sz w:val="20"/>
                <w:szCs w:val="20"/>
                <w:color w:val="auto"/>
              </w:rPr>
            </w:pPr>
            <w:r>
              <w:rPr>
                <w:rFonts w:ascii="Arial" w:cs="Arial" w:eastAsia="Arial" w:hAnsi="Arial"/>
                <w:sz w:val="18"/>
                <w:szCs w:val="18"/>
                <w:color w:val="auto"/>
              </w:rPr>
              <w:t>Transition costs and project assets</w:t>
            </w:r>
            <w:r>
              <w:rPr>
                <w:rFonts w:ascii="Arial" w:cs="Arial" w:eastAsia="Arial" w:hAnsi="Arial"/>
                <w:sz w:val="9"/>
                <w:szCs w:val="9"/>
                <w:color w:val="auto"/>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60" w:type="dxa"/>
            <w:vAlign w:val="bottom"/>
            <w:gridSpan w:val="2"/>
          </w:tcPr>
          <w:p>
            <w:pPr>
              <w:ind w:left="140"/>
              <w:spacing w:after="0"/>
              <w:rPr>
                <w:sz w:val="20"/>
                <w:szCs w:val="20"/>
                <w:color w:val="auto"/>
              </w:rPr>
            </w:pPr>
            <w:r>
              <w:rPr>
                <w:rFonts w:ascii="Arial" w:cs="Arial" w:eastAsia="Arial" w:hAnsi="Arial"/>
                <w:sz w:val="18"/>
                <w:szCs w:val="18"/>
                <w:color w:val="auto"/>
              </w:rPr>
              <w:t>Transition costs and project assets</w:t>
            </w:r>
            <w:r>
              <w:rPr>
                <w:rFonts w:ascii="Arial" w:cs="Arial" w:eastAsia="Arial" w:hAnsi="Arial"/>
                <w:sz w:val="9"/>
                <w:szCs w:val="9"/>
                <w:color w:val="auto"/>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deferred tax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846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vacation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Salaries, bonuses and amounts withheld from employees’ compensation</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280" w:hanging="172"/>
        <w:spacing w:after="0" w:line="238" w:lineRule="auto"/>
        <w:tabs>
          <w:tab w:leader="none" w:pos="158"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29, 2023, and December 30, 2022, $417 million and $489 million, respectively, of amortization was recognized related to transition costs and project assets.</w:t>
      </w:r>
    </w:p>
    <w:p>
      <w:pPr>
        <w:spacing w:after="0" w:line="4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2"/>
          <w:szCs w:val="12"/>
          <w:color w:val="auto"/>
        </w:rPr>
        <w:t>Balance represents items that are not individually significant to disclose separately.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16—Earnings Per Share ("EPS")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Basic EPS is computed by dividing net income attributable to Leidos common stockholders by the basic weighted average number of shares outstanding. Diluted EPS is calculated to give effect to all potentially dilutive common shares that were outstanding during the reporting period. The dilutive effect of outstanding equity-based compensation awards is reflected in diluted EPS by application of the treasury stock method, only in periods in which such effect would have been dilutive for the period.</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issue unvested stock awards that have forfeitable rights to dividends or dividend equivalents. These stock awards are dilutive common share equivalents subject to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shares used to compute basic and diluted EPS attributable to Leidos stockholders were: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Year Ended</w:t>
            </w:r>
          </w:p>
        </w:tc>
        <w:tc>
          <w:tcPr>
            <w:tcW w:w="1340" w:type="dxa"/>
            <w:vAlign w:val="bottom"/>
            <w:tcBorders>
              <w:bottom w:val="single" w:sz="8" w:color="auto"/>
            </w:tcBorders>
          </w:tcPr>
          <w:p>
            <w:pPr>
              <w:spacing w:after="0"/>
              <w:rPr>
                <w:sz w:val="16"/>
                <w:szCs w:val="16"/>
                <w:color w:val="auto"/>
              </w:rPr>
            </w:pPr>
          </w:p>
        </w:tc>
      </w:tr>
      <w:tr>
        <w:trPr>
          <w:trHeight w:val="150"/>
        </w:trPr>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ind w:left="200"/>
              <w:spacing w:after="0" w:line="151" w:lineRule="exact"/>
              <w:rPr>
                <w:sz w:val="20"/>
                <w:szCs w:val="20"/>
                <w:color w:val="auto"/>
              </w:rPr>
            </w:pPr>
            <w:r>
              <w:rPr>
                <w:rFonts w:ascii="Arial" w:cs="Arial" w:eastAsia="Arial" w:hAnsi="Arial"/>
                <w:sz w:val="14"/>
                <w:szCs w:val="14"/>
                <w:b w:val="1"/>
                <w:bCs w:val="1"/>
                <w:color w:val="auto"/>
              </w:rPr>
              <w:t>December 29,</w:t>
            </w:r>
          </w:p>
        </w:tc>
        <w:tc>
          <w:tcPr>
            <w:tcW w:w="1420" w:type="dxa"/>
            <w:vAlign w:val="bottom"/>
            <w:gridSpan w:val="2"/>
          </w:tcPr>
          <w:p>
            <w:pPr>
              <w:jc w:val="center"/>
              <w:ind w:right="100"/>
              <w:spacing w:after="0" w:line="151" w:lineRule="exact"/>
              <w:rPr>
                <w:sz w:val="20"/>
                <w:szCs w:val="20"/>
                <w:color w:val="auto"/>
              </w:rPr>
            </w:pPr>
            <w:r>
              <w:rPr>
                <w:rFonts w:ascii="Arial" w:cs="Arial" w:eastAsia="Arial" w:hAnsi="Arial"/>
                <w:sz w:val="14"/>
                <w:szCs w:val="14"/>
                <w:color w:val="auto"/>
              </w:rPr>
              <w:t>December 30,</w:t>
            </w:r>
          </w:p>
        </w:tc>
        <w:tc>
          <w:tcPr>
            <w:tcW w:w="1340" w:type="dxa"/>
            <w:vAlign w:val="bottom"/>
          </w:tcPr>
          <w:p>
            <w:pPr>
              <w:jc w:val="right"/>
              <w:ind w:right="137"/>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2021</w:t>
            </w:r>
          </w:p>
        </w:tc>
      </w:tr>
      <w:tr>
        <w:trPr>
          <w:trHeight w:val="192"/>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16"/>
                <w:szCs w:val="16"/>
                <w:color w:val="auto"/>
              </w:rPr>
            </w:pPr>
          </w:p>
        </w:tc>
      </w:tr>
      <w:tr>
        <w:trPr>
          <w:trHeight w:val="234"/>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Dilutive common share equivalents—stock options and other stock awards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Anti-dilutive stock-based awards are excluded from the weighted average number of shares outstanding used to compute diluted EPS. The total outstanding stock options and vesting stock awards that were anti-dilutive were 1 million for each of the periods presented above.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During fiscal 2023 and 2021, we made open market repurchases of our common stock for an aggregate purchase price of $225 million and $237 million, respectively. There were no open market share repurchases in fiscal 2022.</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fiscal 2022, we entered into Accelerated Share Repurchase agreement with a financial institution to repurchase shares of our outstanding common stock. We paid $500 million to the financial institution and received 4.8 million shares.</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repurchases were recorded to "Additional paid-in capital" in the consolidated balance sheets. All shares delivered were immediately retired.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Summaries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December 29, 2023, we had stock-based compensation awards outstanding under the following plans: the 2017 Omnibus Incentive Plan, the 2006 Equity Incentive Plan, as amended, and the 2006 Employee Stock Purchase Plan, as amended ("ESPP"). We issue new shares upon the vesting of stock units or exercising of stock options under these plans.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2017 Omnibus Incentive Plan provides Leidos and its affiliates' employees, directors and consultants the opportunity to receive various types of stock-based compensation awards, such as stock options, restricted stock units and performance-based awards, as well as cash awards. We grant service-based awards that generally vest or become exercisable 33% a year over three years, 25% a year over four years or cliff vest in three years. As of December 29, 2023, 3.8 million shares of Leidos' stock were reserved for future issuance under the 2017 Omnibus Incentive Plan and the 2006 Equity Incentive Plan.</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offer eligible employees the opportunity to defer restricted stock units into an equity-based deferred equity compensation plan, the Key Executive Stock Deferral Plan ("KESDP"). Prior to 2013, we offered an additional opportunity for deferrals into the Management Stock Compensation Plan ("MSCP"). Benefits from these plans are payable in shares of Leidos' stock that are held in a trust for the purpose of funding shares to the plans' participants. Restricted stock units deferred under the KESDP are counted against the total shares available for future issuance under the 2017 Omnibus Incentive Plan. All awards under the MSCP are fully vested and the plan does not provide for a maximum number of shares available for future issuance.</w:t>
      </w:r>
    </w:p>
    <w:p>
      <w:pPr>
        <w:spacing w:after="0" w:line="7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ESPP allows eligible employees to purchase shares of Leidos' stock at a discount of up to 15% of the fair market value on the date of purchase. During fiscal 2023, 2022 and 2021, the discount was 10% of the fair market value on the date of purchase. During fiscal 2023, 2022 and 2021, $48 million, $45 million and $39 million, respectively, was received from ESPP plan participants for the issuance of Leidos' stock. A total of 2.3 million shares remain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and related tax benefits recognized under all plans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0"/>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9"/>
              <w:spacing w:after="0" w:line="151"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3"/>
                <w:szCs w:val="13"/>
                <w:color w:val="auto"/>
              </w:rPr>
            </w:pPr>
          </w:p>
        </w:tc>
        <w:tc>
          <w:tcPr>
            <w:tcW w:w="1200" w:type="dxa"/>
            <w:vAlign w:val="bottom"/>
          </w:tcPr>
          <w:p>
            <w:pPr>
              <w:jc w:val="center"/>
              <w:ind w:right="102"/>
              <w:spacing w:after="0" w:line="151" w:lineRule="exact"/>
              <w:rPr>
                <w:sz w:val="20"/>
                <w:szCs w:val="20"/>
                <w:color w:val="auto"/>
              </w:rPr>
            </w:pPr>
            <w:r>
              <w:rPr>
                <w:rFonts w:ascii="Arial" w:cs="Arial" w:eastAsia="Arial" w:hAnsi="Arial"/>
                <w:sz w:val="14"/>
                <w:szCs w:val="14"/>
                <w:color w:val="auto"/>
              </w:rPr>
              <w:t>December 30,</w:t>
            </w:r>
          </w:p>
        </w:tc>
        <w:tc>
          <w:tcPr>
            <w:tcW w:w="260" w:type="dxa"/>
            <w:vAlign w:val="bottom"/>
          </w:tcPr>
          <w:p>
            <w:pPr>
              <w:spacing w:after="0"/>
              <w:rPr>
                <w:sz w:val="13"/>
                <w:szCs w:val="13"/>
                <w:color w:val="auto"/>
              </w:rPr>
            </w:pPr>
          </w:p>
        </w:tc>
        <w:tc>
          <w:tcPr>
            <w:tcW w:w="1160" w:type="dxa"/>
            <w:vAlign w:val="bottom"/>
          </w:tcPr>
          <w:p>
            <w:pPr>
              <w:jc w:val="right"/>
              <w:ind w:right="139"/>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r>
      <w:tr>
        <w:trPr>
          <w:trHeight w:val="192"/>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02"/>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Tax benefits recognized from stock-based compensation</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21"/>
                <w:szCs w:val="21"/>
                <w:color w:val="auto"/>
              </w:rPr>
            </w:pPr>
          </w:p>
        </w:tc>
        <w:tc>
          <w:tcPr>
            <w:tcW w:w="1200" w:type="dxa"/>
            <w:vAlign w:val="bottom"/>
          </w:tcPr>
          <w:p>
            <w:pPr>
              <w:jc w:val="right"/>
              <w:ind w:right="22"/>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 options are granted with exercise prices equal to the fair market value of Leidos' common stock using the closing price on the business day prior to the grant date and for terms not greater than ten years. Stock options have a term of seven years and a vesting period of three or four years, except for stock options granted to our outside directors, which have a vesting period of the earlier of one year from grant date or the next annual meeting of stockholders following grant date.</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the stock option awards is estimated on the date of grant using the Black-Scholes-Merton option-pricing model. The fair value of the stock option awards to employees are expensed on a straight-line basis over the vesting period of three or four years, except for stock options granted to our outside directors, which is recognized over the vesting period of one year or less.</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During fiscal 2023, 2022 and 2021, we used a blended approach to measure expected volatility that is based on our weighted average historical and implied volatilities.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risk-free rate is derived using the yield curve of a zero-coupon U.S. Treasury bond with a maturity equal to the expected term of the stock option on the grant date. To determine the expected term, we use the midpoint scenario with a one-year grant date filter assumption for outstanding options and we use historical data to estimate forfeitures. The weighted average grant-date fair value and assumptions used to determine fair value of stock options granted for the periods presented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0"/>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rPr>
              <w:t>December 30,</w:t>
            </w:r>
          </w:p>
        </w:tc>
        <w:tc>
          <w:tcPr>
            <w:tcW w:w="200" w:type="dxa"/>
            <w:vAlign w:val="bottom"/>
          </w:tcPr>
          <w:p>
            <w:pPr>
              <w:spacing w:after="0"/>
              <w:rPr>
                <w:sz w:val="13"/>
                <w:szCs w:val="13"/>
                <w:color w:val="auto"/>
              </w:rPr>
            </w:pPr>
          </w:p>
        </w:tc>
        <w:tc>
          <w:tcPr>
            <w:tcW w:w="1260" w:type="dxa"/>
            <w:vAlign w:val="bottom"/>
          </w:tcPr>
          <w:p>
            <w:pPr>
              <w:jc w:val="right"/>
              <w:ind w:right="195"/>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2021</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20.23</w:t>
            </w: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20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4.6</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each of the periods presented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Shares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rPr>
              <w:t>Weighted</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remaining</w:t>
            </w:r>
          </w:p>
        </w:tc>
        <w:tc>
          <w:tcPr>
            <w:tcW w:w="18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3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39" w:lineRule="exact"/>
              <w:rPr>
                <w:sz w:val="20"/>
                <w:szCs w:val="20"/>
                <w:color w:val="auto"/>
              </w:rPr>
            </w:pPr>
            <w:r>
              <w:rPr>
                <w:rFonts w:ascii="Arial" w:cs="Arial" w:eastAsia="Arial" w:hAnsi="Arial"/>
                <w:sz w:val="14"/>
                <w:szCs w:val="14"/>
                <w:color w:val="auto"/>
              </w:rPr>
              <w:t>stock under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39" w:lineRule="exact"/>
              <w:rPr>
                <w:sz w:val="20"/>
                <w:szCs w:val="20"/>
                <w:color w:val="auto"/>
              </w:rPr>
            </w:pPr>
            <w:r>
              <w:rPr>
                <w:rFonts w:ascii="Arial" w:cs="Arial" w:eastAsia="Arial" w:hAnsi="Arial"/>
                <w:sz w:val="14"/>
                <w:szCs w:val="14"/>
                <w:color w:val="auto"/>
              </w:rPr>
              <w:t>average</w:t>
            </w:r>
          </w:p>
        </w:tc>
        <w:tc>
          <w:tcPr>
            <w:tcW w:w="140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rPr>
              <w:t>exercise price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(in years)</w:t>
            </w:r>
          </w:p>
        </w:tc>
        <w:tc>
          <w:tcPr>
            <w:tcW w:w="180" w:type="dxa"/>
            <w:vAlign w:val="bottom"/>
          </w:tcPr>
          <w:p>
            <w:pPr>
              <w:spacing w:after="0"/>
              <w:rPr>
                <w:sz w:val="16"/>
                <w:szCs w:val="16"/>
                <w:color w:val="auto"/>
              </w:rPr>
            </w:pPr>
          </w:p>
        </w:tc>
        <w:tc>
          <w:tcPr>
            <w:tcW w:w="1160" w:type="dxa"/>
            <w:vAlign w:val="bottom"/>
          </w:tcPr>
          <w:p>
            <w:pPr>
              <w:jc w:val="center"/>
              <w:ind w:right="75"/>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38.79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105.01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30,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92.71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Options forfeited or expired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53.78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29,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Exercisable at December 29, 2023</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78.73</w:t>
            </w: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line="20" w:lineRule="exact"/>
              <w:rPr>
                <w:sz w:val="1"/>
                <w:szCs w:val="1"/>
                <w:color w:val="auto"/>
              </w:rPr>
            </w:pPr>
          </w:p>
        </w:tc>
      </w:tr>
      <w:tr>
        <w:trPr>
          <w:trHeight w:val="203"/>
        </w:trPr>
        <w:tc>
          <w:tcPr>
            <w:tcW w:w="5560" w:type="dxa"/>
            <w:vAlign w:val="bottom"/>
            <w:gridSpan w:val="2"/>
            <w:vMerge w:val="continue"/>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w:t>
            </w:r>
          </w:p>
        </w:tc>
        <w:tc>
          <w:tcPr>
            <w:tcW w:w="26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and expected to vest in the future as of December 29, 2023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of December 29, 2023, there was $7 million of unrecognized compensation cost, net of estimated forfeitures, related to stock options, which is expected to be recognized over a weighted-average period of 1.8 years. Tax benefits from stock options exercised for fiscal 2023, 2022 and 2021 were $2 million, $9 million and $6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Compensation expense is measured at the grant date fair value and generally recognized over the vesting period of three or four years based upon required service conditions and in some cases revenue or EPS-based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and awards activity for each of the periods presented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Shares of stock</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173"/>
              <w:spacing w:after="0"/>
              <w:rPr>
                <w:sz w:val="20"/>
                <w:szCs w:val="20"/>
                <w:color w:val="auto"/>
              </w:rPr>
            </w:pPr>
            <w:r>
              <w:rPr>
                <w:rFonts w:ascii="Arial" w:cs="Arial" w:eastAsia="Arial" w:hAnsi="Arial"/>
                <w:sz w:val="14"/>
                <w:szCs w:val="14"/>
                <w:color w:val="auto"/>
              </w:rPr>
              <w:t>Weighted</w:t>
            </w:r>
          </w:p>
        </w:tc>
      </w:tr>
      <w:tr>
        <w:trPr>
          <w:trHeight w:val="148"/>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under 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153"/>
              <w:spacing w:after="0" w:line="149" w:lineRule="exact"/>
              <w:rPr>
                <w:sz w:val="20"/>
                <w:szCs w:val="20"/>
                <w:color w:val="auto"/>
              </w:rPr>
            </w:pPr>
            <w:r>
              <w:rPr>
                <w:rFonts w:ascii="Arial" w:cs="Arial" w:eastAsia="Arial" w:hAnsi="Arial"/>
                <w:sz w:val="14"/>
                <w:szCs w:val="14"/>
                <w:color w:val="auto"/>
              </w:rPr>
              <w:t>average grant-</w:t>
            </w:r>
          </w:p>
        </w:tc>
      </w:tr>
      <w:tr>
        <w:trPr>
          <w:trHeight w:val="185"/>
        </w:trPr>
        <w:tc>
          <w:tcPr>
            <w:tcW w:w="7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awards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date fair value</w:t>
            </w:r>
          </w:p>
        </w:tc>
      </w:t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4"/>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January 1, 2021</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r>
      <w:tr>
        <w:trPr>
          <w:trHeight w:val="229"/>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91.09</w:t>
            </w:r>
          </w:p>
        </w:tc>
      </w:tr>
      <w:tr>
        <w:trPr>
          <w:trHeight w:val="230"/>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71.60</w:t>
            </w:r>
          </w:p>
        </w:tc>
      </w:tr>
      <w:tr>
        <w:trPr>
          <w:trHeight w:val="22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December 31, 2021</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1.4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104.78</w:t>
            </w:r>
          </w:p>
        </w:tc>
      </w:tr>
      <w:tr>
        <w:trPr>
          <w:trHeight w:val="22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r>
      <w:tr>
        <w:trPr>
          <w:trHeight w:val="230"/>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74.20</w:t>
            </w:r>
          </w:p>
        </w:tc>
      </w:tr>
      <w:tr>
        <w:trPr>
          <w:trHeight w:val="223"/>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December 30, 2022</w:t>
            </w:r>
          </w:p>
        </w:tc>
        <w:tc>
          <w:tcPr>
            <w:tcW w:w="144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1.3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r>
      <w:tr>
        <w:trPr>
          <w:trHeight w:val="230"/>
        </w:trPr>
        <w:tc>
          <w:tcPr>
            <w:tcW w:w="80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440" w:type="dxa"/>
            <w:vAlign w:val="bottom"/>
          </w:tcPr>
          <w:p>
            <w:pPr>
              <w:jc w:val="center"/>
              <w:ind w:left="954"/>
              <w:spacing w:after="0"/>
              <w:rPr>
                <w:sz w:val="20"/>
                <w:szCs w:val="20"/>
                <w:color w:val="auto"/>
              </w:rPr>
            </w:pPr>
            <w:r>
              <w:rPr>
                <w:rFonts w:ascii="Arial" w:cs="Arial" w:eastAsia="Arial" w:hAnsi="Arial"/>
                <w:sz w:val="18"/>
                <w:szCs w:val="18"/>
                <w:b w:val="1"/>
                <w:bCs w:val="1"/>
                <w:color w:val="auto"/>
                <w:w w:val="95"/>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95.82</w:t>
            </w:r>
          </w:p>
        </w:tc>
      </w:tr>
      <w:tr>
        <w:trPr>
          <w:trHeight w:val="229"/>
        </w:trPr>
        <w:tc>
          <w:tcPr>
            <w:tcW w:w="8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440" w:type="dxa"/>
            <w:vAlign w:val="bottom"/>
            <w:shd w:val="clear" w:color="auto" w:fill="CCEEFF"/>
          </w:tcPr>
          <w:p>
            <w:pPr>
              <w:jc w:val="center"/>
              <w:ind w:left="934"/>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97.18</w:t>
            </w:r>
          </w:p>
        </w:tc>
      </w:tr>
      <w:tr>
        <w:trPr>
          <w:trHeight w:val="229"/>
        </w:trPr>
        <w:tc>
          <w:tcPr>
            <w:tcW w:w="8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44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97.65</w:t>
            </w: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stock awards at December 29, 2023</w:t>
            </w:r>
          </w:p>
        </w:tc>
        <w:tc>
          <w:tcPr>
            <w:tcW w:w="144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b w:val="1"/>
                <w:bCs w:val="1"/>
                <w:color w:val="auto"/>
                <w:w w:val="95"/>
              </w:rPr>
              <w:t>1.4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As of December 29, 2023, there was $57 million of unrecognized compensation cost, net of estimated forfeitures, related to restricted stock units, which is expected to be recognized over a weighted average period of 1.8 years. The fair value of restricted stock units that vested in fiscal 2023, 2022 and 2021 was $40 million, $52 million and $48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Awards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Performance-based stock awards vest and the stock is issued at the end of a three-year period based upon the achievement of specific performance criteria, with the number of shares ultimately awarded, if any, ranging up to 200% of the specified target awards. If performance is below the threshold level of performance, no shares will be issued.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awards granted during fiscal 2023, 2022 and 2021,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2023, 2022 and 2021, we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award activity for each of the periods presented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Expected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of shares of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restart"/>
          </w:tcPr>
          <w:p>
            <w:pPr>
              <w:jc w:val="center"/>
              <w:ind w:right="133"/>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4"/>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Arial" w:cs="Arial" w:eastAsia="Arial" w:hAnsi="Arial"/>
                <w:sz w:val="14"/>
                <w:szCs w:val="14"/>
                <w:color w:val="auto"/>
              </w:rPr>
              <w:t>to be issued under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spacing w:after="0" w:line="139" w:lineRule="exact"/>
              <w:rPr>
                <w:sz w:val="20"/>
                <w:szCs w:val="20"/>
                <w:color w:val="auto"/>
              </w:rPr>
            </w:pPr>
            <w:r>
              <w:rPr>
                <w:rFonts w:ascii="Arial" w:cs="Arial" w:eastAsia="Arial" w:hAnsi="Arial"/>
                <w:sz w:val="14"/>
                <w:szCs w:val="14"/>
                <w:color w:val="auto"/>
              </w:rPr>
              <w:t>performance-based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33"/>
              <w:spacing w:after="0" w:line="139" w:lineRule="exact"/>
              <w:rPr>
                <w:sz w:val="20"/>
                <w:szCs w:val="20"/>
                <w:color w:val="auto"/>
              </w:rPr>
            </w:pPr>
            <w:r>
              <w:rPr>
                <w:rFonts w:ascii="Arial" w:cs="Arial" w:eastAsia="Arial" w:hAnsi="Arial"/>
                <w:sz w:val="14"/>
                <w:szCs w:val="14"/>
                <w:color w:val="auto"/>
              </w:rPr>
              <w:t>average grant-</w:t>
            </w:r>
          </w:p>
        </w:tc>
        <w:tc>
          <w:tcPr>
            <w:tcW w:w="0" w:type="dxa"/>
            <w:vAlign w:val="bottom"/>
          </w:tcPr>
          <w:p>
            <w:pPr>
              <w:spacing w:after="0"/>
              <w:rPr>
                <w:sz w:val="1"/>
                <w:szCs w:val="1"/>
                <w:color w:val="auto"/>
              </w:rPr>
            </w:pPr>
          </w:p>
        </w:tc>
      </w:tr>
      <w:tr>
        <w:trPr>
          <w:trHeight w:val="185"/>
        </w:trPr>
        <w:tc>
          <w:tcPr>
            <w:tcW w:w="7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stock awards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January 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30"/>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0" w:type="dxa"/>
            <w:vAlign w:val="bottom"/>
          </w:tcPr>
          <w:p>
            <w:pPr>
              <w:spacing w:after="0"/>
              <w:rPr>
                <w:sz w:val="1"/>
                <w:szCs w:val="1"/>
                <w:color w:val="auto"/>
              </w:rPr>
            </w:pPr>
          </w:p>
        </w:tc>
      </w:tr>
      <w:tr>
        <w:trPr>
          <w:trHeight w:val="229"/>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30, 2022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30"/>
        </w:trPr>
        <w:tc>
          <w:tcPr>
            <w:tcW w:w="7800" w:type="dxa"/>
            <w:vAlign w:val="bottom"/>
            <w:gridSpan w:val="2"/>
          </w:tcPr>
          <w:p>
            <w:pPr>
              <w:ind w:left="140"/>
              <w:spacing w:after="0"/>
              <w:rPr>
                <w:sz w:val="20"/>
                <w:szCs w:val="20"/>
                <w:color w:val="auto"/>
              </w:rPr>
            </w:pPr>
            <w:r>
              <w:rPr>
                <w:rFonts w:ascii="Arial" w:cs="Arial" w:eastAsia="Arial" w:hAnsi="Arial"/>
                <w:sz w:val="18"/>
                <w:szCs w:val="18"/>
                <w:color w:val="auto"/>
              </w:rPr>
              <w:t>Awards granted</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99.34</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Awards forfeited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104.90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Awards vested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116.37</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29,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weighted average grant date fair value for performance-based stock, excluding those with a market condition, during fiscal 2023, 2022 and 2021 was $93.90, $105.07 and $89.26, respectively. The weighted average grant date fair value for performance-based stock with market conditions that were granted during fiscal 2023, 2022 and 2021 was $108.38, $129.42 and $88.21, respectively, and was calculated using the Monte Carlo simulation.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Monte Carlo simulation assumptions used for the periods presented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0"/>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rPr>
              <w:t>December 30,</w:t>
            </w:r>
          </w:p>
        </w:tc>
        <w:tc>
          <w:tcPr>
            <w:tcW w:w="200" w:type="dxa"/>
            <w:vAlign w:val="bottom"/>
          </w:tcPr>
          <w:p>
            <w:pPr>
              <w:spacing w:after="0"/>
              <w:rPr>
                <w:sz w:val="13"/>
                <w:szCs w:val="13"/>
                <w:color w:val="auto"/>
              </w:rPr>
            </w:pPr>
          </w:p>
        </w:tc>
        <w:tc>
          <w:tcPr>
            <w:tcW w:w="1260" w:type="dxa"/>
            <w:vAlign w:val="bottom"/>
          </w:tcPr>
          <w:p>
            <w:pPr>
              <w:jc w:val="right"/>
              <w:ind w:right="197"/>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Risk free rate of return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0.29 %</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grant date stock price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107.67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90.85</w:t>
            </w: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29, 2023, there was $18 million of unrecognized compensation cost, net of estimated forfeitures, which is expected to be recognized over a weighted average period of 1.6 years. The fair value of performance-based stock awards that vested in fiscal 2023, 2022 and 2021 was $12 million, $17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periods presented included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0"/>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December 30,</w:t>
            </w:r>
          </w:p>
        </w:tc>
        <w:tc>
          <w:tcPr>
            <w:tcW w:w="160" w:type="dxa"/>
            <w:vAlign w:val="bottom"/>
          </w:tcPr>
          <w:p>
            <w:pPr>
              <w:spacing w:after="0"/>
              <w:rPr>
                <w:sz w:val="13"/>
                <w:szCs w:val="13"/>
                <w:color w:val="auto"/>
              </w:rPr>
            </w:pPr>
          </w:p>
        </w:tc>
        <w:tc>
          <w:tcPr>
            <w:tcW w:w="1180" w:type="dxa"/>
            <w:vAlign w:val="bottom"/>
          </w:tcPr>
          <w:p>
            <w:pPr>
              <w:jc w:val="right"/>
              <w:ind w:right="134"/>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2021</w:t>
            </w:r>
          </w:p>
        </w:tc>
      </w:t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the periods presented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Year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rPr>
              <w:t>December 30,</w:t>
            </w:r>
          </w:p>
        </w:tc>
        <w:tc>
          <w:tcPr>
            <w:tcW w:w="200" w:type="dxa"/>
            <w:vAlign w:val="bottom"/>
          </w:tcPr>
          <w:p>
            <w:pPr>
              <w:spacing w:after="0"/>
              <w:rPr>
                <w:sz w:val="13"/>
                <w:szCs w:val="13"/>
                <w:color w:val="auto"/>
              </w:rPr>
            </w:pPr>
          </w:p>
        </w:tc>
        <w:tc>
          <w:tcPr>
            <w:tcW w:w="1260" w:type="dxa"/>
            <w:vAlign w:val="bottom"/>
          </w:tcPr>
          <w:p>
            <w:pPr>
              <w:jc w:val="right"/>
              <w:ind w:right="193"/>
              <w:spacing w:after="0" w:line="151"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6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computed at the statutory federal income tax rate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2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 for deferred tax assets</w:t>
            </w:r>
          </w:p>
        </w:tc>
        <w:tc>
          <w:tcPr>
            <w:tcW w:w="2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Impact of foreign operations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Dividends paid to employee stock ownership plan</w:t>
            </w:r>
          </w:p>
        </w:tc>
        <w:tc>
          <w:tcPr>
            <w:tcW w:w="20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accruals for uncertain tax positions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48.4 %</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effective tax rate for fiscal 2023 was unfavorably impacted primarily by non tax deductible goodwill impairments. The effective tax rates for both fiscal 2022 and fiscal 2021 were favorably impacted primarily by federal research tax credits and excess tax benefits related to employee stock-based payment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 the following: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180" w:type="dxa"/>
            <w:vAlign w:val="bottom"/>
          </w:tcPr>
          <w:p>
            <w:pPr>
              <w:jc w:val="right"/>
              <w:ind w:right="132"/>
              <w:spacing w:after="0"/>
              <w:rPr>
                <w:sz w:val="20"/>
                <w:szCs w:val="20"/>
                <w:color w:val="auto"/>
              </w:rPr>
            </w:pPr>
            <w:r>
              <w:rPr>
                <w:rFonts w:ascii="Arial" w:cs="Arial" w:eastAsia="Arial" w:hAnsi="Arial"/>
                <w:sz w:val="14"/>
                <w:szCs w:val="14"/>
                <w:color w:val="auto"/>
              </w:rPr>
              <w:t>December 30,</w:t>
            </w:r>
          </w:p>
        </w:tc>
      </w:tr>
      <w:tr>
        <w:trPr>
          <w:trHeight w:val="185"/>
        </w:trPr>
        <w:tc>
          <w:tcPr>
            <w:tcW w:w="8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2022</w:t>
            </w:r>
          </w:p>
        </w:tc>
      </w:t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952"/>
              <w:spacing w:after="0"/>
              <w:rPr>
                <w:sz w:val="20"/>
                <w:szCs w:val="20"/>
                <w:color w:val="auto"/>
              </w:rPr>
            </w:pPr>
            <w:r>
              <w:rPr>
                <w:rFonts w:ascii="Arial" w:cs="Arial" w:eastAsia="Arial" w:hAnsi="Arial"/>
                <w:sz w:val="14"/>
                <w:szCs w:val="14"/>
                <w:color w:val="auto"/>
              </w:rPr>
              <w:t>(in millions)</w:t>
            </w:r>
          </w:p>
        </w:tc>
      </w:tr>
      <w:tr>
        <w:trPr>
          <w:trHeight w:val="23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vacation and bonuses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Reserves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Credits and net operating losses carryovers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Vesting stock awards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0"/>
        </w:trPr>
        <w:tc>
          <w:tcPr>
            <w:tcW w:w="8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Purchased intangible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deferred tax assets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At December 29, 2023, we had state net operating losses of $92 million. These will begin to expire in fiscal 2023, however, we expect to utilize $76 million of these state net operating losses. We had foreign tax credits of $21 million that will begin to expire in fiscal 2030. We expect to utilize $6 million of these foreign tax credits. We also had foreign net operating losses of $34 million, which do not expire. We expect to utilize $2 million of these foreign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Income tax balance sheet items are included in the accompanying consolidated balance sheets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4"/>
                <w:szCs w:val="14"/>
                <w:color w:val="auto"/>
              </w:rPr>
            </w:pPr>
          </w:p>
        </w:tc>
        <w:tc>
          <w:tcPr>
            <w:tcW w:w="1180" w:type="dxa"/>
            <w:vAlign w:val="bottom"/>
          </w:tcPr>
          <w:p>
            <w:pPr>
              <w:jc w:val="right"/>
              <w:ind w:right="135"/>
              <w:spacing w:after="0"/>
              <w:rPr>
                <w:sz w:val="20"/>
                <w:szCs w:val="20"/>
                <w:color w:val="auto"/>
              </w:rPr>
            </w:pPr>
            <w:r>
              <w:rPr>
                <w:rFonts w:ascii="Arial" w:cs="Arial" w:eastAsia="Arial" w:hAnsi="Arial"/>
                <w:sz w:val="14"/>
                <w:szCs w:val="14"/>
                <w:color w:val="auto"/>
              </w:rPr>
              <w:t>December 30,</w:t>
            </w:r>
          </w:p>
        </w:tc>
      </w:tr>
      <w:tr>
        <w:trPr>
          <w:trHeight w:val="185"/>
        </w:trPr>
        <w:tc>
          <w:tcPr>
            <w:tcW w:w="8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2022</w:t>
            </w:r>
          </w:p>
        </w:tc>
      </w:tr>
      <w:tr>
        <w:trPr>
          <w:trHeight w:val="192"/>
        </w:trPr>
        <w:tc>
          <w:tcPr>
            <w:tcW w:w="8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3"/>
          </w:tcPr>
          <w:p>
            <w:pPr>
              <w:jc w:val="right"/>
              <w:ind w:right="955"/>
              <w:spacing w:after="0"/>
              <w:rPr>
                <w:sz w:val="20"/>
                <w:szCs w:val="20"/>
                <w:color w:val="auto"/>
              </w:rPr>
            </w:pPr>
            <w:r>
              <w:rPr>
                <w:rFonts w:ascii="Arial" w:cs="Arial" w:eastAsia="Arial" w:hAnsi="Arial"/>
                <w:sz w:val="14"/>
                <w:szCs w:val="14"/>
                <w:color w:val="auto"/>
              </w:rPr>
              <w:t>(in millions)</w:t>
            </w:r>
          </w:p>
        </w:tc>
      </w:tr>
      <w:tr>
        <w:trPr>
          <w:trHeight w:val="23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Prepaid income taxes and tax refunds receivable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tax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Unrecognized tax benefits are primarily related to certain recurring deductions customary for our industry. The changes in the unrecognized tax benefits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Arial" w:cs="Arial" w:eastAsia="Arial" w:hAnsi="Arial"/>
                <w:sz w:val="14"/>
                <w:szCs w:val="14"/>
                <w:color w:val="auto"/>
              </w:rPr>
              <w:t>December 30,</w:t>
            </w:r>
          </w:p>
        </w:tc>
        <w:tc>
          <w:tcPr>
            <w:tcW w:w="160" w:type="dxa"/>
            <w:vAlign w:val="bottom"/>
          </w:tcPr>
          <w:p>
            <w:pPr>
              <w:spacing w:after="0"/>
              <w:rPr>
                <w:sz w:val="12"/>
                <w:szCs w:val="12"/>
                <w:color w:val="auto"/>
              </w:rPr>
            </w:pPr>
          </w:p>
        </w:tc>
        <w:tc>
          <w:tcPr>
            <w:tcW w:w="1180" w:type="dxa"/>
            <w:vAlign w:val="bottom"/>
          </w:tcPr>
          <w:p>
            <w:pPr>
              <w:jc w:val="right"/>
              <w:ind w:right="133"/>
              <w:spacing w:after="0" w:line="146"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6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 at beginning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Additions for tax positions related to current year</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Additions for tax positions related to prior years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Reductions for tax positions related to current year</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 for tax positions related to prior years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Unrecognized tax benefits that, if recognized, would affect the effective income tax</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At December 29, 2023, December 30, 2022, and December 31, 2021, the balance of unrecognized tax benefits included liabilities for uncertain tax positions of $110 million, $92 million and $2 million, respectively, which were classified as other long-term liabilities on the consolidated balance sheets.</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fiscal 2023, unrecognized tax benefits decreased $54 million for tax positions related to prior years, primarily as a result of completing a detailed study of our capitalized research and development costs and considering recent guidance issued by the Internal Revenue Service. In addition, unrecognized tax benefits increased $58 million for tax positions related to the current year, primarily as a result of capitalized research and development costs.</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December 29, 2023, accrued interest and penalties totaled $4 million. At December 30, 2022, and December 31, 2021, accrued interest and penalties were immaterial. For fiscal 2023, $4 million of interest and penalties were recognized in the Company's consolidated statements of operations. For fiscal 2022 and 2021, the amount of interest and penalties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file income tax returns in the United States and various state and foreign jurisdictions. For the years ended December 30, 2022, and December 29, 2023, we are participating in the Internal Revenue Service (“IRS”) Compliance Assurance Process ("CAP"), a real-time audit of our consolidated federal corporate income tax returns. The IRS has examined our consolidated federal income tax returns through the year ended January 3, 2020. For the years ended January 1, 2021, and December 31, 2021, we were selected to participate in the phase of CAP reserved for taxpayers whose risk of noncompliance does not warrant use of IRS resources. We believe that participation in CAP should reduce tax-related uncertainties, if any. Additionally, with a few exceptions, as of December 29, 2023, we were no longer subject to state, local, or foreign examinations by the tax authorities for fiscal years ended on or before January 3, 2020.</w:t>
      </w:r>
    </w:p>
    <w:p>
      <w:pPr>
        <w:spacing w:after="0" w:line="7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next 12 months, we expect our balance of unrecognized tax benefits to decrease by $ 22 million related to capitalized research and development costs. While we believe we have adequate accruals for uncertain tax positions, the tax authorities may determine that we owe taxes in excess of recorded accruals or the recorded accruals may be in excess of the final settlement amounts agreed to by tax authorities.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sponsor various defined contribution plans in which most employees are eligible to participate. These plans allow eligible participants to contribute a portion of their income through payroll deductions and Leidos may also make discretionary contributions. Company contributions were $148 million, $145 million and $131 million for fiscal 2023, 2022 and 2021,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maintain three deferred compensation plans, the Keystaff Deferral Plan ("KDP"), the KESDP and the MSCP (the "Deferred Compensation Plans"), for the benefit of certain management or highly compensated employees or members of the Board of Directors. The Deferred Compensation Plans allow eligible participants to elect to defer a portion of their salary, and all or a portion of certain bonuses, including restricted stock unit awards. Directors may also elect to defer their cash compensation in addition to their restricted stock unit awards. Balances in the Deferred Compensation Plans are paid in lump sum or installments upon retirement, termination or the elected specified date.</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do not make any contributions to the KDP but maintain participant accounts for deferred amounts and investments. We maintain a rabbi trust for the purpose of funding benefit payments to the KDP participants. Participants may allocate deferred salary and cash bonus amounts into a variety of designated investment options, with gains and losses based on the elected investment option performance with the participant assuming all risks related to future returns of their contributions.</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Under the KESDP, eligible participants may elect to defer in share units all or a portion of certain cash bonuses and restricted stock unit awards granted under the previous 2006 Equity Incentive Plan and the current 2017 Omnibus Incentive Plan (see "Note 17—Stock-Based Compensation"). Under the MSCP, restricted stock share units are fully vested and no further deferrals into the plan are made. We do not make any contributions to the accounts of KESDP or MSCP participants. Benefits from the KESDP and MSCP are payable in shares of Leidos common stock held in a rabbi trust for the purpose of funding benefit payments to KESDP and MSCP participants.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sponsor two frozen defined benefit pension plans ("the Defined Benefit Plans"), one in the United Kingdom ("UK") for former employees on an expired customer contract and another assumed as a result of the Gibbs &amp; Cox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20, 2022, the trustee of our UK defined benefit pension plan (the “Plan”) invested the assets of the Plan in a bulk purchase annuity policy to fully insure the benefits payable to the members of the Plan. As the buy-in transaction insured the defined benefit obligation, we do not anticipate material future contributions. The bulk purchase annuity policy is structured to enable the Plan to move to a full buy-out, at which time the insurer would become directly responsible for all pension payments and we would be relieved of our obligations under the Plan. At this future date, a settlement loss will be recognized for an amount equal to any unamortized loss associated with the Plan recorded within AOCI and any remaining net plan assets of the Plan will be remitted to the Company. As of December 29, 2023, and December 30, 2022, the unamortized loss within AOCI related to the Plan was $21 million and $20 million, respectively. As of December 29, 2023, and December 30, 2022, the Plan had net assets of $8 million and $7 million, respectively.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projected benefit obligation of the Defined Benefit Plans as of December 29, 2023, and December 30, 2022, was $99 million and $101 million, respectively. The decrease in the projected benefit obligation was primarily due to assumption changes, offset by exchange rate movements.</w:t>
      </w:r>
    </w:p>
    <w:p>
      <w:pPr>
        <w:spacing w:after="0" w:line="6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the Defined Benefit Plans assets as of December 29, 2023, and December 30, 2022, was $103 million and $101 million, respectively. The decrease was primarily driven by assumption changes to reflect the fair value of the annuity contract and return on plan assets. The UK Plan funding status was overfunded $8 million and $7 million as of December 29, 2023, and December 30, 2022, respectively. The Gibbs &amp; Cox defined benefit pension plan funding status was underfunded $ 4 million and $7 million as of December 29, 2023, and December 30, 2022, respectively. The fair value of Plans assets has been included within "Other long-term liabilities" on the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sponsor multiemployer defined benefit pension plans and defined contribution plans (401(k) plans) (the "Sponsored Plans") for employees working on two U.S. government contracts. As part of the contractual agreements, the customers reimburse Leidos for contributions made to these Sponsored Plans as these costs are allowable under government contract cost accounting requirements. If we were to cease being the contractor as a result of a recompetition process, the defined benefit pension plans and related plan assets and liabilities would transfer to the new contractor. If the contract expires or is terminated with no transfer of the pension plan to a successor contractor, any amount by which the plan liabilities exceed plan assets, as of that date, will be reimbursed by the U.S. government customer. Since we are not responsible for the current or future funded status of the pension plans, no assets or liabilities arising from their funded status are recorded in the consolidated financial statements and no amounts associated with these pension plans are included in the defined benefit plan disclosures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20—Business Segments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operations and reportable segments are organized around the customers and markets we serve. We define our reportable segments based on the way the CODM, currently the Chief Executive Officer, manages the operations for purposes of allocating resources and assessing performance.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business has been aligned into three reportable segments (Defense Solutions, Civil and Health). Additionally, we separately present the unallocable costs associated with corporate functions as Corporate.</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Defense Solutions has provided leading-edge and technologically advanced services, solutions and products to a broad customer base. Our ever-changing technologies and innovations cover a wide spectrum of markets with primary areas of concentration in digital modernization, mission systems and integration, Command, Control, Computers, Communications, Intelligence, Surveillance and Reconnaissance ("C4ISR") technologies and services, maritime solutions, transformative software, analytics, intelligence analysis, mission support and logistics services, weapons systems and space systems and solutions.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Space Development Agency, the National Aeronautics and Space Administration, Defense Information Systems Agency, military services, government agencies of U.S. allies abroad and other federal and commercial customers in the national security industry. We are heavily engaged in the top defense Research Development Test and Evaluation priorities that are driven by critical evolving threat-driven needs. Our solutions deliver innovative technology, large-scale systems, command and control platforms, data analytics, logistics and cybersecurity solutions, as well as intelligence analysis and operations support to critical missions around the world.</w:t>
      </w:r>
    </w:p>
    <w:p>
      <w:pPr>
        <w:spacing w:after="0" w:line="8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Civil business has been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digital modernization, energy infrastructure, integrated missions, transportation applications and security detection.</w:t>
      </w:r>
    </w:p>
    <w:p>
      <w:pPr>
        <w:spacing w:after="0" w:line="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Health business has been focused on delivering effective and affordable solutions to federal and commercial customers that are responsible for the health and well-being of people worldwide, including service members and veterans. Our solutions enable customers to deliver on the health mission of providing high-quality, cost-effective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modernization and life sciences research and development.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the operations of various corporate activities, certain corporate expense items that are not reimbursed by our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government customers and certain other expense items excluded from a reportable segment's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business segment information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0"/>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1"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280" w:type="dxa"/>
            <w:vAlign w:val="bottom"/>
            <w:gridSpan w:val="2"/>
          </w:tcPr>
          <w:p>
            <w:pPr>
              <w:jc w:val="center"/>
              <w:ind w:right="280"/>
              <w:spacing w:after="0" w:line="151" w:lineRule="exact"/>
              <w:rPr>
                <w:sz w:val="20"/>
                <w:szCs w:val="20"/>
                <w:color w:val="auto"/>
              </w:rPr>
            </w:pPr>
            <w:r>
              <w:rPr>
                <w:rFonts w:ascii="Arial" w:cs="Arial" w:eastAsia="Arial" w:hAnsi="Arial"/>
                <w:sz w:val="14"/>
                <w:szCs w:val="14"/>
                <w:color w:val="auto"/>
              </w:rPr>
              <w:t>December 30,</w:t>
            </w:r>
          </w:p>
        </w:tc>
        <w:tc>
          <w:tcPr>
            <w:tcW w:w="160" w:type="dxa"/>
            <w:vAlign w:val="bottom"/>
          </w:tcPr>
          <w:p>
            <w:pPr>
              <w:spacing w:after="0"/>
              <w:rPr>
                <w:sz w:val="13"/>
                <w:szCs w:val="13"/>
                <w:color w:val="auto"/>
              </w:rPr>
            </w:pPr>
          </w:p>
        </w:tc>
        <w:tc>
          <w:tcPr>
            <w:tcW w:w="1180" w:type="dxa"/>
            <w:vAlign w:val="bottom"/>
          </w:tcPr>
          <w:p>
            <w:pPr>
              <w:jc w:val="right"/>
              <w:ind w:right="132"/>
              <w:spacing w:after="0" w:line="151" w:lineRule="exact"/>
              <w:rPr>
                <w:sz w:val="20"/>
                <w:szCs w:val="20"/>
                <w:color w:val="auto"/>
              </w:rPr>
            </w:pPr>
            <w:r>
              <w:rPr>
                <w:rFonts w:ascii="Arial" w:cs="Arial" w:eastAsia="Arial" w:hAnsi="Arial"/>
                <w:sz w:val="14"/>
                <w:szCs w:val="14"/>
                <w:color w:val="auto"/>
              </w:rPr>
              <w:t>December 31,</w:t>
            </w:r>
          </w:p>
        </w:tc>
      </w:tr>
      <w:tr>
        <w:trPr>
          <w:trHeight w:val="185"/>
        </w:trPr>
        <w:tc>
          <w:tcPr>
            <w:tcW w:w="6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r>
      <w:tr>
        <w:trPr>
          <w:trHeight w:val="192"/>
        </w:trPr>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Defense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8,732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Civil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r>
      <w:tr>
        <w:trPr>
          <w:trHeight w:val="229"/>
        </w:trPr>
        <w:tc>
          <w:tcPr>
            <w:tcW w:w="6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Health</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Defense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Civil</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Health</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Civil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Health</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statement of operations performance measures used to evaluate segment performance are revenues and operating income. As a result, "Interest expense, net," "Other expense, net," and "Income tax expense," as reported in the consolidated financial statements are not allocated to our segments. Under U.S. government Cost Accounting Standards, indirect costs including depreciation expense are collected in indirect cost pools, which are then collectively allocated out to the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individual reportable segments. For this reason, depreciation expense by reportable segment has not been reported above.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generated approximately 87% of our total revenues in fiscal 2023, 86% in fiscal 2022 and 87% in fiscal 2021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49% of our total revenues for fiscal 2023 and 44% of total revenues for both fiscal 2022 and 2021.</w:t>
      </w:r>
    </w:p>
    <w:p>
      <w:pPr>
        <w:spacing w:after="0" w:line="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Approximately 9% of our revenues in fiscal 2023, and 8% in both fiscal 2022 and 2021, are generated by entities outside of the United States. As such, additional financial information by geographic location is not presented.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We are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VirnetX, Inc. ("VirnetX")</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April 10, 2018, a jury trial concluded in an additional patent infringement case brought by VirnetX against Apple, referred to as the Apple</w:t>
      </w:r>
    </w:p>
    <w:p>
      <w:pPr>
        <w:spacing w:after="0" w:line="27" w:lineRule="exact"/>
        <w:rPr>
          <w:sz w:val="20"/>
          <w:szCs w:val="20"/>
          <w:color w:val="auto"/>
        </w:rPr>
      </w:pPr>
    </w:p>
    <w:p>
      <w:pPr>
        <w:ind w:firstLine="8"/>
        <w:spacing w:after="0" w:line="251" w:lineRule="auto"/>
        <w:tabs>
          <w:tab w:leader="none" w:pos="1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case, in which the jury returned a verdict against Apple for infringement and awarded VirnetX damages in the amount of over $502 million. On April 11, 2018, in a second phase of the Apple II trial, the jury found Apple's infringement to be willful. On August 30, 2018, the federal trial court in the Eastern District of Texas entered a final judgment and rulings on post-trial motions in the Apple II case. The court affirmed the jury’s verdict of over $502 million and granted VirnetX’s motions for supplemental damages, a sunset royalty and royalty rate of $1.20 per infringing device, along with pre-judgment and post-judgment interest and costs. The court denied VirnetX’s motions for enhanced damages, attorneys’ fees and an injunction. The court also denied Apple’s motions for judgment as a matter of law and for a new trial. An additional sum of over $93 million for costs and pre-judgment interest was subsequently agreed upon pursuant to a court order, bringing the total award to VirnetX in the Apple II case to over $595 million. Apple filed an appeal of the judgment in the Apple II case with the U.S. Court of Appeals for the Federal Circuit, and on November 22, 2019, the Federal Circuit affirmed in part, reversed in part and remanded the Apple II case back to the District Court. The Federal Circuit affirmed that Apple infringed two of the patents at issue in the case, and ruled that Apple is precluded from making certain patent invalidity arguments. However, the Federal Circuit reversed the judgment that Apple infringed two other patents at issue, vacated the prior damages awarded in the Apple II case, and remanded the Apple II case back to the District Court for further proceedings regarding damages. On April 23, 2020, the District Court ordered a new trial on damages in the Apple II case, which was delayed by the coronavirus pandemic and started on October 26, 2020. On October 30, 2020, the jury awarded VirnetX $503 million in damages and specified a royalty rate of $0.84 per infringing device. In January 2021, the District Court entered final judgment affirming the jury award and the parties separately agreed on additional costs and interest of over $75 million, subject to Apple's appeal. On February 4, 2021, Apple filed a notice of appeal with the U.S. Court of Appeals for the Federal Circuit in the Apple II case.</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our agreements with VirnetX, Leidos would receive 25% of the proceeds obtained by VirnetX after reduction for attorneys' fees and costs. However, the verdict in the Apple II case remains subject to the ongoing and potential future proceedings and appeals. In addition, the patents at issue in these cases are subject to U.S. Patent and Trademark Office ("USPTO") post-grant inter partes review and/or reexamination proceedings and related appeals, which may result in all or part of these patents being invalidated or the claims of the patents being limited. On March 30, 2023, the U.S. Court of Appeals for the Federal Circuit issued a ruling affirming prior decisions of the USPTO’s Patent Trial and Appeal Board finding certain claims of the patents at issue in the Apple II case to be unpatentable. On March 31, 2023, the Federal Circuit issued a decision vacating the District Court’s judgment in the Apple II case and remanding it back to the District Court with instructions to dismiss the case as moot. These Federal Circuit decisions remain subject to potential motions and/or appeals by VirnetX, including potentially seeking rehearing or certiorari review. On May 1, 2023, VirnetX filed a petition for panel rehearing on the Apple II litigation decision at the Federal Circuit, but this petition was denied by the Federal Circuit on June 27, 2023. On June 5, 2023, VirnetX filed a petition for panel rehearing on the Federal Circuit’s decision finding the patents at issue in the Apple II case to be unpatentable, but this petition was denied by the Federal Circuit on June 22, 2023. On September 20, 2023, VirnetX filed a petition for a writ of certiorari with the Supreme Court of the United States to review the Federal Circuit decisions.</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Thus, no assurances can be given when or if we will receive any proceeds in connection with the Apple II case. In addition, if Leidos receives any proceeds, we are required to pay a royalty to the customer who paid for the development of the technology.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Investigations and Reviews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Contract Audit Agency</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29, 2023, active indirect cost audits by the DCAA remain open for fiscal 2021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December 29, 2023, we believe we have adequately reserved for potential adjustments from audits or reviews of contract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Government Investigations and Reviews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Through its internal processes, the Company discovered, in late 2021, activities by its employees, third party representatives and subcontractors, raising concerns related to a portion of our business that conducts international operations. The Company is conducting an internal investigation, overseen by an independent committee of the Board of Directors, with the assistance of external legal counsel, to determine whether the identified conduct may have violated the Company’s Code of Conduct and potentially applicable laws, including the U.S. Foreign Corrupt Practices Act ("FCPA"). The Company has voluntarily self-reported this investigation to the Department of Justice and the Securities and Exchange Commission and is cooperating with both agencies. Because the investigation is ongoing, the Company cannot anticipate the timing, outcome or possible impact of the investigation, although violations of the FCPA and other applicable laws may result in criminal and civil sanctions, including monetary penalties, and reputational damage. In September 2022, the Company received a Federal Grand Jury Subpoena related to the criminal investigation by the U.S. Attorney’s Office for the Southern District of California, in conjunction with the U.S. Department of Justice’s Fraud Division. The subpoena requests documents relating to the conduct that is the subject of the Company’s internal investigation. The Company has responded to the subpoena. In February 2023, a former employee of the Company who was terminated at the outset of the investigation was indicted on wire fraud and other charges by a Federal Grand Jury in the U.S. District Court in the Southern District of California. These charges were later dismissed as a result of the death of the former employee.</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2022, the Company received a Federal Grand Jury Subpoena in connection with a criminal investigation being conducted by the U.S. Department of Justice Antitrust Division. The subpoena requests that the Company produce a broad range of documents related to three U.S. Government procurements associated with the Company’s Intelligence Group in 2021 and 2022. We are fully cooperating with the investigation, and we are conducting our own internal investigation with the assistance of outside counsel. It is not possible at this time to determine whether we will incur, or to reasonably estimate the amount of, any fines, penalties, or further liabilities in connection with the investigation pursuant to which the subpoena was issued.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29, 2023, we have outstanding letters of credit of $64 million, principally related to performance guarantees on contracts and outstanding surety bonds with a notional amount of $104 million, principally related to performance and subcontractor payment bonds on contracts. The value of the surety bonds may vary due to changes in the underlying project status and/or contractual modifications.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29, 2023, the future expirations of the outstanding letters of credit and surety bonds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70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9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color w:val="auto"/>
              </w:rPr>
              <w:t>(in millions)</w:t>
            </w:r>
          </w:p>
        </w:tc>
      </w:tr>
      <w:tr>
        <w:trPr>
          <w:trHeight w:val="23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2029 and thereafter</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fiscal 2024, we will operate in four reportable segments that are focused on specific, defined capability sets we bring to our customers. The four reportable segments will be National Security and Digital, Health &amp; Civil, Commercial &amp; International and Defense Systems. We will also separately present the unallocable costs associated with corporate functions as Corporate. All historical segment financial information will be recast to conform to the new reportable segment structure in our financial statements and accompanying notes, beginning in the first quarter of fiscal 2024.</w:t>
      </w: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Leidos Holdings, Inc. Annual Report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79" w:right="5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Executive Vice President and Chief Financial Officer), has evaluated the effectiveness of our disclosure controls and procedures (as defined in Rules 13a-15(e) or 15d-15(e) under the Securities Exchange Act of 1934, as amended) as of December 29, 2023.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as amended, is recorded, processed, summarized and reported within the time periods specified in the rules and forms of the U.S. Securities and Exchange Commission ("SEC"). These disclosure controls and procedures include, without limitation, controls and procedures designed to ensure that information required to be disclosed by us in the reports that we file or submit under the Securities Exchange Act of 1934, as amended, is accumulated and communicated to our management, including our principal executive officer and our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During the fourth quarter of fiscal 2022, we completed our acquisition of Cobham Special Mission. As of December 29, 2023, we completed the integration of Cobham Special Mission into our controls over financial reporting.</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Other than the foregoing, there have been no changes in our internal control over financial reporting that occurred in the fourth quarter of the period ended December 29, 2023, covered by this Annual Report that materially affected, or are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has evaluated the effectiveness of our internal control over financial reporting as of December 29, 2023,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Our management has assessed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our internal control over financial reporting as of December 29, 2023, and has concluded that our internal control over financial reporting as of that date was effective.</w:t>
      </w:r>
    </w:p>
    <w:p>
      <w:pPr>
        <w:spacing w:after="0" w:line="71"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120"/>
        <w:spacing w:after="0" w:line="34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Leidos Holdings,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internal control over financial reporting of Leidos Holdings, Inc. and subsidiaries (the “Company”) as of December 29,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29, 2023, based on criteria established in Internal Control — Integrated Framework (2013) issued by COSO.</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29, 2023, of the Company and our report dated February 13, 2024,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arrangement</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three months ended December 29, 2023, no director or officer of the Company adopted, modified or terminated a “Rule 10b5-1 trading arrangement” or “non-Rule 10b5-1 trading arrangement,” as each term is defined in Item 408(a) of Regulation S-K.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Bylaws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8, 2024, the Board of Directors of the Company amended Article II, Section 2.02 of its Bylaws to decrease the ownership threshold for stockholders to aggregate their holdings of Company stock to call special meetings, effective on February 8, 2024. As amended, one stockholder owning at least ten percent (10%), and one or more stockholders representing in aggregate at least fifteen percent (15%), rather than twenty-five percent (25%), of the voting power of the outstanding capital stock of the Company will have the right to call special meetings of stockholders. As amended, all such stockholders must have held the Company stock for at least one (1) year prior to making the request to the Company. The Company’s Amended and Restated Bylaws are filed as Exhibit 3.2 hereto.</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certain information required by Item 10 with respect to executive officers, see "Executive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2024 Proxy Statement to be filed with the SEC within 120 days of the fiscal year ended December 29, 2023, which required information is incorporated by reference into this Annual Report on Form 10-K.</w:t>
      </w:r>
    </w:p>
    <w:p>
      <w:pPr>
        <w:spacing w:after="0" w:line="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have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8"/>
          <w:szCs w:val="18"/>
          <w:i w:val="1"/>
          <w:iCs w:val="1"/>
          <w:color w:val="auto"/>
        </w:rPr>
        <w:t>www.leidos.com</w:t>
      </w:r>
      <w:r>
        <w:rPr>
          <w:rFonts w:ascii="Arial" w:cs="Arial" w:eastAsia="Arial" w:hAnsi="Arial"/>
          <w:sz w:val="18"/>
          <w:szCs w:val="18"/>
          <w:color w:val="auto"/>
        </w:rPr>
        <w:t xml:space="preserve"> by clicking on the links entitled "Investors" then "Corporate Governance" then "Overview" and then "Code of Conduct." Documents available under “Corporate Governance” in the Investor Relations section of our website also include our Certificate of Incorporation, Bylaws, Corporate Governance Guidelines, and charters for the Audit and Finance Committee, Human Resources and Compensation Committee, Corporate Governance and Ethics Committee, and Technology and Information Security Committee of the Board of Directors.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satisfy the disclosure requirement under Item 5.05 of Form 8-K regarding amendment to, or waiver from, a provision of our code of business ethics by posting such information on our website. The information on our website is not incorporated by reference into and is not a part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For information required by Item 11 with respect to executive compensation and director compensation, see the information set forth under the captions "Compensation Discussion and Analysis," "Executive Compensation" and "Corporate Governance" in the 2024 Proxy Statement, to be filed with the SEC within 120 days of the fiscal year ended December 29, 2023, which required information is incorporated by reference into this Annual Report on Form 10-K.</w:t>
      </w:r>
    </w:p>
    <w:p>
      <w:pPr>
        <w:spacing w:after="0" w:line="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2024 Proxy Statement, to be filed with the SEC within 120 days of the fiscal year ended December 29, 2023, which required information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2024 Proxy Statement, to be filed with the SEC within 120 days of the fiscal year ended December 29, 2023, which required information is incorporated by reference into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December 29, 2023, is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2"/>
          </w:tcPr>
          <w:p>
            <w:pPr>
              <w:jc w:val="center"/>
              <w:ind w:right="273"/>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2"/>
          </w:tcPr>
          <w:p>
            <w:pPr>
              <w:jc w:val="center"/>
              <w:ind w:right="273"/>
              <w:spacing w:after="0" w:line="145" w:lineRule="exact"/>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3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253"/>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2"/>
                <w:szCs w:val="12"/>
                <w:color w:val="auto"/>
              </w:rPr>
            </w:pPr>
          </w:p>
        </w:tc>
        <w:tc>
          <w:tcPr>
            <w:tcW w:w="1660" w:type="dxa"/>
            <w:vAlign w:val="bottom"/>
            <w:gridSpan w:val="2"/>
            <w:vMerge w:val="restart"/>
          </w:tcPr>
          <w:p>
            <w:pPr>
              <w:jc w:val="center"/>
              <w:ind w:right="393"/>
              <w:spacing w:after="0"/>
              <w:rPr>
                <w:sz w:val="20"/>
                <w:szCs w:val="20"/>
                <w:color w:val="auto"/>
              </w:rPr>
            </w:pPr>
            <w:r>
              <w:rPr>
                <w:rFonts w:ascii="Arial" w:cs="Arial" w:eastAsia="Arial" w:hAnsi="Arial"/>
                <w:sz w:val="14"/>
                <w:szCs w:val="14"/>
                <w:color w:val="auto"/>
              </w:rPr>
              <w:t>(b)</w:t>
            </w:r>
          </w:p>
        </w:tc>
        <w:tc>
          <w:tcPr>
            <w:tcW w:w="2080" w:type="dxa"/>
            <w:vAlign w:val="bottom"/>
            <w:gridSpan w:val="2"/>
          </w:tcPr>
          <w:p>
            <w:pPr>
              <w:jc w:val="center"/>
              <w:ind w:right="273"/>
              <w:spacing w:after="0" w:line="139" w:lineRule="exact"/>
              <w:rPr>
                <w:sz w:val="20"/>
                <w:szCs w:val="20"/>
                <w:color w:val="auto"/>
              </w:rPr>
            </w:pPr>
            <w:r>
              <w:rPr>
                <w:rFonts w:ascii="Arial" w:cs="Arial" w:eastAsia="Arial" w:hAnsi="Arial"/>
                <w:sz w:val="14"/>
                <w:szCs w:val="14"/>
                <w:color w:val="auto"/>
              </w:rPr>
              <w:t>remaining available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80" w:type="dxa"/>
            <w:vAlign w:val="bottom"/>
            <w:gridSpan w:val="2"/>
          </w:tcPr>
          <w:p>
            <w:pPr>
              <w:jc w:val="center"/>
              <w:ind w:right="253"/>
              <w:spacing w:after="0" w:line="149" w:lineRule="exact"/>
              <w:rPr>
                <w:sz w:val="20"/>
                <w:szCs w:val="20"/>
                <w:color w:val="auto"/>
              </w:rPr>
            </w:pPr>
            <w:r>
              <w:rPr>
                <w:rFonts w:ascii="Arial" w:cs="Arial" w:eastAsia="Arial" w:hAnsi="Arial"/>
                <w:sz w:val="14"/>
                <w:szCs w:val="14"/>
                <w:color w:val="auto"/>
              </w:rPr>
              <w:t>for future issuance</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233"/>
              <w:spacing w:after="0" w:line="145" w:lineRule="exact"/>
              <w:rPr>
                <w:sz w:val="20"/>
                <w:szCs w:val="20"/>
                <w:color w:val="auto"/>
              </w:rPr>
            </w:pPr>
            <w:r>
              <w:rPr>
                <w:rFonts w:ascii="Arial" w:cs="Arial" w:eastAsia="Arial" w:hAnsi="Arial"/>
                <w:sz w:val="14"/>
                <w:szCs w:val="14"/>
                <w:color w:val="auto"/>
              </w:rPr>
              <w:t>Number of securities</w:t>
            </w:r>
          </w:p>
        </w:tc>
        <w:tc>
          <w:tcPr>
            <w:tcW w:w="160" w:type="dxa"/>
            <w:vAlign w:val="bottom"/>
          </w:tcPr>
          <w:p>
            <w:pPr>
              <w:spacing w:after="0"/>
              <w:rPr>
                <w:sz w:val="12"/>
                <w:szCs w:val="12"/>
                <w:color w:val="auto"/>
              </w:rPr>
            </w:pPr>
          </w:p>
        </w:tc>
        <w:tc>
          <w:tcPr>
            <w:tcW w:w="1660" w:type="dxa"/>
            <w:vAlign w:val="bottom"/>
            <w:gridSpan w:val="2"/>
          </w:tcPr>
          <w:p>
            <w:pPr>
              <w:jc w:val="center"/>
              <w:ind w:right="393"/>
              <w:spacing w:after="0" w:line="145" w:lineRule="exact"/>
              <w:rPr>
                <w:sz w:val="20"/>
                <w:szCs w:val="20"/>
                <w:color w:val="auto"/>
              </w:rPr>
            </w:pPr>
            <w:r>
              <w:rPr>
                <w:rFonts w:ascii="Arial" w:cs="Arial" w:eastAsia="Arial" w:hAnsi="Arial"/>
                <w:sz w:val="14"/>
                <w:szCs w:val="14"/>
                <w:color w:val="auto"/>
              </w:rPr>
              <w:t>Weighted-average</w:t>
            </w:r>
          </w:p>
        </w:tc>
        <w:tc>
          <w:tcPr>
            <w:tcW w:w="2080" w:type="dxa"/>
            <w:vAlign w:val="bottom"/>
            <w:gridSpan w:val="2"/>
          </w:tcPr>
          <w:p>
            <w:pPr>
              <w:jc w:val="center"/>
              <w:ind w:right="273"/>
              <w:spacing w:after="0" w:line="145" w:lineRule="exact"/>
              <w:rPr>
                <w:sz w:val="20"/>
                <w:szCs w:val="20"/>
                <w:color w:val="auto"/>
              </w:rPr>
            </w:pPr>
            <w:r>
              <w:rPr>
                <w:rFonts w:ascii="Arial" w:cs="Arial" w:eastAsia="Arial" w:hAnsi="Arial"/>
                <w:sz w:val="14"/>
                <w:szCs w:val="14"/>
                <w:color w:val="auto"/>
              </w:rPr>
              <w:t>under equity</w:t>
            </w:r>
          </w:p>
        </w:tc>
        <w:tc>
          <w:tcPr>
            <w:tcW w:w="0" w:type="dxa"/>
            <w:vAlign w:val="bottom"/>
          </w:tcPr>
          <w:p>
            <w:pPr>
              <w:spacing w:after="0"/>
              <w:rPr>
                <w:sz w:val="1"/>
                <w:szCs w:val="1"/>
                <w:color w:val="auto"/>
              </w:rPr>
            </w:pPr>
          </w:p>
        </w:tc>
      </w:tr>
      <w:tr>
        <w:trPr>
          <w:trHeight w:val="13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253"/>
              <w:spacing w:after="0" w:line="139" w:lineRule="exact"/>
              <w:rPr>
                <w:sz w:val="20"/>
                <w:szCs w:val="20"/>
                <w:color w:val="auto"/>
              </w:rPr>
            </w:pPr>
            <w:r>
              <w:rPr>
                <w:rFonts w:ascii="Arial" w:cs="Arial" w:eastAsia="Arial" w:hAnsi="Arial"/>
                <w:sz w:val="14"/>
                <w:szCs w:val="14"/>
                <w:color w:val="auto"/>
              </w:rPr>
              <w:t>to be issued upon</w:t>
            </w:r>
          </w:p>
        </w:tc>
        <w:tc>
          <w:tcPr>
            <w:tcW w:w="160" w:type="dxa"/>
            <w:vAlign w:val="bottom"/>
          </w:tcPr>
          <w:p>
            <w:pPr>
              <w:spacing w:after="0"/>
              <w:rPr>
                <w:sz w:val="12"/>
                <w:szCs w:val="12"/>
                <w:color w:val="auto"/>
              </w:rPr>
            </w:pPr>
          </w:p>
        </w:tc>
        <w:tc>
          <w:tcPr>
            <w:tcW w:w="1660" w:type="dxa"/>
            <w:vAlign w:val="bottom"/>
            <w:gridSpan w:val="2"/>
          </w:tcPr>
          <w:p>
            <w:pPr>
              <w:jc w:val="center"/>
              <w:ind w:right="393"/>
              <w:spacing w:after="0" w:line="139" w:lineRule="exact"/>
              <w:rPr>
                <w:sz w:val="20"/>
                <w:szCs w:val="20"/>
                <w:color w:val="auto"/>
              </w:rPr>
            </w:pPr>
            <w:r>
              <w:rPr>
                <w:rFonts w:ascii="Arial" w:cs="Arial" w:eastAsia="Arial" w:hAnsi="Arial"/>
                <w:sz w:val="14"/>
                <w:szCs w:val="14"/>
                <w:color w:val="auto"/>
              </w:rPr>
              <w:t>exercise price of</w:t>
            </w:r>
          </w:p>
        </w:tc>
        <w:tc>
          <w:tcPr>
            <w:tcW w:w="2080" w:type="dxa"/>
            <w:vAlign w:val="bottom"/>
            <w:gridSpan w:val="2"/>
          </w:tcPr>
          <w:p>
            <w:pPr>
              <w:jc w:val="center"/>
              <w:ind w:right="253"/>
              <w:spacing w:after="0" w:line="13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253"/>
              <w:spacing w:after="0" w:line="149" w:lineRule="exact"/>
              <w:rPr>
                <w:sz w:val="20"/>
                <w:szCs w:val="20"/>
                <w:color w:val="auto"/>
              </w:rPr>
            </w:pPr>
            <w:r>
              <w:rPr>
                <w:rFonts w:ascii="Arial" w:cs="Arial" w:eastAsia="Arial" w:hAnsi="Arial"/>
                <w:sz w:val="14"/>
                <w:szCs w:val="14"/>
                <w:color w:val="auto"/>
              </w:rPr>
              <w:t>exercise of</w:t>
            </w:r>
          </w:p>
        </w:tc>
        <w:tc>
          <w:tcPr>
            <w:tcW w:w="160" w:type="dxa"/>
            <w:vAlign w:val="bottom"/>
          </w:tcPr>
          <w:p>
            <w:pPr>
              <w:spacing w:after="0"/>
              <w:rPr>
                <w:sz w:val="12"/>
                <w:szCs w:val="12"/>
                <w:color w:val="auto"/>
              </w:rPr>
            </w:pPr>
          </w:p>
        </w:tc>
        <w:tc>
          <w:tcPr>
            <w:tcW w:w="1660" w:type="dxa"/>
            <w:vAlign w:val="bottom"/>
            <w:gridSpan w:val="2"/>
          </w:tcPr>
          <w:p>
            <w:pPr>
              <w:jc w:val="center"/>
              <w:ind w:right="393"/>
              <w:spacing w:after="0" w:line="149" w:lineRule="exact"/>
              <w:rPr>
                <w:sz w:val="20"/>
                <w:szCs w:val="20"/>
                <w:color w:val="auto"/>
              </w:rPr>
            </w:pPr>
            <w:r>
              <w:rPr>
                <w:rFonts w:ascii="Arial" w:cs="Arial" w:eastAsia="Arial" w:hAnsi="Arial"/>
                <w:sz w:val="14"/>
                <w:szCs w:val="14"/>
                <w:color w:val="auto"/>
              </w:rPr>
              <w:t>outstanding</w:t>
            </w:r>
          </w:p>
        </w:tc>
        <w:tc>
          <w:tcPr>
            <w:tcW w:w="2080" w:type="dxa"/>
            <w:vAlign w:val="bottom"/>
            <w:gridSpan w:val="2"/>
          </w:tcPr>
          <w:p>
            <w:pPr>
              <w:jc w:val="center"/>
              <w:ind w:right="273"/>
              <w:spacing w:after="0" w:line="149" w:lineRule="exact"/>
              <w:rPr>
                <w:sz w:val="20"/>
                <w:szCs w:val="20"/>
                <w:color w:val="auto"/>
              </w:rPr>
            </w:pPr>
            <w:r>
              <w:rPr>
                <w:rFonts w:ascii="Arial" w:cs="Arial" w:eastAsia="Arial" w:hAnsi="Arial"/>
                <w:sz w:val="14"/>
                <w:szCs w:val="14"/>
                <w:color w:val="auto"/>
              </w:rPr>
              <w:t>plans (excluding</w:t>
            </w:r>
          </w:p>
        </w:tc>
        <w:tc>
          <w:tcPr>
            <w:tcW w:w="0" w:type="dxa"/>
            <w:vAlign w:val="bottom"/>
          </w:tcPr>
          <w:p>
            <w:pPr>
              <w:spacing w:after="0"/>
              <w:rPr>
                <w:sz w:val="1"/>
                <w:szCs w:val="1"/>
                <w:color w:val="auto"/>
              </w:rPr>
            </w:pPr>
          </w:p>
        </w:tc>
      </w:tr>
      <w:tr>
        <w:trPr>
          <w:trHeight w:val="144"/>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color w:val="auto"/>
              </w:rPr>
              <w:t>Plan Category</w:t>
            </w:r>
          </w:p>
        </w:tc>
        <w:tc>
          <w:tcPr>
            <w:tcW w:w="2040" w:type="dxa"/>
            <w:vAlign w:val="bottom"/>
            <w:gridSpan w:val="2"/>
          </w:tcPr>
          <w:p>
            <w:pPr>
              <w:jc w:val="center"/>
              <w:ind w:right="253"/>
              <w:spacing w:after="0" w:line="145" w:lineRule="exact"/>
              <w:rPr>
                <w:sz w:val="20"/>
                <w:szCs w:val="20"/>
                <w:color w:val="auto"/>
              </w:rPr>
            </w:pPr>
            <w:r>
              <w:rPr>
                <w:rFonts w:ascii="Arial" w:cs="Arial" w:eastAsia="Arial" w:hAnsi="Arial"/>
                <w:sz w:val="14"/>
                <w:szCs w:val="14"/>
                <w:color w:val="auto"/>
              </w:rPr>
              <w:t>outstanding options,</w:t>
            </w:r>
          </w:p>
        </w:tc>
        <w:tc>
          <w:tcPr>
            <w:tcW w:w="160" w:type="dxa"/>
            <w:vAlign w:val="bottom"/>
          </w:tcPr>
          <w:p>
            <w:pPr>
              <w:spacing w:after="0"/>
              <w:rPr>
                <w:sz w:val="12"/>
                <w:szCs w:val="12"/>
                <w:color w:val="auto"/>
              </w:rPr>
            </w:pPr>
          </w:p>
        </w:tc>
        <w:tc>
          <w:tcPr>
            <w:tcW w:w="1660" w:type="dxa"/>
            <w:vAlign w:val="bottom"/>
            <w:gridSpan w:val="2"/>
          </w:tcPr>
          <w:p>
            <w:pPr>
              <w:jc w:val="center"/>
              <w:ind w:right="393"/>
              <w:spacing w:after="0" w:line="145" w:lineRule="exact"/>
              <w:rPr>
                <w:sz w:val="20"/>
                <w:szCs w:val="20"/>
                <w:color w:val="auto"/>
              </w:rPr>
            </w:pPr>
            <w:r>
              <w:rPr>
                <w:rFonts w:ascii="Arial" w:cs="Arial" w:eastAsia="Arial" w:hAnsi="Arial"/>
                <w:sz w:val="14"/>
                <w:szCs w:val="14"/>
                <w:color w:val="auto"/>
              </w:rPr>
              <w:t>options, warrants</w:t>
            </w:r>
          </w:p>
        </w:tc>
        <w:tc>
          <w:tcPr>
            <w:tcW w:w="2080" w:type="dxa"/>
            <w:vAlign w:val="bottom"/>
            <w:gridSpan w:val="2"/>
          </w:tcPr>
          <w:p>
            <w:pPr>
              <w:jc w:val="center"/>
              <w:ind w:right="273"/>
              <w:spacing w:after="0" w:line="145" w:lineRule="exact"/>
              <w:rPr>
                <w:sz w:val="20"/>
                <w:szCs w:val="20"/>
                <w:color w:val="auto"/>
              </w:rPr>
            </w:pPr>
            <w:r>
              <w:rPr>
                <w:rFonts w:ascii="Arial" w:cs="Arial" w:eastAsia="Arial" w:hAnsi="Arial"/>
                <w:sz w:val="14"/>
                <w:szCs w:val="14"/>
                <w:color w:val="auto"/>
              </w:rPr>
              <w:t>securities reflected</w:t>
            </w:r>
          </w:p>
        </w:tc>
        <w:tc>
          <w:tcPr>
            <w:tcW w:w="0" w:type="dxa"/>
            <w:vAlign w:val="bottom"/>
          </w:tcPr>
          <w:p>
            <w:pPr>
              <w:spacing w:after="0"/>
              <w:rPr>
                <w:sz w:val="1"/>
                <w:szCs w:val="1"/>
                <w:color w:val="auto"/>
              </w:rPr>
            </w:pPr>
          </w:p>
        </w:tc>
      </w:tr>
      <w:tr>
        <w:trPr>
          <w:trHeight w:val="189"/>
        </w:trPr>
        <w:tc>
          <w:tcPr>
            <w:tcW w:w="5280" w:type="dxa"/>
            <w:vAlign w:val="bottom"/>
            <w:gridSpan w:val="2"/>
            <w:vMerge w:val="continue"/>
          </w:tcPr>
          <w:p>
            <w:pPr>
              <w:spacing w:after="0"/>
              <w:rPr>
                <w:sz w:val="16"/>
                <w:szCs w:val="16"/>
                <w:color w:val="auto"/>
              </w:rPr>
            </w:pPr>
          </w:p>
        </w:tc>
        <w:tc>
          <w:tcPr>
            <w:tcW w:w="2040" w:type="dxa"/>
            <w:vAlign w:val="bottom"/>
            <w:gridSpan w:val="2"/>
          </w:tcPr>
          <w:p>
            <w:pPr>
              <w:jc w:val="center"/>
              <w:ind w:right="253"/>
              <w:spacing w:after="0"/>
              <w:rPr>
                <w:sz w:val="20"/>
                <w:szCs w:val="20"/>
                <w:color w:val="auto"/>
              </w:rPr>
            </w:pPr>
            <w:r>
              <w:rPr>
                <w:rFonts w:ascii="Arial" w:cs="Arial" w:eastAsia="Arial" w:hAnsi="Arial"/>
                <w:sz w:val="14"/>
                <w:szCs w:val="14"/>
                <w:color w:val="auto"/>
              </w:rPr>
              <w:t>warrants and rights</w:t>
            </w:r>
          </w:p>
        </w:tc>
        <w:tc>
          <w:tcPr>
            <w:tcW w:w="160" w:type="dxa"/>
            <w:vAlign w:val="bottom"/>
          </w:tcPr>
          <w:p>
            <w:pPr>
              <w:spacing w:after="0"/>
              <w:rPr>
                <w:sz w:val="16"/>
                <w:szCs w:val="16"/>
                <w:color w:val="auto"/>
              </w:rPr>
            </w:pPr>
          </w:p>
        </w:tc>
        <w:tc>
          <w:tcPr>
            <w:tcW w:w="1660" w:type="dxa"/>
            <w:vAlign w:val="bottom"/>
            <w:gridSpan w:val="2"/>
          </w:tcPr>
          <w:p>
            <w:pPr>
              <w:jc w:val="center"/>
              <w:ind w:right="393"/>
              <w:spacing w:after="0"/>
              <w:rPr>
                <w:sz w:val="20"/>
                <w:szCs w:val="20"/>
                <w:color w:val="auto"/>
              </w:rPr>
            </w:pPr>
            <w:r>
              <w:rPr>
                <w:rFonts w:ascii="Arial" w:cs="Arial" w:eastAsia="Arial" w:hAnsi="Arial"/>
                <w:sz w:val="14"/>
                <w:szCs w:val="14"/>
                <w:color w:val="auto"/>
              </w:rPr>
              <w:t>and rights</w:t>
            </w:r>
          </w:p>
        </w:tc>
        <w:tc>
          <w:tcPr>
            <w:tcW w:w="2080" w:type="dxa"/>
            <w:vAlign w:val="bottom"/>
            <w:gridSpan w:val="2"/>
          </w:tcPr>
          <w:p>
            <w:pPr>
              <w:jc w:val="center"/>
              <w:ind w:right="273"/>
              <w:spacing w:after="0"/>
              <w:rPr>
                <w:sz w:val="20"/>
                <w:szCs w:val="20"/>
                <w:color w:val="auto"/>
              </w:rPr>
            </w:pPr>
            <w:r>
              <w:rPr>
                <w:rFonts w:ascii="Arial" w:cs="Arial" w:eastAsia="Arial" w:hAnsi="Arial"/>
                <w:sz w:val="14"/>
                <w:szCs w:val="14"/>
                <w:color w:val="auto"/>
              </w:rPr>
              <w:t>in column (a))</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9"/>
                <w:szCs w:val="9"/>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3,824,297</w:t>
            </w:r>
          </w:p>
        </w:tc>
        <w:tc>
          <w:tcPr>
            <w:tcW w:w="300" w:type="dxa"/>
            <w:vAlign w:val="bottom"/>
            <w:tcBorders>
              <w:top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86.22</w:t>
            </w:r>
          </w:p>
        </w:tc>
        <w:tc>
          <w:tcPr>
            <w:tcW w:w="280" w:type="dxa"/>
            <w:vAlign w:val="bottom"/>
            <w:tcBorders>
              <w:top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90"/>
              </w:rPr>
              <w:t>(3)</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8,969,379</w:t>
            </w:r>
          </w:p>
        </w:tc>
        <w:tc>
          <w:tcPr>
            <w:tcW w:w="32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9"/>
                <w:szCs w:val="9"/>
                <w:color w:val="auto"/>
              </w:rPr>
              <w:t>(5)</w:t>
            </w:r>
          </w:p>
        </w:tc>
        <w:tc>
          <w:tcPr>
            <w:tcW w:w="204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3,824,297</w:t>
            </w:r>
          </w:p>
        </w:tc>
        <w:tc>
          <w:tcPr>
            <w:tcW w:w="300" w:type="dxa"/>
            <w:vAlign w:val="bottom"/>
            <w:tcBorders>
              <w:top w:val="single" w:sz="8" w:color="CCEEFF"/>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rPr>
              <w:t>(2)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86.22</w:t>
            </w:r>
          </w:p>
        </w:tc>
        <w:tc>
          <w:tcPr>
            <w:tcW w:w="280" w:type="dxa"/>
            <w:vAlign w:val="bottom"/>
            <w:tcBorders>
              <w:top w:val="single" w:sz="8" w:color="CCEEFF"/>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90"/>
              </w:rPr>
              <w:t>(3)</w:t>
            </w:r>
          </w:p>
        </w:tc>
        <w:tc>
          <w:tcPr>
            <w:tcW w:w="1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8,969,379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line="222" w:lineRule="auto"/>
        <w:tabs>
          <w:tab w:leader="none" w:pos="17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 following equity compensation plans approved by security holders are included in this plan category: the 2017 Omnibus Incentive Plan, the 2006 Equity Incentive Plan, as amended, and the 2006 Employee Stock Purchase Plan, as amended.</w:t>
      </w:r>
    </w:p>
    <w:p>
      <w:pPr>
        <w:spacing w:after="0" w:line="40" w:lineRule="exact"/>
        <w:rPr>
          <w:rFonts w:ascii="Arial" w:cs="Arial" w:eastAsia="Arial" w:hAnsi="Arial"/>
          <w:sz w:val="19"/>
          <w:szCs w:val="19"/>
          <w:color w:val="auto"/>
          <w:vertAlign w:val="superscript"/>
        </w:rPr>
      </w:pPr>
    </w:p>
    <w:p>
      <w:pPr>
        <w:ind w:left="180" w:right="160" w:hanging="172"/>
        <w:spacing w:after="0" w:line="266" w:lineRule="auto"/>
        <w:tabs>
          <w:tab w:leader="none" w:pos="173" w:val="left"/>
        </w:tabs>
        <w:numPr>
          <w:ilvl w:val="0"/>
          <w:numId w:val="40"/>
        </w:numPr>
        <w:rPr>
          <w:rFonts w:ascii="Arial" w:cs="Arial" w:eastAsia="Arial" w:hAnsi="Arial"/>
          <w:sz w:val="9"/>
          <w:szCs w:val="9"/>
          <w:color w:val="auto"/>
        </w:rPr>
      </w:pPr>
      <w:r>
        <w:rPr>
          <w:rFonts w:ascii="Arial" w:cs="Arial" w:eastAsia="Arial" w:hAnsi="Arial"/>
          <w:sz w:val="14"/>
          <w:szCs w:val="14"/>
          <w:color w:val="auto"/>
        </w:rPr>
        <w:t>Represents (i) 1,973,922 shares of Leidos common stock reserved for future issuance for service-based awards and performance and market-based awards assuming achievement of the target level of performance for unearned performance and market-based awards (does not include an additional 369,765 shares if the maximum level of performance is achieved) and other stock awards under the 2017 Omnibus Incentive Plan and 2006 Equity Incentive Plan, (ii) no shares of Leidos common stock issuable pursuant to dividend equivalent rights and (iii) 1,850,375 shares of Leidos common stock reserved for future issuance upon the exercise of outstanding options awarded under the 2017 Omnibus Incentive Plan and 2006 Equity Incentive Plan. Does not include shares to be issued pursuant to purchase rights under the 2006 Employee Stock Purchase Plan.</w:t>
      </w:r>
    </w:p>
    <w:p>
      <w:pPr>
        <w:spacing w:after="0" w:line="6" w:lineRule="exact"/>
        <w:rPr>
          <w:rFonts w:ascii="Arial" w:cs="Arial" w:eastAsia="Arial" w:hAnsi="Arial"/>
          <w:sz w:val="9"/>
          <w:szCs w:val="9"/>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w:t>
      </w:r>
    </w:p>
    <w:p>
      <w:pPr>
        <w:spacing w:after="0" w:line="53" w:lineRule="exact"/>
        <w:rPr>
          <w:rFonts w:ascii="Arial" w:cs="Arial" w:eastAsia="Arial" w:hAnsi="Arial"/>
          <w:sz w:val="18"/>
          <w:szCs w:val="18"/>
          <w:color w:val="auto"/>
          <w:vertAlign w:val="superscript"/>
        </w:rPr>
      </w:pPr>
    </w:p>
    <w:p>
      <w:pPr>
        <w:ind w:left="180" w:right="220" w:hanging="172"/>
        <w:spacing w:after="0" w:line="213" w:lineRule="auto"/>
        <w:tabs>
          <w:tab w:leader="none" w:pos="17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Represents 6,635,682 and 2,333,697 shares of Leidos common stock under the 2017 Omnibus Incentive Plan and 2006 Employee Stock Purchase Plan, respectively. The maximum number of shares initially available for issuance under the 2017 Omnibus Incentive Plan was 7.5 million. The 2006 Equity Incentive Plan was amended in June</w:t>
      </w:r>
    </w:p>
    <w:p>
      <w:pPr>
        <w:ind w:left="180"/>
        <w:spacing w:after="0" w:line="269" w:lineRule="auto"/>
        <w:rPr>
          <w:rFonts w:ascii="Arial" w:cs="Arial" w:eastAsia="Arial" w:hAnsi="Arial"/>
          <w:sz w:val="19"/>
          <w:szCs w:val="19"/>
          <w:color w:val="auto"/>
          <w:vertAlign w:val="superscript"/>
        </w:rPr>
      </w:pPr>
      <w:r>
        <w:rPr>
          <w:rFonts w:ascii="Arial" w:cs="Arial" w:eastAsia="Arial" w:hAnsi="Arial"/>
          <w:sz w:val="14"/>
          <w:szCs w:val="14"/>
          <w:color w:val="auto"/>
        </w:rPr>
        <w:t>2012 to provide that the maximum number of shares available for issuance thereunder is 12.5 million. The 2006 Employee Stock Purchase Plan was amended in September 2016 to provide that the maximum number of shares available for issuance thereunder is 5.0 million. Those shares that are issued under the 2017 Omnibus Incentive Plan and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w:t>
      </w:r>
    </w:p>
    <w:p>
      <w:pPr>
        <w:spacing w:after="0" w:line="20" w:lineRule="exact"/>
        <w:rPr>
          <w:rFonts w:ascii="Arial" w:cs="Arial" w:eastAsia="Arial" w:hAnsi="Arial"/>
          <w:sz w:val="19"/>
          <w:szCs w:val="19"/>
          <w:color w:val="auto"/>
          <w:vertAlign w:val="superscript"/>
        </w:rPr>
      </w:pPr>
    </w:p>
    <w:p>
      <w:pPr>
        <w:ind w:left="180" w:right="340" w:hanging="172"/>
        <w:spacing w:after="0" w:line="234" w:lineRule="auto"/>
        <w:tabs>
          <w:tab w:leader="none" w:pos="17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 Management Stock Compensation Plan has not been approved by security holders and is included in this plan category. This plan does not provide for a maximum number of shares available for future issuance. For further information on this plan, see "Note 17—Stock-Based Compensation" of the notes to the consolidated financial statements contained within Part II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2024 Proxy Statement, to be filed with the SEC within 120 days of the fiscal year ended December 29, 2023, which required information is incorporated by reference into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1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2024 Proxy Statement, to be filed with the SEC within 120 days of the fiscal year ended December 29, 2023, which required information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17" w:lineRule="exact"/>
        <w:rPr>
          <w:sz w:val="20"/>
          <w:szCs w:val="20"/>
          <w:color w:val="auto"/>
        </w:rPr>
      </w:pPr>
    </w:p>
    <w:p>
      <w:pPr>
        <w:ind w:left="600" w:hanging="26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17" w:lineRule="exact"/>
        <w:rPr>
          <w:rFonts w:ascii="Arial" w:cs="Arial" w:eastAsia="Arial" w:hAnsi="Arial"/>
          <w:sz w:val="18"/>
          <w:szCs w:val="18"/>
          <w:color w:val="auto"/>
        </w:rPr>
      </w:pPr>
    </w:p>
    <w:p>
      <w:pPr>
        <w:ind w:left="860" w:hanging="204"/>
        <w:spacing w:after="0"/>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Consolidated Balance Sheets</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Consolidated Statements of Operations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Consolidated Statements of Comprehensive Income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Consolidated Statements of Equity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Consolidated Statements of Cash Flows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0000FF"/>
        </w:rPr>
        <w:t>Notes to Consolidated Financial Statements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left="900" w:right="960"/>
        <w:spacing w:after="0" w:line="287"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0" w:type="dxa"/>
            <w:vAlign w:val="bottom"/>
            <w:gridSpan w:val="17"/>
            <w:vMerge w:val="restart"/>
          </w:tcPr>
          <w:p>
            <w:pPr>
              <w:ind w:left="128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9"/>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21"/>
          </w:tcPr>
          <w:p>
            <w:pPr>
              <w:spacing w:after="0" w:line="182" w:lineRule="exact"/>
              <w:rPr>
                <w:rFonts w:ascii="Arial" w:cs="Arial" w:eastAsia="Arial" w:hAnsi="Arial"/>
                <w:sz w:val="18"/>
                <w:szCs w:val="18"/>
                <w:color w:val="auto"/>
              </w:rPr>
            </w:pPr>
            <w:hyperlink r:id="rId167">
              <w:r>
                <w:rPr>
                  <w:rFonts w:ascii="Arial" w:cs="Arial" w:eastAsia="Arial" w:hAnsi="Arial"/>
                  <w:sz w:val="18"/>
                  <w:szCs w:val="18"/>
                  <w:color w:val="auto"/>
                </w:rPr>
                <w:t>Amended and Restated Certificate of Incorporation of Leidos Holdings, Inc. Incorporated by reference to Exhibit 3.1 to our</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auto"/>
            </w:tcBorders>
            <w:gridSpan w:val="12"/>
          </w:tcPr>
          <w:p>
            <w:pPr>
              <w:spacing w:after="0" w:line="156" w:lineRule="exact"/>
              <w:rPr>
                <w:rFonts w:ascii="Arial" w:cs="Arial" w:eastAsia="Arial" w:hAnsi="Arial"/>
                <w:sz w:val="18"/>
                <w:szCs w:val="18"/>
                <w:color w:val="auto"/>
              </w:rPr>
            </w:pPr>
            <w:hyperlink r:id="rId167">
              <w:r>
                <w:rPr>
                  <w:rFonts w:ascii="Arial" w:cs="Arial" w:eastAsia="Arial" w:hAnsi="Arial"/>
                  <w:sz w:val="18"/>
                  <w:szCs w:val="18"/>
                  <w:color w:val="auto"/>
                </w:rPr>
                <w:t>Current Report on Form 8-K filed with the SEC on May 15, 2020.</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Amended and Restated Bylaws of Leidos Holdings, Inc.</w:t>
            </w:r>
          </w:p>
        </w:tc>
        <w:tc>
          <w:tcPr>
            <w:tcW w:w="4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21"/>
          </w:tcPr>
          <w:p>
            <w:pPr>
              <w:spacing w:after="0"/>
              <w:rPr>
                <w:sz w:val="20"/>
                <w:szCs w:val="20"/>
                <w:color w:val="auto"/>
              </w:rPr>
            </w:pPr>
            <w:r>
              <w:rPr>
                <w:rFonts w:ascii="Arial" w:cs="Arial" w:eastAsia="Arial" w:hAnsi="Arial"/>
                <w:sz w:val="18"/>
                <w:szCs w:val="18"/>
                <w:color w:val="auto"/>
              </w:rPr>
              <w:t>Indenture dated June 28, 2002, between Leidos, Inc. and JPMorgan Chase Bank, as trustee. Incorporated by reference to</w:t>
            </w: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21"/>
          </w:tcPr>
          <w:p>
            <w:pPr>
              <w:spacing w:after="0"/>
              <w:rPr>
                <w:sz w:val="20"/>
                <w:szCs w:val="20"/>
                <w:color w:val="auto"/>
              </w:rPr>
            </w:pPr>
            <w:r>
              <w:rPr>
                <w:rFonts w:ascii="Arial" w:cs="Arial" w:eastAsia="Arial" w:hAnsi="Arial"/>
                <w:sz w:val="18"/>
                <w:szCs w:val="18"/>
                <w:color w:val="auto"/>
              </w:rPr>
              <w:t>Exhibit 4.2 to our Current Report on Form 8-K filed with the SEC on July 3, 2002. (SEC File No. 000-12771)</w:t>
            </w:r>
          </w:p>
        </w:tc>
        <w:tc>
          <w:tcPr>
            <w:tcW w:w="0" w:type="dxa"/>
            <w:vAlign w:val="bottom"/>
          </w:tcPr>
          <w:p>
            <w:pPr>
              <w:spacing w:after="0"/>
              <w:rPr>
                <w:sz w:val="1"/>
                <w:szCs w:val="1"/>
                <w:color w:val="auto"/>
              </w:rPr>
            </w:pPr>
          </w:p>
        </w:tc>
      </w:tr>
      <w:tr>
        <w:trPr>
          <w:trHeight w:val="241"/>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21"/>
          </w:tcPr>
          <w:p>
            <w:pPr>
              <w:spacing w:after="0"/>
              <w:rPr>
                <w:rFonts w:ascii="Arial" w:cs="Arial" w:eastAsia="Arial" w:hAnsi="Arial"/>
                <w:sz w:val="18"/>
                <w:szCs w:val="18"/>
                <w:color w:val="auto"/>
              </w:rPr>
            </w:pPr>
            <w:hyperlink r:id="rId168">
              <w:r>
                <w:rPr>
                  <w:rFonts w:ascii="Arial" w:cs="Arial" w:eastAsia="Arial" w:hAnsi="Arial"/>
                  <w:sz w:val="18"/>
                  <w:szCs w:val="18"/>
                  <w:color w:val="auto"/>
                </w:rPr>
                <w:t>First Supplemental Indenture, dated October 13, 2006, by and among Leidos, Inc., Leidos Holdings, Inc. and The Bank of</w:t>
              </w:r>
            </w:hyperlink>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auto"/>
            </w:tcBorders>
            <w:gridSpan w:val="11"/>
          </w:tcPr>
          <w:p>
            <w:pPr>
              <w:spacing w:after="0" w:line="162" w:lineRule="exact"/>
              <w:rPr>
                <w:rFonts w:ascii="Arial" w:cs="Arial" w:eastAsia="Arial" w:hAnsi="Arial"/>
                <w:sz w:val="18"/>
                <w:szCs w:val="18"/>
                <w:color w:val="auto"/>
                <w:w w:val="99"/>
              </w:rPr>
            </w:pPr>
            <w:hyperlink r:id="rId168">
              <w:r>
                <w:rPr>
                  <w:rFonts w:ascii="Arial" w:cs="Arial" w:eastAsia="Arial" w:hAnsi="Arial"/>
                  <w:sz w:val="18"/>
                  <w:szCs w:val="18"/>
                  <w:color w:val="auto"/>
                  <w:w w:val="99"/>
                </w:rPr>
                <w:t>New York Trust Company, N.A., as successor trustee to JPMorgan Chase Bank, N.A. Incorporated by reference to Exhibit</w:t>
              </w:r>
            </w:hyperlink>
          </w:p>
        </w:tc>
        <w:tc>
          <w:tcPr>
            <w:tcW w:w="360" w:type="dxa"/>
            <w:vAlign w:val="bottom"/>
            <w:gridSpan w:val="8"/>
          </w:tcPr>
          <w:p>
            <w:pPr>
              <w:jc w:val="right"/>
              <w:ind w:right="40"/>
              <w:spacing w:after="0" w:line="162" w:lineRule="exact"/>
              <w:rPr>
                <w:rFonts w:ascii="Arial" w:cs="Arial" w:eastAsia="Arial" w:hAnsi="Arial"/>
                <w:sz w:val="18"/>
                <w:szCs w:val="18"/>
                <w:color w:val="auto"/>
              </w:rPr>
            </w:pPr>
            <w:hyperlink r:id="rId168">
              <w:r>
                <w:rPr>
                  <w:rFonts w:ascii="Arial" w:cs="Arial" w:eastAsia="Arial" w:hAnsi="Arial"/>
                  <w:sz w:val="18"/>
                  <w:szCs w:val="18"/>
                  <w:color w:val="auto"/>
                </w:rPr>
                <w:t>4.2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auto"/>
              <w:bottom w:val="single" w:sz="8" w:color="auto"/>
            </w:tcBorders>
            <w:gridSpan w:val="8"/>
          </w:tcPr>
          <w:p>
            <w:pPr>
              <w:spacing w:after="0" w:line="156" w:lineRule="exact"/>
              <w:rPr>
                <w:rFonts w:ascii="Arial" w:cs="Arial" w:eastAsia="Arial" w:hAnsi="Arial"/>
                <w:sz w:val="18"/>
                <w:szCs w:val="18"/>
                <w:color w:val="auto"/>
                <w:w w:val="99"/>
              </w:rPr>
            </w:pPr>
            <w:hyperlink r:id="rId168">
              <w:r>
                <w:rPr>
                  <w:rFonts w:ascii="Arial" w:cs="Arial" w:eastAsia="Arial" w:hAnsi="Arial"/>
                  <w:sz w:val="18"/>
                  <w:szCs w:val="18"/>
                  <w:color w:val="auto"/>
                  <w:w w:val="99"/>
                </w:rPr>
                <w:t>to our Current Report on Form 8-K filed with the SEC on October 17, 2006. (SEC File No. 001-33072)</w:t>
              </w:r>
            </w:hyperlink>
          </w:p>
        </w:tc>
        <w:tc>
          <w:tcPr>
            <w:tcW w:w="1900" w:type="dxa"/>
            <w:vAlign w:val="bottom"/>
            <w:tcBorders>
              <w:top w:val="single" w:sz="8" w:color="auto"/>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69">
              <w:r>
                <w:rPr>
                  <w:rFonts w:ascii="Arial" w:cs="Arial" w:eastAsia="Arial" w:hAnsi="Arial"/>
                  <w:sz w:val="18"/>
                  <w:szCs w:val="18"/>
                  <w:color w:val="auto"/>
                </w:rPr>
                <w:t>Indenture dated as of December 20, 2010, among Leidos Holdings, Inc., Leidos, Inc., and The Bank of New York Mellon Trust</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auto"/>
            </w:tcBorders>
            <w:gridSpan w:val="19"/>
          </w:tcPr>
          <w:p>
            <w:pPr>
              <w:spacing w:after="0" w:line="156" w:lineRule="exact"/>
              <w:rPr>
                <w:rFonts w:ascii="Arial" w:cs="Arial" w:eastAsia="Arial" w:hAnsi="Arial"/>
                <w:sz w:val="18"/>
                <w:szCs w:val="18"/>
                <w:color w:val="auto"/>
              </w:rPr>
            </w:pPr>
            <w:hyperlink r:id="rId169">
              <w:r>
                <w:rPr>
                  <w:rFonts w:ascii="Arial" w:cs="Arial" w:eastAsia="Arial" w:hAnsi="Arial"/>
                  <w:sz w:val="18"/>
                  <w:szCs w:val="18"/>
                  <w:color w:val="auto"/>
                </w:rPr>
                <w:t>Company, N.A. as Trustee. Incorporated by reference to Exhibit 4.1 to our Current Report on Form 8-K with the SEC 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auto"/>
            </w:tcBorders>
            <w:gridSpan w:val="9"/>
          </w:tcPr>
          <w:p>
            <w:pPr>
              <w:spacing w:after="0" w:line="156" w:lineRule="exact"/>
              <w:rPr>
                <w:rFonts w:ascii="Arial" w:cs="Arial" w:eastAsia="Arial" w:hAnsi="Arial"/>
                <w:sz w:val="18"/>
                <w:szCs w:val="18"/>
                <w:color w:val="auto"/>
              </w:rPr>
            </w:pPr>
            <w:hyperlink r:id="rId169">
              <w:r>
                <w:rPr>
                  <w:rFonts w:ascii="Arial" w:cs="Arial" w:eastAsia="Arial" w:hAnsi="Arial"/>
                  <w:sz w:val="18"/>
                  <w:szCs w:val="18"/>
                  <w:color w:val="auto"/>
                </w:rPr>
                <w:t>December 22, 2010.</w:t>
              </w:r>
            </w:hyperlink>
          </w:p>
        </w:tc>
        <w:tc>
          <w:tcPr>
            <w:tcW w:w="1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auto"/>
            </w:tcBorders>
            <w:gridSpan w:val="15"/>
          </w:tcPr>
          <w:p>
            <w:pPr>
              <w:spacing w:after="0"/>
              <w:rPr>
                <w:rFonts w:ascii="Arial" w:cs="Arial" w:eastAsia="Arial" w:hAnsi="Arial"/>
                <w:sz w:val="18"/>
                <w:szCs w:val="18"/>
                <w:color w:val="auto"/>
                <w:w w:val="99"/>
              </w:rPr>
            </w:pPr>
            <w:hyperlink r:id="rId170">
              <w:r>
                <w:rPr>
                  <w:rFonts w:ascii="Arial" w:cs="Arial" w:eastAsia="Arial" w:hAnsi="Arial"/>
                  <w:sz w:val="18"/>
                  <w:szCs w:val="18"/>
                  <w:color w:val="auto"/>
                  <w:w w:val="99"/>
                </w:rPr>
                <w:t>Indenture relating to the 2.950% Senior Notes due 2023, 3.625% Senior Notes due 2025 and the 4.375% Senior Notes due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1"/>
          </w:tcPr>
          <w:p>
            <w:pPr>
              <w:spacing w:after="0" w:line="156" w:lineRule="exact"/>
              <w:rPr>
                <w:rFonts w:ascii="Arial" w:cs="Arial" w:eastAsia="Arial" w:hAnsi="Arial"/>
                <w:sz w:val="18"/>
                <w:szCs w:val="18"/>
                <w:color w:val="auto"/>
                <w:w w:val="99"/>
              </w:rPr>
            </w:pPr>
            <w:hyperlink r:id="rId170">
              <w:r>
                <w:rPr>
                  <w:rFonts w:ascii="Arial" w:cs="Arial" w:eastAsia="Arial" w:hAnsi="Arial"/>
                  <w:sz w:val="18"/>
                  <w:szCs w:val="18"/>
                  <w:color w:val="auto"/>
                  <w:w w:val="99"/>
                </w:rPr>
                <w:t>2030, dated as of May 12, 2020, by and among Leidos, Inc., as issuer, Leidos Holdings, Inc., as guarantor, and Citibank, N.A.,</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auto"/>
            </w:tcBorders>
            <w:gridSpan w:val="20"/>
          </w:tcPr>
          <w:p>
            <w:pPr>
              <w:spacing w:after="0" w:line="156" w:lineRule="exact"/>
              <w:rPr>
                <w:rFonts w:ascii="Arial" w:cs="Arial" w:eastAsia="Arial" w:hAnsi="Arial"/>
                <w:sz w:val="18"/>
                <w:szCs w:val="18"/>
                <w:color w:val="auto"/>
              </w:rPr>
            </w:pPr>
            <w:hyperlink r:id="rId170">
              <w:r>
                <w:rPr>
                  <w:rFonts w:ascii="Arial" w:cs="Arial" w:eastAsia="Arial" w:hAnsi="Arial"/>
                  <w:sz w:val="18"/>
                  <w:szCs w:val="18"/>
                  <w:color w:val="auto"/>
                </w:rPr>
                <w:t>as trustee. Incorporated by reference to Exhibit 4.1 to our Current Report on Form 8-K filed with the SEC on May 12, 2020.</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4720" w:type="dxa"/>
            <w:vAlign w:val="bottom"/>
            <w:gridSpan w:val="4"/>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71">
              <w:r>
                <w:rPr>
                  <w:rFonts w:ascii="Arial" w:cs="Arial" w:eastAsia="Arial" w:hAnsi="Arial"/>
                  <w:sz w:val="18"/>
                  <w:szCs w:val="18"/>
                  <w:color w:val="auto"/>
                </w:rPr>
                <w:t>Form of 2.950% Senior Notes due 2023. Incorporated by reference to Exhibit 4.2 to our Current Report on Form 8-K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17"/>
          </w:tcPr>
          <w:p>
            <w:pPr>
              <w:spacing w:after="0" w:line="156" w:lineRule="exact"/>
              <w:rPr>
                <w:rFonts w:ascii="Arial" w:cs="Arial" w:eastAsia="Arial" w:hAnsi="Arial"/>
                <w:sz w:val="18"/>
                <w:szCs w:val="18"/>
                <w:color w:val="auto"/>
              </w:rPr>
            </w:pPr>
            <w:hyperlink r:id="rId171">
              <w:r>
                <w:rPr>
                  <w:rFonts w:ascii="Arial" w:cs="Arial" w:eastAsia="Arial" w:hAnsi="Arial"/>
                  <w:sz w:val="18"/>
                  <w:szCs w:val="18"/>
                  <w:color w:val="auto"/>
                </w:rPr>
                <w:t>the SEC on May 12, 2020.</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72">
              <w:r>
                <w:rPr>
                  <w:rFonts w:ascii="Arial" w:cs="Arial" w:eastAsia="Arial" w:hAnsi="Arial"/>
                  <w:sz w:val="18"/>
                  <w:szCs w:val="18"/>
                  <w:color w:val="auto"/>
                </w:rPr>
                <w:t>Form of 3.625% Senior Notes due 2025. Incorporated by reference to Exhibit 4.3 to our Current Report on Form 8-K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17"/>
          </w:tcPr>
          <w:p>
            <w:pPr>
              <w:spacing w:after="0" w:line="156" w:lineRule="exact"/>
              <w:rPr>
                <w:rFonts w:ascii="Arial" w:cs="Arial" w:eastAsia="Arial" w:hAnsi="Arial"/>
                <w:sz w:val="18"/>
                <w:szCs w:val="18"/>
                <w:color w:val="auto"/>
              </w:rPr>
            </w:pPr>
            <w:hyperlink r:id="rId172">
              <w:r>
                <w:rPr>
                  <w:rFonts w:ascii="Arial" w:cs="Arial" w:eastAsia="Arial" w:hAnsi="Arial"/>
                  <w:sz w:val="18"/>
                  <w:szCs w:val="18"/>
                  <w:color w:val="auto"/>
                </w:rPr>
                <w:t>the SEC on May 12, 2020.</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73">
              <w:r>
                <w:rPr>
                  <w:rFonts w:ascii="Arial" w:cs="Arial" w:eastAsia="Arial" w:hAnsi="Arial"/>
                  <w:sz w:val="18"/>
                  <w:szCs w:val="18"/>
                  <w:color w:val="auto"/>
                </w:rPr>
                <w:t>Form of 4.375% Senior Notes due 2030. Incorporated by reference to Exhibit 4.4 to our Current Report on Form 8-K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17"/>
          </w:tcPr>
          <w:p>
            <w:pPr>
              <w:spacing w:after="0" w:line="156" w:lineRule="exact"/>
              <w:rPr>
                <w:rFonts w:ascii="Arial" w:cs="Arial" w:eastAsia="Arial" w:hAnsi="Arial"/>
                <w:sz w:val="18"/>
                <w:szCs w:val="18"/>
                <w:color w:val="auto"/>
              </w:rPr>
            </w:pPr>
            <w:hyperlink r:id="rId173">
              <w:r>
                <w:rPr>
                  <w:rFonts w:ascii="Arial" w:cs="Arial" w:eastAsia="Arial" w:hAnsi="Arial"/>
                  <w:sz w:val="18"/>
                  <w:szCs w:val="18"/>
                  <w:color w:val="auto"/>
                </w:rPr>
                <w:t>the SEC on May 12, 2020.</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auto"/>
            </w:tcBorders>
            <w:gridSpan w:val="14"/>
          </w:tcPr>
          <w:p>
            <w:pPr>
              <w:spacing w:after="0"/>
              <w:rPr>
                <w:rFonts w:ascii="Arial" w:cs="Arial" w:eastAsia="Arial" w:hAnsi="Arial"/>
                <w:sz w:val="18"/>
                <w:szCs w:val="18"/>
                <w:color w:val="auto"/>
                <w:w w:val="99"/>
              </w:rPr>
            </w:pPr>
            <w:hyperlink r:id="rId174">
              <w:r>
                <w:rPr>
                  <w:rFonts w:ascii="Arial" w:cs="Arial" w:eastAsia="Arial" w:hAnsi="Arial"/>
                  <w:sz w:val="18"/>
                  <w:szCs w:val="18"/>
                  <w:color w:val="auto"/>
                  <w:w w:val="99"/>
                </w:rPr>
                <w:t>Indenture relating to the 2.300% Senior Notes due 2031, dated as of October 8, 2020 among Leidos, Inc., Leidos Holdings,</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21"/>
          </w:tcPr>
          <w:p>
            <w:pPr>
              <w:spacing w:after="0" w:line="156" w:lineRule="exact"/>
              <w:rPr>
                <w:rFonts w:ascii="Arial" w:cs="Arial" w:eastAsia="Arial" w:hAnsi="Arial"/>
                <w:sz w:val="18"/>
                <w:szCs w:val="18"/>
                <w:color w:val="auto"/>
              </w:rPr>
            </w:pPr>
            <w:hyperlink r:id="rId174">
              <w:r>
                <w:rPr>
                  <w:rFonts w:ascii="Arial" w:cs="Arial" w:eastAsia="Arial" w:hAnsi="Arial"/>
                  <w:sz w:val="18"/>
                  <w:szCs w:val="18"/>
                  <w:color w:val="auto"/>
                </w:rPr>
                <w:t>Inc, as guarantor, and Citibank, N.A., as trustee. Incorporated by reference to Exhibit 4.1 to our Current Report on Form 8-K</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auto"/>
              <w:bottom w:val="single" w:sz="8" w:color="auto"/>
            </w:tcBorders>
            <w:gridSpan w:val="4"/>
          </w:tcPr>
          <w:p>
            <w:pPr>
              <w:spacing w:after="0" w:line="156" w:lineRule="exact"/>
              <w:rPr>
                <w:rFonts w:ascii="Arial" w:cs="Arial" w:eastAsia="Arial" w:hAnsi="Arial"/>
                <w:sz w:val="18"/>
                <w:szCs w:val="18"/>
                <w:color w:val="auto"/>
                <w:w w:val="99"/>
              </w:rPr>
            </w:pPr>
            <w:hyperlink r:id="rId174">
              <w:r>
                <w:rPr>
                  <w:rFonts w:ascii="Arial" w:cs="Arial" w:eastAsia="Arial" w:hAnsi="Arial"/>
                  <w:sz w:val="18"/>
                  <w:szCs w:val="18"/>
                  <w:color w:val="auto"/>
                  <w:w w:val="99"/>
                </w:rPr>
                <w:t>filed with the SEC on October 9, 2020.</w:t>
              </w:r>
            </w:hyperlink>
          </w:p>
        </w:tc>
        <w:tc>
          <w:tcPr>
            <w:tcW w:w="6760" w:type="dxa"/>
            <w:vAlign w:val="bottom"/>
            <w:tcBorders>
              <w:top w:val="single" w:sz="8" w:color="auto"/>
            </w:tcBorders>
            <w:gridSpan w:val="12"/>
          </w:tcPr>
          <w:p>
            <w:pPr>
              <w:spacing w:after="0"/>
              <w:rPr>
                <w:sz w:val="13"/>
                <w:szCs w:val="13"/>
                <w:color w:val="auto"/>
              </w:rPr>
            </w:pPr>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75">
              <w:r>
                <w:rPr>
                  <w:rFonts w:ascii="Arial" w:cs="Arial" w:eastAsia="Arial" w:hAnsi="Arial"/>
                  <w:sz w:val="18"/>
                  <w:szCs w:val="18"/>
                  <w:color w:val="auto"/>
                </w:rPr>
                <w:t>Form of 2.300% Senior Notes due 2031. Incorporated by reference to Exhibit 4.2 to our Current Report on Form 8-K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17"/>
          </w:tcPr>
          <w:p>
            <w:pPr>
              <w:spacing w:after="0" w:line="156" w:lineRule="exact"/>
              <w:rPr>
                <w:rFonts w:ascii="Arial" w:cs="Arial" w:eastAsia="Arial" w:hAnsi="Arial"/>
                <w:sz w:val="18"/>
                <w:szCs w:val="18"/>
                <w:color w:val="auto"/>
              </w:rPr>
            </w:pPr>
            <w:hyperlink r:id="rId175">
              <w:r>
                <w:rPr>
                  <w:rFonts w:ascii="Arial" w:cs="Arial" w:eastAsia="Arial" w:hAnsi="Arial"/>
                  <w:sz w:val="18"/>
                  <w:szCs w:val="18"/>
                  <w:color w:val="auto"/>
                </w:rPr>
                <w:t>the SEC on October 9, 2020.</w:t>
              </w:r>
            </w:hyperlink>
          </w:p>
        </w:tc>
        <w:tc>
          <w:tcPr>
            <w:tcW w:w="1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00"/>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1"/>
          </w:tcPr>
          <w:p>
            <w:pPr>
              <w:spacing w:after="0"/>
              <w:rPr>
                <w:rFonts w:ascii="Arial" w:cs="Arial" w:eastAsia="Arial" w:hAnsi="Arial"/>
                <w:sz w:val="18"/>
                <w:szCs w:val="18"/>
                <w:color w:val="auto"/>
              </w:rPr>
            </w:pPr>
            <w:hyperlink r:id="rId176">
              <w:r>
                <w:rPr>
                  <w:rFonts w:ascii="Arial" w:cs="Arial" w:eastAsia="Arial" w:hAnsi="Arial"/>
                  <w:sz w:val="18"/>
                  <w:szCs w:val="18"/>
                  <w:color w:val="auto"/>
                </w:rPr>
                <w:t>Officers’ Certificate of Leidos, Inc., dated as of February 28, 2023. Incorporated by reference to Exhibit 4.1 to our Current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auto"/>
              <w:bottom w:val="single" w:sz="8" w:color="auto"/>
            </w:tcBorders>
            <w:gridSpan w:val="6"/>
          </w:tcPr>
          <w:p>
            <w:pPr>
              <w:spacing w:after="0" w:line="156" w:lineRule="exact"/>
              <w:rPr>
                <w:rFonts w:ascii="Arial" w:cs="Arial" w:eastAsia="Arial" w:hAnsi="Arial"/>
                <w:sz w:val="18"/>
                <w:szCs w:val="18"/>
                <w:color w:val="auto"/>
                <w:w w:val="99"/>
              </w:rPr>
            </w:pPr>
            <w:hyperlink r:id="rId176">
              <w:r>
                <w:rPr>
                  <w:rFonts w:ascii="Arial" w:cs="Arial" w:eastAsia="Arial" w:hAnsi="Arial"/>
                  <w:sz w:val="18"/>
                  <w:szCs w:val="18"/>
                  <w:color w:val="auto"/>
                  <w:w w:val="99"/>
                </w:rPr>
                <w:t>Report on Form 8-K filed with the SEC on February 28, 2023.</w:t>
              </w:r>
            </w:hyperlink>
          </w:p>
        </w:tc>
        <w:tc>
          <w:tcPr>
            <w:tcW w:w="4720" w:type="dxa"/>
            <w:vAlign w:val="bottom"/>
            <w:tcBorders>
              <w:top w:val="single" w:sz="8" w:color="auto"/>
            </w:tcBorders>
            <w:gridSpan w:val="4"/>
          </w:tcPr>
          <w:p>
            <w:pPr>
              <w:spacing w:after="0"/>
              <w:rPr>
                <w:sz w:val="13"/>
                <w:szCs w:val="13"/>
                <w:color w:val="auto"/>
              </w:rPr>
            </w:pPr>
          </w:p>
        </w:tc>
        <w:tc>
          <w:tcPr>
            <w:tcW w:w="4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140" w:type="dxa"/>
            <w:vAlign w:val="bottom"/>
            <w:gridSpan w:val="29"/>
            <w:vMerge w:val="restart"/>
          </w:tcPr>
          <w:p>
            <w:pPr>
              <w:ind w:left="4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5"/>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14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35"/>
          </w:tcPr>
          <w:p>
            <w:pPr>
              <w:spacing w:after="0" w:line="182" w:lineRule="exact"/>
              <w:rPr>
                <w:rFonts w:ascii="Arial" w:cs="Arial" w:eastAsia="Arial" w:hAnsi="Arial"/>
                <w:sz w:val="18"/>
                <w:szCs w:val="18"/>
                <w:color w:val="auto"/>
              </w:rPr>
            </w:pPr>
            <w:hyperlink r:id="rId176">
              <w:r>
                <w:rPr>
                  <w:rFonts w:ascii="Arial" w:cs="Arial" w:eastAsia="Arial" w:hAnsi="Arial"/>
                  <w:sz w:val="18"/>
                  <w:szCs w:val="18"/>
                  <w:color w:val="auto"/>
                </w:rPr>
                <w:t>Form of Global Note representing Leidos, Inc.’s 5.750% Notes due 2033. Included in Exhibit 4.11 and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40" w:type="dxa"/>
            <w:vAlign w:val="bottom"/>
            <w:tcBorders>
              <w:top w:val="single" w:sz="8" w:color="auto"/>
              <w:bottom w:val="single" w:sz="8" w:color="auto"/>
            </w:tcBorders>
            <w:gridSpan w:val="12"/>
          </w:tcPr>
          <w:p>
            <w:pPr>
              <w:spacing w:after="0" w:line="156" w:lineRule="exact"/>
              <w:rPr>
                <w:rFonts w:ascii="Arial" w:cs="Arial" w:eastAsia="Arial" w:hAnsi="Arial"/>
                <w:sz w:val="18"/>
                <w:szCs w:val="18"/>
                <w:color w:val="auto"/>
                <w:w w:val="99"/>
              </w:rPr>
            </w:pPr>
            <w:hyperlink r:id="rId176">
              <w:r>
                <w:rPr>
                  <w:rFonts w:ascii="Arial" w:cs="Arial" w:eastAsia="Arial" w:hAnsi="Arial"/>
                  <w:sz w:val="18"/>
                  <w:szCs w:val="18"/>
                  <w:color w:val="auto"/>
                  <w:w w:val="99"/>
                </w:rPr>
                <w:t>reference to Exhibit 4.2 to our Current Report on Form 8-K filed with the SEC on February 28, 2023.</w:t>
              </w:r>
            </w:hyperlink>
          </w:p>
        </w:tc>
        <w:tc>
          <w:tcPr>
            <w:tcW w:w="1380" w:type="dxa"/>
            <w:vAlign w:val="bottom"/>
            <w:tcBorders>
              <w:top w:val="single" w:sz="8" w:color="auto"/>
            </w:tcBorders>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78">
              <w:r>
                <w:rPr>
                  <w:rFonts w:ascii="Arial" w:cs="Arial" w:eastAsia="Arial" w:hAnsi="Arial"/>
                  <w:sz w:val="18"/>
                  <w:szCs w:val="18"/>
                  <w:color w:val="auto"/>
                </w:rPr>
                <w:t>Description of Common Stock. Incorporate by reference to Exhibit 4.13 to our Annual Report on Form 10-K filed with the SEC</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31"/>
          </w:tcPr>
          <w:p>
            <w:pPr>
              <w:spacing w:after="0" w:line="156" w:lineRule="exact"/>
              <w:rPr>
                <w:rFonts w:ascii="Arial" w:cs="Arial" w:eastAsia="Arial" w:hAnsi="Arial"/>
                <w:sz w:val="18"/>
                <w:szCs w:val="18"/>
                <w:color w:val="auto"/>
              </w:rPr>
            </w:pPr>
            <w:hyperlink r:id="rId178">
              <w:r>
                <w:rPr>
                  <w:rFonts w:ascii="Arial" w:cs="Arial" w:eastAsia="Arial" w:hAnsi="Arial"/>
                  <w:sz w:val="18"/>
                  <w:szCs w:val="18"/>
                  <w:color w:val="auto"/>
                </w:rPr>
                <w:t>on February 23,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79">
              <w:r>
                <w:rPr>
                  <w:rFonts w:ascii="Arial" w:cs="Arial" w:eastAsia="Arial" w:hAnsi="Arial"/>
                  <w:sz w:val="18"/>
                  <w:szCs w:val="18"/>
                  <w:color w:val="auto"/>
                </w:rPr>
                <w:t>Leidos Holdings, Inc.’s 2006 Equity Incentive Plan. Incorporated by reference to Exhibit 10.1 to our Annual Report on Form</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auto"/>
            </w:tcBorders>
            <w:gridSpan w:val="23"/>
          </w:tcPr>
          <w:p>
            <w:pPr>
              <w:spacing w:after="0" w:line="156" w:lineRule="exact"/>
              <w:rPr>
                <w:rFonts w:ascii="Arial" w:cs="Arial" w:eastAsia="Arial" w:hAnsi="Arial"/>
                <w:sz w:val="18"/>
                <w:szCs w:val="18"/>
                <w:color w:val="auto"/>
              </w:rPr>
            </w:pPr>
            <w:hyperlink r:id="rId179">
              <w:r>
                <w:rPr>
                  <w:rFonts w:ascii="Arial" w:cs="Arial" w:eastAsia="Arial" w:hAnsi="Arial"/>
                  <w:sz w:val="18"/>
                  <w:szCs w:val="18"/>
                  <w:color w:val="auto"/>
                </w:rPr>
                <w:t>10-K filed with the SEC on March 27, 2014.</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0">
              <w:r>
                <w:rPr>
                  <w:rFonts w:ascii="Arial" w:cs="Arial" w:eastAsia="Arial" w:hAnsi="Arial"/>
                  <w:sz w:val="18"/>
                  <w:szCs w:val="18"/>
                  <w:color w:val="auto"/>
                </w:rPr>
                <w:t>Leidos Holdings, Inc. Amended and Restated 2017 Omnibus Incentive Plan. Incorporated by reference to Exhibit 10.2 to our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auto"/>
            </w:tcBorders>
            <w:gridSpan w:val="27"/>
          </w:tcPr>
          <w:p>
            <w:pPr>
              <w:spacing w:after="0" w:line="156" w:lineRule="exact"/>
              <w:rPr>
                <w:rFonts w:ascii="Arial" w:cs="Arial" w:eastAsia="Arial" w:hAnsi="Arial"/>
                <w:sz w:val="18"/>
                <w:szCs w:val="18"/>
                <w:color w:val="auto"/>
              </w:rPr>
            </w:pPr>
            <w:hyperlink r:id="rId180">
              <w:r>
                <w:rPr>
                  <w:rFonts w:ascii="Arial" w:cs="Arial" w:eastAsia="Arial" w:hAnsi="Arial"/>
                  <w:sz w:val="18"/>
                  <w:szCs w:val="18"/>
                  <w:color w:val="auto"/>
                </w:rPr>
                <w:t>Annual Report on Form 10-K filed with the SEC on February 14,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w w:val="99"/>
              </w:rPr>
            </w:pPr>
            <w:hyperlink r:id="rId181">
              <w:r>
                <w:rPr>
                  <w:rFonts w:ascii="Arial" w:cs="Arial" w:eastAsia="Arial" w:hAnsi="Arial"/>
                  <w:sz w:val="18"/>
                  <w:szCs w:val="18"/>
                  <w:color w:val="auto"/>
                  <w:w w:val="99"/>
                </w:rPr>
                <w:t>Leidos, Inc.’s Management Stock Compensation Plan. Incorporated by reference to Exhibit 10.3 to our Annual Report on Form</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auto"/>
            </w:tcBorders>
            <w:gridSpan w:val="34"/>
          </w:tcPr>
          <w:p>
            <w:pPr>
              <w:spacing w:after="0" w:line="156" w:lineRule="exact"/>
              <w:rPr>
                <w:rFonts w:ascii="Arial" w:cs="Arial" w:eastAsia="Arial" w:hAnsi="Arial"/>
                <w:sz w:val="18"/>
                <w:szCs w:val="18"/>
                <w:color w:val="auto"/>
              </w:rPr>
            </w:pPr>
            <w:hyperlink r:id="rId181">
              <w:r>
                <w:rPr>
                  <w:rFonts w:ascii="Arial" w:cs="Arial" w:eastAsia="Arial" w:hAnsi="Arial"/>
                  <w:sz w:val="18"/>
                  <w:szCs w:val="18"/>
                  <w:color w:val="auto"/>
                </w:rPr>
                <w:t>10-K filed with the SEC on March 27, 2014.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2">
              <w:r>
                <w:rPr>
                  <w:rFonts w:ascii="Arial" w:cs="Arial" w:eastAsia="Arial" w:hAnsi="Arial"/>
                  <w:sz w:val="18"/>
                  <w:szCs w:val="18"/>
                  <w:color w:val="auto"/>
                </w:rPr>
                <w:t>Amended and Restated Leidos, Inc.'s Keystaff Deferral Plan. Incorporated by reference to Exhibit 10.4 to our Transition</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auto"/>
              <w:bottom w:val="single" w:sz="8" w:color="auto"/>
            </w:tcBorders>
            <w:gridSpan w:val="7"/>
          </w:tcPr>
          <w:p>
            <w:pPr>
              <w:spacing w:after="0" w:line="156" w:lineRule="exact"/>
              <w:rPr>
                <w:rFonts w:ascii="Arial" w:cs="Arial" w:eastAsia="Arial" w:hAnsi="Arial"/>
                <w:sz w:val="18"/>
                <w:szCs w:val="18"/>
                <w:color w:val="auto"/>
                <w:w w:val="99"/>
              </w:rPr>
            </w:pPr>
            <w:hyperlink r:id="rId182">
              <w:r>
                <w:rPr>
                  <w:rFonts w:ascii="Arial" w:cs="Arial" w:eastAsia="Arial" w:hAnsi="Arial"/>
                  <w:sz w:val="18"/>
                  <w:szCs w:val="18"/>
                  <w:color w:val="auto"/>
                  <w:w w:val="99"/>
                </w:rPr>
                <w:t>Report on Form 10-K filed with the SEC on February 26, 2016.</w:t>
              </w:r>
            </w:hyperlink>
          </w:p>
        </w:tc>
        <w:tc>
          <w:tcPr>
            <w:tcW w:w="4480" w:type="dxa"/>
            <w:vAlign w:val="bottom"/>
            <w:tcBorders>
              <w:top w:val="single" w:sz="8" w:color="auto"/>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3">
              <w:r>
                <w:rPr>
                  <w:rFonts w:ascii="Arial" w:cs="Arial" w:eastAsia="Arial" w:hAnsi="Arial"/>
                  <w:sz w:val="18"/>
                  <w:szCs w:val="18"/>
                  <w:color w:val="auto"/>
                </w:rPr>
                <w:t>Amended and Restated Leidos, Inc.’s Key Executive Stock Deferral Plan. Incorporated by reference to Exhibit 10.5 to our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auto"/>
            </w:tcBorders>
            <w:gridSpan w:val="19"/>
          </w:tcPr>
          <w:p>
            <w:pPr>
              <w:spacing w:after="0" w:line="156" w:lineRule="exact"/>
              <w:rPr>
                <w:rFonts w:ascii="Arial" w:cs="Arial" w:eastAsia="Arial" w:hAnsi="Arial"/>
                <w:sz w:val="18"/>
                <w:szCs w:val="18"/>
                <w:color w:val="auto"/>
              </w:rPr>
            </w:pPr>
            <w:hyperlink r:id="rId183">
              <w:r>
                <w:rPr>
                  <w:rFonts w:ascii="Arial" w:cs="Arial" w:eastAsia="Arial" w:hAnsi="Arial"/>
                  <w:sz w:val="18"/>
                  <w:szCs w:val="18"/>
                  <w:color w:val="auto"/>
                </w:rPr>
                <w:t>Transition Report on Form 10-K filed with the SEC on February 26, 2016.</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4">
              <w:r>
                <w:rPr>
                  <w:rFonts w:ascii="Arial" w:cs="Arial" w:eastAsia="Arial" w:hAnsi="Arial"/>
                  <w:sz w:val="18"/>
                  <w:szCs w:val="18"/>
                  <w:color w:val="auto"/>
                </w:rPr>
                <w:t>Amended and Restated Leidos Holdings, Inc.’s 2006 Employee Stock Purchase Plan. Incorporated by reference to Exhibit</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40" w:type="dxa"/>
            <w:vAlign w:val="bottom"/>
            <w:tcBorders>
              <w:top w:val="single" w:sz="8" w:color="auto"/>
              <w:bottom w:val="single" w:sz="8" w:color="auto"/>
            </w:tcBorders>
            <w:gridSpan w:val="10"/>
          </w:tcPr>
          <w:p>
            <w:pPr>
              <w:spacing w:after="0" w:line="156" w:lineRule="exact"/>
              <w:rPr>
                <w:rFonts w:ascii="Arial" w:cs="Arial" w:eastAsia="Arial" w:hAnsi="Arial"/>
                <w:sz w:val="18"/>
                <w:szCs w:val="18"/>
                <w:color w:val="auto"/>
                <w:w w:val="99"/>
              </w:rPr>
            </w:pPr>
            <w:hyperlink r:id="rId184">
              <w:r>
                <w:rPr>
                  <w:rFonts w:ascii="Arial" w:cs="Arial" w:eastAsia="Arial" w:hAnsi="Arial"/>
                  <w:sz w:val="18"/>
                  <w:szCs w:val="18"/>
                  <w:color w:val="auto"/>
                  <w:w w:val="99"/>
                </w:rPr>
                <w:t>10.</w:t>
              </w:r>
              <w:r>
                <w:rPr>
                  <w:rFonts w:ascii="Arial" w:cs="Arial" w:eastAsia="Arial" w:hAnsi="Arial"/>
                  <w:sz w:val="18"/>
                  <w:szCs w:val="18"/>
                  <w:u w:val="single" w:color="auto"/>
                  <w:color w:val="auto"/>
                  <w:w w:val="99"/>
                </w:rPr>
                <w:t>1</w:t>
              </w:r>
              <w:r>
                <w:rPr>
                  <w:rFonts w:ascii="Arial" w:cs="Arial" w:eastAsia="Arial" w:hAnsi="Arial"/>
                  <w:sz w:val="18"/>
                  <w:szCs w:val="18"/>
                  <w:color w:val="auto"/>
                  <w:w w:val="99"/>
                </w:rPr>
                <w:t xml:space="preserve"> to our Quarterly Report on Form 10-Q filed with the SEC on August 4, 2017.</w:t>
              </w:r>
            </w:hyperlink>
          </w:p>
        </w:tc>
        <w:tc>
          <w:tcPr>
            <w:tcW w:w="3260" w:type="dxa"/>
            <w:vAlign w:val="bottom"/>
            <w:tcBorders>
              <w:top w:val="single" w:sz="8" w:color="auto"/>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5">
              <w:r>
                <w:rPr>
                  <w:rFonts w:ascii="Arial" w:cs="Arial" w:eastAsia="Arial" w:hAnsi="Arial"/>
                  <w:sz w:val="18"/>
                  <w:szCs w:val="18"/>
                  <w:color w:val="auto"/>
                </w:rPr>
                <w:t>Form of Nonstatutory Stock Option Agreement of Leidos Holdings, Inc.’s 2006 Equity Incentive Plan.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auto"/>
              <w:bottom w:val="single" w:sz="8" w:color="auto"/>
            </w:tcBorders>
            <w:gridSpan w:val="13"/>
          </w:tcPr>
          <w:p>
            <w:pPr>
              <w:spacing w:after="0" w:line="156" w:lineRule="exact"/>
              <w:rPr>
                <w:rFonts w:ascii="Arial" w:cs="Arial" w:eastAsia="Arial" w:hAnsi="Arial"/>
                <w:sz w:val="18"/>
                <w:szCs w:val="18"/>
                <w:color w:val="auto"/>
                <w:w w:val="99"/>
              </w:rPr>
            </w:pPr>
            <w:hyperlink r:id="rId185">
              <w:r>
                <w:rPr>
                  <w:rFonts w:ascii="Arial" w:cs="Arial" w:eastAsia="Arial" w:hAnsi="Arial"/>
                  <w:sz w:val="18"/>
                  <w:szCs w:val="18"/>
                  <w:color w:val="auto"/>
                  <w:w w:val="99"/>
                </w:rPr>
                <w:t>reference to Exhibit 10.10 to our Annual Report on Form 10-K filed with the SEC on March 27, 2014.</w:t>
              </w:r>
            </w:hyperlink>
          </w:p>
        </w:tc>
        <w:tc>
          <w:tcPr>
            <w:tcW w:w="1300" w:type="dxa"/>
            <w:vAlign w:val="bottom"/>
            <w:tcBorders>
              <w:top w:val="single" w:sz="8" w:color="auto"/>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6">
              <w:r>
                <w:rPr>
                  <w:rFonts w:ascii="Arial" w:cs="Arial" w:eastAsia="Arial" w:hAnsi="Arial"/>
                  <w:sz w:val="18"/>
                  <w:szCs w:val="18"/>
                  <w:color w:val="auto"/>
                </w:rPr>
                <w:t>Form of Nonstatutory Stock Option Agreement (Non-Employee Directors) of Leidos Holdings, Inc.’s 2006 Equity Incentive</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auto"/>
              <w:bottom w:val="single" w:sz="8" w:color="auto"/>
            </w:tcBorders>
            <w:gridSpan w:val="20"/>
          </w:tcPr>
          <w:p>
            <w:pPr>
              <w:spacing w:after="0" w:line="156" w:lineRule="exact"/>
              <w:rPr>
                <w:rFonts w:ascii="Arial" w:cs="Arial" w:eastAsia="Arial" w:hAnsi="Arial"/>
                <w:sz w:val="18"/>
                <w:szCs w:val="18"/>
                <w:color w:val="auto"/>
                <w:w w:val="98"/>
              </w:rPr>
            </w:pPr>
            <w:hyperlink r:id="rId186">
              <w:r>
                <w:rPr>
                  <w:rFonts w:ascii="Arial" w:cs="Arial" w:eastAsia="Arial" w:hAnsi="Arial"/>
                  <w:sz w:val="18"/>
                  <w:szCs w:val="18"/>
                  <w:color w:val="auto"/>
                  <w:w w:val="98"/>
                </w:rPr>
                <w:t>Plan. Incorporated by reference to Exhibit 10.11 to our Annual Report on Form 10-K filed with the SEC on March 27, 2014.</w:t>
              </w:r>
            </w:hyperlink>
          </w:p>
        </w:tc>
        <w:tc>
          <w:tcPr>
            <w:tcW w:w="60" w:type="dxa"/>
            <w:vAlign w:val="bottom"/>
            <w:tcBorders>
              <w:bottom w:val="single" w:sz="8" w:color="auto"/>
            </w:tcBorders>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7">
              <w:r>
                <w:rPr>
                  <w:rFonts w:ascii="Arial" w:cs="Arial" w:eastAsia="Arial" w:hAnsi="Arial"/>
                  <w:sz w:val="18"/>
                  <w:szCs w:val="18"/>
                  <w:color w:val="auto"/>
                </w:rPr>
                <w:t>Form of Restricted Stock Unit Award Agreement of Leidos Holdings, Inc.’s 2006 Equity Incentive Plan.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auto"/>
              <w:bottom w:val="single" w:sz="8" w:color="auto"/>
            </w:tcBorders>
            <w:gridSpan w:val="13"/>
          </w:tcPr>
          <w:p>
            <w:pPr>
              <w:spacing w:after="0" w:line="156" w:lineRule="exact"/>
              <w:rPr>
                <w:rFonts w:ascii="Arial" w:cs="Arial" w:eastAsia="Arial" w:hAnsi="Arial"/>
                <w:sz w:val="18"/>
                <w:szCs w:val="18"/>
                <w:color w:val="auto"/>
                <w:w w:val="99"/>
              </w:rPr>
            </w:pPr>
            <w:hyperlink r:id="rId187">
              <w:r>
                <w:rPr>
                  <w:rFonts w:ascii="Arial" w:cs="Arial" w:eastAsia="Arial" w:hAnsi="Arial"/>
                  <w:sz w:val="18"/>
                  <w:szCs w:val="18"/>
                  <w:color w:val="auto"/>
                  <w:w w:val="99"/>
                </w:rPr>
                <w:t>reference to Exhibit 10.14 to our Annual Report on Form 10-K filed with the SEC on March 27, 2014.</w:t>
              </w:r>
            </w:hyperlink>
          </w:p>
        </w:tc>
        <w:tc>
          <w:tcPr>
            <w:tcW w:w="1420" w:type="dxa"/>
            <w:vAlign w:val="bottom"/>
            <w:tcBorders>
              <w:top w:val="single" w:sz="8" w:color="auto"/>
            </w:tcBorders>
            <w:gridSpan w:val="4"/>
          </w:tcPr>
          <w:p>
            <w:pPr>
              <w:spacing w:after="0"/>
              <w:rPr>
                <w:sz w:val="13"/>
                <w:szCs w:val="13"/>
                <w:color w:val="auto"/>
              </w:rPr>
            </w:pPr>
          </w:p>
        </w:tc>
        <w:tc>
          <w:tcPr>
            <w:tcW w:w="4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8">
              <w:r>
                <w:rPr>
                  <w:rFonts w:ascii="Arial" w:cs="Arial" w:eastAsia="Arial" w:hAnsi="Arial"/>
                  <w:sz w:val="18"/>
                  <w:szCs w:val="18"/>
                  <w:color w:val="auto"/>
                </w:rPr>
                <w:t>Form of Restricted Unit Award Agreement (Management) of Leidos Holdings, Inc.’s 2006 Equity Incentive Plan. Incorporated</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auto"/>
              <w:bottom w:val="single" w:sz="8" w:color="auto"/>
            </w:tcBorders>
            <w:gridSpan w:val="14"/>
          </w:tcPr>
          <w:p>
            <w:pPr>
              <w:spacing w:after="0" w:line="156" w:lineRule="exact"/>
              <w:rPr>
                <w:rFonts w:ascii="Arial" w:cs="Arial" w:eastAsia="Arial" w:hAnsi="Arial"/>
                <w:sz w:val="18"/>
                <w:szCs w:val="18"/>
                <w:color w:val="auto"/>
                <w:w w:val="99"/>
              </w:rPr>
            </w:pPr>
            <w:hyperlink r:id="rId188">
              <w:r>
                <w:rPr>
                  <w:rFonts w:ascii="Arial" w:cs="Arial" w:eastAsia="Arial" w:hAnsi="Arial"/>
                  <w:sz w:val="18"/>
                  <w:szCs w:val="18"/>
                  <w:color w:val="auto"/>
                  <w:w w:val="99"/>
                </w:rPr>
                <w:t>by reference to Exhibit 10.16 to our Annual Report on Form 10-K filed as with the SEC on March 27, 2014.</w:t>
              </w:r>
            </w:hyperlink>
          </w:p>
        </w:tc>
        <w:tc>
          <w:tcPr>
            <w:tcW w:w="1460" w:type="dxa"/>
            <w:vAlign w:val="bottom"/>
            <w:tcBorders>
              <w:top w:val="single" w:sz="8" w:color="auto"/>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89">
              <w:r>
                <w:rPr>
                  <w:rFonts w:ascii="Arial" w:cs="Arial" w:eastAsia="Arial" w:hAnsi="Arial"/>
                  <w:sz w:val="18"/>
                  <w:szCs w:val="18"/>
                  <w:color w:val="auto"/>
                </w:rPr>
                <w:t>Form of Indemnification Agreement. Incorporated by reference to Exhibit 10.19 to our Annual Report on Form 10-K filed with</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auto"/>
            </w:tcBorders>
            <w:gridSpan w:val="26"/>
          </w:tcPr>
          <w:p>
            <w:pPr>
              <w:spacing w:after="0" w:line="156" w:lineRule="exact"/>
              <w:rPr>
                <w:rFonts w:ascii="Arial" w:cs="Arial" w:eastAsia="Arial" w:hAnsi="Arial"/>
                <w:sz w:val="18"/>
                <w:szCs w:val="18"/>
                <w:color w:val="auto"/>
              </w:rPr>
            </w:pPr>
            <w:hyperlink r:id="rId189">
              <w:r>
                <w:rPr>
                  <w:rFonts w:ascii="Arial" w:cs="Arial" w:eastAsia="Arial" w:hAnsi="Arial"/>
                  <w:sz w:val="18"/>
                  <w:szCs w:val="18"/>
                  <w:color w:val="auto"/>
                </w:rPr>
                <w:t>the SEC on March 25, 2015.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90">
              <w:r>
                <w:rPr>
                  <w:rFonts w:ascii="Arial" w:cs="Arial" w:eastAsia="Arial" w:hAnsi="Arial"/>
                  <w:sz w:val="18"/>
                  <w:szCs w:val="18"/>
                  <w:color w:val="auto"/>
                </w:rPr>
                <w:t>Amended and Restated Executive Severance Plan. Incorporated by reference to Exhibit 10.1 to our Quarterly Report on Form</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auto"/>
            </w:tcBorders>
            <w:gridSpan w:val="33"/>
          </w:tcPr>
          <w:p>
            <w:pPr>
              <w:spacing w:after="0" w:line="156" w:lineRule="exact"/>
              <w:rPr>
                <w:rFonts w:ascii="Arial" w:cs="Arial" w:eastAsia="Arial" w:hAnsi="Arial"/>
                <w:sz w:val="18"/>
                <w:szCs w:val="18"/>
                <w:color w:val="auto"/>
              </w:rPr>
            </w:pPr>
            <w:hyperlink r:id="rId190">
              <w:r>
                <w:rPr>
                  <w:rFonts w:ascii="Arial" w:cs="Arial" w:eastAsia="Arial" w:hAnsi="Arial"/>
                  <w:sz w:val="18"/>
                  <w:szCs w:val="18"/>
                  <w:color w:val="auto"/>
                </w:rPr>
                <w:t>10-Q filed with the SEC on October 29, 2019.</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19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5"/>
          </w:tcPr>
          <w:p>
            <w:pPr>
              <w:spacing w:after="0"/>
              <w:rPr>
                <w:rFonts w:ascii="Arial" w:cs="Arial" w:eastAsia="Arial" w:hAnsi="Arial"/>
                <w:sz w:val="18"/>
                <w:szCs w:val="18"/>
                <w:color w:val="auto"/>
              </w:rPr>
            </w:pPr>
            <w:hyperlink r:id="rId191">
              <w:r>
                <w:rPr>
                  <w:rFonts w:ascii="Arial" w:cs="Arial" w:eastAsia="Arial" w:hAnsi="Arial"/>
                  <w:sz w:val="18"/>
                  <w:szCs w:val="18"/>
                  <w:color w:val="auto"/>
                </w:rPr>
                <w:t>Executive Employment Agreement dated June 30, 2014. Incorporated by reference to Exhibit 10.1 to our Current Report on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auto"/>
              <w:bottom w:val="single" w:sz="8" w:color="auto"/>
            </w:tcBorders>
            <w:gridSpan w:val="5"/>
          </w:tcPr>
          <w:p>
            <w:pPr>
              <w:spacing w:after="0" w:line="156" w:lineRule="exact"/>
              <w:rPr>
                <w:rFonts w:ascii="Arial" w:cs="Arial" w:eastAsia="Arial" w:hAnsi="Arial"/>
                <w:sz w:val="18"/>
                <w:szCs w:val="18"/>
                <w:color w:val="auto"/>
                <w:w w:val="99"/>
              </w:rPr>
            </w:pPr>
            <w:hyperlink r:id="rId191">
              <w:r>
                <w:rPr>
                  <w:rFonts w:ascii="Arial" w:cs="Arial" w:eastAsia="Arial" w:hAnsi="Arial"/>
                  <w:sz w:val="18"/>
                  <w:szCs w:val="18"/>
                  <w:color w:val="auto"/>
                  <w:w w:val="99"/>
                </w:rPr>
                <w:t>Form 8-K filed with the SEC on July, 2, 2014.</w:t>
              </w:r>
            </w:hyperlink>
          </w:p>
        </w:tc>
        <w:tc>
          <w:tcPr>
            <w:tcW w:w="6200" w:type="dxa"/>
            <w:vAlign w:val="bottom"/>
            <w:tcBorders>
              <w:top w:val="single" w:sz="8" w:color="auto"/>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auto"/>
            </w:tcBorders>
            <w:gridSpan w:val="28"/>
          </w:tcPr>
          <w:p>
            <w:pPr>
              <w:spacing w:after="0"/>
              <w:rPr>
                <w:rFonts w:ascii="Arial" w:cs="Arial" w:eastAsia="Arial" w:hAnsi="Arial"/>
                <w:sz w:val="18"/>
                <w:szCs w:val="18"/>
                <w:color w:val="auto"/>
              </w:rPr>
            </w:pPr>
            <w:hyperlink r:id="rId192">
              <w:r>
                <w:rPr>
                  <w:rFonts w:ascii="Arial" w:cs="Arial" w:eastAsia="Arial" w:hAnsi="Arial"/>
                  <w:sz w:val="18"/>
                  <w:szCs w:val="18"/>
                  <w:color w:val="auto"/>
                </w:rPr>
                <w:t>Form of Performance Share Award Agreement of Leidos Holdings, Inc.'s 2006 Equity Incentive Plan (for Performance Share</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auto"/>
              </w:rPr>
            </w:pPr>
            <w:hyperlink r:id="rId192">
              <w:r>
                <w:rPr>
                  <w:rFonts w:ascii="Arial" w:cs="Arial" w:eastAsia="Arial" w:hAnsi="Arial"/>
                  <w:sz w:val="18"/>
                  <w:szCs w:val="18"/>
                  <w:color w:val="auto"/>
                </w:rPr>
                <w:t>Award Agreements entered into on or after April 3, 2015). Incorporated by reference to Exhibit 10.33 to our Annual Report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auto"/>
              <w:bottom w:val="single" w:sz="8" w:color="auto"/>
            </w:tcBorders>
            <w:gridSpan w:val="6"/>
          </w:tcPr>
          <w:p>
            <w:pPr>
              <w:spacing w:after="0" w:line="169" w:lineRule="exact"/>
              <w:rPr>
                <w:rFonts w:ascii="Arial" w:cs="Arial" w:eastAsia="Arial" w:hAnsi="Arial"/>
                <w:sz w:val="18"/>
                <w:szCs w:val="18"/>
                <w:color w:val="auto"/>
                <w:w w:val="99"/>
              </w:rPr>
            </w:pPr>
            <w:hyperlink r:id="rId192">
              <w:r>
                <w:rPr>
                  <w:rFonts w:ascii="Arial" w:cs="Arial" w:eastAsia="Arial" w:hAnsi="Arial"/>
                  <w:sz w:val="18"/>
                  <w:szCs w:val="18"/>
                  <w:color w:val="auto"/>
                  <w:w w:val="99"/>
                </w:rPr>
                <w:t>Form 10-K filed with the SEC on March 25, 2015.</w:t>
              </w:r>
            </w:hyperlink>
          </w:p>
        </w:tc>
        <w:tc>
          <w:tcPr>
            <w:tcW w:w="6020" w:type="dxa"/>
            <w:vAlign w:val="bottom"/>
            <w:tcBorders>
              <w:top w:val="single" w:sz="8" w:color="auto"/>
            </w:tcBorders>
            <w:gridSpan w:val="2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auto"/>
              </w:rPr>
            </w:pPr>
            <w:hyperlink r:id="rId193">
              <w:r>
                <w:rPr>
                  <w:rFonts w:ascii="Arial" w:cs="Arial" w:eastAsia="Arial" w:hAnsi="Arial"/>
                  <w:sz w:val="18"/>
                  <w:szCs w:val="18"/>
                  <w:color w:val="auto"/>
                </w:rPr>
                <w:t>Form of Restricted Stock Unit Award Agreement of Leidos Holdings, Inc.’s 2006 Equity Incentive Plan. Incorporated by</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tcBorders>
              <w:top w:val="single" w:sz="8" w:color="auto"/>
              <w:bottom w:val="single" w:sz="8" w:color="auto"/>
            </w:tcBorders>
            <w:gridSpan w:val="11"/>
          </w:tcPr>
          <w:p>
            <w:pPr>
              <w:spacing w:after="0" w:line="156" w:lineRule="exact"/>
              <w:rPr>
                <w:rFonts w:ascii="Arial" w:cs="Arial" w:eastAsia="Arial" w:hAnsi="Arial"/>
                <w:sz w:val="18"/>
                <w:szCs w:val="18"/>
                <w:color w:val="auto"/>
                <w:w w:val="99"/>
              </w:rPr>
            </w:pPr>
            <w:hyperlink r:id="rId193">
              <w:r>
                <w:rPr>
                  <w:rFonts w:ascii="Arial" w:cs="Arial" w:eastAsia="Arial" w:hAnsi="Arial"/>
                  <w:sz w:val="18"/>
                  <w:szCs w:val="18"/>
                  <w:color w:val="auto"/>
                  <w:w w:val="99"/>
                </w:rPr>
                <w:t>reference to Exhibit 10.3 to our Quarterly Report on Form 10-Q filed with the SEC on May 5, 2017.</w:t>
              </w:r>
            </w:hyperlink>
          </w:p>
        </w:tc>
        <w:tc>
          <w:tcPr>
            <w:tcW w:w="1580" w:type="dxa"/>
            <w:vAlign w:val="bottom"/>
            <w:tcBorders>
              <w:top w:val="single" w:sz="8" w:color="auto"/>
            </w:tcBorders>
            <w:gridSpan w:val="6"/>
          </w:tcPr>
          <w:p>
            <w:pPr>
              <w:spacing w:after="0"/>
              <w:rPr>
                <w:sz w:val="13"/>
                <w:szCs w:val="13"/>
                <w:color w:val="auto"/>
              </w:rPr>
            </w:pPr>
          </w:p>
        </w:tc>
        <w:tc>
          <w:tcPr>
            <w:tcW w:w="420" w:type="dxa"/>
            <w:vAlign w:val="bottom"/>
            <w:gridSpan w:val="8"/>
          </w:tcPr>
          <w:p>
            <w:pPr>
              <w:spacing w:after="0"/>
              <w:rPr>
                <w:sz w:val="13"/>
                <w:szCs w:val="13"/>
                <w:color w:val="auto"/>
              </w:rPr>
            </w:pPr>
          </w:p>
        </w:tc>
        <w:tc>
          <w:tcPr>
            <w:tcW w:w="16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auto"/>
            </w:tcBorders>
            <w:gridSpan w:val="25"/>
          </w:tcPr>
          <w:p>
            <w:pPr>
              <w:spacing w:after="0"/>
              <w:rPr>
                <w:rFonts w:ascii="Arial" w:cs="Arial" w:eastAsia="Arial" w:hAnsi="Arial"/>
                <w:sz w:val="18"/>
                <w:szCs w:val="18"/>
                <w:color w:val="auto"/>
                <w:w w:val="99"/>
              </w:rPr>
            </w:pPr>
            <w:hyperlink r:id="rId194">
              <w:r>
                <w:rPr>
                  <w:rFonts w:ascii="Arial" w:cs="Arial" w:eastAsia="Arial" w:hAnsi="Arial"/>
                  <w:sz w:val="18"/>
                  <w:szCs w:val="18"/>
                  <w:color w:val="auto"/>
                  <w:w w:val="99"/>
                </w:rPr>
                <w:t>Form of Nonstatutory Stock Option Agreement of Leidos Holdings, Inc.’s 2006 Equity Incentive Plan (for Nonstatutory Stock</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35"/>
          </w:tcPr>
          <w:p>
            <w:pPr>
              <w:spacing w:after="0" w:line="156" w:lineRule="exact"/>
              <w:rPr>
                <w:rFonts w:ascii="Arial" w:cs="Arial" w:eastAsia="Arial" w:hAnsi="Arial"/>
                <w:sz w:val="18"/>
                <w:szCs w:val="18"/>
                <w:color w:val="auto"/>
              </w:rPr>
            </w:pPr>
            <w:hyperlink r:id="rId194">
              <w:r>
                <w:rPr>
                  <w:rFonts w:ascii="Arial" w:cs="Arial" w:eastAsia="Arial" w:hAnsi="Arial"/>
                  <w:sz w:val="18"/>
                  <w:szCs w:val="18"/>
                  <w:color w:val="auto"/>
                </w:rPr>
                <w:t>Option Agreements granted on March 3, 2017). Incorporated by reference to Exhibit 10.4 to our Quarterly Report on Form 10-</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auto"/>
            </w:tcBorders>
            <w:gridSpan w:val="32"/>
          </w:tcPr>
          <w:p>
            <w:pPr>
              <w:spacing w:after="0" w:line="169" w:lineRule="exact"/>
              <w:rPr>
                <w:rFonts w:ascii="Arial" w:cs="Arial" w:eastAsia="Arial" w:hAnsi="Arial"/>
                <w:sz w:val="18"/>
                <w:szCs w:val="18"/>
                <w:color w:val="auto"/>
              </w:rPr>
            </w:pPr>
            <w:hyperlink r:id="rId194">
              <w:r>
                <w:rPr>
                  <w:rFonts w:ascii="Arial" w:cs="Arial" w:eastAsia="Arial" w:hAnsi="Arial"/>
                  <w:sz w:val="18"/>
                  <w:szCs w:val="18"/>
                  <w:color w:val="auto"/>
                </w:rPr>
                <w:t>Q filed with the SEC on May 5, 2017.</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c>
          <w:tcPr>
            <w:tcW w:w="7120" w:type="dxa"/>
            <w:vAlign w:val="bottom"/>
            <w:gridSpan w:val="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60" w:type="dxa"/>
            <w:vAlign w:val="bottom"/>
            <w:gridSpan w:val="35"/>
          </w:tcPr>
          <w:p>
            <w:pPr>
              <w:spacing w:after="0"/>
              <w:rPr>
                <w:rFonts w:ascii="Arial" w:cs="Arial" w:eastAsia="Arial" w:hAnsi="Arial"/>
                <w:sz w:val="18"/>
                <w:szCs w:val="18"/>
                <w:color w:val="auto"/>
              </w:rPr>
            </w:pPr>
            <w:hyperlink r:id="rId195">
              <w:r>
                <w:rPr>
                  <w:rFonts w:ascii="Arial" w:cs="Arial" w:eastAsia="Arial" w:hAnsi="Arial"/>
                  <w:sz w:val="18"/>
                  <w:szCs w:val="18"/>
                  <w:color w:val="auto"/>
                </w:rPr>
                <w:t>Form of Performance Share Award Agreement of Leidos Holdings, Inc.'s 2006 Equity Incentive Plan (for Performance Share</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auto"/>
            </w:tcBorders>
            <w:gridSpan w:val="28"/>
          </w:tcPr>
          <w:p>
            <w:pPr>
              <w:spacing w:after="0" w:line="175" w:lineRule="exact"/>
              <w:rPr>
                <w:rFonts w:ascii="Arial" w:cs="Arial" w:eastAsia="Arial" w:hAnsi="Arial"/>
                <w:sz w:val="18"/>
                <w:szCs w:val="18"/>
                <w:u w:val="single" w:color="auto"/>
                <w:color w:val="auto"/>
                <w:w w:val="99"/>
              </w:rPr>
            </w:pPr>
            <w:hyperlink r:id="rId195">
              <w:r>
                <w:rPr>
                  <w:rFonts w:ascii="Arial" w:cs="Arial" w:eastAsia="Arial" w:hAnsi="Arial"/>
                  <w:sz w:val="18"/>
                  <w:szCs w:val="18"/>
                  <w:u w:val="single" w:color="auto"/>
                  <w:color w:val="auto"/>
                  <w:w w:val="99"/>
                </w:rPr>
                <w:t>Award Agreements granted on March 3, 2017). Incorporated by reference to Exhibit 10.5 to our Quarterly Report on Form 10</w:t>
              </w:r>
            </w:hyperlink>
          </w:p>
        </w:tc>
        <w:tc>
          <w:tcPr>
            <w:tcW w:w="160" w:type="dxa"/>
            <w:vAlign w:val="bottom"/>
            <w:gridSpan w:val="7"/>
          </w:tcPr>
          <w:p>
            <w:pPr>
              <w:jc w:val="right"/>
              <w:ind w:right="100"/>
              <w:spacing w:after="0" w:line="175" w:lineRule="exact"/>
              <w:rPr>
                <w:rFonts w:ascii="Arial" w:cs="Arial" w:eastAsia="Arial" w:hAnsi="Arial"/>
                <w:sz w:val="16"/>
                <w:szCs w:val="16"/>
                <w:u w:val="single" w:color="auto"/>
                <w:color w:val="auto"/>
                <w:w w:val="74"/>
              </w:rPr>
            </w:pPr>
            <w:hyperlink r:id="rId195">
              <w:r>
                <w:rPr>
                  <w:rFonts w:ascii="Arial" w:cs="Arial" w:eastAsia="Arial" w:hAnsi="Arial"/>
                  <w:sz w:val="16"/>
                  <w:szCs w:val="16"/>
                  <w:u w:val="single" w:color="auto"/>
                  <w:color w:val="auto"/>
                  <w:w w:val="74"/>
                </w:rPr>
                <w:t>-</w:t>
              </w:r>
            </w:hyperlink>
          </w:p>
        </w:tc>
        <w:tc>
          <w:tcPr>
            <w:tcW w:w="0" w:type="dxa"/>
            <w:vAlign w:val="bottom"/>
          </w:tcPr>
          <w:p>
            <w:pPr>
              <w:spacing w:after="0"/>
              <w:rPr>
                <w:sz w:val="1"/>
                <w:szCs w:val="1"/>
                <w:color w:val="auto"/>
              </w:rPr>
            </w:pPr>
          </w:p>
        </w:tc>
      </w:tr>
    </w:tbl>
    <w:p>
      <w:pPr>
        <w:ind w:left="1180"/>
        <w:spacing w:after="0"/>
        <w:rPr>
          <w:rFonts w:ascii="Arial" w:cs="Arial" w:eastAsia="Arial" w:hAnsi="Arial"/>
          <w:sz w:val="18"/>
          <w:szCs w:val="18"/>
          <w:u w:val="single" w:color="auto"/>
          <w:color w:val="auto"/>
        </w:rPr>
      </w:pPr>
      <w:hyperlink r:id="rId195">
        <w:r>
          <w:rPr>
            <w:rFonts w:ascii="Arial" w:cs="Arial" w:eastAsia="Arial" w:hAnsi="Arial"/>
            <w:sz w:val="18"/>
            <w:szCs w:val="18"/>
            <w:u w:val="single" w:color="auto"/>
            <w:color w:val="auto"/>
          </w:rPr>
          <w:t>Q filed with the SEC on May 5, 2017.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40" w:type="dxa"/>
            <w:vAlign w:val="bottom"/>
            <w:gridSpan w:val="23"/>
            <w:vMerge w:val="restart"/>
          </w:tcPr>
          <w:p>
            <w:pPr>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5"/>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7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28"/>
          </w:tcPr>
          <w:p>
            <w:pPr>
              <w:spacing w:after="0" w:line="182" w:lineRule="exact"/>
              <w:rPr>
                <w:rFonts w:ascii="Arial" w:cs="Arial" w:eastAsia="Arial" w:hAnsi="Arial"/>
                <w:sz w:val="18"/>
                <w:szCs w:val="18"/>
                <w:color w:val="auto"/>
              </w:rPr>
            </w:pPr>
            <w:hyperlink r:id="rId197">
              <w:r>
                <w:rPr>
                  <w:rFonts w:ascii="Arial" w:cs="Arial" w:eastAsia="Arial" w:hAnsi="Arial"/>
                  <w:sz w:val="18"/>
                  <w:szCs w:val="18"/>
                  <w:color w:val="auto"/>
                </w:rPr>
                <w:t>Form of Notice of Grant of Options for Non-Employee Directors under the Leidos Holdings, Inc. Amended and Restated 2017</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auto"/>
            </w:tcBorders>
            <w:gridSpan w:val="22"/>
          </w:tcPr>
          <w:p>
            <w:pPr>
              <w:spacing w:after="0" w:line="156" w:lineRule="exact"/>
              <w:rPr>
                <w:rFonts w:ascii="Arial" w:cs="Arial" w:eastAsia="Arial" w:hAnsi="Arial"/>
                <w:sz w:val="18"/>
                <w:szCs w:val="18"/>
                <w:color w:val="auto"/>
              </w:rPr>
            </w:pPr>
            <w:hyperlink r:id="rId197">
              <w:r>
                <w:rPr>
                  <w:rFonts w:ascii="Arial" w:cs="Arial" w:eastAsia="Arial" w:hAnsi="Arial"/>
                  <w:sz w:val="18"/>
                  <w:szCs w:val="18"/>
                  <w:color w:val="auto"/>
                </w:rPr>
                <w:t>Omnibus Incentive Plan. Incorporated by reference to Exhibit 10.22 to our Annual Report on Form 10-K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top w:val="single" w:sz="8" w:color="auto"/>
              <w:bottom w:val="single" w:sz="8" w:color="auto"/>
            </w:tcBorders>
            <w:gridSpan w:val="2"/>
          </w:tcPr>
          <w:p>
            <w:pPr>
              <w:spacing w:after="0" w:line="169" w:lineRule="exact"/>
              <w:rPr>
                <w:rFonts w:ascii="Arial" w:cs="Arial" w:eastAsia="Arial" w:hAnsi="Arial"/>
                <w:sz w:val="18"/>
                <w:szCs w:val="18"/>
                <w:color w:val="auto"/>
                <w:w w:val="98"/>
              </w:rPr>
            </w:pPr>
            <w:hyperlink r:id="rId197">
              <w:r>
                <w:rPr>
                  <w:rFonts w:ascii="Arial" w:cs="Arial" w:eastAsia="Arial" w:hAnsi="Arial"/>
                  <w:sz w:val="18"/>
                  <w:szCs w:val="18"/>
                  <w:color w:val="auto"/>
                  <w:w w:val="98"/>
                </w:rPr>
                <w:t>February 23, 2018.</w:t>
              </w:r>
            </w:hyperlink>
          </w:p>
        </w:tc>
        <w:tc>
          <w:tcPr>
            <w:tcW w:w="8420" w:type="dxa"/>
            <w:vAlign w:val="bottom"/>
            <w:tcBorders>
              <w:top w:val="single" w:sz="8" w:color="auto"/>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Form of Notice of Grant of Options for Employees under the Leidos Holdings, Inc. Amended and Restated 2017 Omnibus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8"/>
              </w:rPr>
              <w:t>Incentive Plan.</w:t>
            </w:r>
          </w:p>
        </w:tc>
        <w:tc>
          <w:tcPr>
            <w:tcW w:w="8460" w:type="dxa"/>
            <w:vAlign w:val="bottom"/>
            <w:tcBorders>
              <w:top w:val="single" w:sz="8" w:color="auto"/>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Form of Notice of Grant of Restricted Stock Unit Awards (Performance-Vesting) for Employees under the Leidos Holdings, Inc.</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auto"/>
              <w:bottom w:val="single" w:sz="8" w:color="auto"/>
            </w:tcBorders>
            <w:gridSpan w:val="5"/>
          </w:tcPr>
          <w:p>
            <w:pPr>
              <w:spacing w:after="0" w:line="156" w:lineRule="exact"/>
              <w:rPr>
                <w:sz w:val="20"/>
                <w:szCs w:val="20"/>
                <w:color w:val="auto"/>
              </w:rPr>
            </w:pPr>
            <w:r>
              <w:rPr>
                <w:rFonts w:ascii="Arial" w:cs="Arial" w:eastAsia="Arial" w:hAnsi="Arial"/>
                <w:sz w:val="18"/>
                <w:szCs w:val="18"/>
                <w:color w:val="auto"/>
                <w:w w:val="99"/>
              </w:rPr>
              <w:t>Amended and Restated 2017 Omnibus Incentive Plan.</w:t>
            </w:r>
          </w:p>
        </w:tc>
        <w:tc>
          <w:tcPr>
            <w:tcW w:w="5700" w:type="dxa"/>
            <w:vAlign w:val="bottom"/>
            <w:tcBorders>
              <w:top w:val="single" w:sz="8" w:color="auto"/>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Form of Notice of Grant of Performance Share Awards for Employees under the Leidos Holdings, Inc. Amended and Restated</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auto"/>
              <w:bottom w:val="single" w:sz="8" w:color="auto"/>
            </w:tcBorders>
            <w:gridSpan w:val="3"/>
          </w:tcPr>
          <w:p>
            <w:pPr>
              <w:spacing w:after="0" w:line="156" w:lineRule="exact"/>
              <w:rPr>
                <w:sz w:val="20"/>
                <w:szCs w:val="20"/>
                <w:color w:val="auto"/>
              </w:rPr>
            </w:pPr>
            <w:r>
              <w:rPr>
                <w:rFonts w:ascii="Arial" w:cs="Arial" w:eastAsia="Arial" w:hAnsi="Arial"/>
                <w:sz w:val="18"/>
                <w:szCs w:val="18"/>
                <w:color w:val="auto"/>
                <w:w w:val="99"/>
              </w:rPr>
              <w:t>2017 Omnibus Incentive Plan.</w:t>
            </w:r>
          </w:p>
        </w:tc>
        <w:tc>
          <w:tcPr>
            <w:tcW w:w="7620" w:type="dxa"/>
            <w:vAlign w:val="bottom"/>
            <w:tcBorders>
              <w:top w:val="single" w:sz="8" w:color="auto"/>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Form of Notice of Grant of Restricted Stock Unit Awards (Time-Vesting) for Employees under the Leidos Holdings, Inc.</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auto"/>
              <w:bottom w:val="single" w:sz="8" w:color="auto"/>
            </w:tcBorders>
            <w:gridSpan w:val="5"/>
          </w:tcPr>
          <w:p>
            <w:pPr>
              <w:spacing w:after="0" w:line="156" w:lineRule="exact"/>
              <w:rPr>
                <w:sz w:val="20"/>
                <w:szCs w:val="20"/>
                <w:color w:val="auto"/>
              </w:rPr>
            </w:pPr>
            <w:r>
              <w:rPr>
                <w:rFonts w:ascii="Arial" w:cs="Arial" w:eastAsia="Arial" w:hAnsi="Arial"/>
                <w:sz w:val="18"/>
                <w:szCs w:val="18"/>
                <w:color w:val="auto"/>
                <w:w w:val="99"/>
              </w:rPr>
              <w:t>Amended and Restated 2017 Omnibus Incentive Plan.</w:t>
            </w:r>
          </w:p>
        </w:tc>
        <w:tc>
          <w:tcPr>
            <w:tcW w:w="5060" w:type="dxa"/>
            <w:vAlign w:val="bottom"/>
            <w:tcBorders>
              <w:top w:val="single" w:sz="8" w:color="auto"/>
            </w:tcBorders>
            <w:gridSpan w:val="10"/>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auto"/>
            </w:tcBorders>
            <w:gridSpan w:val="12"/>
          </w:tcPr>
          <w:p>
            <w:pPr>
              <w:spacing w:after="0"/>
              <w:rPr>
                <w:rFonts w:ascii="Arial" w:cs="Arial" w:eastAsia="Arial" w:hAnsi="Arial"/>
                <w:sz w:val="18"/>
                <w:szCs w:val="18"/>
                <w:color w:val="auto"/>
                <w:w w:val="99"/>
              </w:rPr>
            </w:pPr>
            <w:hyperlink r:id="rId198">
              <w:r>
                <w:rPr>
                  <w:rFonts w:ascii="Arial" w:cs="Arial" w:eastAsia="Arial" w:hAnsi="Arial"/>
                  <w:sz w:val="18"/>
                  <w:szCs w:val="18"/>
                  <w:color w:val="auto"/>
                  <w:w w:val="99"/>
                </w:rPr>
                <w:t>Form of Notice of Grant of Restricted Stock Unit Awards for Non-Employee Directors under the Leidos Holdings, Inc.</w:t>
              </w:r>
            </w:hyperlink>
          </w:p>
        </w:tc>
        <w:tc>
          <w:tcPr>
            <w:tcW w:w="8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8"/>
          </w:tcPr>
          <w:p>
            <w:pPr>
              <w:spacing w:after="0" w:line="156" w:lineRule="exact"/>
              <w:rPr>
                <w:rFonts w:ascii="Arial" w:cs="Arial" w:eastAsia="Arial" w:hAnsi="Arial"/>
                <w:sz w:val="18"/>
                <w:szCs w:val="18"/>
                <w:color w:val="auto"/>
              </w:rPr>
            </w:pPr>
            <w:hyperlink r:id="rId198">
              <w:r>
                <w:rPr>
                  <w:rFonts w:ascii="Arial" w:cs="Arial" w:eastAsia="Arial" w:hAnsi="Arial"/>
                  <w:sz w:val="18"/>
                  <w:szCs w:val="18"/>
                  <w:color w:val="auto"/>
                </w:rPr>
                <w:t>Amended and Restated 2017 Omnibus Incentive Plan. Incorporated by reference to Exhibit 10.27 to our Annual Report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auto"/>
              <w:bottom w:val="single" w:sz="8" w:color="auto"/>
            </w:tcBorders>
            <w:gridSpan w:val="4"/>
          </w:tcPr>
          <w:p>
            <w:pPr>
              <w:spacing w:after="0" w:line="169" w:lineRule="exact"/>
              <w:rPr>
                <w:rFonts w:ascii="Arial" w:cs="Arial" w:eastAsia="Arial" w:hAnsi="Arial"/>
                <w:sz w:val="18"/>
                <w:szCs w:val="18"/>
                <w:color w:val="auto"/>
                <w:w w:val="99"/>
              </w:rPr>
            </w:pPr>
            <w:hyperlink r:id="rId198">
              <w:r>
                <w:rPr>
                  <w:rFonts w:ascii="Arial" w:cs="Arial" w:eastAsia="Arial" w:hAnsi="Arial"/>
                  <w:sz w:val="18"/>
                  <w:szCs w:val="18"/>
                  <w:color w:val="auto"/>
                  <w:w w:val="99"/>
                </w:rPr>
                <w:t>Form 10-K filed with the SEC on February 23, 2018.</w:t>
              </w:r>
            </w:hyperlink>
          </w:p>
        </w:tc>
        <w:tc>
          <w:tcPr>
            <w:tcW w:w="5560" w:type="dxa"/>
            <w:vAlign w:val="bottom"/>
            <w:tcBorders>
              <w:top w:val="single" w:sz="8" w:color="auto"/>
            </w:tcBorders>
            <w:gridSpan w:val="14"/>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28"/>
          </w:tcPr>
          <w:p>
            <w:pPr>
              <w:spacing w:after="0"/>
              <w:rPr>
                <w:rFonts w:ascii="Arial" w:cs="Arial" w:eastAsia="Arial" w:hAnsi="Arial"/>
                <w:sz w:val="18"/>
                <w:szCs w:val="18"/>
                <w:color w:val="auto"/>
              </w:rPr>
            </w:pPr>
            <w:hyperlink r:id="rId199">
              <w:r>
                <w:rPr>
                  <w:rFonts w:ascii="Arial" w:cs="Arial" w:eastAsia="Arial" w:hAnsi="Arial"/>
                  <w:sz w:val="18"/>
                  <w:szCs w:val="18"/>
                  <w:color w:val="auto"/>
                </w:rPr>
                <w:t>Intellectual Property Matters Agreement, dated August 16, 2016, between Lockheed Martin Corporation and Abacus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3080" w:type="dxa"/>
            <w:vAlign w:val="bottom"/>
            <w:gridSpan w:val="4"/>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8"/>
          </w:tcPr>
          <w:p>
            <w:pPr>
              <w:spacing w:after="0" w:line="156" w:lineRule="exact"/>
              <w:rPr>
                <w:rFonts w:ascii="Arial" w:cs="Arial" w:eastAsia="Arial" w:hAnsi="Arial"/>
                <w:sz w:val="18"/>
                <w:szCs w:val="18"/>
                <w:color w:val="auto"/>
              </w:rPr>
            </w:pPr>
            <w:hyperlink r:id="rId199">
              <w:r>
                <w:rPr>
                  <w:rFonts w:ascii="Arial" w:cs="Arial" w:eastAsia="Arial" w:hAnsi="Arial"/>
                  <w:sz w:val="18"/>
                  <w:szCs w:val="18"/>
                  <w:color w:val="auto"/>
                </w:rPr>
                <w:t>Innovations Corporation. Incorporated by reference to Exhibit 10.3 to our Quarterly Report on Form 10-Q filed with the SEC on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auto"/>
            </w:tcBorders>
            <w:gridSpan w:val="27"/>
          </w:tcPr>
          <w:p>
            <w:pPr>
              <w:spacing w:after="0" w:line="169" w:lineRule="exact"/>
              <w:rPr>
                <w:rFonts w:ascii="Arial" w:cs="Arial" w:eastAsia="Arial" w:hAnsi="Arial"/>
                <w:sz w:val="18"/>
                <w:szCs w:val="18"/>
                <w:color w:val="auto"/>
              </w:rPr>
            </w:pPr>
            <w:hyperlink r:id="rId199">
              <w:r>
                <w:rPr>
                  <w:rFonts w:ascii="Arial" w:cs="Arial" w:eastAsia="Arial" w:hAnsi="Arial"/>
                  <w:sz w:val="18"/>
                  <w:szCs w:val="18"/>
                  <w:color w:val="auto"/>
                </w:rPr>
                <w:t>November 4, 2016.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80" w:type="dxa"/>
            <w:vAlign w:val="bottom"/>
            <w:gridSpan w:val="28"/>
          </w:tcPr>
          <w:p>
            <w:pPr>
              <w:spacing w:after="0"/>
              <w:rPr>
                <w:rFonts w:ascii="Arial" w:cs="Arial" w:eastAsia="Arial" w:hAnsi="Arial"/>
                <w:sz w:val="18"/>
                <w:szCs w:val="18"/>
                <w:color w:val="auto"/>
              </w:rPr>
            </w:pPr>
            <w:hyperlink r:id="rId200">
              <w:r>
                <w:rPr>
                  <w:rFonts w:ascii="Arial" w:cs="Arial" w:eastAsia="Arial" w:hAnsi="Arial"/>
                  <w:sz w:val="18"/>
                  <w:szCs w:val="18"/>
                  <w:color w:val="auto"/>
                </w:rPr>
                <w:t>Credit Agreement dated as of March 10, 2023, by and among Leidos Holdings, Inc., Leidos, Inc., the guarantors party thereto,</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auto"/>
            </w:tcBorders>
            <w:gridSpan w:val="24"/>
          </w:tcPr>
          <w:p>
            <w:pPr>
              <w:spacing w:after="0" w:line="156" w:lineRule="exact"/>
              <w:rPr>
                <w:rFonts w:ascii="Arial" w:cs="Arial" w:eastAsia="Arial" w:hAnsi="Arial"/>
                <w:sz w:val="18"/>
                <w:szCs w:val="18"/>
                <w:color w:val="auto"/>
              </w:rPr>
            </w:pPr>
            <w:hyperlink r:id="rId200">
              <w:r>
                <w:rPr>
                  <w:rFonts w:ascii="Arial" w:cs="Arial" w:eastAsia="Arial" w:hAnsi="Arial"/>
                  <w:sz w:val="18"/>
                  <w:szCs w:val="18"/>
                  <w:color w:val="auto"/>
                </w:rPr>
                <w:t>the lenders party thereto and Citibank, N.A., as administrative agent. Incorporated by reference to Exhibit 10.1 to our Current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19"/>
          </w:tcPr>
          <w:p>
            <w:pPr>
              <w:spacing w:after="0" w:line="169" w:lineRule="exact"/>
              <w:rPr>
                <w:rFonts w:ascii="Arial" w:cs="Arial" w:eastAsia="Arial" w:hAnsi="Arial"/>
                <w:sz w:val="18"/>
                <w:szCs w:val="18"/>
                <w:color w:val="auto"/>
              </w:rPr>
            </w:pPr>
            <w:hyperlink r:id="rId200">
              <w:r>
                <w:rPr>
                  <w:rFonts w:ascii="Arial" w:cs="Arial" w:eastAsia="Arial" w:hAnsi="Arial"/>
                  <w:sz w:val="18"/>
                  <w:szCs w:val="18"/>
                  <w:color w:val="auto"/>
                </w:rPr>
                <w:t>Report on Form 8-K filed with the SEC on March 14, 2023.</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6"/>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auto"/>
              </w:rPr>
            </w:pPr>
            <w:hyperlink r:id="rId201">
              <w:r>
                <w:rPr>
                  <w:rFonts w:ascii="Arial" w:cs="Arial" w:eastAsia="Arial" w:hAnsi="Arial"/>
                  <w:sz w:val="18"/>
                  <w:szCs w:val="18"/>
                  <w:color w:val="auto"/>
                </w:rPr>
                <w:t>Form of Commercial Paper Dealer Agreement, dated July 12, 2021, between Leidos, Inc., as issuer, the Company, as</w:t>
              </w:r>
            </w:hyperlink>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top w:val="single" w:sz="8" w:color="auto"/>
            </w:tcBorders>
            <w:gridSpan w:val="14"/>
          </w:tcPr>
          <w:p>
            <w:pPr>
              <w:spacing w:after="0" w:line="182" w:lineRule="exact"/>
              <w:rPr>
                <w:rFonts w:ascii="Arial" w:cs="Arial" w:eastAsia="Arial" w:hAnsi="Arial"/>
                <w:sz w:val="18"/>
                <w:szCs w:val="18"/>
                <w:color w:val="auto"/>
                <w:w w:val="99"/>
              </w:rPr>
            </w:pPr>
            <w:hyperlink r:id="rId201">
              <w:r>
                <w:rPr>
                  <w:rFonts w:ascii="Arial" w:cs="Arial" w:eastAsia="Arial" w:hAnsi="Arial"/>
                  <w:sz w:val="18"/>
                  <w:szCs w:val="18"/>
                  <w:color w:val="auto"/>
                  <w:w w:val="99"/>
                </w:rPr>
                <w:t>guarantor, and the applicable Dealer party thereto. Incorporated by reference to Exhibit 10.1 to our Form 8-K filed with</w:t>
              </w:r>
            </w:hyperlink>
          </w:p>
        </w:tc>
        <w:tc>
          <w:tcPr>
            <w:tcW w:w="720" w:type="dxa"/>
            <w:vAlign w:val="bottom"/>
            <w:gridSpan w:val="14"/>
          </w:tcPr>
          <w:p>
            <w:pPr>
              <w:ind w:left="60"/>
              <w:spacing w:after="0" w:line="182" w:lineRule="exact"/>
              <w:rPr>
                <w:rFonts w:ascii="Arial" w:cs="Arial" w:eastAsia="Arial" w:hAnsi="Arial"/>
                <w:sz w:val="18"/>
                <w:szCs w:val="18"/>
                <w:color w:val="auto"/>
              </w:rPr>
            </w:pPr>
            <w:hyperlink r:id="rId201">
              <w:r>
                <w:rPr>
                  <w:rFonts w:ascii="Arial" w:cs="Arial" w:eastAsia="Arial" w:hAnsi="Arial"/>
                  <w:sz w:val="18"/>
                  <w:szCs w:val="18"/>
                  <w:color w:val="auto"/>
                </w:rPr>
                <w:t>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auto"/>
            </w:tcBorders>
            <w:gridSpan w:val="17"/>
          </w:tcPr>
          <w:p>
            <w:pPr>
              <w:spacing w:after="0" w:line="196" w:lineRule="exact"/>
              <w:rPr>
                <w:rFonts w:ascii="Arial" w:cs="Arial" w:eastAsia="Arial" w:hAnsi="Arial"/>
                <w:sz w:val="18"/>
                <w:szCs w:val="18"/>
                <w:color w:val="auto"/>
              </w:rPr>
            </w:pPr>
            <w:hyperlink r:id="rId201">
              <w:r>
                <w:rPr>
                  <w:rFonts w:ascii="Arial" w:cs="Arial" w:eastAsia="Arial" w:hAnsi="Arial"/>
                  <w:sz w:val="18"/>
                  <w:szCs w:val="18"/>
                  <w:color w:val="auto"/>
                </w:rPr>
                <w:t>U.S. Securities and Exchange Commission on July 12, 2021.</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7"/>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auto"/>
              </w:rPr>
            </w:pPr>
            <w:hyperlink r:id="rId202">
              <w:r>
                <w:rPr>
                  <w:rFonts w:ascii="Arial" w:cs="Arial" w:eastAsia="Arial" w:hAnsi="Arial"/>
                  <w:sz w:val="18"/>
                  <w:szCs w:val="18"/>
                  <w:color w:val="auto"/>
                </w:rPr>
                <w:t>Amended and Restated Leidos Holdings, Inc. Severance Plan for Executive Officers, effective July 27, 2023.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auto"/>
            </w:tcBorders>
            <w:gridSpan w:val="20"/>
          </w:tcPr>
          <w:p>
            <w:pPr>
              <w:spacing w:after="0" w:line="156" w:lineRule="exact"/>
              <w:rPr>
                <w:rFonts w:ascii="Arial" w:cs="Arial" w:eastAsia="Arial" w:hAnsi="Arial"/>
                <w:sz w:val="18"/>
                <w:szCs w:val="18"/>
                <w:color w:val="auto"/>
              </w:rPr>
            </w:pPr>
            <w:hyperlink r:id="rId202">
              <w:r>
                <w:rPr>
                  <w:rFonts w:ascii="Arial" w:cs="Arial" w:eastAsia="Arial" w:hAnsi="Arial"/>
                  <w:sz w:val="18"/>
                  <w:szCs w:val="18"/>
                  <w:color w:val="auto"/>
                </w:rPr>
                <w:t>reference to Exhibit 10.2 to our Form 10-Q filed with the SEC on August 1, 2023.</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8"/>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04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80" w:type="dxa"/>
            <w:vAlign w:val="bottom"/>
            <w:gridSpan w:val="28"/>
          </w:tcPr>
          <w:p>
            <w:pPr>
              <w:spacing w:after="0"/>
              <w:rPr>
                <w:rFonts w:ascii="Arial" w:cs="Arial" w:eastAsia="Arial" w:hAnsi="Arial"/>
                <w:sz w:val="18"/>
                <w:szCs w:val="18"/>
                <w:color w:val="auto"/>
              </w:rPr>
            </w:pPr>
            <w:hyperlink r:id="rId203">
              <w:r>
                <w:rPr>
                  <w:rFonts w:ascii="Arial" w:cs="Arial" w:eastAsia="Arial" w:hAnsi="Arial"/>
                  <w:sz w:val="18"/>
                  <w:szCs w:val="18"/>
                  <w:color w:val="auto"/>
                </w:rPr>
                <w:t>Executive Employment Agreement, dated February 23, 2023, between Leidos Holdings, Inc. and Thomas A. Bell.</w:t>
              </w:r>
            </w:hyperlink>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auto"/>
              <w:bottom w:val="single" w:sz="8" w:color="auto"/>
            </w:tcBorders>
            <w:gridSpan w:val="10"/>
          </w:tcPr>
          <w:p>
            <w:pPr>
              <w:spacing w:after="0" w:line="162" w:lineRule="exact"/>
              <w:rPr>
                <w:rFonts w:ascii="Arial" w:cs="Arial" w:eastAsia="Arial" w:hAnsi="Arial"/>
                <w:sz w:val="18"/>
                <w:szCs w:val="18"/>
                <w:color w:val="auto"/>
              </w:rPr>
            </w:pPr>
            <w:hyperlink r:id="rId203">
              <w:r>
                <w:rPr>
                  <w:rFonts w:ascii="Arial" w:cs="Arial" w:eastAsia="Arial" w:hAnsi="Arial"/>
                  <w:sz w:val="18"/>
                  <w:szCs w:val="18"/>
                  <w:color w:val="auto"/>
                </w:rPr>
                <w:t>Incorporated by reference to Exhibit 10.1 to our Current Report on Form 8-K filed with the SEC on February 27,</w:t>
              </w:r>
            </w:hyperlink>
          </w:p>
        </w:tc>
        <w:tc>
          <w:tcPr>
            <w:tcW w:w="340" w:type="dxa"/>
            <w:vAlign w:val="bottom"/>
            <w:tcBorders>
              <w:bottom w:val="single" w:sz="8" w:color="auto"/>
            </w:tcBorders>
            <w:gridSpan w:val="3"/>
          </w:tcPr>
          <w:p>
            <w:pPr>
              <w:jc w:val="right"/>
              <w:spacing w:after="0" w:line="162" w:lineRule="exact"/>
              <w:rPr>
                <w:rFonts w:ascii="Arial" w:cs="Arial" w:eastAsia="Arial" w:hAnsi="Arial"/>
                <w:sz w:val="18"/>
                <w:szCs w:val="18"/>
                <w:color w:val="auto"/>
                <w:w w:val="70"/>
              </w:rPr>
            </w:pPr>
            <w:hyperlink r:id="rId203">
              <w:r>
                <w:rPr>
                  <w:rFonts w:ascii="Arial" w:cs="Arial" w:eastAsia="Arial" w:hAnsi="Arial"/>
                  <w:sz w:val="18"/>
                  <w:szCs w:val="18"/>
                  <w:color w:val="auto"/>
                  <w:w w:val="70"/>
                </w:rPr>
                <w:t>2023.</w:t>
              </w:r>
            </w:hyperlink>
          </w:p>
        </w:tc>
        <w:tc>
          <w:tcPr>
            <w:tcW w:w="640" w:type="dxa"/>
            <w:vAlign w:val="bottom"/>
            <w:gridSpan w:val="10"/>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28"/>
          </w:tcPr>
          <w:p>
            <w:pPr>
              <w:spacing w:after="0"/>
              <w:rPr>
                <w:rFonts w:ascii="Arial" w:cs="Arial" w:eastAsia="Arial" w:hAnsi="Arial"/>
                <w:sz w:val="18"/>
                <w:szCs w:val="18"/>
                <w:color w:val="auto"/>
              </w:rPr>
            </w:pPr>
            <w:hyperlink r:id="rId204">
              <w:r>
                <w:rPr>
                  <w:rFonts w:ascii="Arial" w:cs="Arial" w:eastAsia="Arial" w:hAnsi="Arial"/>
                  <w:sz w:val="18"/>
                  <w:szCs w:val="18"/>
                  <w:color w:val="auto"/>
                </w:rPr>
                <w:t>Retirement Agreement, dated March 28, 2023, between Leidos Holdings, Inc. and Roger A. Krone. Incorporated by reference</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auto"/>
            </w:tcBorders>
            <w:gridSpan w:val="23"/>
          </w:tcPr>
          <w:p>
            <w:pPr>
              <w:spacing w:after="0" w:line="156" w:lineRule="exact"/>
              <w:rPr>
                <w:rFonts w:ascii="Arial" w:cs="Arial" w:eastAsia="Arial" w:hAnsi="Arial"/>
                <w:sz w:val="18"/>
                <w:szCs w:val="18"/>
                <w:color w:val="auto"/>
              </w:rPr>
            </w:pPr>
            <w:hyperlink r:id="rId204">
              <w:r>
                <w:rPr>
                  <w:rFonts w:ascii="Arial" w:cs="Arial" w:eastAsia="Arial" w:hAnsi="Arial"/>
                  <w:sz w:val="18"/>
                  <w:szCs w:val="18"/>
                  <w:color w:val="auto"/>
                </w:rPr>
                <w:t>to Exhibit 10.1 to our Current Report on Form 8-K (Amendment No. 1) filed with the SEC on March 31, 2023.</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180" w:hanging="115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Subsidiaries of the Registrant.</w:t>
      </w:r>
    </w:p>
    <w:p>
      <w:pPr>
        <w:spacing w:after="0" w:line="90" w:lineRule="exact"/>
        <w:rPr>
          <w:rFonts w:ascii="Arial" w:cs="Arial" w:eastAsia="Arial" w:hAnsi="Arial"/>
          <w:sz w:val="18"/>
          <w:szCs w:val="18"/>
          <w:color w:val="auto"/>
        </w:rPr>
      </w:pPr>
    </w:p>
    <w:p>
      <w:pPr>
        <w:ind w:left="1180" w:hanging="1154"/>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List of Guarantors and Subsidiary Issuers of Guaranteed Securities.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23.1</w:t>
            </w:r>
          </w:p>
        </w:tc>
        <w:tc>
          <w:tcPr>
            <w:tcW w:w="6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Consent of Independent Registered Public Accounting Firm, Deloitte &amp; Touche LLP.</w:t>
            </w:r>
          </w:p>
        </w:tc>
        <w:tc>
          <w:tcPr>
            <w:tcW w:w="3320" w:type="dxa"/>
            <w:vAlign w:val="bottom"/>
            <w:gridSpan w:val="7"/>
          </w:tcPr>
          <w:p>
            <w:pPr>
              <w:spacing w:after="0"/>
              <w:rPr>
                <w:sz w:val="18"/>
                <w:szCs w:val="18"/>
                <w:color w:val="auto"/>
              </w:rPr>
            </w:pPr>
          </w:p>
        </w:tc>
      </w:tr>
      <w:tr>
        <w:trPr>
          <w:trHeight w:val="263"/>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31.1</w:t>
            </w:r>
          </w:p>
        </w:tc>
        <w:tc>
          <w:tcPr>
            <w:tcW w:w="9960" w:type="dxa"/>
            <w:vAlign w:val="bottom"/>
            <w:gridSpan w:val="10"/>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3"/>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31.2</w:t>
            </w:r>
          </w:p>
        </w:tc>
        <w:tc>
          <w:tcPr>
            <w:tcW w:w="78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2140" w:type="dxa"/>
            <w:vAlign w:val="bottom"/>
            <w:gridSpan w:val="5"/>
          </w:tcPr>
          <w:p>
            <w:pPr>
              <w:spacing w:after="0"/>
              <w:rPr>
                <w:sz w:val="22"/>
                <w:szCs w:val="22"/>
                <w:color w:val="auto"/>
              </w:rPr>
            </w:pPr>
          </w:p>
        </w:tc>
      </w:tr>
      <w:tr>
        <w:trPr>
          <w:trHeight w:val="20"/>
        </w:trPr>
        <w:tc>
          <w:tcPr>
            <w:tcW w:w="11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32.1</w:t>
            </w:r>
          </w:p>
        </w:tc>
        <w:tc>
          <w:tcPr>
            <w:tcW w:w="9960" w:type="dxa"/>
            <w:vAlign w:val="bottom"/>
            <w:gridSpan w:val="10"/>
          </w:tcPr>
          <w:p>
            <w:pPr>
              <w:spacing w:after="0"/>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155"/>
        </w:trPr>
        <w:tc>
          <w:tcPr>
            <w:tcW w:w="1160" w:type="dxa"/>
            <w:vAlign w:val="bottom"/>
          </w:tcPr>
          <w:p>
            <w:pPr>
              <w:spacing w:after="0"/>
              <w:rPr>
                <w:sz w:val="13"/>
                <w:szCs w:val="13"/>
                <w:color w:val="auto"/>
              </w:rPr>
            </w:pPr>
          </w:p>
        </w:tc>
        <w:tc>
          <w:tcPr>
            <w:tcW w:w="23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9"/>
              </w:rPr>
              <w:t>Sarbanes-Oxley Act of 2002.</w:t>
            </w:r>
          </w:p>
        </w:tc>
        <w:tc>
          <w:tcPr>
            <w:tcW w:w="7040" w:type="dxa"/>
            <w:vAlign w:val="bottom"/>
            <w:tcBorders>
              <w:top w:val="single" w:sz="8" w:color="auto"/>
            </w:tcBorders>
            <w:gridSpan w:val="7"/>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32.2</w:t>
            </w:r>
          </w:p>
        </w:tc>
        <w:tc>
          <w:tcPr>
            <w:tcW w:w="9960" w:type="dxa"/>
            <w:vAlign w:val="bottom"/>
            <w:gridSpan w:val="10"/>
          </w:tcPr>
          <w:p>
            <w:pPr>
              <w:spacing w:after="0"/>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w:t>
            </w:r>
          </w:p>
        </w:tc>
      </w:tr>
      <w:tr>
        <w:trPr>
          <w:trHeight w:val="155"/>
        </w:trPr>
        <w:tc>
          <w:tcPr>
            <w:tcW w:w="1160" w:type="dxa"/>
            <w:vAlign w:val="bottom"/>
          </w:tcPr>
          <w:p>
            <w:pPr>
              <w:spacing w:after="0"/>
              <w:rPr>
                <w:sz w:val="13"/>
                <w:szCs w:val="13"/>
                <w:color w:val="auto"/>
              </w:rPr>
            </w:pPr>
          </w:p>
        </w:tc>
        <w:tc>
          <w:tcPr>
            <w:tcW w:w="23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color w:val="auto"/>
                <w:w w:val="99"/>
              </w:rPr>
              <w:t>Sarbanes-Oxley Act of 2002.</w:t>
            </w:r>
          </w:p>
        </w:tc>
        <w:tc>
          <w:tcPr>
            <w:tcW w:w="6980" w:type="dxa"/>
            <w:vAlign w:val="bottom"/>
            <w:tcBorders>
              <w:top w:val="single" w:sz="8" w:color="auto"/>
            </w:tcBorders>
            <w:gridSpan w:val="6"/>
          </w:tcPr>
          <w:p>
            <w:pPr>
              <w:spacing w:after="0"/>
              <w:rPr>
                <w:sz w:val="13"/>
                <w:szCs w:val="13"/>
                <w:color w:val="auto"/>
              </w:rPr>
            </w:pPr>
          </w:p>
        </w:tc>
        <w:tc>
          <w:tcPr>
            <w:tcW w:w="6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97.1</w:t>
            </w:r>
          </w:p>
        </w:tc>
        <w:tc>
          <w:tcPr>
            <w:tcW w:w="9960" w:type="dxa"/>
            <w:vAlign w:val="bottom"/>
            <w:gridSpan w:val="10"/>
          </w:tcPr>
          <w:p>
            <w:pPr>
              <w:spacing w:after="0"/>
              <w:rPr>
                <w:sz w:val="20"/>
                <w:szCs w:val="20"/>
                <w:color w:val="auto"/>
              </w:rPr>
            </w:pPr>
            <w:r>
              <w:rPr>
                <w:rFonts w:ascii="Arial" w:cs="Arial" w:eastAsia="Arial" w:hAnsi="Arial"/>
                <w:sz w:val="18"/>
                <w:szCs w:val="18"/>
                <w:color w:val="auto"/>
              </w:rPr>
              <w:t>Leidos Holdings, Inc.'s Financial Restatement Compensation Clawback Policy.</w:t>
            </w:r>
          </w:p>
        </w:tc>
      </w:tr>
      <w:tr>
        <w:trPr>
          <w:trHeight w:val="20"/>
        </w:trPr>
        <w:tc>
          <w:tcPr>
            <w:tcW w:w="11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160" w:type="dxa"/>
            <w:vAlign w:val="bottom"/>
          </w:tcPr>
          <w:p>
            <w:pPr>
              <w:jc w:val="right"/>
              <w:ind w:right="710"/>
              <w:spacing w:after="0"/>
              <w:rPr>
                <w:sz w:val="20"/>
                <w:szCs w:val="20"/>
                <w:color w:val="auto"/>
              </w:rPr>
            </w:pPr>
            <w:r>
              <w:rPr>
                <w:rFonts w:ascii="Arial" w:cs="Arial" w:eastAsia="Arial" w:hAnsi="Arial"/>
                <w:sz w:val="18"/>
                <w:szCs w:val="18"/>
                <w:color w:val="auto"/>
                <w:w w:val="96"/>
              </w:rPr>
              <w:t>99.1</w:t>
            </w:r>
          </w:p>
        </w:tc>
        <w:tc>
          <w:tcPr>
            <w:tcW w:w="9960" w:type="dxa"/>
            <w:vAlign w:val="bottom"/>
            <w:gridSpan w:val="10"/>
          </w:tcPr>
          <w:p>
            <w:pPr>
              <w:spacing w:after="0"/>
              <w:rPr>
                <w:rFonts w:ascii="Arial" w:cs="Arial" w:eastAsia="Arial" w:hAnsi="Arial"/>
                <w:sz w:val="18"/>
                <w:szCs w:val="18"/>
                <w:color w:val="auto"/>
                <w:w w:val="99"/>
              </w:rPr>
            </w:pPr>
            <w:hyperlink r:id="rId205">
              <w:r>
                <w:rPr>
                  <w:rFonts w:ascii="Arial" w:cs="Arial" w:eastAsia="Arial" w:hAnsi="Arial"/>
                  <w:sz w:val="18"/>
                  <w:szCs w:val="18"/>
                  <w:color w:val="auto"/>
                  <w:w w:val="99"/>
                </w:rPr>
                <w:t>Patent License and Assignment Agreement dated as of August 12, 2005, between Leidos, Inc. and VirnetX, Inc. Incorporated</w:t>
              </w:r>
            </w:hyperlink>
          </w:p>
        </w:tc>
      </w:tr>
      <w:tr>
        <w:trPr>
          <w:trHeight w:val="155"/>
        </w:trPr>
        <w:tc>
          <w:tcPr>
            <w:tcW w:w="1160" w:type="dxa"/>
            <w:vAlign w:val="bottom"/>
          </w:tcPr>
          <w:p>
            <w:pPr>
              <w:spacing w:after="0"/>
              <w:rPr>
                <w:sz w:val="13"/>
                <w:szCs w:val="13"/>
                <w:color w:val="auto"/>
              </w:rPr>
            </w:pPr>
          </w:p>
        </w:tc>
        <w:tc>
          <w:tcPr>
            <w:tcW w:w="7880" w:type="dxa"/>
            <w:vAlign w:val="bottom"/>
            <w:tcBorders>
              <w:top w:val="single" w:sz="8" w:color="auto"/>
              <w:bottom w:val="single" w:sz="8" w:color="auto"/>
            </w:tcBorders>
            <w:gridSpan w:val="6"/>
          </w:tcPr>
          <w:p>
            <w:pPr>
              <w:spacing w:after="0" w:line="156" w:lineRule="exact"/>
              <w:rPr>
                <w:rFonts w:ascii="Arial" w:cs="Arial" w:eastAsia="Arial" w:hAnsi="Arial"/>
                <w:sz w:val="18"/>
                <w:szCs w:val="18"/>
                <w:color w:val="auto"/>
                <w:w w:val="99"/>
              </w:rPr>
            </w:pPr>
            <w:hyperlink r:id="rId205">
              <w:r>
                <w:rPr>
                  <w:rFonts w:ascii="Arial" w:cs="Arial" w:eastAsia="Arial" w:hAnsi="Arial"/>
                  <w:sz w:val="18"/>
                  <w:szCs w:val="18"/>
                  <w:color w:val="auto"/>
                  <w:w w:val="99"/>
                </w:rPr>
                <w:t>by reference to Exhibit 99.1 to our Annual Report on Form 10-K filed with the SEC on April 1, 2010.</w:t>
              </w:r>
            </w:hyperlink>
          </w:p>
        </w:tc>
        <w:tc>
          <w:tcPr>
            <w:tcW w:w="2060" w:type="dxa"/>
            <w:vAlign w:val="bottom"/>
            <w:tcBorders>
              <w:top w:val="single" w:sz="8" w:color="auto"/>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10060" w:type="dxa"/>
            <w:vAlign w:val="bottom"/>
            <w:gridSpan w:val="5"/>
            <w:vMerge w:val="restart"/>
          </w:tcPr>
          <w:p>
            <w:pPr>
              <w:ind w:left="434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85"/>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6"/>
                <w:szCs w:val="16"/>
                <w:color w:val="auto"/>
              </w:rPr>
            </w:pPr>
          </w:p>
        </w:tc>
        <w:tc>
          <w:tcPr>
            <w:tcW w:w="100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60" w:type="dxa"/>
            <w:vAlign w:val="bottom"/>
            <w:tcBorders>
              <w:top w:val="single" w:sz="8" w:color="auto"/>
            </w:tcBorders>
            <w:gridSpan w:val="5"/>
          </w:tcPr>
          <w:p>
            <w:pPr>
              <w:spacing w:after="0" w:line="182" w:lineRule="exact"/>
              <w:rPr>
                <w:rFonts w:ascii="Arial" w:cs="Arial" w:eastAsia="Arial" w:hAnsi="Arial"/>
                <w:sz w:val="18"/>
                <w:szCs w:val="18"/>
                <w:color w:val="auto"/>
              </w:rPr>
            </w:pPr>
            <w:hyperlink r:id="rId207">
              <w:r>
                <w:rPr>
                  <w:rFonts w:ascii="Arial" w:cs="Arial" w:eastAsia="Arial" w:hAnsi="Arial"/>
                  <w:sz w:val="18"/>
                  <w:szCs w:val="18"/>
                  <w:color w:val="auto"/>
                </w:rPr>
                <w:t>Amendment No. 1 dated as of November 2, 2006, to Patent License and Assignment Agreement between Leidos, Inc.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gridSpan w:val="5"/>
          </w:tcPr>
          <w:p>
            <w:pPr>
              <w:spacing w:after="0" w:line="156" w:lineRule="exact"/>
              <w:rPr>
                <w:rFonts w:ascii="Arial" w:cs="Arial" w:eastAsia="Arial" w:hAnsi="Arial"/>
                <w:sz w:val="18"/>
                <w:szCs w:val="18"/>
                <w:color w:val="auto"/>
              </w:rPr>
            </w:pPr>
            <w:hyperlink r:id="rId207">
              <w:r>
                <w:rPr>
                  <w:rFonts w:ascii="Arial" w:cs="Arial" w:eastAsia="Arial" w:hAnsi="Arial"/>
                  <w:sz w:val="18"/>
                  <w:szCs w:val="18"/>
                  <w:color w:val="auto"/>
                </w:rPr>
                <w:t>VirnetX, Inc. Incorporated by reference to Exhibit 99.2 to our Annual Report on Form 10-K filed with the SEC on April 1, 2010.</w:t>
              </w:r>
            </w:hyperlink>
          </w:p>
        </w:tc>
        <w:tc>
          <w:tcPr>
            <w:tcW w:w="0" w:type="dxa"/>
            <w:vAlign w:val="bottom"/>
          </w:tcPr>
          <w:p>
            <w:pPr>
              <w:spacing w:after="0"/>
              <w:rPr>
                <w:sz w:val="1"/>
                <w:szCs w:val="1"/>
                <w:color w:val="auto"/>
              </w:rPr>
            </w:pP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top w:val="single" w:sz="8" w:color="auto"/>
            </w:tcBorders>
            <w:gridSpan w:val="4"/>
          </w:tcPr>
          <w:p>
            <w:pPr>
              <w:spacing w:after="0"/>
              <w:rPr>
                <w:rFonts w:ascii="Arial" w:cs="Arial" w:eastAsia="Arial" w:hAnsi="Arial"/>
                <w:sz w:val="18"/>
                <w:szCs w:val="18"/>
                <w:color w:val="auto"/>
              </w:rPr>
            </w:pPr>
            <w:hyperlink r:id="rId208">
              <w:r>
                <w:rPr>
                  <w:rFonts w:ascii="Arial" w:cs="Arial" w:eastAsia="Arial" w:hAnsi="Arial"/>
                  <w:sz w:val="18"/>
                  <w:szCs w:val="18"/>
                  <w:color w:val="auto"/>
                </w:rPr>
                <w:t>Amendment No. 2 dated as of March 12, 2008, to Patent License and Assignment Agreement between Leidos, Inc. and</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auto"/>
              <w:bottom w:val="single" w:sz="8" w:color="auto"/>
            </w:tcBorders>
          </w:tcPr>
          <w:p>
            <w:pPr>
              <w:spacing w:after="0" w:line="156" w:lineRule="exact"/>
              <w:rPr>
                <w:rFonts w:ascii="Arial" w:cs="Arial" w:eastAsia="Arial" w:hAnsi="Arial"/>
                <w:sz w:val="18"/>
                <w:szCs w:val="18"/>
                <w:color w:val="auto"/>
                <w:w w:val="99"/>
              </w:rPr>
            </w:pPr>
            <w:hyperlink r:id="rId208">
              <w:r>
                <w:rPr>
                  <w:rFonts w:ascii="Arial" w:cs="Arial" w:eastAsia="Arial" w:hAnsi="Arial"/>
                  <w:sz w:val="18"/>
                  <w:szCs w:val="18"/>
                  <w:color w:val="auto"/>
                  <w:w w:val="99"/>
                </w:rPr>
                <w:t>VirnetX, Inc. Incorporated by reference to Exhibit 99.3 to our Form 10-K filed with the SEC on April 1, 2010.</w:t>
              </w:r>
            </w:hyperlink>
          </w:p>
        </w:tc>
        <w:tc>
          <w:tcPr>
            <w:tcW w:w="980" w:type="dxa"/>
            <w:vAlign w:val="bottom"/>
            <w:tcBorders>
              <w:top w:val="single" w:sz="8" w:color="auto"/>
            </w:tcBorders>
          </w:tcPr>
          <w:p>
            <w:pPr>
              <w:spacing w:after="0"/>
              <w:rPr>
                <w:sz w:val="13"/>
                <w:szCs w:val="13"/>
                <w:color w:val="auto"/>
              </w:rPr>
            </w:pPr>
          </w:p>
        </w:tc>
        <w:tc>
          <w:tcPr>
            <w:tcW w:w="5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Interactive Data File.</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180" w:right="120" w:hanging="1154"/>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1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Executive Compensation Plans and Arrangements</w:t>
      </w:r>
    </w:p>
    <w:p>
      <w:pPr>
        <w:spacing w:after="0" w:line="55"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Paper filing</w:t>
      </w:r>
    </w:p>
    <w:p>
      <w:pPr>
        <w:spacing w:after="0" w:line="69"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these exhibits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Leidos Holdings, Inc.</w:t>
      </w:r>
    </w:p>
    <w:p>
      <w:pPr>
        <w:spacing w:after="0" w:line="77" w:lineRule="exact"/>
        <w:rPr>
          <w:sz w:val="20"/>
          <w:szCs w:val="20"/>
          <w:color w:val="auto"/>
        </w:rPr>
      </w:pPr>
    </w:p>
    <w:p>
      <w:pPr>
        <w:ind w:left="8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17780</wp:posOffset>
            </wp:positionV>
            <wp:extent cx="34715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6" w:lineRule="exact"/>
        <w:rPr>
          <w:sz w:val="20"/>
          <w:szCs w:val="20"/>
          <w:color w:val="auto"/>
        </w:rPr>
      </w:pPr>
    </w:p>
    <w:p>
      <w:pPr>
        <w:jc w:val="center"/>
        <w:ind w:right="4060"/>
        <w:spacing w:after="0"/>
        <w:rPr>
          <w:sz w:val="20"/>
          <w:szCs w:val="20"/>
          <w:color w:val="auto"/>
        </w:rPr>
      </w:pPr>
      <w:r>
        <w:rPr>
          <w:rFonts w:ascii="Arial" w:cs="Arial" w:eastAsia="Arial" w:hAnsi="Arial"/>
          <w:sz w:val="14"/>
          <w:szCs w:val="14"/>
          <w:b w:val="1"/>
          <w:bCs w:val="1"/>
          <w:color w:val="auto"/>
        </w:rPr>
        <w:t>Christopher R. Cage</w:t>
      </w:r>
    </w:p>
    <w:p>
      <w:pPr>
        <w:spacing w:after="0" w:line="2" w:lineRule="exact"/>
        <w:rPr>
          <w:sz w:val="20"/>
          <w:szCs w:val="20"/>
          <w:color w:val="auto"/>
        </w:rPr>
      </w:pPr>
    </w:p>
    <w:p>
      <w:pPr>
        <w:jc w:val="center"/>
        <w:ind w:right="406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2024</w:t>
      </w:r>
    </w:p>
    <w:p>
      <w:pPr>
        <w:spacing w:after="0" w:line="36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Leidos Holdings, Inc., in the capacities and on the dates indicated.</w:t>
      </w:r>
    </w:p>
    <w:tbl>
      <w:tblPr>
        <w:tblLayout w:type="fixed"/>
        <w:tblInd w:w="0" w:type="dxa"/>
        <w:tblCellMar>
          <w:top w:w="0" w:type="dxa"/>
          <w:left w:w="0" w:type="dxa"/>
          <w:bottom w:w="0" w:type="dxa"/>
          <w:right w:w="0" w:type="dxa"/>
        </w:tblCellMar>
      </w:tblPr>
      <w:tr>
        <w:trPr>
          <w:trHeight w:val="159"/>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20" w:type="dxa"/>
            <w:vAlign w:val="bottom"/>
            <w:gridSpan w:val="2"/>
          </w:tcPr>
          <w:p>
            <w:pPr>
              <w:jc w:val="center"/>
              <w:ind w:right="1540"/>
              <w:spacing w:after="0" w:line="159" w:lineRule="exact"/>
              <w:rPr>
                <w:sz w:val="20"/>
                <w:szCs w:val="20"/>
                <w:color w:val="auto"/>
              </w:rPr>
            </w:pPr>
            <w:r>
              <w:rPr>
                <w:rFonts w:ascii="Arial" w:cs="Arial" w:eastAsia="Arial" w:hAnsi="Arial"/>
                <w:sz w:val="14"/>
                <w:szCs w:val="14"/>
                <w:b w:val="1"/>
                <w:bCs w:val="1"/>
                <w:color w:val="auto"/>
                <w:w w:val="97"/>
              </w:rPr>
              <w:t>Title</w:t>
            </w:r>
          </w:p>
        </w:tc>
        <w:tc>
          <w:tcPr>
            <w:tcW w:w="2060" w:type="dxa"/>
            <w:vAlign w:val="bottom"/>
            <w:gridSpan w:val="3"/>
          </w:tcPr>
          <w:p>
            <w:pPr>
              <w:jc w:val="center"/>
              <w:ind w:left="491"/>
              <w:spacing w:after="0" w:line="159" w:lineRule="exact"/>
              <w:rPr>
                <w:sz w:val="20"/>
                <w:szCs w:val="20"/>
                <w:color w:val="auto"/>
              </w:rPr>
            </w:pPr>
            <w:r>
              <w:rPr>
                <w:rFonts w:ascii="Arial" w:cs="Arial" w:eastAsia="Arial" w:hAnsi="Arial"/>
                <w:sz w:val="14"/>
                <w:szCs w:val="14"/>
                <w:b w:val="1"/>
                <w:bCs w:val="1"/>
                <w:color w:val="auto"/>
              </w:rPr>
              <w:t>Date</w:t>
            </w:r>
          </w:p>
        </w:tc>
      </w:tr>
      <w:tr>
        <w:trPr>
          <w:trHeight w:val="20"/>
        </w:trPr>
        <w:tc>
          <w:tcPr>
            <w:tcW w:w="2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4"/>
        </w:trPr>
        <w:tc>
          <w:tcPr>
            <w:tcW w:w="214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Thomas A. Bell</w:t>
            </w:r>
          </w:p>
        </w:tc>
        <w:tc>
          <w:tcPr>
            <w:tcW w:w="3520" w:type="dxa"/>
            <w:vAlign w:val="bottom"/>
            <w:gridSpan w:val="3"/>
          </w:tcPr>
          <w:p>
            <w:pPr>
              <w:jc w:val="center"/>
              <w:ind w:left="90"/>
              <w:spacing w:after="0"/>
              <w:rPr>
                <w:sz w:val="20"/>
                <w:szCs w:val="20"/>
                <w:color w:val="auto"/>
              </w:rPr>
            </w:pPr>
            <w:r>
              <w:rPr>
                <w:rFonts w:ascii="Arial" w:cs="Arial" w:eastAsia="Arial" w:hAnsi="Arial"/>
                <w:sz w:val="18"/>
                <w:szCs w:val="18"/>
                <w:color w:val="auto"/>
                <w:w w:val="99"/>
              </w:rPr>
              <w:t>Principal Executive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Thomas A. Bell</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Christopher R. Cage</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Principal Financial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Christopher R. Cage</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214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Carly E. Kimball</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Principal Accounting Officer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Carly E. Kimball</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9"/>
              </w:rPr>
              <w:t>Gregory R. Dahlberg</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Gregory R. Dahlberg</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214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David G. Fubini</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David G. Fubini</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center"/>
              <w:ind w:right="1880"/>
              <w:spacing w:after="0"/>
              <w:rPr>
                <w:sz w:val="20"/>
                <w:szCs w:val="20"/>
                <w:color w:val="auto"/>
              </w:rPr>
            </w:pPr>
            <w:r>
              <w:rPr>
                <w:rFonts w:ascii="Arial" w:cs="Arial" w:eastAsia="Arial" w:hAnsi="Arial"/>
                <w:sz w:val="18"/>
                <w:szCs w:val="18"/>
                <w:color w:val="auto"/>
                <w:w w:val="99"/>
              </w:rPr>
              <w:t>Noel B. Geer</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248"/>
        </w:trPr>
        <w:tc>
          <w:tcPr>
            <w:tcW w:w="1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rPr>
              <w:t>Noel B. Geer</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26"/>
        </w:trPr>
        <w:tc>
          <w:tcPr>
            <w:tcW w:w="2140" w:type="dxa"/>
            <w:vAlign w:val="bottom"/>
            <w:tcBorders>
              <w:bottom w:val="single" w:sz="8" w:color="auto"/>
            </w:tcBorders>
            <w:gridSpan w:val="2"/>
          </w:tcPr>
          <w:p>
            <w:pPr>
              <w:ind w:left="182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Miriam E. John</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Miriam E. John</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Robert C. Kovarik, Jr.</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Robert C. Kovarik, Jr.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5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rPr>
              <w:t>/s/  Harry M. J. Kraemer, Jr.</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5240" w:type="dxa"/>
            <w:vAlign w:val="bottom"/>
            <w:gridSpan w:val="5"/>
          </w:tcPr>
          <w:p>
            <w:pPr>
              <w:jc w:val="center"/>
              <w:spacing w:after="0"/>
              <w:rPr>
                <w:sz w:val="20"/>
                <w:szCs w:val="20"/>
                <w:color w:val="auto"/>
              </w:rPr>
            </w:pPr>
            <w:r>
              <w:rPr>
                <w:rFonts w:ascii="Arial" w:cs="Arial" w:eastAsia="Arial" w:hAnsi="Arial"/>
                <w:sz w:val="14"/>
                <w:szCs w:val="14"/>
                <w:b w:val="1"/>
                <w:bCs w:val="1"/>
                <w:color w:val="auto"/>
              </w:rPr>
              <w:t>Harry M. J. Kraemer, Jr.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center"/>
              <w:ind w:right="1880"/>
              <w:spacing w:after="0"/>
              <w:rPr>
                <w:sz w:val="20"/>
                <w:szCs w:val="20"/>
                <w:color w:val="auto"/>
              </w:rPr>
            </w:pPr>
            <w:r>
              <w:rPr>
                <w:rFonts w:ascii="Arial" w:cs="Arial" w:eastAsia="Arial" w:hAnsi="Arial"/>
                <w:sz w:val="18"/>
                <w:szCs w:val="18"/>
                <w:color w:val="auto"/>
                <w:w w:val="99"/>
              </w:rPr>
              <w:t>Gary S. May</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rPr>
              <w:t>Gary S. May</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Surya N. Mohapatra</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Surya N. Mohapatra</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w w:val="83"/>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rPr>
              <w:t>Nancy Ann Norton</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248"/>
        </w:trPr>
        <w:tc>
          <w:tcPr>
            <w:tcW w:w="1880" w:type="dxa"/>
            <w:vAlign w:val="bottom"/>
          </w:tcPr>
          <w:p>
            <w:pPr>
              <w:spacing w:after="0"/>
              <w:rPr>
                <w:sz w:val="21"/>
                <w:szCs w:val="21"/>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Nancy Ann Norton</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26"/>
        </w:trPr>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rPr>
              <w:t>Patrick M. Shanahan</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248"/>
        </w:trPr>
        <w:tc>
          <w:tcPr>
            <w:tcW w:w="1880" w:type="dxa"/>
            <w:vAlign w:val="bottom"/>
          </w:tcPr>
          <w:p>
            <w:pPr>
              <w:spacing w:after="0"/>
              <w:rPr>
                <w:sz w:val="21"/>
                <w:szCs w:val="21"/>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Patrick M. Shanahan</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326"/>
        </w:trPr>
        <w:tc>
          <w:tcPr>
            <w:tcW w:w="188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w w:val="94"/>
              </w:rPr>
              <w:t>/s/</w:t>
            </w:r>
          </w:p>
        </w:tc>
        <w:tc>
          <w:tcPr>
            <w:tcW w:w="33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Robert S. Shapard</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Robert S. Shapard</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326"/>
        </w:trPr>
        <w:tc>
          <w:tcPr>
            <w:tcW w:w="188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9"/>
              </w:rPr>
              <w:t>Susan M. Stalnecker</w:t>
            </w:r>
          </w:p>
        </w:tc>
        <w:tc>
          <w:tcPr>
            <w:tcW w:w="3520" w:type="dxa"/>
            <w:vAlign w:val="bottom"/>
            <w:gridSpan w:val="3"/>
          </w:tcPr>
          <w:p>
            <w:pPr>
              <w:jc w:val="center"/>
              <w:ind w:left="7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511"/>
              <w:spacing w:after="0"/>
              <w:rPr>
                <w:sz w:val="20"/>
                <w:szCs w:val="20"/>
                <w:color w:val="auto"/>
              </w:rPr>
            </w:pPr>
            <w:r>
              <w:rPr>
                <w:rFonts w:ascii="Arial" w:cs="Arial" w:eastAsia="Arial" w:hAnsi="Arial"/>
                <w:sz w:val="18"/>
                <w:szCs w:val="18"/>
                <w:color w:val="auto"/>
                <w:w w:val="99"/>
              </w:rPr>
              <w:t>February 13, 2024</w:t>
            </w:r>
          </w:p>
        </w:tc>
      </w:tr>
      <w:tr>
        <w:trPr>
          <w:trHeight w:val="194"/>
        </w:trPr>
        <w:tc>
          <w:tcPr>
            <w:tcW w:w="1880" w:type="dxa"/>
            <w:vAlign w:val="bottom"/>
          </w:tcPr>
          <w:p>
            <w:pPr>
              <w:spacing w:after="0"/>
              <w:rPr>
                <w:sz w:val="16"/>
                <w:szCs w:val="16"/>
                <w:color w:val="auto"/>
              </w:rPr>
            </w:pPr>
          </w:p>
        </w:tc>
        <w:tc>
          <w:tcPr>
            <w:tcW w:w="33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rPr>
              <w:t>Susan M. Stalnecker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060"/>
          </w:cols>
          <w:pgMar w:left="320" w:top="17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Leidos Holdings, Inc. Annual Report - 125</w:t>
      </w:r>
    </w:p>
    <w:p>
      <w:pPr>
        <w:sectPr>
          <w:pgSz w:w="11900" w:h="16838" w:orient="portrait"/>
          <w:cols w:equalWidth="0" w:num="1">
            <w:col w:w="11060"/>
          </w:cols>
          <w:pgMar w:left="320" w:top="179" w:right="519" w:bottom="1440" w:gutter="0" w:footer="0" w:header="0"/>
          <w:type w:val="continuous"/>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LEIDOS HOLDINGS, INC.</w:t>
      </w:r>
    </w:p>
    <w:p>
      <w:pPr>
        <w:spacing w:after="0" w:line="1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8, 2024</w:t>
      </w:r>
    </w:p>
    <w:p>
      <w:pPr>
        <w:sectPr>
          <w:pgSz w:w="11900" w:h="16838" w:orient="portrait"/>
          <w:cols w:equalWidth="0" w:num="1">
            <w:col w:w="11160"/>
          </w:cols>
          <w:pgMar w:left="400" w:top="1395" w:right="339" w:bottom="1440" w:gutter="0" w:footer="0" w:header="0"/>
        </w:sectPr>
      </w:pPr>
    </w:p>
    <w:bookmarkStart w:id="128" w:name="page129"/>
    <w:bookmarkEnd w:id="128"/>
    <w:p>
      <w:pPr>
        <w:spacing w:after="0" w:line="1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34"/>
        </w:trPr>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8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OFFICES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Registered Office</w:t>
            </w:r>
          </w:p>
        </w:tc>
        <w:tc>
          <w:tcPr>
            <w:tcW w:w="12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Principal Office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Offices</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38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Annual Meetings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Special Meetings</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2.03</w:t>
            </w:r>
          </w:p>
        </w:tc>
        <w:tc>
          <w:tcPr>
            <w:tcW w:w="22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Time and Place of Meetings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2.04</w:t>
            </w:r>
          </w:p>
        </w:tc>
        <w:tc>
          <w:tcPr>
            <w:tcW w:w="48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Notice of Meetings and Adjourned Meetings; Waivers of Notice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Quorum</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Voting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2.07</w:t>
            </w:r>
          </w:p>
        </w:tc>
        <w:tc>
          <w:tcPr>
            <w:tcW w:w="48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w w:val="99"/>
              </w:rPr>
              <w:t>Business at Annual Meeting (other than the Election of Directors)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16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List of Stockholders</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Inspectors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486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Regulations for Conduct of Stockholders Meeting  5</w:t>
            </w:r>
          </w:p>
        </w:tc>
        <w:tc>
          <w:tcPr>
            <w:tcW w:w="240" w:type="dxa"/>
            <w:vAlign w:val="bottom"/>
          </w:tcPr>
          <w:p>
            <w:pPr>
              <w:spacing w:after="0"/>
              <w:rPr>
                <w:sz w:val="24"/>
                <w:szCs w:val="24"/>
                <w:color w:val="auto"/>
              </w:rPr>
            </w:pPr>
          </w:p>
        </w:tc>
      </w:tr>
      <w:tr>
        <w:trPr>
          <w:trHeight w:val="297"/>
        </w:trPr>
        <w:tc>
          <w:tcPr>
            <w:tcW w:w="3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 III.  BOARD OF DIRECTORS</w:t>
            </w:r>
          </w:p>
        </w:tc>
        <w:tc>
          <w:tcPr>
            <w:tcW w:w="100" w:type="dxa"/>
            <w:vAlign w:val="bottom"/>
          </w:tcPr>
          <w:p>
            <w:pPr>
              <w:spacing w:after="0"/>
              <w:rPr>
                <w:sz w:val="24"/>
                <w:szCs w:val="24"/>
                <w:color w:val="auto"/>
              </w:rPr>
            </w:pP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3.01</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General Powers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3.03</w:t>
            </w:r>
          </w:p>
        </w:tc>
        <w:tc>
          <w:tcPr>
            <w:tcW w:w="16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Election of Directors</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3.04</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Resignations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3.05</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3.06</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Vacancies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3.07</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 Meeting</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3.08</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Regular Meetings</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3.09</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Special Meetings</w:t>
            </w:r>
          </w:p>
        </w:tc>
        <w:tc>
          <w:tcPr>
            <w:tcW w:w="1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3.10</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Committees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3.11</w:t>
            </w: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Notice of Meetings</w:t>
            </w:r>
          </w:p>
        </w:tc>
        <w:tc>
          <w:tcPr>
            <w:tcW w:w="100" w:type="dxa"/>
            <w:vAlign w:val="bottom"/>
          </w:tcPr>
          <w:p>
            <w:pPr>
              <w:spacing w:after="0"/>
              <w:rPr>
                <w:sz w:val="24"/>
                <w:szCs w:val="24"/>
                <w:color w:val="auto"/>
              </w:rPr>
            </w:pP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386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Section 3.12  Place of Meeting, Etc.  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3.13</w:t>
            </w:r>
          </w:p>
        </w:tc>
        <w:tc>
          <w:tcPr>
            <w:tcW w:w="246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Quorum and Manner of Acting</w:t>
            </w:r>
          </w:p>
        </w:tc>
        <w:tc>
          <w:tcPr>
            <w:tcW w:w="24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3.14</w:t>
            </w: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Action by Consent</w:t>
            </w:r>
          </w:p>
        </w:tc>
        <w:tc>
          <w:tcPr>
            <w:tcW w:w="100" w:type="dxa"/>
            <w:vAlign w:val="bottom"/>
          </w:tcPr>
          <w:p>
            <w:pPr>
              <w:spacing w:after="0"/>
              <w:rPr>
                <w:sz w:val="24"/>
                <w:szCs w:val="24"/>
                <w:color w:val="auto"/>
              </w:rPr>
            </w:pP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13</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3.15</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Compensation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3.16</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Board Leadership</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4.01</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Principal Officers</w:t>
            </w:r>
          </w:p>
        </w:tc>
        <w:tc>
          <w:tcPr>
            <w:tcW w:w="12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w:t>
            </w:r>
          </w:p>
        </w:tc>
        <w:tc>
          <w:tcPr>
            <w:tcW w:w="24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Additional Officers and Agents</w:t>
            </w:r>
          </w:p>
        </w:tc>
        <w:tc>
          <w:tcPr>
            <w:tcW w:w="240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4.03</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Election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4.04</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Removal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4.05</w:t>
            </w: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Resignations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45"/>
        </w:trPr>
        <w:tc>
          <w:tcPr>
            <w:tcW w:w="1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8, 2024</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-i-</w:t>
            </w:r>
          </w:p>
        </w:tc>
        <w:tc>
          <w:tcPr>
            <w:tcW w:w="240" w:type="dxa"/>
            <w:vAlign w:val="bottom"/>
          </w:tcPr>
          <w:p>
            <w:pPr>
              <w:spacing w:after="0"/>
              <w:rPr>
                <w:sz w:val="24"/>
                <w:szCs w:val="24"/>
                <w:color w:val="auto"/>
              </w:rPr>
            </w:pPr>
          </w:p>
        </w:tc>
      </w:tr>
    </w:tbl>
    <w:p>
      <w:pPr>
        <w:sectPr>
          <w:pgSz w:w="11900" w:h="16838" w:orient="portrait"/>
          <w:cols w:equalWidth="0" w:num="1">
            <w:col w:w="10139"/>
          </w:cols>
          <w:pgMar w:left="320" w:top="1440"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4.06</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Vacancies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4.07</w:t>
            </w:r>
          </w:p>
        </w:tc>
        <w:tc>
          <w:tcPr>
            <w:tcW w:w="1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4.08</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President(s)</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4.09</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Vice Presidents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4.10</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Secretary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4.11</w:t>
            </w: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15</w:t>
            </w: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4.12</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4.13</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Controller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2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DELEGATIONS OF AUTHORITY  16</w:t>
            </w:r>
          </w:p>
        </w:tc>
        <w:tc>
          <w:tcPr>
            <w:tcW w:w="2120" w:type="dxa"/>
            <w:vAlign w:val="bottom"/>
          </w:tcPr>
          <w:p>
            <w:pPr>
              <w:spacing w:after="0"/>
              <w:rPr>
                <w:sz w:val="24"/>
                <w:szCs w:val="24"/>
                <w:color w:val="auto"/>
              </w:rPr>
            </w:pPr>
          </w:p>
        </w:tc>
      </w:tr>
      <w:tr>
        <w:trPr>
          <w:trHeight w:val="284"/>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5.01</w:t>
            </w:r>
          </w:p>
        </w:tc>
        <w:tc>
          <w:tcPr>
            <w:tcW w:w="1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Execution of Contracts</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16</w:t>
            </w:r>
          </w:p>
        </w:tc>
        <w:tc>
          <w:tcPr>
            <w:tcW w:w="2120" w:type="dxa"/>
            <w:vAlign w:val="bottom"/>
          </w:tcPr>
          <w:p>
            <w:pPr>
              <w:spacing w:after="0"/>
              <w:rPr>
                <w:sz w:val="24"/>
                <w:szCs w:val="24"/>
                <w:color w:val="auto"/>
              </w:rPr>
            </w:pPr>
          </w:p>
        </w:tc>
      </w:tr>
      <w:tr>
        <w:trPr>
          <w:trHeight w:val="283"/>
        </w:trPr>
        <w:tc>
          <w:tcPr>
            <w:tcW w:w="356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Section 5.02  Checks, Drafts, Etc.  16</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5.03</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Deposits  16</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5.04</w:t>
            </w:r>
          </w:p>
        </w:tc>
        <w:tc>
          <w:tcPr>
            <w:tcW w:w="45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General and Special Bank Accounts  16</w:t>
            </w:r>
          </w:p>
        </w:tc>
      </w:tr>
      <w:tr>
        <w:trPr>
          <w:trHeight w:val="28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298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SHARES AND SHARE TRANSFER</w:t>
            </w:r>
          </w:p>
        </w:tc>
        <w:tc>
          <w:tcPr>
            <w:tcW w:w="212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w w:val="99"/>
              </w:rPr>
              <w:t>17</w:t>
            </w: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6.01</w:t>
            </w: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Certificates Representing Stock</w:t>
            </w:r>
          </w:p>
        </w:tc>
        <w:tc>
          <w:tcPr>
            <w:tcW w:w="212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17</w:t>
            </w: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6.02</w:t>
            </w:r>
          </w:p>
        </w:tc>
        <w:tc>
          <w:tcPr>
            <w:tcW w:w="24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Uncertificated Shares  17</w:t>
            </w: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Transfers of Stock</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6.04</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Regulations</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6.05</w:t>
            </w:r>
          </w:p>
        </w:tc>
        <w:tc>
          <w:tcPr>
            <w:tcW w:w="45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Fixing Date for Determination of Stockholders of Record  18</w:t>
            </w: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VII.</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7.01</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Seal  18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7.02</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Waiver of Notices</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18</w:t>
            </w: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7.03</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7"/>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7.04</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18</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3"/>
        </w:trPr>
        <w:tc>
          <w:tcPr>
            <w:tcW w:w="1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7.05</w:t>
            </w:r>
          </w:p>
        </w:tc>
        <w:tc>
          <w:tcPr>
            <w:tcW w:w="19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Designation of Engineer</w:t>
            </w: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2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tabs>
          <w:tab w:leader="none" w:pos="5480" w:val="left"/>
        </w:tabs>
        <w:rPr>
          <w:sz w:val="20"/>
          <w:szCs w:val="20"/>
          <w:color w:val="auto"/>
        </w:rPr>
      </w:pPr>
      <w:r>
        <w:rPr>
          <w:rFonts w:ascii="Times New Roman" w:cs="Times New Roman" w:eastAsia="Times New Roman" w:hAnsi="Times New Roman"/>
          <w:sz w:val="14"/>
          <w:szCs w:val="14"/>
          <w:color w:val="auto"/>
        </w:rPr>
        <w:t>February 8, 2024</w:t>
      </w:r>
      <w:r>
        <w:rPr>
          <w:sz w:val="20"/>
          <w:szCs w:val="20"/>
          <w:color w:val="auto"/>
        </w:rPr>
        <w:tab/>
      </w:r>
      <w:r>
        <w:rPr>
          <w:rFonts w:ascii="Times New Roman" w:cs="Times New Roman" w:eastAsia="Times New Roman" w:hAnsi="Times New Roman"/>
          <w:sz w:val="26"/>
          <w:szCs w:val="26"/>
          <w:color w:val="auto"/>
          <w:vertAlign w:val="subscript"/>
        </w:rPr>
        <w:t>-ii-</w:t>
      </w:r>
    </w:p>
    <w:p>
      <w:pPr>
        <w:sectPr>
          <w:pgSz w:w="11900" w:h="16838" w:orient="portrait"/>
          <w:cols w:equalWidth="0" w:num="1">
            <w:col w:w="10139"/>
          </w:cols>
          <w:pgMar w:left="320" w:top="1404" w:right="1440" w:bottom="1440" w:gutter="0" w:footer="0" w:header="0"/>
        </w:sectPr>
      </w:pPr>
    </w:p>
    <w:bookmarkStart w:id="130" w:name="page131"/>
    <w:bookmarkEnd w:id="130"/>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93" w:lineRule="exact"/>
        <w:rPr>
          <w:sz w:val="20"/>
          <w:szCs w:val="20"/>
          <w:color w:val="auto"/>
        </w:rPr>
      </w:pPr>
    </w:p>
    <w:p>
      <w:pPr>
        <w:ind w:right="120" w:firstLine="441"/>
        <w:spacing w:after="0" w:line="268"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b w:val="1"/>
          <w:bCs w:val="1"/>
          <w:color w:val="auto"/>
        </w:rPr>
        <w:t>Registered Office.</w:t>
      </w:r>
      <w:r>
        <w:rPr>
          <w:rFonts w:ascii="Times New Roman" w:cs="Times New Roman" w:eastAsia="Times New Roman" w:hAnsi="Times New Roman"/>
          <w:sz w:val="17"/>
          <w:szCs w:val="17"/>
          <w:color w:val="auto"/>
        </w:rPr>
        <w:t xml:space="preserve"> The registered office of Leidos Holdings, Inc. (the “Corporation”) in the State of Delaware shall be at 1209 Orange Street, City of Wilmington, County of New Castle, and the name of the registered agent in charge thereof shall be The Corporation Trust Company.</w:t>
      </w:r>
    </w:p>
    <w:p>
      <w:pPr>
        <w:spacing w:after="0" w:line="49" w:lineRule="exact"/>
        <w:rPr>
          <w:sz w:val="20"/>
          <w:szCs w:val="20"/>
          <w:color w:val="auto"/>
        </w:rPr>
      </w:pPr>
    </w:p>
    <w:p>
      <w:pPr>
        <w:ind w:right="180" w:firstLine="441"/>
        <w:spacing w:after="0" w:line="284"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b w:val="1"/>
          <w:bCs w:val="1"/>
          <w:color w:val="auto"/>
        </w:rPr>
        <w:t>Principal Office.</w:t>
      </w:r>
      <w:r>
        <w:rPr>
          <w:rFonts w:ascii="Times New Roman" w:cs="Times New Roman" w:eastAsia="Times New Roman" w:hAnsi="Times New Roman"/>
          <w:sz w:val="17"/>
          <w:szCs w:val="17"/>
          <w:color w:val="auto"/>
        </w:rPr>
        <w:t xml:space="preserve"> The principal office for the transaction of the business of the Corporation shall be at 1750 Presidents Street, Reston, VA 20190. The Board of Directors (the “Board”) is hereby granted full power and authority to change said principal office from one location to another.</w:t>
      </w:r>
    </w:p>
    <w:p>
      <w:pPr>
        <w:spacing w:after="0" w:line="37" w:lineRule="exact"/>
        <w:rPr>
          <w:sz w:val="20"/>
          <w:szCs w:val="20"/>
          <w:color w:val="auto"/>
        </w:rPr>
      </w:pPr>
    </w:p>
    <w:p>
      <w:pPr>
        <w:ind w:right="28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b w:val="1"/>
          <w:bCs w:val="1"/>
          <w:color w:val="auto"/>
        </w:rPr>
        <w:t>Other Offices.</w:t>
      </w:r>
      <w:r>
        <w:rPr>
          <w:rFonts w:ascii="Times New Roman" w:cs="Times New Roman" w:eastAsia="Times New Roman" w:hAnsi="Times New Roman"/>
          <w:sz w:val="18"/>
          <w:szCs w:val="18"/>
          <w:color w:val="auto"/>
        </w:rPr>
        <w:t xml:space="preserve"> The Corporation may also have an office or offices at such other place or places, either within or without the State of Delaware, as the Board may from time to time determine or as the business of the Corporation may require.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80" w:lineRule="exact"/>
        <w:rPr>
          <w:sz w:val="20"/>
          <w:szCs w:val="20"/>
          <w:color w:val="auto"/>
        </w:rPr>
      </w:pPr>
    </w:p>
    <w:p>
      <w:pPr>
        <w:ind w:right="2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b w:val="1"/>
          <w:bCs w:val="1"/>
          <w:color w:val="auto"/>
        </w:rPr>
        <w:t>Annual Meetings.</w:t>
      </w:r>
      <w:r>
        <w:rPr>
          <w:rFonts w:ascii="Times New Roman" w:cs="Times New Roman" w:eastAsia="Times New Roman" w:hAnsi="Times New Roman"/>
          <w:sz w:val="18"/>
          <w:szCs w:val="18"/>
          <w:color w:val="auto"/>
        </w:rPr>
        <w:t xml:space="preserve"> An annual meeting of stockholders shall be held for the election of directors and to transact such other business as may properly be brought before the meeting.</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b w:val="1"/>
          <w:bCs w:val="1"/>
          <w:color w:val="auto"/>
        </w:rPr>
        <w:t>Special Meetings.</w:t>
      </w:r>
    </w:p>
    <w:p>
      <w:pPr>
        <w:spacing w:after="0" w:line="207" w:lineRule="exact"/>
        <w:rPr>
          <w:sz w:val="20"/>
          <w:szCs w:val="20"/>
          <w:color w:val="auto"/>
        </w:rPr>
      </w:pPr>
    </w:p>
    <w:p>
      <w:pPr>
        <w:ind w:right="60" w:firstLine="899"/>
        <w:spacing w:after="0" w:line="211" w:lineRule="auto"/>
        <w:tabs>
          <w:tab w:leader="none" w:pos="114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and shall be called by the Secretary of the Corporation following the Secretary’s receipt of written requests to call a meeting of stockholders (a “Special Meeting Request”) from one stockholder of record who owns, and has owned continuously for at least one (1) full year prior to the date of such Special Meeting Request, at least ten percent (10%), or from one or more stockholders of record who own, and have owned continuously for at least one (1) full year prior to the date of such Special Meeting Request, shares representing in the aggregate at least fifteen percent (15%), in each case of the combined voting power of the then outstanding shares of all classes and series of capital stock of the Corporation entitled to vote on the matter or matters to be brought before the proposed special meeting, voting as a single class, and who have delivered such requests in accordance with and subject to the provisions of these Bylaws (as amended from time to time), including any limitations set forth in these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w:t>
      </w:r>
    </w:p>
    <w:p>
      <w:pPr>
        <w:spacing w:after="0" w:line="61" w:lineRule="exact"/>
        <w:rPr>
          <w:rFonts w:ascii="Times New Roman" w:cs="Times New Roman" w:eastAsia="Times New Roman" w:hAnsi="Times New Roman"/>
          <w:sz w:val="19"/>
          <w:szCs w:val="19"/>
          <w:color w:val="auto"/>
        </w:rPr>
      </w:pPr>
    </w:p>
    <w:p>
      <w:pPr>
        <w:ind w:firstLine="899"/>
        <w:spacing w:after="0" w:line="211" w:lineRule="auto"/>
        <w:tabs>
          <w:tab w:leader="none" w:pos="115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determining whether Special Meeting Requests have met the requirements of this Section 2.02, multiple Special Meeting Requests will not be considered together if they relate to different items of business. Additionally, in order to be valid, all Special Meeting Requests must have been dated and delivered to the Secretary within sixty (60) days of the earliest dated Special Meeting Request. Business transacted at any special meeting of stockholders shall be limited to the purposes stated in the notice. A Special Meeting Request shall be signed by each stockholder, or duly authorized agent, requesting the special meeting and shall set forth: (i) a brief description of each matter of business desired to be brought before the special meeting and the reasons for conducting such business at the special meeting, (ii) the text of the proposal or business (including the text of any resolutions proposed for consideration and in the event that such business includes a proposal to amend these Bylaws, the language of the proposed amendment), (iii) any material interest of each stockholder and any beneficial owner on whose behalf the special meeting is being requested in the business desired to be brought before the special meeting, (iv) the name and address, as they appear on the Corporation's books, of each stockholder requesting the special meeting and any beneficial owner on whose behalf the special meeting is being requested, (v) the class and number of shares of the Corporation which are owned by each stockholder requesting the special meeting and any beneficial owner on whose behalf the special meeting is being requested, and (vi) any other information that is required to be set forth in a stockholder's notice required pursuant to Section 2.07 of these Bylaws and, if the purpose of the special meeting includes the appointment or election of one or more directors to the Board, Section 3.03(b) of these Bylaws.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20"/>
          </w:cols>
          <w:pgMar w:left="320" w:top="1440" w:right="359" w:bottom="1440" w:gutter="0" w:footer="0" w:header="0"/>
        </w:sectPr>
      </w:pPr>
    </w:p>
    <w:bookmarkStart w:id="131" w:name="page132"/>
    <w:bookmarkEnd w:id="131"/>
    <w:p>
      <w:pPr>
        <w:ind w:right="80" w:firstLine="891"/>
        <w:spacing w:after="0" w:line="216" w:lineRule="auto"/>
        <w:rPr>
          <w:sz w:val="20"/>
          <w:szCs w:val="20"/>
          <w:color w:val="auto"/>
        </w:rPr>
      </w:pPr>
      <w:r>
        <w:rPr>
          <w:rFonts w:ascii="Times New Roman" w:cs="Times New Roman" w:eastAsia="Times New Roman" w:hAnsi="Times New Roman"/>
          <w:sz w:val="19"/>
          <w:szCs w:val="19"/>
          <w:color w:val="auto"/>
        </w:rPr>
        <w:t>A stockholder may revoke a Special Meeting Request at any time prior to the special meeting; provided however, that if any such revocations are received by the Secretary and, as a result of such revocation, the number of un-revoked Special Meeting Requests no longer represents at least the requisite number of shares entitling the stockholders to request the calling of a special meeting pursuant to Section 2.02(a), then the Board shall have the discretion to determine whether or not to proceed with the special meeting. If none of the stockholders who submitted the Special Meeting Request appear or send a qualified representative (as defined in these Bylaws) to present the proposal(s) or business submitted by the stockholders for consideration at the special meeting, such proposal(s) or business shall be disregarded, notwithstanding that proxies in respect of such vote may have been received by the Corporation or such stockholder(s).</w:t>
      </w:r>
    </w:p>
    <w:p>
      <w:pPr>
        <w:spacing w:after="0" w:line="55" w:lineRule="exact"/>
        <w:rPr>
          <w:sz w:val="20"/>
          <w:szCs w:val="20"/>
          <w:color w:val="auto"/>
        </w:rPr>
      </w:pPr>
    </w:p>
    <w:p>
      <w:pPr>
        <w:ind w:right="40" w:firstLine="891"/>
        <w:spacing w:after="0" w:line="238" w:lineRule="auto"/>
        <w:rPr>
          <w:sz w:val="20"/>
          <w:szCs w:val="20"/>
          <w:color w:val="auto"/>
        </w:rPr>
      </w:pPr>
      <w:r>
        <w:rPr>
          <w:rFonts w:ascii="Times New Roman" w:cs="Times New Roman" w:eastAsia="Times New Roman" w:hAnsi="Times New Roman"/>
          <w:sz w:val="19"/>
          <w:szCs w:val="19"/>
          <w:color w:val="auto"/>
        </w:rPr>
        <w:t>A Special Meeting Request shall not be valid (and the Board shall have no obligation to call a special meeting in respect of such Special Meeting Request) if it relates to an item of business that is not a proper subject for stockholder action under applicable law.</w:t>
      </w:r>
    </w:p>
    <w:p>
      <w:pPr>
        <w:spacing w:after="0" w:line="53" w:lineRule="exact"/>
        <w:rPr>
          <w:sz w:val="20"/>
          <w:szCs w:val="20"/>
          <w:color w:val="auto"/>
        </w:rPr>
      </w:pPr>
    </w:p>
    <w:p>
      <w:pPr>
        <w:ind w:right="340" w:firstLine="891"/>
        <w:spacing w:after="0" w:line="238" w:lineRule="auto"/>
        <w:rPr>
          <w:sz w:val="20"/>
          <w:szCs w:val="20"/>
          <w:color w:val="auto"/>
        </w:rPr>
      </w:pPr>
      <w:r>
        <w:rPr>
          <w:rFonts w:ascii="Times New Roman" w:cs="Times New Roman" w:eastAsia="Times New Roman" w:hAnsi="Times New Roman"/>
          <w:sz w:val="19"/>
          <w:szCs w:val="19"/>
          <w:color w:val="auto"/>
        </w:rPr>
        <w:t>The Board shall determine the place, if any, and fix the date and time, of any stockholder requested special meeting. The Board may submit its own proposal or proposals for consideration at a stockholder requested special meeting.</w:t>
      </w:r>
    </w:p>
    <w:p>
      <w:pPr>
        <w:spacing w:after="0" w:line="192" w:lineRule="exact"/>
        <w:rPr>
          <w:sz w:val="20"/>
          <w:szCs w:val="20"/>
          <w:color w:val="auto"/>
        </w:rPr>
      </w:pPr>
    </w:p>
    <w:p>
      <w:pPr>
        <w:ind w:right="8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b w:val="1"/>
          <w:bCs w:val="1"/>
          <w:color w:val="auto"/>
        </w:rPr>
        <w:t>Time and Place of Meetings.</w:t>
      </w:r>
      <w:r>
        <w:rPr>
          <w:rFonts w:ascii="Times New Roman" w:cs="Times New Roman" w:eastAsia="Times New Roman" w:hAnsi="Times New Roman"/>
          <w:sz w:val="18"/>
          <w:szCs w:val="18"/>
          <w:color w:val="auto"/>
        </w:rPr>
        <w:t xml:space="preserve"> All meetings of the stockholders shall be held at such places, within or without the State of Delaware, on such date and at such time as may from time to time be designated by the person or persons calling the respective meeting and specified in the respective</w:t>
      </w:r>
    </w:p>
    <w:p>
      <w:pPr>
        <w:spacing w:after="0"/>
        <w:rPr>
          <w:sz w:val="20"/>
          <w:szCs w:val="20"/>
          <w:color w:val="auto"/>
        </w:rPr>
      </w:pPr>
      <w:r>
        <w:rPr>
          <w:rFonts w:ascii="Times New Roman" w:cs="Times New Roman" w:eastAsia="Times New Roman" w:hAnsi="Times New Roman"/>
          <w:sz w:val="18"/>
          <w:szCs w:val="18"/>
          <w:color w:val="auto"/>
        </w:rPr>
        <w:t>notices or waivers of notice thereof.</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b w:val="1"/>
          <w:bCs w:val="1"/>
          <w:color w:val="auto"/>
        </w:rPr>
        <w:t>Notice of Meetings and Adjourned Meetings; Waivers of Notice.</w:t>
      </w:r>
    </w:p>
    <w:p>
      <w:pPr>
        <w:spacing w:after="0" w:line="108" w:lineRule="exact"/>
        <w:rPr>
          <w:sz w:val="20"/>
          <w:szCs w:val="20"/>
          <w:color w:val="auto"/>
        </w:rPr>
      </w:pPr>
    </w:p>
    <w:p>
      <w:pPr>
        <w:ind w:firstLine="889"/>
        <w:spacing w:after="0" w:line="215" w:lineRule="auto"/>
        <w:tabs>
          <w:tab w:leader="none" w:pos="11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89" w:lineRule="exact"/>
        <w:rPr>
          <w:rFonts w:ascii="Times New Roman" w:cs="Times New Roman" w:eastAsia="Times New Roman" w:hAnsi="Times New Roman"/>
          <w:sz w:val="18"/>
          <w:szCs w:val="18"/>
          <w:color w:val="auto"/>
        </w:rPr>
      </w:pPr>
    </w:p>
    <w:p>
      <w:pPr>
        <w:ind w:right="120" w:firstLine="889"/>
        <w:spacing w:after="0" w:line="224" w:lineRule="auto"/>
        <w:tabs>
          <w:tab w:leader="none" w:pos="11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w:t>
      </w:r>
    </w:p>
    <w:p>
      <w:pPr>
        <w:spacing w:after="0" w:line="74" w:lineRule="exact"/>
        <w:rPr>
          <w:sz w:val="20"/>
          <w:szCs w:val="20"/>
          <w:color w:val="auto"/>
        </w:rPr>
      </w:pPr>
    </w:p>
    <w:p>
      <w:pPr>
        <w:ind w:right="54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b w:val="1"/>
          <w:bCs w:val="1"/>
          <w:color w:val="auto"/>
        </w:rPr>
        <w:t>Quorum.</w:t>
      </w:r>
      <w:r>
        <w:rPr>
          <w:rFonts w:ascii="Times New Roman" w:cs="Times New Roman" w:eastAsia="Times New Roman" w:hAnsi="Times New Roman"/>
          <w:sz w:val="17"/>
          <w:szCs w:val="17"/>
          <w:color w:val="auto"/>
        </w:rPr>
        <w:t xml:space="preserve"> Except as provided by Delaware Law, the holders of record of a majority in voting interest of the shares of stock of the Corporation entitled to be voted thereat, present in person or by proxy, shall constitute a quorum for the transaction of business at any meeting of the</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stockholders of the Corporation or any 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meeting from time to time. At any such adjourned meeting at which a quorum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any business may be transacted which might have been transacted at the meeting as originally called.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color w:val="auto"/>
        </w:rPr>
        <w:t>Voting.</w:t>
      </w:r>
    </w:p>
    <w:p>
      <w:pPr>
        <w:spacing w:after="0" w:line="108" w:lineRule="exact"/>
        <w:rPr>
          <w:sz w:val="20"/>
          <w:szCs w:val="20"/>
          <w:color w:val="auto"/>
        </w:rPr>
      </w:pPr>
    </w:p>
    <w:p>
      <w:pPr>
        <w:ind w:right="200" w:firstLine="889"/>
        <w:spacing w:after="0" w:line="231" w:lineRule="auto"/>
        <w:tabs>
          <w:tab w:leader="none" w:pos="11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w:t>
      </w:r>
    </w:p>
    <w:p>
      <w:pPr>
        <w:spacing w:after="0" w:line="77" w:lineRule="exact"/>
        <w:rPr>
          <w:rFonts w:ascii="Times New Roman" w:cs="Times New Roman" w:eastAsia="Times New Roman" w:hAnsi="Times New Roman"/>
          <w:sz w:val="18"/>
          <w:szCs w:val="18"/>
          <w:color w:val="auto"/>
        </w:rPr>
      </w:pPr>
    </w:p>
    <w:p>
      <w:pPr>
        <w:ind w:right="120" w:firstLine="1440"/>
        <w:spacing w:after="0" w:line="250" w:lineRule="auto"/>
        <w:tabs>
          <w:tab w:leader="none" w:pos="164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fixed pursuant to Section 6.05 of these Bylaws as the record date for the determination of stockholders entitled to notice of and to vote at such meeting,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396" w:right="339" w:bottom="1440" w:gutter="0" w:footer="0" w:header="0"/>
        </w:sectPr>
      </w:pPr>
    </w:p>
    <w:bookmarkStart w:id="132" w:name="page133"/>
    <w:bookmarkEnd w:id="132"/>
    <w:p>
      <w:pPr>
        <w:ind w:right="20" w:firstLine="1440"/>
        <w:spacing w:after="0" w:line="237" w:lineRule="auto"/>
        <w:tabs>
          <w:tab w:leader="none" w:pos="16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w:t>
      </w:r>
    </w:p>
    <w:p>
      <w:pPr>
        <w:spacing w:after="0" w:line="90" w:lineRule="exact"/>
        <w:rPr>
          <w:rFonts w:ascii="Times New Roman" w:cs="Times New Roman" w:eastAsia="Times New Roman" w:hAnsi="Times New Roman"/>
          <w:sz w:val="18"/>
          <w:szCs w:val="18"/>
          <w:color w:val="auto"/>
        </w:rPr>
      </w:pPr>
    </w:p>
    <w:p>
      <w:pPr>
        <w:ind w:right="140" w:firstLine="889"/>
        <w:spacing w:after="0" w:line="237"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77" w:lineRule="exact"/>
        <w:rPr>
          <w:rFonts w:ascii="Times New Roman" w:cs="Times New Roman" w:eastAsia="Times New Roman" w:hAnsi="Times New Roman"/>
          <w:sz w:val="18"/>
          <w:szCs w:val="18"/>
          <w:color w:val="auto"/>
        </w:rPr>
      </w:pPr>
    </w:p>
    <w:p>
      <w:pPr>
        <w:ind w:right="20" w:firstLine="889"/>
        <w:spacing w:after="0" w:line="217" w:lineRule="auto"/>
        <w:tabs>
          <w:tab w:leader="none" w:pos="11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voting rights may be exercised by the stockholder entitled thereto in person or by such stockholder’s proxy delivered to the secretary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proxy shall be voted or acted upon after three (3) years from its date unless said proxy shall provide for a longer period. At any meeting of the stockholders all matters, except as otherwise provided in the Certificate of Incorporation, these Bylaws, Delaware Law, the rules or regulations of any stock exchange applicable to the Corporation (the “Stock Exchange Rules”),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such stockholder’s proxy, if there be such proxy, and it shall state the number of shares voted.</w:t>
      </w:r>
    </w:p>
    <w:p>
      <w:pPr>
        <w:spacing w:after="0" w:line="78"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b w:val="1"/>
          <w:bCs w:val="1"/>
          <w:color w:val="auto"/>
        </w:rPr>
        <w:t>Business at Annual Meeting (other than the Election of Directors).</w:t>
      </w:r>
      <w:r>
        <w:rPr>
          <w:rFonts w:ascii="Times New Roman" w:cs="Times New Roman" w:eastAsia="Times New Roman" w:hAnsi="Times New Roman"/>
          <w:sz w:val="18"/>
          <w:szCs w:val="18"/>
          <w:color w:val="auto"/>
        </w:rPr>
        <w:t xml:space="preserve"> Only such business (other than nominations for election to the Board, which must comply with the provisions of Section 3.03(b) or Section 3.03(c)) may be transacted at an annual meeting of stockholders as is either (1)</w:t>
      </w:r>
    </w:p>
    <w:p>
      <w:pPr>
        <w:ind w:right="200"/>
        <w:spacing w:after="0" w:line="208" w:lineRule="auto"/>
        <w:rPr>
          <w:sz w:val="20"/>
          <w:szCs w:val="20"/>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(or any duly authorized committee thereof), (2) otherwise properly brought before the meeting by or at the direction of the Board (or any duly authorized committee thereof), or (3) otherwise properly brought before the meeting by a stockholder who is a stockholder of record at the time of the giving of notice provided for in this Section 2.07 and on the</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record date for the determination of stockholders entitled to notice of and to vote at the meeting and who complies with the notice procedures set forth in this Section 2.07.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notice as described above.</w:t>
      </w:r>
    </w:p>
    <w:p>
      <w:pPr>
        <w:spacing w:after="0" w:line="192" w:lineRule="exact"/>
        <w:rPr>
          <w:sz w:val="20"/>
          <w:szCs w:val="20"/>
          <w:color w:val="auto"/>
        </w:rPr>
      </w:pPr>
    </w:p>
    <w:p>
      <w:pPr>
        <w:ind w:right="400" w:firstLine="819"/>
        <w:spacing w:after="0" w:line="222" w:lineRule="auto"/>
        <w:rPr>
          <w:sz w:val="20"/>
          <w:szCs w:val="20"/>
          <w:color w:val="auto"/>
        </w:rPr>
      </w:pPr>
      <w:r>
        <w:rPr>
          <w:rFonts w:ascii="Times New Roman" w:cs="Times New Roman" w:eastAsia="Times New Roman" w:hAnsi="Times New Roman"/>
          <w:sz w:val="18"/>
          <w:szCs w:val="18"/>
          <w:color w:val="auto"/>
        </w:rPr>
        <w:t>A stockholder’s notice to the Secretary of the Corporation shall set forth: (a) as to each matter the stockholder proposes to bring before the annual meeting, a brief description of the business desired to be brought before the annual meeting and the reasons for conducting such business at the</w:t>
      </w:r>
    </w:p>
    <w:p>
      <w:pPr>
        <w:spacing w:after="0" w:line="2" w:lineRule="exact"/>
        <w:rPr>
          <w:sz w:val="20"/>
          <w:szCs w:val="20"/>
          <w:color w:val="auto"/>
        </w:rPr>
      </w:pP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annual meeting and the text of the business (including the text of any resolutions proposed for consideration and in the event that such business includes a proposal to amend these Bylaws, the language of the proposed amendment), and (b) as to the stockholder giving notice and the beneficial owner, if any, on whose behalf the proposal is being made, (i) the name and address of such person, (ii) (A) the class or series and number of all shares of stock of the</w:t>
      </w:r>
    </w:p>
    <w:p>
      <w:pPr>
        <w:spacing w:after="0" w:line="2" w:lineRule="exact"/>
        <w:rPr>
          <w:sz w:val="20"/>
          <w:szCs w:val="20"/>
          <w:color w:val="auto"/>
        </w:rPr>
      </w:pPr>
    </w:p>
    <w:p>
      <w:pPr>
        <w:jc w:val="both"/>
        <w:ind w:right="80"/>
        <w:spacing w:after="0" w:line="219" w:lineRule="auto"/>
        <w:rPr>
          <w:sz w:val="20"/>
          <w:szCs w:val="20"/>
          <w:color w:val="auto"/>
        </w:rPr>
      </w:pPr>
      <w:r>
        <w:rPr>
          <w:rFonts w:ascii="Times New Roman" w:cs="Times New Roman" w:eastAsia="Times New Roman" w:hAnsi="Times New Roman"/>
          <w:sz w:val="17"/>
          <w:szCs w:val="17"/>
          <w:color w:val="auto"/>
        </w:rPr>
        <w:t>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w:t>
      </w:r>
    </w:p>
    <w:p>
      <w:pPr>
        <w:spacing w:after="0" w:line="2" w:lineRule="exact"/>
        <w:rPr>
          <w:sz w:val="20"/>
          <w:szCs w:val="20"/>
          <w:color w:val="auto"/>
        </w:rPr>
      </w:pPr>
    </w:p>
    <w:p>
      <w:pPr>
        <w:ind w:right="320"/>
        <w:spacing w:after="0" w:line="220" w:lineRule="auto"/>
        <w:rPr>
          <w:sz w:val="20"/>
          <w:szCs w:val="20"/>
          <w:color w:val="auto"/>
        </w:rPr>
      </w:pPr>
      <w:r>
        <w:rPr>
          <w:rFonts w:ascii="Times New Roman" w:cs="Times New Roman" w:eastAsia="Times New Roman" w:hAnsi="Times New Roman"/>
          <w:sz w:val="17"/>
          <w:szCs w:val="17"/>
          <w:color w:val="auto"/>
        </w:rPr>
        <w:t>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w:t>
      </w:r>
    </w:p>
    <w:p>
      <w:pPr>
        <w:spacing w:after="0" w:line="2"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7"/>
          <w:szCs w:val="17"/>
          <w:color w:val="auto"/>
        </w:rPr>
        <w:t>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person or persons (including their names) in connection with the proposal of such business and any material interest of such person or any affiliates or associates of such person, in such business, including any anticipated benefit therefrom to such person, or any affiliates or associates of such person; (iv) whether the stockholder giving notice intends, or is part of a group that intends, to solicit proxies from other stockholders in support of such proposal; (v) a</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representation that the stockholder giving notice intends to appear in person or by proxy at the annual meeting to bring such business before the meeting; and (vi) any other information relating to</w:t>
      </w:r>
    </w:p>
    <w:p>
      <w:pPr>
        <w:spacing w:after="0" w:line="200" w:lineRule="exact"/>
        <w:rPr>
          <w:sz w:val="20"/>
          <w:szCs w:val="20"/>
          <w:color w:val="auto"/>
        </w:rPr>
      </w:pPr>
    </w:p>
    <w:p>
      <w:pPr>
        <w:spacing w:after="0" w:line="371"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404" w:right="339" w:bottom="1440" w:gutter="0" w:footer="0" w:header="0"/>
        </w:sectPr>
      </w:pPr>
    </w:p>
    <w:bookmarkStart w:id="133" w:name="page134"/>
    <w:bookmarkEnd w:id="133"/>
    <w:p>
      <w:pPr>
        <w:ind w:right="80"/>
        <w:spacing w:after="0" w:line="222" w:lineRule="auto"/>
        <w:rPr>
          <w:sz w:val="20"/>
          <w:szCs w:val="20"/>
          <w:color w:val="auto"/>
        </w:rPr>
      </w:pPr>
      <w:r>
        <w:rPr>
          <w:rFonts w:ascii="Times New Roman" w:cs="Times New Roman" w:eastAsia="Times New Roman" w:hAnsi="Times New Roman"/>
          <w:sz w:val="18"/>
          <w:szCs w:val="18"/>
          <w:color w:val="auto"/>
        </w:rPr>
        <w:t>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“Exchange Act”), and the rules and regulations promulgated thereunder.</w:t>
      </w:r>
    </w:p>
    <w:p>
      <w:pPr>
        <w:spacing w:after="0" w:line="200" w:lineRule="exact"/>
        <w:rPr>
          <w:sz w:val="20"/>
          <w:szCs w:val="20"/>
          <w:color w:val="auto"/>
        </w:rPr>
      </w:pPr>
    </w:p>
    <w:p>
      <w:pPr>
        <w:spacing w:after="0" w:line="235" w:lineRule="exact"/>
        <w:rPr>
          <w:sz w:val="20"/>
          <w:szCs w:val="20"/>
          <w:color w:val="auto"/>
        </w:rPr>
      </w:pPr>
    </w:p>
    <w:p>
      <w:pPr>
        <w:ind w:right="60" w:firstLine="819"/>
        <w:spacing w:after="0" w:line="222" w:lineRule="auto"/>
        <w:rPr>
          <w:sz w:val="20"/>
          <w:szCs w:val="20"/>
          <w:color w:val="auto"/>
        </w:rPr>
      </w:pPr>
      <w:r>
        <w:rPr>
          <w:rFonts w:ascii="Times New Roman" w:cs="Times New Roman" w:eastAsia="Times New Roman" w:hAnsi="Times New Roman"/>
          <w:sz w:val="18"/>
          <w:szCs w:val="18"/>
          <w:color w:val="auto"/>
        </w:rPr>
        <w:t>A stockholder providing notice of business proposed to be brought before an annual meeting shall further update and supplement such notice, if necessary, so that the information provided or required to be provided in such notice pursuant to this Section 2.07 shall be true and correct as of the record</w:t>
      </w:r>
    </w:p>
    <w:p>
      <w:pPr>
        <w:spacing w:after="0" w:line="2" w:lineRule="exact"/>
        <w:rPr>
          <w:sz w:val="20"/>
          <w:szCs w:val="20"/>
          <w:color w:val="auto"/>
        </w:rPr>
      </w:pPr>
    </w:p>
    <w:p>
      <w:pPr>
        <w:jc w:val="both"/>
        <w:ind w:right="220"/>
        <w:spacing w:after="0" w:line="220" w:lineRule="auto"/>
        <w:rPr>
          <w:sz w:val="20"/>
          <w:szCs w:val="20"/>
          <w:color w:val="auto"/>
        </w:rPr>
      </w:pPr>
      <w:r>
        <w:rPr>
          <w:rFonts w:ascii="Times New Roman" w:cs="Times New Roman" w:eastAsia="Times New Roman" w:hAnsi="Times New Roman"/>
          <w:sz w:val="17"/>
          <w:szCs w:val="17"/>
          <w:color w:val="auto"/>
        </w:rPr>
        <w:t>date for determining the stockholders entitled to receive notice of the annual meeting. Such update and supplement shall be delivered to or be mailed and received by the Secretary at the principal office of the Corporation not later than five business days after the record date for determining the stockholders entitled to receive notice of the annual meeting. Nothing contained in this Section 2.07 shall be deemed to affect any rights of stockholders to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inclusion of proposals in the Corporation’s proxy statement pursuant to Rule 14a-8 under the Exchange Act (or any successor provision of law).</w:t>
      </w:r>
    </w:p>
    <w:p>
      <w:pPr>
        <w:spacing w:after="0" w:line="12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Notwithstanding the foregoing provisions of this Section 2.07, unless otherwise required by law or the Board or the chair of the annual meeting</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determines otherwise,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these Bylaws, to be considered a “qualified representative” of the stockholder, a person must be</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9" w:lineRule="exact"/>
        <w:rPr>
          <w:sz w:val="20"/>
          <w:szCs w:val="20"/>
          <w:color w:val="auto"/>
        </w:rPr>
      </w:pPr>
    </w:p>
    <w:p>
      <w:pPr>
        <w:ind w:right="260" w:firstLine="819"/>
        <w:spacing w:after="0" w:line="226" w:lineRule="auto"/>
        <w:rPr>
          <w:sz w:val="20"/>
          <w:szCs w:val="20"/>
          <w:color w:val="auto"/>
        </w:rPr>
      </w:pPr>
      <w:r>
        <w:rPr>
          <w:rFonts w:ascii="Times New Roman" w:cs="Times New Roman" w:eastAsia="Times New Roman" w:hAnsi="Times New Roman"/>
          <w:sz w:val="18"/>
          <w:szCs w:val="18"/>
          <w:color w:val="auto"/>
        </w:rPr>
        <w:t>No business shall be conducted at the annual meeting except in accordance with the procedures set forth in this Section 2.07; provided, however, that nothing in this Section 2.07 shall be deemed to preclude discussion by any stockholder of any business properly brought before the annual meeting.</w:t>
      </w:r>
    </w:p>
    <w:p>
      <w:pPr>
        <w:spacing w:after="0" w:line="198" w:lineRule="exact"/>
        <w:rPr>
          <w:sz w:val="20"/>
          <w:szCs w:val="20"/>
          <w:color w:val="auto"/>
        </w:rPr>
      </w:pPr>
    </w:p>
    <w:p>
      <w:pPr>
        <w:ind w:right="200" w:firstLine="819"/>
        <w:spacing w:after="0" w:line="226" w:lineRule="auto"/>
        <w:rPr>
          <w:sz w:val="20"/>
          <w:szCs w:val="20"/>
          <w:color w:val="auto"/>
        </w:rPr>
      </w:pPr>
      <w:r>
        <w:rPr>
          <w:rFonts w:ascii="Times New Roman" w:cs="Times New Roman" w:eastAsia="Times New Roman" w:hAnsi="Times New Roman"/>
          <w:sz w:val="18"/>
          <w:szCs w:val="18"/>
          <w:color w:val="auto"/>
        </w:rPr>
        <w:t>The chair of the annual meeting shall, if the facts warrant, determine and declare to the meeting that business was not properly brought before the meeting in accordance with this Section 2.07 and if he should so determine, he shall so declare to the meeting and any such business not properly brought before the meeting shall not be transacted.</w:t>
      </w:r>
    </w:p>
    <w:p>
      <w:pPr>
        <w:spacing w:after="0" w:line="86" w:lineRule="exact"/>
        <w:rPr>
          <w:sz w:val="20"/>
          <w:szCs w:val="20"/>
          <w:color w:val="auto"/>
        </w:rPr>
      </w:pPr>
    </w:p>
    <w:p>
      <w:pPr>
        <w:ind w:right="4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2.08 </w:t>
      </w:r>
      <w:r>
        <w:rPr>
          <w:rFonts w:ascii="Times New Roman" w:cs="Times New Roman" w:eastAsia="Times New Roman" w:hAnsi="Times New Roman"/>
          <w:sz w:val="17"/>
          <w:szCs w:val="17"/>
          <w:b w:val="1"/>
          <w:bCs w:val="1"/>
          <w:color w:val="auto"/>
        </w:rPr>
        <w:t>List of Stockholders.</w:t>
      </w:r>
      <w:r>
        <w:rPr>
          <w:rFonts w:ascii="Times New Roman" w:cs="Times New Roman" w:eastAsia="Times New Roman" w:hAnsi="Times New Roman"/>
          <w:sz w:val="17"/>
          <w:szCs w:val="17"/>
          <w:color w:val="auto"/>
        </w:rPr>
        <w:t xml:space="preserve">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germane to the meeting, during ordinary business hours, for a period of at least ten (10) days prior to the meeting, as required by applicable law.</w:t>
      </w:r>
    </w:p>
    <w:p>
      <w:pPr>
        <w:spacing w:after="0" w:line="80" w:lineRule="exact"/>
        <w:rPr>
          <w:sz w:val="20"/>
          <w:szCs w:val="20"/>
          <w:color w:val="auto"/>
        </w:rPr>
      </w:pPr>
    </w:p>
    <w:p>
      <w:pPr>
        <w:ind w:right="36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xml:space="preserve"> Prior to each meeting of the stockholders, one or more inspectors shall be appointed by the Board, or, if no such appointment shall have been made, such inspectors shall be appointed by the chair of the meeting, to act thereat. Each inspector so appointed shall first</w:t>
      </w:r>
    </w:p>
    <w:p>
      <w:pPr>
        <w:ind w:right="60"/>
        <w:spacing w:after="0" w:line="220" w:lineRule="auto"/>
        <w:rPr>
          <w:sz w:val="20"/>
          <w:szCs w:val="20"/>
          <w:color w:val="auto"/>
        </w:rPr>
      </w:pPr>
      <w:r>
        <w:rPr>
          <w:rFonts w:ascii="Times New Roman" w:cs="Times New Roman" w:eastAsia="Times New Roman" w:hAnsi="Times New Roman"/>
          <w:sz w:val="17"/>
          <w:szCs w:val="17"/>
          <w:color w:val="auto"/>
        </w:rPr>
        <w:t>subscribe an oath or affirmation faithfully to execute the duties of an inspector at such meeting with strict impartiality and according to the best of such inspector’s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inspector on any question other than a vote for or against such officer’s election to any position with the Corporation or on any other question in which such officer may be directly interested other than as a stockholder.</w:t>
      </w:r>
    </w:p>
    <w:p>
      <w:pPr>
        <w:spacing w:after="0" w:line="72"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color w:val="auto"/>
        </w:rPr>
        <w:t>Regulations for Conduct of Stockholders Meeting.</w:t>
      </w:r>
      <w:r>
        <w:rPr>
          <w:rFonts w:ascii="Times New Roman" w:cs="Times New Roman" w:eastAsia="Times New Roman" w:hAnsi="Times New Roman"/>
          <w:sz w:val="18"/>
          <w:szCs w:val="18"/>
          <w:color w:val="auto"/>
        </w:rPr>
        <w:t xml:space="preserve"> The Board may adopt by resolution such rules and regulations for the conduct of the meeting of stockholders as it shall deem appropriate. Except to the extent inconsistent with such rules and regulations adopted by the Board, the chair of</w:t>
      </w:r>
    </w:p>
    <w:p>
      <w:pPr>
        <w:ind w:right="120"/>
        <w:spacing w:after="0" w:line="208" w:lineRule="auto"/>
        <w:rPr>
          <w:sz w:val="20"/>
          <w:szCs w:val="20"/>
          <w:color w:val="auto"/>
        </w:rPr>
      </w:pPr>
      <w:r>
        <w:rPr>
          <w:rFonts w:ascii="Times New Roman" w:cs="Times New Roman" w:eastAsia="Times New Roman" w:hAnsi="Times New Roman"/>
          <w:sz w:val="18"/>
          <w:szCs w:val="18"/>
          <w:color w:val="auto"/>
        </w:rPr>
        <w:t>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w:t>
      </w:r>
    </w:p>
    <w:p>
      <w:pPr>
        <w:spacing w:after="0" w:line="2"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1404" w:right="339" w:bottom="1440" w:gutter="0" w:footer="0" w:header="0"/>
        </w:sectPr>
      </w:pPr>
    </w:p>
    <w:bookmarkStart w:id="134" w:name="page135"/>
    <w:bookmarkEnd w:id="134"/>
    <w:p>
      <w:pPr>
        <w:ind w:right="2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b w:val="1"/>
          <w:bCs w:val="1"/>
          <w:color w:val="auto"/>
        </w:rPr>
        <w:t>General Powers.</w:t>
      </w:r>
      <w:r>
        <w:rPr>
          <w:rFonts w:ascii="Times New Roman" w:cs="Times New Roman" w:eastAsia="Times New Roman" w:hAnsi="Times New Roman"/>
          <w:sz w:val="17"/>
          <w:szCs w:val="17"/>
          <w:color w:val="auto"/>
        </w:rPr>
        <w:t xml:space="preserve"> The property, business and affairs of the Corporation shall be managed by or under the direction of the Board, who may exercise all such powers of the Corporation and do all such lawful acts and things as are not by Delaware Law, the Certificate of Incorporation or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 by the stockholders of the Corporation.</w:t>
      </w:r>
    </w:p>
    <w:p>
      <w:pPr>
        <w:spacing w:after="0" w:line="80" w:lineRule="exact"/>
        <w:rPr>
          <w:sz w:val="20"/>
          <w:szCs w:val="20"/>
          <w:color w:val="auto"/>
        </w:rPr>
      </w:pPr>
    </w:p>
    <w:p>
      <w:pPr>
        <w:ind w:right="16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color w:val="auto"/>
        </w:rPr>
        <w:t>Number.</w:t>
      </w:r>
      <w:r>
        <w:rPr>
          <w:rFonts w:ascii="Times New Roman" w:cs="Times New Roman" w:eastAsia="Times New Roman" w:hAnsi="Times New Roman"/>
          <w:sz w:val="18"/>
          <w:szCs w:val="18"/>
          <w:color w:val="auto"/>
        </w:rPr>
        <w:t xml:space="preserve"> The exact number of directors shall be fixed from time to time, within the limits specified in the Certificate of Incorporation, by resolution of the Board.</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color w:val="auto"/>
        </w:rPr>
        <w:t>Election of Directors.</w:t>
      </w:r>
    </w:p>
    <w:p>
      <w:pPr>
        <w:spacing w:after="0" w:line="104" w:lineRule="exact"/>
        <w:rPr>
          <w:sz w:val="20"/>
          <w:szCs w:val="20"/>
          <w:color w:val="auto"/>
        </w:rPr>
      </w:pPr>
    </w:p>
    <w:p>
      <w:pPr>
        <w:ind w:right="80" w:firstLine="889"/>
        <w:spacing w:after="0" w:line="221" w:lineRule="auto"/>
        <w:tabs>
          <w:tab w:leader="none" w:pos="11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The directors shall be elected annually by the stockholders of the Corporation. A nominee for director shall be elected by the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majority of votes cast with respect to such nominee’s election, except that directors shall be elected by a plurality of the votes cast in a contested election. An election is contested if the number of nominees exceeds the number of directors to be elected. For election of directors, a majority of the votes cast means that the number of votes cast “for” a nominee exceeds the votes cast “against” that nominee, without counting abstentions as votes cast. If directors are to be elected by a plurality vote, stockholders may not vote against a nominee.</w:t>
      </w:r>
    </w:p>
    <w:p>
      <w:pPr>
        <w:spacing w:after="0" w:line="86" w:lineRule="exact"/>
        <w:rPr>
          <w:rFonts w:ascii="Times New Roman" w:cs="Times New Roman" w:eastAsia="Times New Roman" w:hAnsi="Times New Roman"/>
          <w:sz w:val="18"/>
          <w:szCs w:val="18"/>
          <w:color w:val="auto"/>
        </w:rPr>
      </w:pPr>
    </w:p>
    <w:p>
      <w:pPr>
        <w:ind w:right="260" w:firstLine="889"/>
        <w:spacing w:after="0" w:line="212" w:lineRule="auto"/>
        <w:tabs>
          <w:tab w:leader="none" w:pos="113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Nomination of Directors. </w:t>
      </w:r>
      <w:r>
        <w:rPr>
          <w:rFonts w:ascii="Times New Roman" w:cs="Times New Roman" w:eastAsia="Times New Roman" w:hAnsi="Times New Roman"/>
          <w:sz w:val="18"/>
          <w:szCs w:val="18"/>
          <w:color w:val="auto"/>
        </w:rPr>
        <w:t>Only persons who are nominated in accordance with the following procedures shall be eligible for election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Corporation. Nominations of persons for election to the Board may be made at a meeting of stockholders (1) by or at the direction of the Board, (2) by the Corporate Governance and Ethics Committee (or any other duly authorized committee of the Board), (3) by any stockholder of the Corporation who is a stockholder of record at the time of the giving of notice provided for in this Section 3.03(b) and on the record date for the determination of stockholders entitled to notice of and to vote at such meeting and who complies with the notice procedures set forth in this Section</w:t>
      </w:r>
    </w:p>
    <w:p>
      <w:pPr>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3.03(b), or (4) by a Nominating Stockholder (as defined in these Bylaws) pursuant to Section 3.03(c). In addition to any other applicable requirements, for a nomination to be made by a stockholder, such stockholder must have given timely notice in writing to the Secretary of the Corporation. To be timely pursuant to this Section 3.03(b), a stockholder’s notice to the Secretary of the Corporation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190" w:lineRule="exact"/>
        <w:rPr>
          <w:sz w:val="20"/>
          <w:szCs w:val="20"/>
          <w:color w:val="auto"/>
        </w:rPr>
      </w:pPr>
    </w:p>
    <w:p>
      <w:pPr>
        <w:ind w:right="20" w:firstLine="819"/>
        <w:spacing w:after="0" w:line="222" w:lineRule="auto"/>
        <w:rPr>
          <w:sz w:val="20"/>
          <w:szCs w:val="20"/>
          <w:color w:val="auto"/>
        </w:rPr>
      </w:pPr>
      <w:r>
        <w:rPr>
          <w:rFonts w:ascii="Times New Roman" w:cs="Times New Roman" w:eastAsia="Times New Roman" w:hAnsi="Times New Roman"/>
          <w:sz w:val="18"/>
          <w:szCs w:val="18"/>
          <w:color w:val="auto"/>
        </w:rPr>
        <w:t>Such stockholder’s notice to the Secretary shall set forth: (i) as to each person whom the stockholder proposes to nominate for election or re-election as a director (A) the name, age, business address and residence address of such person, (B) the principal occupation or employment of such person,</w:t>
      </w:r>
    </w:p>
    <w:p>
      <w:pPr>
        <w:spacing w:after="0" w:line="2" w:lineRule="exact"/>
        <w:rPr>
          <w:sz w:val="20"/>
          <w:szCs w:val="20"/>
          <w:color w:val="auto"/>
        </w:rPr>
      </w:pPr>
    </w:p>
    <w:p>
      <w:pPr>
        <w:ind w:right="120" w:firstLine="8"/>
        <w:spacing w:after="0" w:line="210" w:lineRule="auto"/>
        <w:tabs>
          <w:tab w:leader="none" w:pos="2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class or series and number of all shares of stock of the Corporation which are owned beneficially or of record by such person and any affiliates or associates of such person, (2) the name of each nominee holder of shares of all stock of the Corporation owned beneficially but not of record by such person or any affiliates or associates of such person, and the number of such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and (D)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(ii) as to the stockholder giving the notice, and the beneficial owner, if any, on whose behalf the nomination is being made, (A) the name and record address of such person; (B) (1) the class or series and number of all shares of stock of the Corporation which are owned beneficially or of record by such person and any affiliates or associates of such person, (2) the name of each nominee holder of shares of the Corporation owned beneficially but not of record by such person or any affiliates or associates of such person, and the number of shares of stock of the Corporation held by each such nominee holder, (3)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(4) whether and the extent to which any other transaction, agreement, arrangement or understanding (including any short position or any borrowing or lending of shares of stock of the Corporation) has been made by or on behalf of such person, or any affiliates or associates of such</w:t>
      </w:r>
    </w:p>
    <w:p>
      <w:pPr>
        <w:spacing w:after="0" w:line="200" w:lineRule="exact"/>
        <w:rPr>
          <w:sz w:val="20"/>
          <w:szCs w:val="20"/>
          <w:color w:val="auto"/>
        </w:rPr>
      </w:pP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1400" w:right="339" w:bottom="1440" w:gutter="0" w:footer="0" w:header="0"/>
        </w:sectPr>
      </w:pPr>
    </w:p>
    <w:bookmarkStart w:id="135" w:name="page136"/>
    <w:bookmarkEnd w:id="135"/>
    <w:p>
      <w:pPr>
        <w:ind w:right="380"/>
        <w:spacing w:after="0" w:line="236" w:lineRule="auto"/>
        <w:rPr>
          <w:sz w:val="20"/>
          <w:szCs w:val="20"/>
          <w:color w:val="auto"/>
        </w:rPr>
      </w:pPr>
      <w:r>
        <w:rPr>
          <w:rFonts w:ascii="Times New Roman" w:cs="Times New Roman" w:eastAsia="Times New Roman" w:hAnsi="Times New Roman"/>
          <w:sz w:val="17"/>
          <w:szCs w:val="17"/>
          <w:color w:val="auto"/>
        </w:rPr>
        <w:t>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w:t>
      </w:r>
    </w:p>
    <w:p>
      <w:pPr>
        <w:spacing w:after="0" w:line="220" w:lineRule="auto"/>
        <w:rPr>
          <w:sz w:val="20"/>
          <w:szCs w:val="20"/>
          <w:color w:val="auto"/>
        </w:rPr>
      </w:pPr>
      <w:r>
        <w:rPr>
          <w:rFonts w:ascii="Times New Roman" w:cs="Times New Roman" w:eastAsia="Times New Roman" w:hAnsi="Times New Roman"/>
          <w:sz w:val="17"/>
          <w:szCs w:val="17"/>
          <w:color w:val="auto"/>
        </w:rPr>
        <w:t>associates of such person, with respect to stock of the Corporation; (C) a description of all agreements, arrangements, or understandings (whether written or oral) between such person, or any affiliates or associates of such person, and any proposed nominee or any other person or persons (including their names) pursuant to which the nomination(s) are being made by such person, and any material interest of such person, or any affiliates or associates of such person,</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in such nomination, including any anticipated benefit therefrom to such person, or any affiliates or associates of such person; (D) a representation that the stockholder giving notice intends to appear in person or by proxy at the meeting to nominate the persons named in its notice; (E) a representation whether such stockholder intends, or is part of a group that intends, to solicit proxies from other stockholders in support of such nomination; (F) a representation as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to whether or not the stockholder or beneficial owner, if any, intend to solicit proxies in support of director nominees other than the Corporation’s nominees in accordance with Rule 14a-19 promulgated under the Exchange Act; (G) upon request by the Corporation, if a stockholder provides notice pursuant to Rule 14a-19(b) promulgated under the Exchange Act, such shareholder shall deliver to the Corporation, no later than five (5) business days prior to the</w:t>
      </w:r>
    </w:p>
    <w:p>
      <w:pPr>
        <w:spacing w:after="0" w:line="206" w:lineRule="auto"/>
        <w:rPr>
          <w:sz w:val="20"/>
          <w:szCs w:val="20"/>
          <w:color w:val="auto"/>
        </w:rPr>
      </w:pPr>
      <w:r>
        <w:rPr>
          <w:rFonts w:ascii="Times New Roman" w:cs="Times New Roman" w:eastAsia="Times New Roman" w:hAnsi="Times New Roman"/>
          <w:sz w:val="18"/>
          <w:szCs w:val="18"/>
          <w:color w:val="auto"/>
        </w:rPr>
        <w:t>applicable meeting of shareholders, reasonable evidence that it has met the requirements of Rule 14a-19(a)(3) promulgated under the Exchange Act; and</w:t>
      </w:r>
    </w:p>
    <w:p>
      <w:pPr>
        <w:ind w:right="200" w:firstLine="8"/>
        <w:spacing w:after="0" w:line="215" w:lineRule="auto"/>
        <w:tabs>
          <w:tab w:leader="none" w:pos="2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The Corporation may require any proposed nominee to furnish such other information as may reasonably be required by the Corporation to determine the eligibility of such proposed nominee to serve as a director of the Corporation.</w:t>
      </w:r>
    </w:p>
    <w:p>
      <w:pPr>
        <w:spacing w:after="0" w:line="133" w:lineRule="exact"/>
        <w:rPr>
          <w:sz w:val="20"/>
          <w:szCs w:val="20"/>
          <w:color w:val="auto"/>
        </w:rPr>
      </w:pPr>
    </w:p>
    <w:p>
      <w:pPr>
        <w:ind w:firstLine="819"/>
        <w:spacing w:after="0" w:line="236" w:lineRule="auto"/>
        <w:rPr>
          <w:sz w:val="20"/>
          <w:szCs w:val="20"/>
          <w:color w:val="auto"/>
        </w:rPr>
      </w:pPr>
      <w:r>
        <w:rPr>
          <w:rFonts w:ascii="Times New Roman" w:cs="Times New Roman" w:eastAsia="Times New Roman" w:hAnsi="Times New Roman"/>
          <w:sz w:val="17"/>
          <w:szCs w:val="17"/>
          <w:color w:val="auto"/>
        </w:rPr>
        <w:t>A stockholder providing notice of any nomination proposed to be made at a meeting of stockholders shall further update and supplement such notice, if necessary, so that the information provided or required to be provided in such notice pursuant to this Section 3.03(b) shall be true and correct as of</w:t>
      </w:r>
    </w:p>
    <w:p>
      <w:pPr>
        <w:ind w:right="260"/>
        <w:spacing w:after="0" w:line="218" w:lineRule="auto"/>
        <w:rPr>
          <w:sz w:val="20"/>
          <w:szCs w:val="20"/>
          <w:color w:val="auto"/>
        </w:rPr>
      </w:pPr>
      <w:r>
        <w:rPr>
          <w:rFonts w:ascii="Times New Roman" w:cs="Times New Roman" w:eastAsia="Times New Roman" w:hAnsi="Times New Roman"/>
          <w:sz w:val="18"/>
          <w:szCs w:val="18"/>
          <w:color w:val="auto"/>
        </w:rPr>
        <w:t>the record date for determining the stockholders entitled to receive notice of the meeting. Such update and supplement shall be delivered to or be mailed and received by the Secretary at the principal office of the Corporation not later than five business days after the record date for determining the stockholders entitled to receive notice of such meeting.</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Unless otherwise required by law, if any stockholder (i) provides notice pursuant to Rule 14a-19(b) promulgated under the Exchange Act and</w:t>
      </w:r>
    </w:p>
    <w:p>
      <w:pPr>
        <w:ind w:right="180" w:firstLine="8"/>
        <w:spacing w:after="0" w:line="226"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fails to comply with any requirements of Rule 14a-19 promulgated under the Exchange Act or any other rules or regulations thereunder, then the Corporation shall disregard any proxies or votes solicited for such nominees and such nomination shall be disregarded.</w:t>
      </w:r>
    </w:p>
    <w:p>
      <w:pPr>
        <w:spacing w:after="0" w:line="198" w:lineRule="exact"/>
        <w:rPr>
          <w:sz w:val="20"/>
          <w:szCs w:val="20"/>
          <w:color w:val="auto"/>
        </w:rPr>
      </w:pPr>
    </w:p>
    <w:p>
      <w:pPr>
        <w:ind w:firstLine="819"/>
        <w:spacing w:after="0" w:line="229" w:lineRule="auto"/>
        <w:rPr>
          <w:sz w:val="20"/>
          <w:szCs w:val="20"/>
          <w:color w:val="auto"/>
        </w:rPr>
      </w:pPr>
      <w:r>
        <w:rPr>
          <w:rFonts w:ascii="Times New Roman" w:cs="Times New Roman" w:eastAsia="Times New Roman" w:hAnsi="Times New Roman"/>
          <w:sz w:val="17"/>
          <w:szCs w:val="17"/>
          <w:color w:val="auto"/>
        </w:rPr>
        <w:t>No person shall be eligible for election as a director of the Corporation unless nominated in accordance with the procedures set forth in this Section 3.03(b) or Section 3.03(c). Notwithstanding anything above to the contrary, in the event that the number of directors to be elected to the Board at an annual meeting is increased and there is no public announcement by the Corporation naming the nominees for the additional directorships at least 100 days</w:t>
      </w:r>
    </w:p>
    <w:p>
      <w:pPr>
        <w:ind w:right="60"/>
        <w:spacing w:after="0" w:line="220" w:lineRule="auto"/>
        <w:rPr>
          <w:sz w:val="20"/>
          <w:szCs w:val="20"/>
          <w:color w:val="auto"/>
        </w:rPr>
      </w:pPr>
      <w:r>
        <w:rPr>
          <w:rFonts w:ascii="Times New Roman" w:cs="Times New Roman" w:eastAsia="Times New Roman" w:hAnsi="Times New Roman"/>
          <w:sz w:val="17"/>
          <w:szCs w:val="17"/>
          <w:color w:val="auto"/>
        </w:rPr>
        <w:t>prior to the first anniversary of the preceding year’s annual meeting, a stockholder’s notice required by this Section 3.03(b) shall also be considered timely, but only with respect to nominees for the additional directorships, if it shall be delivered to the Secretary of the Corporation at the principal executive offices of the Corporation not later than the close of business on the 10th day following the day on which such public announcement is first made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w:t>
      </w:r>
    </w:p>
    <w:p>
      <w:pPr>
        <w:spacing w:after="0" w:line="192" w:lineRule="exact"/>
        <w:rPr>
          <w:sz w:val="20"/>
          <w:szCs w:val="20"/>
          <w:color w:val="auto"/>
        </w:rPr>
      </w:pPr>
    </w:p>
    <w:p>
      <w:pPr>
        <w:ind w:right="40" w:firstLine="819"/>
        <w:spacing w:after="0" w:line="237" w:lineRule="auto"/>
        <w:rPr>
          <w:sz w:val="20"/>
          <w:szCs w:val="20"/>
          <w:color w:val="auto"/>
        </w:rPr>
      </w:pPr>
      <w:r>
        <w:rPr>
          <w:rFonts w:ascii="Times New Roman" w:cs="Times New Roman" w:eastAsia="Times New Roman" w:hAnsi="Times New Roman"/>
          <w:sz w:val="18"/>
          <w:szCs w:val="18"/>
          <w:color w:val="auto"/>
        </w:rPr>
        <w:t>The chair of the meeting shall, if the facts warrant, determine and declare to the meeting that a nomination was not made in accordance with the foregoing procedure and, if the chair should so determine, the chair shall so declare to the meeting, and the defective nomination shall be disregarded.</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Notwithstanding the foregoing provisions of this Section 3.03(b), unless otherwise required by applicable law or the Board or the chair of the</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annual meeting determines otherwise,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w:t>
      </w:r>
    </w:p>
    <w:p>
      <w:pPr>
        <w:spacing w:after="0" w:line="195" w:lineRule="exact"/>
        <w:rPr>
          <w:sz w:val="20"/>
          <w:szCs w:val="20"/>
          <w:color w:val="auto"/>
        </w:rPr>
      </w:pPr>
    </w:p>
    <w:p>
      <w:pPr>
        <w:ind w:left="1080" w:hanging="253"/>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Nominations of Directors Included in the Corporation’s Proxy Materials.</w:t>
      </w:r>
    </w:p>
    <w:p>
      <w:pPr>
        <w:spacing w:after="0" w:line="215" w:lineRule="exact"/>
        <w:rPr>
          <w:rFonts w:ascii="Times New Roman" w:cs="Times New Roman" w:eastAsia="Times New Roman" w:hAnsi="Times New Roman"/>
          <w:sz w:val="18"/>
          <w:szCs w:val="18"/>
          <w:color w:val="auto"/>
        </w:rPr>
      </w:pPr>
    </w:p>
    <w:p>
      <w:pPr>
        <w:ind w:firstLine="1440"/>
        <w:spacing w:after="0" w:line="220" w:lineRule="auto"/>
        <w:tabs>
          <w:tab w:leader="none" w:pos="16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3.03(c), if expressly requested in the relevant Nomination Notice (as defined below), the Corporation shall include in its proxy statement for any annual meeting of stockholders (but not at any special meeting of stockholders): (A) the name of any person nominated for election (the “Stockholder Nominee”), which shall also be included on the Corporation’s form of proxy and ballot, by any Eligible Stockholder (as defined below) or group of up to 20 Eligible Stockholders that, as determined by the Board or its designee acting in good faith, has (individually and collectively, in the case of a group) satisfied all applicable conditions and complied with all applicable procedures set forth in this Section 3.03(c) (such Eligible Stockholder or</w:t>
      </w:r>
    </w:p>
    <w:p>
      <w:pPr>
        <w:spacing w:after="0" w:line="200" w:lineRule="exact"/>
        <w:rPr>
          <w:sz w:val="20"/>
          <w:szCs w:val="20"/>
          <w:color w:val="auto"/>
        </w:rPr>
      </w:pP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20"/>
          </w:cols>
          <w:pgMar w:left="320" w:top="1404" w:right="359" w:bottom="1440" w:gutter="0" w:footer="0" w:header="0"/>
        </w:sectPr>
      </w:pPr>
    </w:p>
    <w:bookmarkStart w:id="136" w:name="page137"/>
    <w:bookmarkEnd w:id="136"/>
    <w:p>
      <w:pPr>
        <w:ind w:right="500"/>
        <w:spacing w:after="0" w:line="222" w:lineRule="auto"/>
        <w:rPr>
          <w:sz w:val="20"/>
          <w:szCs w:val="20"/>
          <w:color w:val="auto"/>
        </w:rPr>
      </w:pPr>
      <w:r>
        <w:rPr>
          <w:rFonts w:ascii="Times New Roman" w:cs="Times New Roman" w:eastAsia="Times New Roman" w:hAnsi="Times New Roman"/>
          <w:sz w:val="18"/>
          <w:szCs w:val="18"/>
          <w:color w:val="auto"/>
        </w:rPr>
        <w:t>group of Eligible Stockholders being a “Nominating Stockholder”); (B) disclosure about the Stockholder Nominee and the Nominating Stockholder required under the rules of the Securities and Exchange Commission or other applicable law to be included in the proxy statement; (C) any statement</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included by the Nominating Stockholder in the Nomination Notice for inclusion in the proxy statement in support of the Stockholder Nominee’s election to the Board (subject, without limitation, to Section 3.03(c)(v)(B)), provided that such statement does not exceed 500 words; and (D) any other information that the Corporation or the Board determines, in their discretion, to include in the proxy statement relating to the nomination of the Stockholder Nominee,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without limitation, any statement in opposition to the nomination and any of the information provided pursuant to this Section 3.03(c).</w:t>
      </w:r>
    </w:p>
    <w:p>
      <w:pPr>
        <w:spacing w:after="0" w:line="192" w:lineRule="exact"/>
        <w:rPr>
          <w:sz w:val="20"/>
          <w:szCs w:val="20"/>
          <w:color w:val="auto"/>
        </w:rPr>
      </w:pPr>
    </w:p>
    <w:p>
      <w:pPr>
        <w:ind w:right="80" w:firstLine="1440"/>
        <w:spacing w:after="0" w:line="216" w:lineRule="auto"/>
        <w:tabs>
          <w:tab w:leader="none" w:pos="20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Corporation shall not be required to include in the proxy statement for an annual meeting of stockholders more Stockholder Nominees than that number of directors constituting 20% of the total number of directors of the Corporation on the last day on which a Nomination Notice may be submitted pursuant to this Section 3.03(c) (rounded down to the nearest whole number), but, in any event, not fewer than two (the “Maximum Number”). The Maximum Number for a particular annual meeting shall be reduced by: (1) Stockholder Nominees whose nominations are subsequently withdrawn; (2) Stockholder Nominees who the Board itself decides to nominate for election at such annual meeting and (3) the number of incumbent directors who had been Stockholder Nominees at any of the preceding two annual meetings of stockholders and whose reelection at the upcoming annual meeting of stockholders is being recommended by the Board. In the event that one or more vacancies for any reason occurs on the Board after the deadline set forth in Section 3.03(c)(iv) but before the date of the annual meeting of stockholders and the Board resolves to reduce the size of the Board in connection therewith, the Maximum Number shall be calculated based on the number of directors in office as so reduced.</w:t>
      </w:r>
    </w:p>
    <w:p>
      <w:pPr>
        <w:spacing w:after="0" w:line="186" w:lineRule="exact"/>
        <w:rPr>
          <w:rFonts w:ascii="Times New Roman" w:cs="Times New Roman" w:eastAsia="Times New Roman" w:hAnsi="Times New Roman"/>
          <w:sz w:val="18"/>
          <w:szCs w:val="18"/>
          <w:color w:val="auto"/>
        </w:rPr>
      </w:pPr>
    </w:p>
    <w:p>
      <w:pPr>
        <w:ind w:right="80" w:firstLine="1620"/>
        <w:spacing w:after="0" w:line="214" w:lineRule="auto"/>
        <w:tabs>
          <w:tab w:leader="none" w:pos="18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Stockholder Nominees pursuant to this Section 3.03(c) for any annual meeting of stockholders exceeds the Maximum Number then, promptly upon notice from the Corporation, each Nominating Stockholder will select one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Stockholder Nominee. If, after the deadline for submitting a Nomination Notice as set forth in Section</w:t>
      </w:r>
    </w:p>
    <w:p>
      <w:pPr>
        <w:spacing w:after="0" w:line="1" w:lineRule="exact"/>
        <w:rPr>
          <w:rFonts w:ascii="Times New Roman" w:cs="Times New Roman" w:eastAsia="Times New Roman" w:hAnsi="Times New Roman"/>
          <w:sz w:val="18"/>
          <w:szCs w:val="18"/>
          <w:color w:val="auto"/>
        </w:rPr>
      </w:pPr>
    </w:p>
    <w:p>
      <w:pPr>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3.03(c)(iv), a Nominating Stockholder becomes ineligible or withdraws its nomination or a Stockholder Nominee becomes ineligible or unwilling to serve on the Board, whether before or after the mailing of the definitive proxy statement, then the Corporation: (1) shall not be required to include in its proxy statement or on any ballot or form of proxy the Stockholder Nominee or any successor or replacement nominee proposed by the Nominating Stockholder or by any other Nominating Stockholder and (2)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spacing w:after="0" w:line="200" w:lineRule="exact"/>
        <w:rPr>
          <w:rFonts w:ascii="Times New Roman" w:cs="Times New Roman" w:eastAsia="Times New Roman" w:hAnsi="Times New Roman"/>
          <w:sz w:val="18"/>
          <w:szCs w:val="18"/>
          <w:color w:val="auto"/>
        </w:rPr>
      </w:pPr>
    </w:p>
    <w:p>
      <w:pPr>
        <w:ind w:right="160" w:firstLine="1440"/>
        <w:spacing w:after="0" w:line="220" w:lineRule="auto"/>
        <w:tabs>
          <w:tab w:leader="none" w:pos="19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“Eligible Stockholder” is a person who has either (1) been a record holder of the shares of common stock of the Corporation used to satisfy the eligibility requirements in this Section 3.03(c) continuously for the three-year period specified in Section 3.03(c)(iii)(B) below or (2) provides to the Secretary of the Corporation, within the time period referred to in Section 3.03(c)(iv), evidence of continuous ownership of such shares for such three-year period from one or more securities intermediaries in a form that the Board or its designee, acting in good faith, determines acceptable.</w:t>
      </w:r>
    </w:p>
    <w:p>
      <w:pPr>
        <w:spacing w:after="0" w:line="185"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Stockholder or group of up to 20 Eligible Stockholders may submit a nomination in accordance with this Section</w:t>
      </w:r>
    </w:p>
    <w:p>
      <w:pPr>
        <w:spacing w:after="0" w:line="2"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8"/>
          <w:szCs w:val="18"/>
          <w:color w:val="auto"/>
        </w:rPr>
        <w:t>3.03(c)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stockholders. The following shall be treated as one Eligible Stockholder if such Eligible Stockholder shall provide together with the Nomination</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Notice documentation satisfactory to the Board or its designee, acting in good faith, that demonstrates compliance with the following criteria: (1) funds under common management and investment control; (2) funds under common management and funded primarily by the same employer; or (3) a “family of investment companies” or a “group of investment companies” (each as defined in the Investment Company Act of 1940, as amended). For the avoidance of</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doubt, in the event of a nomination by a Nominating Stockholder that includes more than one Eligible Stockholder, any and all requirements and obligations for a given Eligible Stockholder or, except as the context otherwise makes clear, the Nominating Stockholder that are set forth in this Section 3.03(c), including the minimum holding period, shall apply to each member of such group; provided, however, that the Minimum Number shall apply to</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the aggregate ownership of the group of Eligible Stockholders constituting the Nominating Stockholder. Should any Eligible Stockholder withdraw from a group of Eligible Stockholders constituting a Nominating Stockholder at any time prior to the annual meeting of stockholders, the Nominating Stockholder shall be deemed to own only the shares held by the remaining Eligible Stockholders. As used in this Section 3.03(c), any reference to a</w:t>
      </w: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1404" w:right="339" w:bottom="1440" w:gutter="0" w:footer="0" w:header="0"/>
        </w:sectPr>
      </w:pPr>
    </w:p>
    <w:bookmarkStart w:id="137" w:name="page138"/>
    <w:bookmarkEnd w:id="137"/>
    <w:p>
      <w:pPr>
        <w:ind w:right="560"/>
        <w:spacing w:after="0" w:line="237" w:lineRule="auto"/>
        <w:rPr>
          <w:sz w:val="20"/>
          <w:szCs w:val="20"/>
          <w:color w:val="auto"/>
        </w:rPr>
      </w:pPr>
      <w:r>
        <w:rPr>
          <w:rFonts w:ascii="Times New Roman" w:cs="Times New Roman" w:eastAsia="Times New Roman" w:hAnsi="Times New Roman"/>
          <w:sz w:val="18"/>
          <w:szCs w:val="18"/>
          <w:color w:val="auto"/>
        </w:rPr>
        <w:t>“group” or “group of Eligible Stockholders” refers to any Nominating Stockholder that consists of more than one Eligible Stockholder and to all the Eligible Stockholders that make up such Nominating Stockholder.</w:t>
      </w:r>
    </w:p>
    <w:p>
      <w:pPr>
        <w:spacing w:after="0" w:line="199" w:lineRule="exact"/>
        <w:rPr>
          <w:sz w:val="20"/>
          <w:szCs w:val="20"/>
          <w:color w:val="auto"/>
        </w:rPr>
      </w:pPr>
    </w:p>
    <w:p>
      <w:pPr>
        <w:jc w:val="both"/>
        <w:ind w:right="600" w:firstLine="1620"/>
        <w:spacing w:after="0" w:line="226" w:lineRule="auto"/>
        <w:tabs>
          <w:tab w:leader="none" w:pos="189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Number” of shares of the Corporation’s common stock means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198" w:lineRule="exact"/>
        <w:rPr>
          <w:rFonts w:ascii="Times New Roman" w:cs="Times New Roman" w:eastAsia="Times New Roman" w:hAnsi="Times New Roman"/>
          <w:sz w:val="18"/>
          <w:szCs w:val="18"/>
          <w:color w:val="auto"/>
        </w:rPr>
      </w:pPr>
    </w:p>
    <w:p>
      <w:pPr>
        <w:ind w:right="20" w:firstLine="1620"/>
        <w:spacing w:after="0" w:line="235" w:lineRule="auto"/>
        <w:tabs>
          <w:tab w:leader="none" w:pos="190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3.03(c), an Eligible Stockholder “owns” only those outstanding shares of the Corporation’s common stock as to which such Eligible Stockholder possesses both: (1) the full voting and investment rights pertaining to such shares and (2) the full economic interest in (including the opportunity for profit from and the risk of loss on) such shares; provided that the number of shares calculated in accordance with clauses (1) and (2) shall not include any shares (x) sold by such Eligible Stockholder or any of its affiliates in any transaction that has not been settled or closed, (y) borrowed by such Eligible Stockholder or any of its affiliates for any purpose or purchased by such Eligible Stockholder or any of its affiliates pursuant to an agreement to resell, or (z)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(aa) reducing in any manner, to any extent or at any time in the future, such Eligible Stockholder’s or any of its affiliates’ full right to vote or direct the voting of any such shares, and/or (bb)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provided that the Eligible Stockholder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or its designee acting in good faith. For purposes of this Section</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3.03(c)(iii)(D), the term “affiliate” or “affiliates” shall have the meaning ascribed thereto under the General Rules and Regulations under the Exchange Act.</w:t>
      </w:r>
    </w:p>
    <w:p>
      <w:pPr>
        <w:spacing w:after="0" w:line="191" w:lineRule="exact"/>
        <w:rPr>
          <w:rFonts w:ascii="Times New Roman" w:cs="Times New Roman" w:eastAsia="Times New Roman" w:hAnsi="Times New Roman"/>
          <w:sz w:val="17"/>
          <w:szCs w:val="17"/>
          <w:color w:val="auto"/>
        </w:rPr>
      </w:pPr>
    </w:p>
    <w:p>
      <w:pPr>
        <w:ind w:right="260" w:firstLine="1620"/>
        <w:spacing w:after="0" w:line="231" w:lineRule="auto"/>
        <w:tabs>
          <w:tab w:leader="none" w:pos="188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Stockholder shall be permitted to be in more than one group constituting a Nominating Stockholder, and if any Eligible Stockholder appears as a member of more than one group, such Eligible Stockholder shall be deemed to be a member of only the group that has the largest ownership position as reflected in the Nomination Notice.</w:t>
      </w:r>
    </w:p>
    <w:p>
      <w:pPr>
        <w:spacing w:after="0" w:line="185" w:lineRule="exact"/>
        <w:rPr>
          <w:rFonts w:ascii="Times New Roman" w:cs="Times New Roman" w:eastAsia="Times New Roman" w:hAnsi="Times New Roman"/>
          <w:sz w:val="18"/>
          <w:szCs w:val="18"/>
          <w:color w:val="auto"/>
        </w:rPr>
      </w:pPr>
    </w:p>
    <w:p>
      <w:pPr>
        <w:ind w:right="80" w:firstLine="1434"/>
        <w:spacing w:after="0" w:line="215" w:lineRule="auto"/>
        <w:tabs>
          <w:tab w:leader="none" w:pos="173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nominate a Stockholder Nominee pursuant to this Section 3.03(c), the Nominating Stockholder must submit to the Secretary of the Corporation all of the following information and documents in a form that the Board or its designee, acting in good faith, determines acceptable (collectively, the “Nomination Notice”), not less than 120 days nor more than 150 days prior to the anniversary of the date that the Corporation mailed its proxy statement for the prior year’s annual meeting of stockholders; provided, however, that if (and only if) the annual meeting of stockholders is not scheduled to be held within a period that commences 30 days before the first anniversary date of the preceding year’s annual meeting of stockholders and ends 30 days after the first anniversary date of the preceding year’s annual meeting of stockholders (an annual meeting date outside such period being referred to herein as an “Other Meeting Date”), the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announcement thereof, commence a new time period (or extend any time period) for the giving of the Nomination Notice):</w:t>
      </w:r>
    </w:p>
    <w:p>
      <w:pPr>
        <w:spacing w:after="0" w:line="184" w:lineRule="exact"/>
        <w:rPr>
          <w:rFonts w:ascii="Times New Roman" w:cs="Times New Roman" w:eastAsia="Times New Roman" w:hAnsi="Times New Roman"/>
          <w:sz w:val="18"/>
          <w:szCs w:val="18"/>
          <w:color w:val="auto"/>
        </w:rPr>
      </w:pPr>
    </w:p>
    <w:p>
      <w:pPr>
        <w:ind w:firstLine="1875"/>
        <w:spacing w:after="0" w:line="220" w:lineRule="auto"/>
        <w:tabs>
          <w:tab w:leader="none" w:pos="216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shares (and from each intermediary through which the shares are or have been held during the requisite three-year holding period) verifying that, as of a date within seven (7) calendar days prior to the date of the Nomination 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w:t>
      </w:r>
    </w:p>
    <w:p>
      <w:pPr>
        <w:spacing w:after="0" w:line="198" w:lineRule="exact"/>
        <w:rPr>
          <w:rFonts w:ascii="Times New Roman" w:cs="Times New Roman" w:eastAsia="Times New Roman" w:hAnsi="Times New Roman"/>
          <w:sz w:val="18"/>
          <w:szCs w:val="18"/>
          <w:color w:val="auto"/>
        </w:rPr>
      </w:pPr>
    </w:p>
    <w:p>
      <w:pPr>
        <w:ind w:right="240" w:firstLine="1875"/>
        <w:spacing w:after="0" w:line="237" w:lineRule="auto"/>
        <w:tabs>
          <w:tab w:leader="none" w:pos="215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provide immediate notice if the Nominating Stockholder ceases to own the Minimum Number of shares at any time prior to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404" w:right="339" w:bottom="1440" w:gutter="0" w:footer="0" w:header="0"/>
        </w:sectPr>
      </w:pPr>
    </w:p>
    <w:bookmarkStart w:id="138" w:name="page139"/>
    <w:bookmarkEnd w:id="138"/>
    <w:p>
      <w:pPr>
        <w:jc w:val="both"/>
        <w:ind w:right="520" w:firstLine="1875"/>
        <w:spacing w:after="0" w:line="237" w:lineRule="auto"/>
        <w:tabs>
          <w:tab w:leader="none" w:pos="21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(or any successor form) relating to the Stockholder Nominee, completed and filed with the Securities and Exchange Commission by the Nominating Stockholder as applicable, in accordance with Securities and Exchange Commission rules;</w:t>
      </w:r>
    </w:p>
    <w:p>
      <w:pPr>
        <w:spacing w:after="0" w:line="198" w:lineRule="exact"/>
        <w:rPr>
          <w:rFonts w:ascii="Times New Roman" w:cs="Times New Roman" w:eastAsia="Times New Roman" w:hAnsi="Times New Roman"/>
          <w:sz w:val="18"/>
          <w:szCs w:val="18"/>
          <w:color w:val="auto"/>
        </w:rPr>
      </w:pPr>
    </w:p>
    <w:p>
      <w:pPr>
        <w:ind w:right="280" w:firstLine="1875"/>
        <w:spacing w:after="0" w:line="237" w:lineRule="auto"/>
        <w:tabs>
          <w:tab w:leader="none" w:pos="216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Stockholder Nominee to being named in the Corporation’s proxy statement, form of proxy and ballot as a nominee and to serving as a director if elected;</w:t>
      </w:r>
    </w:p>
    <w:p>
      <w:pPr>
        <w:spacing w:after="0" w:line="185" w:lineRule="exact"/>
        <w:rPr>
          <w:rFonts w:ascii="Times New Roman" w:cs="Times New Roman" w:eastAsia="Times New Roman" w:hAnsi="Times New Roman"/>
          <w:sz w:val="18"/>
          <w:szCs w:val="18"/>
          <w:color w:val="auto"/>
        </w:rPr>
      </w:pPr>
    </w:p>
    <w:p>
      <w:pPr>
        <w:ind w:firstLine="1875"/>
        <w:spacing w:after="0" w:line="210" w:lineRule="auto"/>
        <w:tabs>
          <w:tab w:leader="none" w:pos="21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notice of the nomination of such Stockholder Nominee that includes the following additional information, agreements, representations and warranties by the Nominating Stockholder (including, for the avoidance of doubt, each group member in the case of a Nominating Stockholder consisting of a group of Eligible Stockholders): (1) the information that would be required to be set forth in a stockholder’s notice of nomination pursuant to Section 3.03(b); (2) the details of any relationship that existed within the past three years and that would have been described pursuant to Item 6(e) of Schedule 14N (or any successor item) if it existed on the date of submission of the Schedule 14N; (3) a representation and warranty that the Nominating Stockholder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14a-(l)(2)(iv)) with respect to the annual meeting, other than with respect to such Nominating Stockholder’s Stockholder Nominee(s) or any nominee of the Board); (6) a representation and warranty that the Nominating Stockholder will not use any proxy card other than the Corporation’s proxy card in soliciting stockholders in connection with the election of a Stockholder Nominee at the annual meeting; (7) a representation and warranty that the Stockholder Nominee’s candidacy or, if elected, board membership would not violate applicable state or federal law or the Stock Exchange Rules; (8) a representation and warranty that the Stockholder Nominee: (u) does not have any direct or indirect relationship with the Corporation that will cause the Stockholder Nominee to be deemed not independent pursuant to the Corporation’s Corporate Governance Guidelines and otherwise qualifies as independent under the Corporation’s Corporate Governance Guidelines and the Stock Exchange Rules;</w:t>
      </w:r>
    </w:p>
    <w:p>
      <w:pPr>
        <w:spacing w:after="0" w:line="11" w:lineRule="exact"/>
        <w:rPr>
          <w:rFonts w:ascii="Times New Roman" w:cs="Times New Roman" w:eastAsia="Times New Roman" w:hAnsi="Times New Roman"/>
          <w:sz w:val="18"/>
          <w:szCs w:val="18"/>
          <w:color w:val="auto"/>
        </w:rPr>
      </w:pPr>
    </w:p>
    <w:p>
      <w:pPr>
        <w:ind w:firstLine="8"/>
        <w:spacing w:after="0" w:line="210"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audit committee and compensation committee independence requirements under the Stock Exchange Rules; (w) is a “non-employee director” for the purposes of Rule 16b-3 under the Exchange Act (or any successor rule); (x) is an “outside director” for the purposes of Section 162(m) of the Internal Revenue Code (or any successor provision); (y)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Stockholder Nominee; and (z) meets the director qualifications set forth in the Corporation’s Corporate Governance Guidelines; (9) a representation and warranty that the Nominating Stockholder satisfies the eligibility requirements set forth in Section 3.03(c)(iii); (10) a representation and warranty that the Nominating Stockholder will continue to satisfy the eligibility requirements described in Section 3.03(c)(iii) through the date of the annual meeting; (11) a representation as to the Nominating Stockholder’s intentions with respect to continuing to hold the Minimum Number of shares for at least one year following the annual meeting; (12) details of any position of the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years preceding the submission of the Nomination Notice; (13) if desired, a statement for inclusion in the proxy statement in support of the Stockholder Nominee’s election to the Board, provided that such statement shall not exceed 500 words and shall fully comply with Section 14 of the Exchange Act and the rules and regulations thereunder; and (14) in the case of a nomination by a Nominating Stockholder comprised of a group, the designation by all Eligible Stockholders in such group of one Eligible Stockholder that is authorized to act on behalf of the Nominating Stockholder with respect to matters relating to the nomination, including withdrawal of the nomination;</w:t>
      </w:r>
    </w:p>
    <w:p>
      <w:pPr>
        <w:spacing w:after="0" w:line="200" w:lineRule="exact"/>
        <w:rPr>
          <w:rFonts w:ascii="Times New Roman" w:cs="Times New Roman" w:eastAsia="Times New Roman" w:hAnsi="Times New Roman"/>
          <w:sz w:val="18"/>
          <w:szCs w:val="18"/>
          <w:color w:val="auto"/>
        </w:rPr>
      </w:pPr>
    </w:p>
    <w:p>
      <w:pPr>
        <w:ind w:right="40" w:firstLine="1875"/>
        <w:spacing w:after="0" w:line="215" w:lineRule="auto"/>
        <w:tabs>
          <w:tab w:leader="none" w:pos="213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pursuant to which the Nominating Stockholder (including in the case of a group, each Eligible Stockholder in that group) agrees: (1) to comply with all applicable laws, rules and regulations in connection with the nomination, solicitation and election;</w:t>
      </w:r>
    </w:p>
    <w:p>
      <w:pPr>
        <w:ind w:right="40"/>
        <w:spacing w:after="0" w:line="2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to file any written solicitation or other communication with the Corporation’s stockholders relating to one or more of the Corporation’s directors or director nominees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any communication by the Nominating Stockholder or the Stockholder Nominee nominated by such Nominating Stockholder with the Corporation, its stockholders or any other person in connection with the nomination or election of directors, including, without limitation, the Nomination Notice; (4) to indemnify and hold harmless (jointly with all other Eligible Stockholders, in the case of a group of Eligible Stockholders)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w:t>
      </w:r>
    </w:p>
    <w:p>
      <w:pPr>
        <w:spacing w:after="0" w:line="200" w:lineRule="exact"/>
        <w:rPr>
          <w:sz w:val="20"/>
          <w:szCs w:val="20"/>
          <w:color w:val="auto"/>
        </w:rPr>
      </w:pPr>
    </w:p>
    <w:p>
      <w:pPr>
        <w:spacing w:after="0" w:line="377"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404" w:right="339" w:bottom="1440" w:gutter="0" w:footer="0" w:header="0"/>
        </w:sectPr>
      </w:pPr>
    </w:p>
    <w:bookmarkStart w:id="139" w:name="page140"/>
    <w:bookmarkEnd w:id="139"/>
    <w:p>
      <w:pPr>
        <w:ind w:right="120"/>
        <w:spacing w:after="0" w:line="236" w:lineRule="auto"/>
        <w:rPr>
          <w:sz w:val="20"/>
          <w:szCs w:val="20"/>
          <w:color w:val="auto"/>
        </w:rPr>
      </w:pPr>
      <w:r>
        <w:rPr>
          <w:rFonts w:ascii="Times New Roman" w:cs="Times New Roman" w:eastAsia="Times New Roman" w:hAnsi="Times New Roman"/>
          <w:sz w:val="17"/>
          <w:szCs w:val="17"/>
          <w:color w:val="auto"/>
        </w:rPr>
        <w:t>failure of the Nominating Stockholder or Stockholder Nominee to comply with, or any breach or alleged breach of, such Nominating Stockholder’s or Stockholder Nominee’s, as applicable, obligations, agreements or representations under this Section 3.03(c); (5) in the event that any information included</w:t>
      </w:r>
    </w:p>
    <w:p>
      <w:pPr>
        <w:spacing w:after="0" w:line="208" w:lineRule="auto"/>
        <w:rPr>
          <w:sz w:val="20"/>
          <w:szCs w:val="20"/>
          <w:color w:val="auto"/>
        </w:rPr>
      </w:pPr>
      <w:r>
        <w:rPr>
          <w:rFonts w:ascii="Times New Roman" w:cs="Times New Roman" w:eastAsia="Times New Roman" w:hAnsi="Times New Roman"/>
          <w:sz w:val="18"/>
          <w:szCs w:val="18"/>
          <w:color w:val="auto"/>
        </w:rPr>
        <w:t>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due to a subsequent development omits a material fact necessary to make the statements made not misleading), to promptly (and in any event</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Stockholder (including any Eligible Stockholder included in a group) has failed to continue to satisfy the eligibility requirements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Section 3.03(c)(iii), to promptly notify the Corporation; and</w:t>
      </w:r>
    </w:p>
    <w:p>
      <w:pPr>
        <w:spacing w:after="0" w:line="192" w:lineRule="exact"/>
        <w:rPr>
          <w:sz w:val="20"/>
          <w:szCs w:val="20"/>
          <w:color w:val="auto"/>
        </w:rPr>
      </w:pPr>
    </w:p>
    <w:p>
      <w:pPr>
        <w:ind w:right="60" w:firstLine="1875"/>
        <w:spacing w:after="0" w:line="213" w:lineRule="auto"/>
        <w:tabs>
          <w:tab w:leader="none" w:pos="21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by the Stockholder Nominee: (1) to provide to the Corporation such other information, including completion of the Corporation’s director nominee questionnaire, as the Board or its designee, acting in good faith, may request; (2) that the Stockholder Nominee has read and agrees, if elected, to serve as a member of the Board, to adhere to the Corporation’s Corporate Governance Guidelines, Code of Business Conduct of the Board of Directors and any other Corporation policies and guidelines applicable to directors; and (3) that the Stockholder Nominee is not and will not become a party to (x) any compensatory, payment or other financial agreement, arrangement or understanding with any person or entity in connection with such person’s nomination, candidacy, service or action as director of the Corporation that has not been fully disclosed to the Corporation prior to or concurrently with the Nominating Stockholder’s submission of the Nomination Notice, (y) any agreement, arrangement or understanding with any person or entity as to how the Stockholder Nominee would vote or act on any issue or question as a director (a “Voting Commitment”) that has not been fully disclosed to the Corporation prior to or concurrently with the Nominating Stockholder’s submission of the Nomination Notice or (z) any Voting Commitment that could limit or interfere with the Nominee’s ability to comply, if elected as a director of the Corporation, with such Nominee’s fiduciary duties under applicable law.</w:t>
      </w:r>
    </w:p>
    <w:p>
      <w:pPr>
        <w:spacing w:after="0" w:line="207" w:lineRule="exact"/>
        <w:rPr>
          <w:sz w:val="20"/>
          <w:szCs w:val="20"/>
          <w:color w:val="auto"/>
        </w:rPr>
      </w:pPr>
    </w:p>
    <w:p>
      <w:pPr>
        <w:ind w:right="40" w:firstLine="1426"/>
        <w:spacing w:after="0" w:line="216" w:lineRule="auto"/>
        <w:rPr>
          <w:sz w:val="20"/>
          <w:szCs w:val="20"/>
          <w:color w:val="auto"/>
        </w:rPr>
      </w:pPr>
      <w:r>
        <w:rPr>
          <w:rFonts w:ascii="Times New Roman" w:cs="Times New Roman" w:eastAsia="Times New Roman" w:hAnsi="Times New Roman"/>
          <w:sz w:val="18"/>
          <w:szCs w:val="18"/>
          <w:color w:val="auto"/>
        </w:rPr>
        <w:t>The information and documents required by this Section 3.03(c)(iv) shall be (A) provided with respect to and executed by each Eligible Stockholder in the group in the case of a Nominating Stockholder comprised of a group of Eligible Stockholders; and (B) provided with respect to the persons specified in Instructions 1 and 2 to Items 6(c) and (d) of Schedule 14N (or any successor item) (1) in the case of a Nominating Stockholder that is</w:t>
      </w:r>
    </w:p>
    <w:p>
      <w:pPr>
        <w:spacing w:after="0" w:line="1"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an entity and (2) in the case of a Nominating Stockholder that is a group that includes one or more Eligible Stockholders that are entities. The Nomination Notice shall be deemed submitted on the date on which all of the information and documents referred to in this Section 3.03(c)(iv) (other than such information and documents contemplated to be provided after the date the Nomination Notice is provided) have been delivered to or, if sent by mail,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by the Secretary of the Corporation.</w:t>
      </w:r>
    </w:p>
    <w:p>
      <w:pPr>
        <w:spacing w:after="0" w:line="192" w:lineRule="exact"/>
        <w:rPr>
          <w:sz w:val="20"/>
          <w:szCs w:val="20"/>
          <w:color w:val="auto"/>
        </w:rPr>
      </w:pPr>
    </w:p>
    <w:p>
      <w:pPr>
        <w:ind w:right="20" w:firstLine="1440"/>
        <w:spacing w:after="0" w:line="211" w:lineRule="auto"/>
        <w:tabs>
          <w:tab w:leader="none" w:pos="18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Notwithstanding anything to the contrary contained in this Section 3.03(c), the Corporation may omit from its proxy statement any Stockholder Nominee and any information concerning such Stockholder Nominee (including a Nominating Stockholder’s statement in support)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the Stockholder Nominee, if: (1) the Corporation receives a notice that a stockholder intends to nominate a candidate for director at the annual meeting pursuant to the advance notice requirements set forth in Section 3.03(b) without such stockholder’s notice expressly electing to have such director candidate(s) included in the Corporation’s proxy statement pursuant to this Section 3.03(c);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Section 3.03(c) or the Nominating Stockholder withdraws its nomination; (3) the Board or its designee, acting in good faith, determines that such Stockholder Nominee’s nomination or election to the Board would result in the Corporation violating or failing to be in compliance with these Bylaws or the Certificate of Incorporation or any applicable law, rule or regulation to which the Corporation is subject, including the Stock Exchange Rules; (4) the Stockholder Nominee was nominated for election to the Board pursuant to this Section 3.03(c) at one of the Corporation’s two preceding annual meetings of stockholders and either withdrew from or became ineligible or unavailable for election at such annual meeting or received a vote of less than 25% of the shares of common stock entitled to vote for such Stockholder Nominee; (5) the Stockholder Nominee has been, within the past three years, an officer or director of a competitor, as defined for purposes of Section 8 of the Clayton Antitrust Act of 1914, as amended; or (6) the Corporation is notified, or the Board or its designee acting in good faith determines, that a Nominating Stockholder has failed to continue to satisfy the eligibility requirements described in Section 3.03(c)(iii), any of the representations and warranties made in the Nomination Notice ceases to be true and accurate in all material respects (or omits a material fact necessary to make the statement made not misleading), the Stockholder Nominee becomes unwilling or unable to serve on the Board or any material violation or breach occurs</w:t>
      </w:r>
    </w:p>
    <w:p>
      <w:pPr>
        <w:spacing w:after="0" w:line="200" w:lineRule="exact"/>
        <w:rPr>
          <w:sz w:val="20"/>
          <w:szCs w:val="20"/>
          <w:color w:val="auto"/>
        </w:rPr>
      </w:pPr>
    </w:p>
    <w:p>
      <w:pPr>
        <w:spacing w:after="0" w:line="382"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140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of any of the obligations, agreements, representations or warranties of the Nominating Stockholder or the Stockholder Nominee under this Section 3.03(c).</w:t>
      </w:r>
    </w:p>
    <w:p>
      <w:pPr>
        <w:spacing w:after="0" w:line="212" w:lineRule="exact"/>
        <w:rPr>
          <w:sz w:val="20"/>
          <w:szCs w:val="20"/>
          <w:color w:val="auto"/>
        </w:rPr>
      </w:pPr>
    </w:p>
    <w:p>
      <w:pPr>
        <w:ind w:firstLine="1620"/>
        <w:spacing w:after="0" w:line="217" w:lineRule="auto"/>
        <w:tabs>
          <w:tab w:leader="none" w:pos="18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3.03(c), the Corporation may omit from its proxy statement, or may supplement or correct, any information, including all or any portion of the statement in support of the Stockholder Nominee included in the Nomination Notice, if the Board or its designee in good faith determines that: (1) such information is not true in all material respects or omits a material statement necessary to make the statements made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Stockholder Nominee.</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color w:val="auto"/>
        </w:rPr>
        <w:t>Resignations.</w:t>
      </w:r>
      <w:r>
        <w:rPr>
          <w:rFonts w:ascii="Times New Roman" w:cs="Times New Roman" w:eastAsia="Times New Roman" w:hAnsi="Times New Roman"/>
          <w:sz w:val="18"/>
          <w:szCs w:val="18"/>
          <w:color w:val="auto"/>
        </w:rPr>
        <w:t xml:space="preserve"> Any director of the Corporation may resign at any time by giving written notice or notice by electronic transmission to</w:t>
      </w:r>
    </w:p>
    <w:p>
      <w:pPr>
        <w:spacing w:after="0" w:line="6"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w:t>
      </w:r>
    </w:p>
    <w:p>
      <w:pPr>
        <w:spacing w:after="0" w:line="87" w:lineRule="exact"/>
        <w:rPr>
          <w:sz w:val="20"/>
          <w:szCs w:val="20"/>
          <w:color w:val="auto"/>
        </w:rPr>
      </w:pPr>
    </w:p>
    <w:p>
      <w:pPr>
        <w:ind w:right="160" w:firstLine="441"/>
        <w:spacing w:after="0" w:line="227"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color w:val="auto"/>
        </w:rPr>
        <w:t>Removal.</w:t>
      </w:r>
      <w:r>
        <w:rPr>
          <w:rFonts w:ascii="Times New Roman" w:cs="Times New Roman" w:eastAsia="Times New Roman" w:hAnsi="Times New Roman"/>
          <w:sz w:val="18"/>
          <w:szCs w:val="18"/>
          <w:color w:val="auto"/>
        </w:rPr>
        <w:t xml:space="preserve"> Unless otherwise restricted by statute, the Certificate of Incorporation or these Bylaws, any director or the entire Board may be removed with or without cause by the holders of a majority of the total voting power of all outstanding shares then entitled to vote at an election of directors.</w:t>
      </w:r>
    </w:p>
    <w:p>
      <w:pPr>
        <w:spacing w:after="0" w:line="88" w:lineRule="exact"/>
        <w:rPr>
          <w:sz w:val="20"/>
          <w:szCs w:val="20"/>
          <w:color w:val="auto"/>
        </w:rPr>
      </w:pPr>
    </w:p>
    <w:p>
      <w:pPr>
        <w:ind w:right="4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3.06 </w:t>
      </w:r>
      <w:r>
        <w:rPr>
          <w:rFonts w:ascii="Times New Roman" w:cs="Times New Roman" w:eastAsia="Times New Roman" w:hAnsi="Times New Roman"/>
          <w:sz w:val="17"/>
          <w:szCs w:val="17"/>
          <w:b w:val="1"/>
          <w:bCs w:val="1"/>
          <w:color w:val="auto"/>
        </w:rPr>
        <w:t>Vacancies.</w:t>
      </w:r>
      <w:r>
        <w:rPr>
          <w:rFonts w:ascii="Times New Roman" w:cs="Times New Roman" w:eastAsia="Times New Roman" w:hAnsi="Times New Roman"/>
          <w:sz w:val="17"/>
          <w:szCs w:val="17"/>
          <w:color w:val="auto"/>
        </w:rPr>
        <w:t xml:space="preserve"> 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such director’s successor shall have been elected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qualify or until such director shall resign or shall have been removed.</w:t>
      </w:r>
    </w:p>
    <w:p>
      <w:pPr>
        <w:spacing w:after="0" w:line="80" w:lineRule="exact"/>
        <w:rPr>
          <w:sz w:val="20"/>
          <w:szCs w:val="20"/>
          <w:color w:val="auto"/>
        </w:rPr>
      </w:pPr>
    </w:p>
    <w:p>
      <w:pPr>
        <w:ind w:right="10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color w:val="auto"/>
        </w:rPr>
        <w:t>First Meeting.</w:t>
      </w:r>
      <w:r>
        <w:rPr>
          <w:rFonts w:ascii="Times New Roman" w:cs="Times New Roman" w:eastAsia="Times New Roman" w:hAnsi="Times New Roman"/>
          <w:sz w:val="18"/>
          <w:szCs w:val="18"/>
          <w:color w:val="auto"/>
        </w:rPr>
        <w:t xml:space="preserve"> The Board shall meet as soon as practicable after each annual election of directors and notice of such first meeting shall not be required.</w:t>
      </w:r>
    </w:p>
    <w:p>
      <w:pPr>
        <w:spacing w:after="0" w:line="87" w:lineRule="exact"/>
        <w:rPr>
          <w:sz w:val="20"/>
          <w:szCs w:val="20"/>
          <w:color w:val="auto"/>
        </w:rPr>
      </w:pPr>
    </w:p>
    <w:p>
      <w:pPr>
        <w:ind w:right="12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3.08 </w:t>
      </w:r>
      <w:r>
        <w:rPr>
          <w:rFonts w:ascii="Times New Roman" w:cs="Times New Roman" w:eastAsia="Times New Roman" w:hAnsi="Times New Roman"/>
          <w:sz w:val="17"/>
          <w:szCs w:val="17"/>
          <w:b w:val="1"/>
          <w:bCs w:val="1"/>
          <w:color w:val="auto"/>
        </w:rPr>
        <w:t>Regular Meetings.</w:t>
      </w:r>
      <w:r>
        <w:rPr>
          <w:rFonts w:ascii="Times New Roman" w:cs="Times New Roman" w:eastAsia="Times New Roman" w:hAnsi="Times New Roman"/>
          <w:sz w:val="17"/>
          <w:szCs w:val="17"/>
          <w:color w:val="auto"/>
        </w:rPr>
        <w:t xml:space="preserve"> 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w:t>
      </w:r>
    </w:p>
    <w:p>
      <w:pPr>
        <w:spacing w:after="0" w:line="80" w:lineRule="exact"/>
        <w:rPr>
          <w:sz w:val="20"/>
          <w:szCs w:val="20"/>
          <w:color w:val="auto"/>
        </w:rPr>
      </w:pPr>
    </w:p>
    <w:p>
      <w:pPr>
        <w:ind w:right="2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xml:space="preserve"> Special meetings of the Board may be called at any time by the Chair of the Board, by the Chief Executive Officer or by the Secretary upon the written request of at least one-third of the directors then in office. Such meetings shall be held at the principal office of the</w:t>
      </w:r>
    </w:p>
    <w:p>
      <w:pPr>
        <w:spacing w:after="0"/>
        <w:rPr>
          <w:sz w:val="20"/>
          <w:szCs w:val="20"/>
          <w:color w:val="auto"/>
        </w:rPr>
      </w:pPr>
      <w:r>
        <w:rPr>
          <w:rFonts w:ascii="Times New Roman" w:cs="Times New Roman" w:eastAsia="Times New Roman" w:hAnsi="Times New Roman"/>
          <w:sz w:val="18"/>
          <w:szCs w:val="18"/>
          <w:color w:val="auto"/>
        </w:rPr>
        <w:t>Corporation, or at such other place or places, within or without the State of Delaware, as the person or persons calling the meeting may designate.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color w:val="auto"/>
        </w:rPr>
        <w:t>Committees.</w:t>
      </w:r>
      <w:r>
        <w:rPr>
          <w:rFonts w:ascii="Times New Roman" w:cs="Times New Roman" w:eastAsia="Times New Roman" w:hAnsi="Times New Roman"/>
          <w:sz w:val="18"/>
          <w:szCs w:val="18"/>
          <w:color w:val="auto"/>
        </w:rPr>
        <w:t xml:space="preserve"> The Board may designate one or more committees, each committee to consist of one or more of the directors of the</w:t>
      </w:r>
    </w:p>
    <w:p>
      <w:pPr>
        <w:spacing w:after="0" w:line="219" w:lineRule="auto"/>
        <w:rPr>
          <w:sz w:val="20"/>
          <w:szCs w:val="20"/>
          <w:color w:val="auto"/>
        </w:rPr>
      </w:pPr>
      <w:r>
        <w:rPr>
          <w:rFonts w:ascii="Times New Roman" w:cs="Times New Roman" w:eastAsia="Times New Roman" w:hAnsi="Times New Roman"/>
          <w:sz w:val="18"/>
          <w:szCs w:val="18"/>
          <w:color w:val="auto"/>
        </w:rPr>
        <w:t>Corporation. The Board may designate one or more directors as alternate members of any committee, who may replace any absent or disqualified member</w:t>
      </w:r>
    </w:p>
    <w:p>
      <w:pPr>
        <w:ind w:right="120"/>
        <w:spacing w:after="0" w:line="219" w:lineRule="auto"/>
        <w:rPr>
          <w:sz w:val="20"/>
          <w:szCs w:val="20"/>
          <w:color w:val="auto"/>
        </w:rPr>
      </w:pPr>
      <w:r>
        <w:rPr>
          <w:rFonts w:ascii="Times New Roman" w:cs="Times New Roman" w:eastAsia="Times New Roman" w:hAnsi="Times New Roman"/>
          <w:sz w:val="17"/>
          <w:szCs w:val="17"/>
          <w:color w:val="auto"/>
        </w:rPr>
        <w:t>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color w:val="auto"/>
        </w:rPr>
        <w:t>Notice of Meetings.</w:t>
      </w:r>
      <w:r>
        <w:rPr>
          <w:rFonts w:ascii="Times New Roman" w:cs="Times New Roman" w:eastAsia="Times New Roman" w:hAnsi="Times New Roman"/>
          <w:sz w:val="18"/>
          <w:szCs w:val="18"/>
          <w:color w:val="auto"/>
        </w:rPr>
        <w:t xml:space="preserve"> Notice of all special meetings of the Board or a committee shall be mailed to each director, addressed to such</w:t>
      </w:r>
    </w:p>
    <w:p>
      <w:pPr>
        <w:spacing w:after="0" w:line="6" w:lineRule="exact"/>
        <w:rPr>
          <w:sz w:val="20"/>
          <w:szCs w:val="20"/>
          <w:color w:val="auto"/>
        </w:rPr>
      </w:pPr>
    </w:p>
    <w:p>
      <w:pPr>
        <w:jc w:val="both"/>
        <w:ind w:right="220"/>
        <w:spacing w:after="0" w:line="218" w:lineRule="auto"/>
        <w:rPr>
          <w:sz w:val="20"/>
          <w:szCs w:val="20"/>
          <w:color w:val="auto"/>
        </w:rPr>
      </w:pPr>
      <w:r>
        <w:rPr>
          <w:rFonts w:ascii="Times New Roman" w:cs="Times New Roman" w:eastAsia="Times New Roman" w:hAnsi="Times New Roman"/>
          <w:sz w:val="18"/>
          <w:szCs w:val="18"/>
          <w:color w:val="auto"/>
        </w:rPr>
        <w:t>director’s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w:t>
      </w: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1404" w:right="339" w:bottom="1440" w:gutter="0" w:footer="0" w:header="0"/>
        </w:sectPr>
      </w:pPr>
    </w:p>
    <w:bookmarkStart w:id="141" w:name="page142"/>
    <w:bookmarkEnd w:id="141"/>
    <w:p>
      <w:pPr>
        <w:ind w:right="240"/>
        <w:spacing w:after="0" w:line="222" w:lineRule="auto"/>
        <w:rPr>
          <w:sz w:val="20"/>
          <w:szCs w:val="20"/>
          <w:color w:val="auto"/>
        </w:rPr>
      </w:pPr>
      <w:r>
        <w:rPr>
          <w:rFonts w:ascii="Times New Roman" w:cs="Times New Roman" w:eastAsia="Times New Roman" w:hAnsi="Times New Roman"/>
          <w:sz w:val="18"/>
          <w:szCs w:val="18"/>
          <w:color w:val="auto"/>
        </w:rPr>
        <w:t>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minutes thereof. All such waivers, consents or approvals shall be filed with the corporate records or be made a part of the minutes of the meeting.</w:t>
      </w:r>
    </w:p>
    <w:p>
      <w:pPr>
        <w:spacing w:after="0" w:line="80" w:lineRule="exact"/>
        <w:rPr>
          <w:sz w:val="20"/>
          <w:szCs w:val="20"/>
          <w:color w:val="auto"/>
        </w:rPr>
      </w:pPr>
    </w:p>
    <w:p>
      <w:pPr>
        <w:ind w:right="22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b w:val="1"/>
          <w:bCs w:val="1"/>
          <w:color w:val="auto"/>
        </w:rPr>
        <w:t>Place of Meeting, Etc.</w:t>
      </w:r>
      <w:r>
        <w:rPr>
          <w:rFonts w:ascii="Times New Roman" w:cs="Times New Roman" w:eastAsia="Times New Roman" w:hAnsi="Times New Roman"/>
          <w:sz w:val="17"/>
          <w:szCs w:val="17"/>
          <w:color w:val="auto"/>
        </w:rPr>
        <w:t xml:space="preserve"> The Board (or committee of the Board) may hold any of its meetings at such place or places within or without the State of Delaware as the Board (or the committee) may from time to time by resolution designate or as shall be designated by the person or persons</w:t>
      </w:r>
    </w:p>
    <w:p>
      <w:pPr>
        <w:spacing w:after="0" w:line="1" w:lineRule="exact"/>
        <w:rPr>
          <w:sz w:val="20"/>
          <w:szCs w:val="20"/>
          <w:color w:val="auto"/>
        </w:rPr>
      </w:pPr>
    </w:p>
    <w:p>
      <w:pPr>
        <w:jc w:val="both"/>
        <w:ind w:right="100"/>
        <w:spacing w:after="0" w:line="218" w:lineRule="auto"/>
        <w:rPr>
          <w:sz w:val="20"/>
          <w:szCs w:val="20"/>
          <w:color w:val="auto"/>
        </w:rPr>
      </w:pPr>
      <w:r>
        <w:rPr>
          <w:rFonts w:ascii="Times New Roman" w:cs="Times New Roman" w:eastAsia="Times New Roman" w:hAnsi="Times New Roman"/>
          <w:sz w:val="18"/>
          <w:szCs w:val="18"/>
          <w:color w:val="auto"/>
        </w:rPr>
        <w:t>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w:t>
      </w:r>
    </w:p>
    <w:p>
      <w:pPr>
        <w:spacing w:after="0" w:line="87" w:lineRule="exact"/>
        <w:rPr>
          <w:sz w:val="20"/>
          <w:szCs w:val="20"/>
          <w:color w:val="auto"/>
        </w:rPr>
      </w:pPr>
    </w:p>
    <w:p>
      <w:pPr>
        <w:jc w:val="both"/>
        <w:ind w:right="8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b w:val="1"/>
          <w:bCs w:val="1"/>
          <w:color w:val="auto"/>
        </w:rPr>
        <w:t>Quorum and Manner of Acting.</w:t>
      </w:r>
      <w:r>
        <w:rPr>
          <w:rFonts w:ascii="Times New Roman" w:cs="Times New Roman" w:eastAsia="Times New Roman" w:hAnsi="Times New Roman"/>
          <w:sz w:val="17"/>
          <w:szCs w:val="17"/>
          <w:color w:val="auto"/>
        </w:rPr>
        <w:t xml:space="preserve"> 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w:t>
      </w:r>
    </w:p>
    <w:p>
      <w:pPr>
        <w:spacing w:after="0" w:line="2"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8"/>
          <w:szCs w:val="18"/>
          <w:color w:val="auto"/>
        </w:rPr>
        <w:t>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 meeting as</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originally called. Notice of any adjourned meeting need not be given. The directors shall act only as a Board or as a committee thereof, and the individual directors shall have no power as such.</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color w:val="auto"/>
        </w:rPr>
        <w:t>Action by Consent.</w:t>
      </w:r>
      <w:r>
        <w:rPr>
          <w:rFonts w:ascii="Times New Roman" w:cs="Times New Roman" w:eastAsia="Times New Roman" w:hAnsi="Times New Roman"/>
          <w:sz w:val="18"/>
          <w:szCs w:val="18"/>
          <w:color w:val="auto"/>
        </w:rPr>
        <w:t xml:space="preserve"> Any action required or permitted to be taken at any meeting of the Board or of any committee thereof may be taken</w:t>
      </w:r>
    </w:p>
    <w:p>
      <w:pPr>
        <w:spacing w:after="0" w:line="6"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without a meeting if all members of the Board or such committee consent thereto in writing or by electronic transmission. After an action is taken, such written consent or electronic transmission shall be filed with the minutes of proceedings of the Board or committee in the same paper or electronic form as the minutes are maintained.</w:t>
      </w:r>
    </w:p>
    <w:p>
      <w:pPr>
        <w:spacing w:after="0" w:line="87" w:lineRule="exact"/>
        <w:rPr>
          <w:sz w:val="20"/>
          <w:szCs w:val="20"/>
          <w:color w:val="auto"/>
        </w:rPr>
      </w:pPr>
    </w:p>
    <w:p>
      <w:pPr>
        <w:ind w:right="4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xml:space="preserve"> The directors shall receive such compensation for their services as directors, and such additional compensation for their services as members of any committees of the Board, as may be authorized by the Board.</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b w:val="1"/>
          <w:bCs w:val="1"/>
          <w:color w:val="auto"/>
        </w:rPr>
        <w:t>Board Leadership.</w:t>
      </w:r>
    </w:p>
    <w:p>
      <w:pPr>
        <w:spacing w:after="0" w:line="198" w:lineRule="exact"/>
        <w:rPr>
          <w:sz w:val="20"/>
          <w:szCs w:val="20"/>
          <w:color w:val="auto"/>
        </w:rPr>
      </w:pPr>
    </w:p>
    <w:p>
      <w:pPr>
        <w:ind w:firstLine="899"/>
        <w:spacing w:after="0" w:line="225" w:lineRule="auto"/>
        <w:tabs>
          <w:tab w:leader="none" w:pos="1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Chair of the Board</w:t>
      </w:r>
      <w:r>
        <w:rPr>
          <w:rFonts w:ascii="Times New Roman" w:cs="Times New Roman" w:eastAsia="Times New Roman" w:hAnsi="Times New Roman"/>
          <w:sz w:val="18"/>
          <w:szCs w:val="18"/>
          <w:color w:val="auto"/>
        </w:rPr>
        <w:t>. The Board may elect or appoint, from among its members, a Chair of the Board and one or more Vice Chairs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who shall not be considered by virtue of holding such position officers of the Corporation. The Chair of the Board, when present, shall preside at all meetings of the stockholders of the Corporation and of the Board. The Chair of the Board shall perform, under the direction and subject to the control of the Board, all duties incident to the office of Chair of the Board and such other duties as the Board may assign to the Chair of the Board from time to time.</w:t>
      </w:r>
    </w:p>
    <w:p>
      <w:pPr>
        <w:spacing w:after="0" w:line="155" w:lineRule="exact"/>
        <w:rPr>
          <w:rFonts w:ascii="Times New Roman" w:cs="Times New Roman" w:eastAsia="Times New Roman" w:hAnsi="Times New Roman"/>
          <w:sz w:val="18"/>
          <w:szCs w:val="18"/>
          <w:color w:val="auto"/>
        </w:rPr>
      </w:pPr>
    </w:p>
    <w:p>
      <w:pPr>
        <w:ind w:right="260" w:firstLine="899"/>
        <w:spacing w:after="0" w:line="225" w:lineRule="auto"/>
        <w:tabs>
          <w:tab w:leader="none" w:pos="1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Lead Director. </w:t>
      </w:r>
      <w:r>
        <w:rPr>
          <w:rFonts w:ascii="Times New Roman" w:cs="Times New Roman" w:eastAsia="Times New Roman" w:hAnsi="Times New Roman"/>
          <w:sz w:val="18"/>
          <w:szCs w:val="18"/>
          <w:color w:val="auto"/>
        </w:rPr>
        <w:t>At any time the Chair of the Board is not independent as that term is defined in the Corporation’s Corporate Governance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and any additional independence criteria established by the Board, the Securities and Exchange Commission and the New York Stock Exchange, the independent directors may designate from among them a Lead Director having the duties and responsibilities required by any applicable rules of the New York Stock Exchange and as otherwise determined by the Board from time to time.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80" w:lineRule="exact"/>
        <w:rPr>
          <w:sz w:val="20"/>
          <w:szCs w:val="20"/>
          <w:color w:val="auto"/>
        </w:rPr>
      </w:pPr>
    </w:p>
    <w:p>
      <w:pPr>
        <w:jc w:val="both"/>
        <w:ind w:right="240" w:firstLine="441"/>
        <w:spacing w:after="0" w:line="22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b w:val="1"/>
          <w:bCs w:val="1"/>
          <w:color w:val="auto"/>
        </w:rPr>
        <w:t>Principal Officers.</w:t>
      </w:r>
      <w:r>
        <w:rPr>
          <w:rFonts w:ascii="Times New Roman" w:cs="Times New Roman" w:eastAsia="Times New Roman" w:hAnsi="Times New Roman"/>
          <w:sz w:val="18"/>
          <w:szCs w:val="18"/>
          <w:color w:val="auto"/>
        </w:rPr>
        <w:t xml:space="preserve"> 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w:t>
      </w:r>
    </w:p>
    <w:p>
      <w:pPr>
        <w:spacing w:after="0" w:line="61" w:lineRule="exact"/>
        <w:rPr>
          <w:sz w:val="20"/>
          <w:szCs w:val="20"/>
          <w:color w:val="auto"/>
        </w:rPr>
      </w:pPr>
    </w:p>
    <w:p>
      <w:pPr>
        <w:ind w:right="2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b w:val="1"/>
          <w:bCs w:val="1"/>
          <w:color w:val="auto"/>
        </w:rPr>
        <w:t>Additional Officers and Agents</w:t>
      </w:r>
      <w:r>
        <w:rPr>
          <w:rFonts w:ascii="Times New Roman" w:cs="Times New Roman" w:eastAsia="Times New Roman" w:hAnsi="Times New Roman"/>
          <w:sz w:val="17"/>
          <w:szCs w:val="17"/>
          <w:color w:val="auto"/>
        </w:rPr>
        <w:t>. In addition to the principal officers designated in Section 4.01, the Board may from time to time elect such other officers and agents as it may deem necessary or advisable, including one or more Vice Presidents of various rank, one or more Assistant Secretaries, one or more Assistant Treasurers, and an Assistant Controller, each of which officers and agents shall be subject to the control of the Board and</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have such authority and perform such duties as are provided in these Bylaws or as the Board, Chair of the Board or Chief Executive Officer may from time to time determine. Each such officer shall hold office until such officer’s successor shall have been duly chosen and qualified or until such officer’s earlier resignation, removal or other disqualification for service. No person shall be deemed an officer of the Corporation unless and until elected as an officer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in accordance with Section 4.02 or Section 4.03.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1404" w:right="339" w:bottom="1440" w:gutter="0" w:footer="0" w:header="0"/>
        </w:sectPr>
      </w:pPr>
    </w:p>
    <w:bookmarkStart w:id="142" w:name="page143"/>
    <w:bookmarkEnd w:id="142"/>
    <w:p>
      <w:pPr>
        <w:ind w:right="2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b w:val="1"/>
          <w:bCs w:val="1"/>
          <w:color w:val="auto"/>
        </w:rPr>
        <w:t>Election.</w:t>
      </w:r>
      <w:r>
        <w:rPr>
          <w:rFonts w:ascii="Times New Roman" w:cs="Times New Roman" w:eastAsia="Times New Roman" w:hAnsi="Times New Roman"/>
          <w:sz w:val="17"/>
          <w:szCs w:val="17"/>
          <w:color w:val="auto"/>
        </w:rPr>
        <w:t xml:space="preserve"> The officers of the Corporation shall be elected annually (or at such other intervals as the Board may determine) by the Board. Each such officer shall hold office until such officer’s successor shall have been duly elected and qualified or until such officer’s earlier resignation,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removal or other disqualification for service.</w:t>
      </w:r>
    </w:p>
    <w:p>
      <w:pPr>
        <w:spacing w:after="0" w:line="80" w:lineRule="exact"/>
        <w:rPr>
          <w:sz w:val="20"/>
          <w:szCs w:val="20"/>
          <w:color w:val="auto"/>
        </w:rPr>
      </w:pPr>
    </w:p>
    <w:p>
      <w:pPr>
        <w:ind w:right="10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b w:val="1"/>
          <w:bCs w:val="1"/>
          <w:color w:val="auto"/>
        </w:rPr>
        <w:t>Removal.</w:t>
      </w:r>
      <w:r>
        <w:rPr>
          <w:rFonts w:ascii="Times New Roman" w:cs="Times New Roman" w:eastAsia="Times New Roman" w:hAnsi="Times New Roman"/>
          <w:sz w:val="17"/>
          <w:szCs w:val="17"/>
          <w:color w:val="auto"/>
        </w:rPr>
        <w:t xml:space="preserve"> All officers and agents of the Corporation, elected or appointed by the Board, may be removed, either with or without cause, at any time, by (a) resolution adopted by the Board or (b) if the officer or agent is not a principal officer by the Chief Executive Officer (or someone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whom the Chief Executive Officer has delegated this authority).</w:t>
      </w:r>
    </w:p>
    <w:p>
      <w:pPr>
        <w:spacing w:after="0" w:line="80" w:lineRule="exact"/>
        <w:rPr>
          <w:sz w:val="20"/>
          <w:szCs w:val="20"/>
          <w:color w:val="auto"/>
        </w:rPr>
      </w:pPr>
    </w:p>
    <w:p>
      <w:pPr>
        <w:ind w:right="32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b w:val="1"/>
          <w:bCs w:val="1"/>
          <w:color w:val="auto"/>
        </w:rPr>
        <w:t>Resignations.</w:t>
      </w:r>
      <w:r>
        <w:rPr>
          <w:rFonts w:ascii="Times New Roman" w:cs="Times New Roman" w:eastAsia="Times New Roman" w:hAnsi="Times New Roman"/>
          <w:sz w:val="17"/>
          <w:szCs w:val="17"/>
          <w:color w:val="auto"/>
        </w:rPr>
        <w:t xml:space="preserve"> Any officer may resign at any time by giving written notice to the Board, the Chair of the Board, the Chief Executive Officer or the Secretary of the Corporation. Any such resignation shall take effect at the date of the receipt of such notice or at any later time specified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 and unless otherwise specified therein, the acceptance of such resignation shall not be necessary to make it effective.</w:t>
      </w:r>
    </w:p>
    <w:p>
      <w:pPr>
        <w:spacing w:after="0" w:line="80" w:lineRule="exact"/>
        <w:rPr>
          <w:sz w:val="20"/>
          <w:szCs w:val="20"/>
          <w:color w:val="auto"/>
        </w:rPr>
      </w:pPr>
    </w:p>
    <w:p>
      <w:pPr>
        <w:ind w:right="8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xml:space="preserve"> A vacancy in any office because of death, resignation, removal, disqualification, or other cause, may be filled in the manner prescribed in these Bylaws for regular appointments to such office.</w:t>
      </w:r>
    </w:p>
    <w:p>
      <w:pPr>
        <w:spacing w:after="0" w:line="87" w:lineRule="exact"/>
        <w:rPr>
          <w:sz w:val="20"/>
          <w:szCs w:val="20"/>
          <w:color w:val="auto"/>
        </w:rPr>
      </w:pPr>
    </w:p>
    <w:p>
      <w:pPr>
        <w:ind w:right="40" w:firstLine="441"/>
        <w:spacing w:after="0" w:line="217"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xml:space="preserve"> 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w:t>
      </w:r>
    </w:p>
    <w:p>
      <w:pPr>
        <w:spacing w:after="0" w:line="3"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has authorized to be executed and delivered, except in cases where the execution and delivery thereof shall be expressly and exclusively delegated to one or more other officers or agents of the Corporation by the Board or these Bylaws, or where the execution and delivery thereof shall be required by applicable law to be executed and delivered by another person.</w:t>
      </w:r>
    </w:p>
    <w:p>
      <w:pPr>
        <w:spacing w:after="0" w:line="60" w:lineRule="exact"/>
        <w:rPr>
          <w:sz w:val="20"/>
          <w:szCs w:val="20"/>
          <w:color w:val="auto"/>
        </w:rPr>
      </w:pPr>
    </w:p>
    <w:p>
      <w:pPr>
        <w:jc w:val="both"/>
        <w:ind w:right="160" w:firstLine="441"/>
        <w:spacing w:after="0" w:line="217"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b w:val="1"/>
          <w:bCs w:val="1"/>
          <w:color w:val="auto"/>
        </w:rPr>
        <w:t>President(s).</w:t>
      </w:r>
      <w:r>
        <w:rPr>
          <w:rFonts w:ascii="Times New Roman" w:cs="Times New Roman" w:eastAsia="Times New Roman" w:hAnsi="Times New Roman"/>
          <w:sz w:val="18"/>
          <w:szCs w:val="18"/>
          <w:color w:val="auto"/>
        </w:rPr>
        <w:t xml:space="preserve"> 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w:t>
      </w:r>
    </w:p>
    <w:p>
      <w:pPr>
        <w:spacing w:after="0" w:line="3"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mortgages, bonds, contracts or other instruments that the Board or the Chief Executive Officer has authorized to be executed and delivered, except in cases where the execution and delivery thereof shall be expressly and exclusively delegated to one or more other officers of agents of the Corporation by the Board or these Bylaws, or where the execution and delivery thereof shall be required by applicable law to be executed and delivered by another person.</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Individuals appointed to the office of President of an organizational unit of the Corporation or Group President shall 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w:t>
      </w:r>
    </w:p>
    <w:p>
      <w:pPr>
        <w:spacing w:after="0" w:line="87" w:lineRule="exact"/>
        <w:rPr>
          <w:sz w:val="20"/>
          <w:szCs w:val="20"/>
          <w:color w:val="auto"/>
        </w:rPr>
      </w:pPr>
    </w:p>
    <w:p>
      <w:pPr>
        <w:ind w:right="10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4.09 </w:t>
      </w:r>
      <w:r>
        <w:rPr>
          <w:rFonts w:ascii="Times New Roman" w:cs="Times New Roman" w:eastAsia="Times New Roman" w:hAnsi="Times New Roman"/>
          <w:sz w:val="17"/>
          <w:szCs w:val="17"/>
          <w:b w:val="1"/>
          <w:bCs w:val="1"/>
          <w:color w:val="auto"/>
        </w:rPr>
        <w:t>Vice Presidents.</w:t>
      </w:r>
      <w:r>
        <w:rPr>
          <w:rFonts w:ascii="Times New Roman" w:cs="Times New Roman" w:eastAsia="Times New Roman" w:hAnsi="Times New Roman"/>
          <w:sz w:val="17"/>
          <w:szCs w:val="17"/>
          <w:color w:val="auto"/>
        </w:rPr>
        <w:t xml:space="preserve"> 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Presidents, Assistant Vice Presidents or such other similar title as the Board may designate.</w:t>
      </w:r>
    </w:p>
    <w:p>
      <w:pPr>
        <w:spacing w:after="0" w:line="80" w:lineRule="exact"/>
        <w:rPr>
          <w:sz w:val="20"/>
          <w:szCs w:val="20"/>
          <w:color w:val="auto"/>
        </w:rPr>
      </w:pPr>
    </w:p>
    <w:p>
      <w:pPr>
        <w:ind w:right="4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b w:val="1"/>
          <w:bCs w:val="1"/>
          <w:color w:val="auto"/>
        </w:rPr>
        <w:t>Secretary.</w:t>
      </w:r>
      <w:r>
        <w:rPr>
          <w:rFonts w:ascii="Times New Roman" w:cs="Times New Roman" w:eastAsia="Times New Roman" w:hAnsi="Times New Roman"/>
          <w:sz w:val="17"/>
          <w:szCs w:val="17"/>
          <w:color w:val="auto"/>
        </w:rPr>
        <w:t xml:space="preserve"> The Secretary of the Corporation or the Secretary’s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w:t>
      </w:r>
    </w:p>
    <w:p>
      <w:pPr>
        <w:spacing w:after="0" w:line="2" w:lineRule="exact"/>
        <w:rPr>
          <w:sz w:val="20"/>
          <w:szCs w:val="20"/>
          <w:color w:val="auto"/>
        </w:rPr>
      </w:pPr>
    </w:p>
    <w:p>
      <w:pPr>
        <w:jc w:val="both"/>
        <w:ind w:right="340"/>
        <w:spacing w:after="0" w:line="208" w:lineRule="auto"/>
        <w:rPr>
          <w:sz w:val="20"/>
          <w:szCs w:val="20"/>
          <w:color w:val="auto"/>
        </w:rPr>
      </w:pPr>
      <w:r>
        <w:rPr>
          <w:rFonts w:ascii="Times New Roman" w:cs="Times New Roman" w:eastAsia="Times New Roman" w:hAnsi="Times New Roman"/>
          <w:sz w:val="18"/>
          <w:szCs w:val="18"/>
          <w:color w:val="auto"/>
        </w:rPr>
        <w:t>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8"/>
          <w:szCs w:val="18"/>
          <w:color w:val="auto"/>
        </w:rPr>
        <w:t>given, notice of all meetings of the stockholders of the Corporation and special meetings of the Board or committees established by the Board. The 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w:t>
      </w:r>
    </w:p>
    <w:p>
      <w:pPr>
        <w:spacing w:after="0" w:line="2"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w:t>
      </w:r>
    </w:p>
    <w:p>
      <w:pPr>
        <w:spacing w:after="0" w:line="87" w:lineRule="exact"/>
        <w:rPr>
          <w:sz w:val="20"/>
          <w:szCs w:val="20"/>
          <w:color w:val="auto"/>
        </w:rPr>
      </w:pPr>
    </w:p>
    <w:p>
      <w:pPr>
        <w:ind w:right="420" w:firstLine="441"/>
        <w:spacing w:after="0" w:line="239"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The Chief Financial Officer of the Corporation in general shall supervise all of the financial affairs of the Corporation, under the direction and subject to the control of the Board</w:t>
      </w:r>
    </w:p>
    <w:p>
      <w:pPr>
        <w:spacing w:after="0" w:line="200" w:lineRule="exact"/>
        <w:rPr>
          <w:sz w:val="20"/>
          <w:szCs w:val="20"/>
          <w:color w:val="auto"/>
        </w:rPr>
      </w:pP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20"/>
          </w:cols>
          <w:pgMar w:left="320" w:top="1400" w:right="359" w:bottom="1440" w:gutter="0" w:footer="0" w:header="0"/>
        </w:sectPr>
      </w:pPr>
    </w:p>
    <w:bookmarkStart w:id="143" w:name="page144"/>
    <w:bookmarkEnd w:id="143"/>
    <w:p>
      <w:pPr>
        <w:ind w:right="160"/>
        <w:spacing w:after="0" w:line="236" w:lineRule="auto"/>
        <w:rPr>
          <w:sz w:val="20"/>
          <w:szCs w:val="20"/>
          <w:color w:val="auto"/>
        </w:rPr>
      </w:pPr>
      <w:r>
        <w:rPr>
          <w:rFonts w:ascii="Times New Roman" w:cs="Times New Roman" w:eastAsia="Times New Roman" w:hAnsi="Times New Roman"/>
          <w:sz w:val="17"/>
          <w:szCs w:val="17"/>
          <w:color w:val="auto"/>
        </w:rPr>
        <w:t>and the Chief Executive Officer. The Chief Financial Officer shall perform, under the direction and subject to the control of the Board and the Chief Executive Officer, all duties incident to the office of Chief Financial Officer and such other duties as the Board or the Chief Executive Officer may assign</w:t>
      </w:r>
    </w:p>
    <w:p>
      <w:pPr>
        <w:spacing w:after="0"/>
        <w:rPr>
          <w:sz w:val="20"/>
          <w:szCs w:val="20"/>
          <w:color w:val="auto"/>
        </w:rPr>
      </w:pPr>
      <w:r>
        <w:rPr>
          <w:rFonts w:ascii="Times New Roman" w:cs="Times New Roman" w:eastAsia="Times New Roman" w:hAnsi="Times New Roman"/>
          <w:sz w:val="18"/>
          <w:szCs w:val="18"/>
          <w:color w:val="auto"/>
        </w:rPr>
        <w:t>to the Chief Financial Officer from time to time.</w:t>
      </w:r>
    </w:p>
    <w:p>
      <w:pPr>
        <w:spacing w:after="0" w:line="80" w:lineRule="exact"/>
        <w:rPr>
          <w:sz w:val="20"/>
          <w:szCs w:val="20"/>
          <w:color w:val="auto"/>
        </w:rPr>
      </w:pPr>
    </w:p>
    <w:p>
      <w:pPr>
        <w:ind w:right="14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b w:val="1"/>
          <w:bCs w:val="1"/>
          <w:color w:val="auto"/>
        </w:rPr>
        <w:t>Treasurer.</w:t>
      </w:r>
      <w:r>
        <w:rPr>
          <w:rFonts w:ascii="Times New Roman" w:cs="Times New Roman" w:eastAsia="Times New Roman" w:hAnsi="Times New Roman"/>
          <w:sz w:val="17"/>
          <w:szCs w:val="17"/>
          <w:color w:val="auto"/>
        </w:rPr>
        <w:t xml:space="preserve"> The Treasurer of the Corporation shall have the care and custody of all the funds, notes, bonds, debentures, stock and other securities of the Corporation that may come into the hands of the Treasurer, acting in such capacity. The Treasurer shall be responsible for the investment</w:t>
      </w:r>
    </w:p>
    <w:p>
      <w:pPr>
        <w:spacing w:after="0" w:line="1"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may endorse (in facsimile or otherwise) checks, drafts, notes, bonds, debentures and other instruments for the payment of money for deposit or collection when necessary or appropriate and may deposit the same to the credit of the Corporation in such banks or depositories as the Board may designate from time to time, and the Treasurer may endorse (in facsimile or otherwise) all commercial documents requiring endorsements for or on behalf of the</w:t>
      </w:r>
    </w:p>
    <w:p>
      <w:pPr>
        <w:spacing w:after="0" w:line="2"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7"/>
          <w:szCs w:val="17"/>
          <w:color w:val="auto"/>
        </w:rPr>
        <w:t>Corporation. The Treasurer 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and Finance Committee as often as the Board or its Audit and Finance Committee shall require from time to time. The Treasurer shall</w:t>
      </w:r>
    </w:p>
    <w:p>
      <w:pPr>
        <w:spacing w:after="0" w:line="2" w:lineRule="exact"/>
        <w:rPr>
          <w:sz w:val="20"/>
          <w:szCs w:val="20"/>
          <w:color w:val="auto"/>
        </w:rPr>
      </w:pPr>
    </w:p>
    <w:p>
      <w:pPr>
        <w:jc w:val="both"/>
        <w:ind w:right="280"/>
        <w:spacing w:after="0" w:line="220" w:lineRule="auto"/>
        <w:rPr>
          <w:sz w:val="20"/>
          <w:szCs w:val="20"/>
          <w:color w:val="auto"/>
        </w:rPr>
      </w:pPr>
      <w:r>
        <w:rPr>
          <w:rFonts w:ascii="Times New Roman" w:cs="Times New Roman" w:eastAsia="Times New Roman" w:hAnsi="Times New Roman"/>
          <w:sz w:val="17"/>
          <w:szCs w:val="17"/>
          <w:color w:val="auto"/>
        </w:rPr>
        <w:t>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Board, the Chief Executive Officer and the Chief Financial Officer, all duties incident to the office of Treasurer and such other duties as the Board, the Chief Executive Officer or the Chief Financial Officer may assign to the Treasurer from time to time. The duties of the Treasurer may be performed by any Assistant Treasurer of the Corporation.</w:t>
      </w:r>
    </w:p>
    <w:p>
      <w:pPr>
        <w:spacing w:after="0" w:line="87" w:lineRule="exact"/>
        <w:rPr>
          <w:sz w:val="20"/>
          <w:szCs w:val="20"/>
          <w:color w:val="auto"/>
        </w:rPr>
      </w:pPr>
    </w:p>
    <w:p>
      <w:pPr>
        <w:ind w:right="140" w:firstLine="441"/>
        <w:spacing w:after="0" w:line="217"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b w:val="1"/>
          <w:bCs w:val="1"/>
          <w:color w:val="auto"/>
        </w:rPr>
        <w:t>Controller.</w:t>
      </w:r>
      <w:r>
        <w:rPr>
          <w:rFonts w:ascii="Times New Roman" w:cs="Times New Roman" w:eastAsia="Times New Roman" w:hAnsi="Times New Roman"/>
          <w:sz w:val="18"/>
          <w:szCs w:val="18"/>
          <w:color w:val="auto"/>
        </w:rPr>
        <w:t xml:space="preserve"> The Controller of the Corporation shall be the chief accounting officer of the Corporation, shall maintain adequate records of all assets, liabilities and transactions of the Corporation and shall be responsible for the design, installation and maintenance of accounting and cost control systems and procedures throughout the Corporation. The Controller also shall keep in books belonging to the Corporation full and accurate</w:t>
      </w:r>
    </w:p>
    <w:p>
      <w:pPr>
        <w:spacing w:after="0" w:line="3"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accounts of receipts of, and disbursements made by, the Corporation. The Controller shall render an account of the Controller’s transactions to the Board or its Audit and Finance Committee as often as the Board or its Audit and Finance Committee shall require from time to time. The Controller shall perform, under the direction and subject to the control of the Board, the Chief Executive Officer and the Chief Financial Officer, all duties incident to the office of</w:t>
      </w:r>
    </w:p>
    <w:p>
      <w:pPr>
        <w:spacing w:after="0" w:line="206" w:lineRule="auto"/>
        <w:rPr>
          <w:sz w:val="20"/>
          <w:szCs w:val="20"/>
          <w:color w:val="auto"/>
        </w:rPr>
      </w:pPr>
      <w:r>
        <w:rPr>
          <w:rFonts w:ascii="Times New Roman" w:cs="Times New Roman" w:eastAsia="Times New Roman" w:hAnsi="Times New Roman"/>
          <w:sz w:val="18"/>
          <w:szCs w:val="18"/>
          <w:color w:val="auto"/>
        </w:rPr>
        <w:t>Controller and such other duties as the Board, the Chief Executive Officer and the Chief Financial Officer, may assign to the Controller from time to time.</w:t>
      </w:r>
    </w:p>
    <w:p>
      <w:pPr>
        <w:spacing w:after="0"/>
        <w:rPr>
          <w:sz w:val="20"/>
          <w:szCs w:val="20"/>
          <w:color w:val="auto"/>
        </w:rPr>
      </w:pPr>
      <w:r>
        <w:rPr>
          <w:rFonts w:ascii="Times New Roman" w:cs="Times New Roman" w:eastAsia="Times New Roman" w:hAnsi="Times New Roman"/>
          <w:sz w:val="18"/>
          <w:szCs w:val="18"/>
          <w:color w:val="auto"/>
        </w:rPr>
        <w:t>The duties of the Controller may also be performed by any Assistant Controller of the Corporation.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DELEGATIONS OF AUTHORITY</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b w:val="1"/>
          <w:bCs w:val="1"/>
          <w:color w:val="auto"/>
        </w:rPr>
        <w:t>Execution of Contracts.</w:t>
      </w:r>
      <w:r>
        <w:rPr>
          <w:rFonts w:ascii="Times New Roman" w:cs="Times New Roman" w:eastAsia="Times New Roman" w:hAnsi="Times New Roman"/>
          <w:sz w:val="18"/>
          <w:szCs w:val="18"/>
          <w:color w:val="auto"/>
        </w:rPr>
        <w:t xml:space="preserve"> Except as otherwise provided in these Bylaws, the Board may authorize any officer or officers, agent or</w:t>
      </w:r>
    </w:p>
    <w:p>
      <w:pPr>
        <w:jc w:val="center"/>
        <w:ind w:right="40"/>
        <w:spacing w:after="0" w:line="219" w:lineRule="auto"/>
        <w:rPr>
          <w:sz w:val="20"/>
          <w:szCs w:val="20"/>
          <w:color w:val="auto"/>
        </w:rPr>
      </w:pPr>
      <w:r>
        <w:rPr>
          <w:rFonts w:ascii="Times New Roman" w:cs="Times New Roman" w:eastAsia="Times New Roman" w:hAnsi="Times New Roman"/>
          <w:sz w:val="18"/>
          <w:szCs w:val="18"/>
          <w:color w:val="auto"/>
        </w:rPr>
        <w:t>agents, to enter into any contract or execute any instrument in the name of and on behalf of the Corporation, and such authority may be general or confined</w:t>
      </w:r>
    </w:p>
    <w:p>
      <w:pPr>
        <w:ind w:right="40"/>
        <w:spacing w:after="0" w:line="226" w:lineRule="auto"/>
        <w:rPr>
          <w:sz w:val="20"/>
          <w:szCs w:val="20"/>
          <w:color w:val="auto"/>
        </w:rPr>
      </w:pPr>
      <w:r>
        <w:rPr>
          <w:rFonts w:ascii="Times New Roman" w:cs="Times New Roman" w:eastAsia="Times New Roman" w:hAnsi="Times New Roman"/>
          <w:sz w:val="18"/>
          <w:szCs w:val="18"/>
          <w:color w:val="auto"/>
        </w:rPr>
        <w:t>to specific instances; and unless so authorized by the Board or by these Bylaws, no officer, agent or employee shall have any power or authority to bind the Corporation by any contract or engagement or to pledge its credit or to render it liable for any purpose or in any amount.</w:t>
      </w:r>
    </w:p>
    <w:p>
      <w:pPr>
        <w:spacing w:after="0" w:line="72"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b w:val="1"/>
          <w:bCs w:val="1"/>
          <w:color w:val="auto"/>
        </w:rPr>
        <w:t>Checks, Drafts, Etc.</w:t>
      </w:r>
      <w:r>
        <w:rPr>
          <w:rFonts w:ascii="Times New Roman" w:cs="Times New Roman" w:eastAsia="Times New Roman" w:hAnsi="Times New Roman"/>
          <w:sz w:val="18"/>
          <w:szCs w:val="18"/>
          <w:color w:val="auto"/>
        </w:rPr>
        <w:t xml:space="preserve"> All checks, drafts or other orders for payment of money, notes or other evidence of indebtedness, issued in the name of or payable to the Corporation, shall be signed or endorsed by such person or persons and in such manner as, from time to time, shall be determined</w:t>
      </w:r>
    </w:p>
    <w:p>
      <w:pPr>
        <w:spacing w:after="0"/>
        <w:rPr>
          <w:sz w:val="20"/>
          <w:szCs w:val="20"/>
          <w:color w:val="auto"/>
        </w:rPr>
      </w:pPr>
      <w:r>
        <w:rPr>
          <w:rFonts w:ascii="Times New Roman" w:cs="Times New Roman" w:eastAsia="Times New Roman" w:hAnsi="Times New Roman"/>
          <w:sz w:val="18"/>
          <w:szCs w:val="18"/>
          <w:color w:val="auto"/>
        </w:rPr>
        <w:t>by resolution of the Board. Each such officer, assistant, agent or attorney shall give such bond, if any, as the Board may require.</w:t>
      </w:r>
    </w:p>
    <w:p>
      <w:pPr>
        <w:spacing w:after="0" w:line="80" w:lineRule="exact"/>
        <w:rPr>
          <w:sz w:val="20"/>
          <w:szCs w:val="20"/>
          <w:color w:val="auto"/>
        </w:rPr>
      </w:pPr>
    </w:p>
    <w:p>
      <w:pPr>
        <w:ind w:right="160" w:firstLine="441"/>
        <w:spacing w:after="0" w:line="238"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b w:val="1"/>
          <w:bCs w:val="1"/>
          <w:color w:val="auto"/>
        </w:rPr>
        <w:t>Deposits.</w:t>
      </w:r>
      <w:r>
        <w:rPr>
          <w:rFonts w:ascii="Times New Roman" w:cs="Times New Roman" w:eastAsia="Times New Roman" w:hAnsi="Times New Roman"/>
          <w:sz w:val="17"/>
          <w:szCs w:val="17"/>
          <w:color w:val="auto"/>
        </w:rPr>
        <w:t xml:space="preserve"> All funds of the Corporation not otherwise employed shall be deposited from time to time to the credit of the Corporation in such banks, trust companies or other depositories as the Board may select, or as may be selected by any officer or officers, assistant or assistants, agent or</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20"/>
          </w:cols>
          <w:pgMar w:left="320" w:top="1404" w:right="359" w:bottom="1440" w:gutter="0" w:footer="0" w:header="0"/>
        </w:sectPr>
      </w:pPr>
    </w:p>
    <w:bookmarkStart w:id="144" w:name="page145"/>
    <w:bookmarkEnd w:id="144"/>
    <w:p>
      <w:pPr>
        <w:ind w:right="28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b w:val="1"/>
          <w:bCs w:val="1"/>
          <w:color w:val="auto"/>
        </w:rPr>
        <w:t>General and Special Bank Accounts.</w:t>
      </w:r>
      <w:r>
        <w:rPr>
          <w:rFonts w:ascii="Times New Roman" w:cs="Times New Roman" w:eastAsia="Times New Roman" w:hAnsi="Times New Roman"/>
          <w:sz w:val="18"/>
          <w:szCs w:val="18"/>
          <w:color w:val="auto"/>
        </w:rPr>
        <w:t xml:space="preserve"> The Board (or a committee of the Board to which such power is delegated) may from time to time authorize the opening and keeping of general and special bank accounts with such banks, trust companies or other depositories as the Board (or</w:t>
      </w: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committee) may select or as may be selected by 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AND SHARE TRANSFER</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b w:val="1"/>
          <w:bCs w:val="1"/>
          <w:color w:val="auto"/>
        </w:rPr>
        <w:t>Certificates Representing Stock.</w:t>
      </w:r>
    </w:p>
    <w:p>
      <w:pPr>
        <w:spacing w:after="0" w:line="117" w:lineRule="exact"/>
        <w:rPr>
          <w:sz w:val="20"/>
          <w:szCs w:val="20"/>
          <w:color w:val="auto"/>
        </w:rPr>
      </w:pPr>
    </w:p>
    <w:p>
      <w:pPr>
        <w:ind w:right="60" w:firstLine="889"/>
        <w:spacing w:after="0" w:line="218" w:lineRule="auto"/>
        <w:tabs>
          <w:tab w:leader="none" w:pos="11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Form and Execution of Certificates. </w:t>
      </w:r>
      <w:r>
        <w:rPr>
          <w:rFonts w:ascii="Times New Roman" w:cs="Times New Roman" w:eastAsia="Times New Roman" w:hAnsi="Times New Roman"/>
          <w:sz w:val="18"/>
          <w:szCs w:val="18"/>
          <w:color w:val="auto"/>
        </w:rPr>
        <w:t>Certificates (if any) representing shares of stock or any bond, debenture or other corporate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placed upon, any such certificate has ceased to be such officer, transfer agent or registrar before such certificate is issued, such certificate may be issued by the Corporation with the same effect as though the person who signed such certificate, or whose facsimile signature shall have been placed thereupon, were such officer, transfer agent or registrar at the date of issue.</w:t>
      </w:r>
    </w:p>
    <w:p>
      <w:pPr>
        <w:spacing w:after="0" w:line="74" w:lineRule="exact"/>
        <w:rPr>
          <w:rFonts w:ascii="Times New Roman" w:cs="Times New Roman" w:eastAsia="Times New Roman" w:hAnsi="Times New Roman"/>
          <w:sz w:val="18"/>
          <w:szCs w:val="18"/>
          <w:color w:val="auto"/>
        </w:rPr>
      </w:pPr>
    </w:p>
    <w:p>
      <w:pPr>
        <w:ind w:right="20" w:firstLine="889"/>
        <w:spacing w:after="0" w:line="216" w:lineRule="auto"/>
        <w:tabs>
          <w:tab w:leader="none" w:pos="1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Designation on Certificates. </w:t>
      </w:r>
      <w:r>
        <w:rPr>
          <w:rFonts w:ascii="Times New Roman" w:cs="Times New Roman" w:eastAsia="Times New Roman" w:hAnsi="Times New Roman"/>
          <w:sz w:val="18"/>
          <w:szCs w:val="18"/>
          <w:color w:val="auto"/>
        </w:rPr>
        <w:t>If the Corporation is authorized to issue more than one class of stock or more than one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Delaware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89" w:lineRule="exact"/>
        <w:rPr>
          <w:rFonts w:ascii="Times New Roman" w:cs="Times New Roman" w:eastAsia="Times New Roman" w:hAnsi="Times New Roman"/>
          <w:sz w:val="18"/>
          <w:szCs w:val="18"/>
          <w:color w:val="auto"/>
        </w:rPr>
      </w:pPr>
    </w:p>
    <w:p>
      <w:pPr>
        <w:ind w:right="100" w:firstLine="889"/>
        <w:spacing w:after="0" w:line="218" w:lineRule="auto"/>
        <w:tabs>
          <w:tab w:leader="none" w:pos="11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Lost Certificates. </w:t>
      </w:r>
      <w:r>
        <w:rPr>
          <w:rFonts w:ascii="Times New Roman" w:cs="Times New Roman" w:eastAsia="Times New Roman" w:hAnsi="Times New Roman"/>
          <w:sz w:val="18"/>
          <w:szCs w:val="18"/>
          <w:color w:val="auto"/>
        </w:rPr>
        <w:t>Except as provided in this Section 6.01(c), no new certificates for shares shall be issued to replace a previously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unless the latter is surrendered to the Corporation and canceled at the same time. The Corporation may issue a new certificate of stock in the place of any certificate previously issued by it, alleged to have been lost, stolen, mutilated or destroyed, and the Corporation may require the owner of the lost, stolen, mutilated or destroyed certificate, or the owner’s legal representative, to give the Corporation a bond sufficient to indemnify it against any claim that may be made against it on account of the alleged loss, theft, mutilation or destruction of any such certificate or the issuance of such new certificate; provided, however, that a new certificate or uncertificated share may be issued without requiring any bond when, in the judgment of the Board, or the Secretary of the Corporation, it is proper so to do.</w:t>
      </w:r>
    </w:p>
    <w:p>
      <w:pPr>
        <w:spacing w:after="0" w:line="74" w:lineRule="exact"/>
        <w:rPr>
          <w:sz w:val="20"/>
          <w:szCs w:val="20"/>
          <w:color w:val="auto"/>
        </w:rPr>
      </w:pPr>
    </w:p>
    <w:p>
      <w:pPr>
        <w:ind w:right="20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xml:space="preserve"> Subject to any conditions imposed by Delaware Law, the Board may provide by resolution or resolutions that some or all of any or all classes or series of the stock of the Corporation shall be uncertificated shares. Within a reasonable time after the issuance or</w:t>
      </w:r>
    </w:p>
    <w:p>
      <w:pPr>
        <w:spacing w:after="0"/>
        <w:rPr>
          <w:sz w:val="20"/>
          <w:szCs w:val="20"/>
          <w:color w:val="auto"/>
        </w:rPr>
      </w:pPr>
      <w:r>
        <w:rPr>
          <w:rFonts w:ascii="Times New Roman" w:cs="Times New Roman" w:eastAsia="Times New Roman" w:hAnsi="Times New Roman"/>
          <w:sz w:val="18"/>
          <w:szCs w:val="18"/>
          <w:color w:val="auto"/>
        </w:rPr>
        <w:t>transfer of any uncertificated shares, the Corporation shall send to the registered owner thereof any written notice prescribed by Delaware Law.</w:t>
      </w:r>
    </w:p>
    <w:p>
      <w:pPr>
        <w:spacing w:after="0" w:line="80" w:lineRule="exact"/>
        <w:rPr>
          <w:sz w:val="20"/>
          <w:szCs w:val="20"/>
          <w:color w:val="auto"/>
        </w:rPr>
      </w:pPr>
    </w:p>
    <w:p>
      <w:pPr>
        <w:ind w:right="14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b w:val="1"/>
          <w:bCs w:val="1"/>
          <w:color w:val="auto"/>
        </w:rPr>
        <w:t>Transfers of Stock.</w:t>
      </w:r>
      <w:r>
        <w:rPr>
          <w:rFonts w:ascii="Times New Roman" w:cs="Times New Roman" w:eastAsia="Times New Roman" w:hAnsi="Times New Roman"/>
          <w:sz w:val="17"/>
          <w:szCs w:val="17"/>
          <w:color w:val="auto"/>
        </w:rPr>
        <w:t xml:space="preserve"> Upon compliance with provisions restricting the transfer or registration of transfer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stand on the books of the Corporation shall be deemed the owner thereof for all purposes as regards the Corporation. Whenever any shares are pledged for collateral security such fact shall be reflected on the books of the Corporation.</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xml:space="preserve"> The Board may make such rules and regulations as it may deem expedient, not inconsistent with these Bylaws, concerning</w:t>
      </w:r>
    </w:p>
    <w:p>
      <w:pPr>
        <w:spacing w:after="0" w:line="6"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20"/>
          </w:cols>
          <w:pgMar w:left="320" w:top="1400" w:right="359" w:bottom="1440" w:gutter="0" w:footer="0" w:header="0"/>
        </w:sectPr>
      </w:pPr>
    </w:p>
    <w:bookmarkStart w:id="145" w:name="page146"/>
    <w:bookmarkEnd w:id="145"/>
    <w:p>
      <w:pPr>
        <w:ind w:right="200"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b w:val="1"/>
          <w:bCs w:val="1"/>
          <w:color w:val="auto"/>
        </w:rPr>
        <w:t>Fixing Date for Determination of Stockholders of Record.</w:t>
      </w:r>
      <w:r>
        <w:rPr>
          <w:rFonts w:ascii="Times New Roman" w:cs="Times New Roman" w:eastAsia="Times New Roman" w:hAnsi="Times New Roman"/>
          <w:sz w:val="18"/>
          <w:szCs w:val="18"/>
          <w:color w:val="auto"/>
        </w:rPr>
        <w:t xml:space="preserve"> In order that the Corporation may determine the stockholders entitled to notice of or to vote at any meeting of stockholders or any adjournment thereof, or entitled to receive payment of any dividend or other distribution or</w:t>
      </w:r>
    </w:p>
    <w:p>
      <w:pPr>
        <w:spacing w:after="0" w:line="208" w:lineRule="auto"/>
        <w:rPr>
          <w:sz w:val="20"/>
          <w:szCs w:val="20"/>
          <w:color w:val="auto"/>
        </w:rPr>
      </w:pPr>
      <w:r>
        <w:rPr>
          <w:rFonts w:ascii="Times New Roman" w:cs="Times New Roman" w:eastAsia="Times New Roman" w:hAnsi="Times New Roman"/>
          <w:sz w:val="18"/>
          <w:szCs w:val="18"/>
          <w:color w:val="auto"/>
        </w:rPr>
        <w:t>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provided, however, that the Board may fix a new record date for the adjourned meeting.</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80" w:lineRule="exact"/>
        <w:rPr>
          <w:sz w:val="20"/>
          <w:szCs w:val="20"/>
          <w:color w:val="auto"/>
        </w:rPr>
      </w:pPr>
    </w:p>
    <w:p>
      <w:pPr>
        <w:ind w:right="36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xml:space="preserve"> The Board shall provide a corporate seal, which shall be in the form of a circle and shall bear the name of the Corporation and words and figures showing that the Corporation was incorporated in the State of Delaware and the year of incorporation.</w:t>
      </w:r>
    </w:p>
    <w:p>
      <w:pPr>
        <w:spacing w:after="0" w:line="60"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b w:val="1"/>
          <w:bCs w:val="1"/>
          <w:color w:val="auto"/>
        </w:rPr>
        <w:t>Waiver of Notices.</w:t>
      </w:r>
      <w:r>
        <w:rPr>
          <w:rFonts w:ascii="Times New Roman" w:cs="Times New Roman" w:eastAsia="Times New Roman" w:hAnsi="Times New Roman"/>
          <w:sz w:val="18"/>
          <w:szCs w:val="18"/>
          <w:color w:val="auto"/>
        </w:rPr>
        <w:t xml:space="preserve"> Whenever notice is required to be given by these Bylaws, the Certificate of Incorporation or Delaware Law, the person entitled to said notice may waive such notice (in writing or by electronic transmission), either before or after the time stated therein, and such waiver</w:t>
      </w:r>
    </w:p>
    <w:p>
      <w:pPr>
        <w:spacing w:after="0"/>
        <w:rPr>
          <w:sz w:val="20"/>
          <w:szCs w:val="20"/>
          <w:color w:val="auto"/>
        </w:rPr>
      </w:pPr>
      <w:r>
        <w:rPr>
          <w:rFonts w:ascii="Times New Roman" w:cs="Times New Roman" w:eastAsia="Times New Roman" w:hAnsi="Times New Roman"/>
          <w:sz w:val="18"/>
          <w:szCs w:val="18"/>
          <w:color w:val="auto"/>
        </w:rPr>
        <w:t>shall be deemed equivalent to notice.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xml:space="preserve"> The fiscal year of the Corporation shall begin on the day after the Friday closest to December 31 in each year.</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xml:space="preserve"> These Bylaws, or any of them, may be altered, amended or repealed, and new Bylaws may be made by the Board, by</w:t>
      </w:r>
    </w:p>
    <w:p>
      <w:pPr>
        <w:spacing w:after="0" w:line="6" w:lineRule="exact"/>
        <w:rPr>
          <w:sz w:val="20"/>
          <w:szCs w:val="20"/>
          <w:color w:val="auto"/>
        </w:rPr>
      </w:pPr>
    </w:p>
    <w:p>
      <w:pPr>
        <w:jc w:val="both"/>
        <w:ind w:right="400"/>
        <w:spacing w:after="0" w:line="218" w:lineRule="auto"/>
        <w:rPr>
          <w:sz w:val="20"/>
          <w:szCs w:val="20"/>
          <w:color w:val="auto"/>
        </w:rPr>
      </w:pPr>
      <w:r>
        <w:rPr>
          <w:rFonts w:ascii="Times New Roman" w:cs="Times New Roman" w:eastAsia="Times New Roman" w:hAnsi="Times New Roman"/>
          <w:sz w:val="18"/>
          <w:szCs w:val="18"/>
          <w:color w:val="auto"/>
        </w:rPr>
        <w:t>vote of a majority of the number of directors then in office as directors, acting at any meeting of the Board. No section of the Bylaws shall be adopted, repealed, altered, amended or rescinded by the stockholders of the Corporation except by the vote of the holders of not less than a majority of the total voting power of all outstanding shares of voting stock of the Corporation.</w:t>
      </w:r>
    </w:p>
    <w:p>
      <w:pPr>
        <w:spacing w:after="0" w:line="87" w:lineRule="exact"/>
        <w:rPr>
          <w:sz w:val="20"/>
          <w:szCs w:val="20"/>
          <w:color w:val="auto"/>
        </w:rPr>
      </w:pPr>
    </w:p>
    <w:p>
      <w:pPr>
        <w:ind w:right="120" w:firstLine="441"/>
        <w:spacing w:after="0" w:line="230" w:lineRule="auto"/>
        <w:rPr>
          <w:sz w:val="20"/>
          <w:szCs w:val="20"/>
          <w:color w:val="auto"/>
        </w:rPr>
      </w:pPr>
      <w:r>
        <w:rPr>
          <w:rFonts w:ascii="Times New Roman" w:cs="Times New Roman" w:eastAsia="Times New Roman" w:hAnsi="Times New Roman"/>
          <w:sz w:val="17"/>
          <w:szCs w:val="17"/>
          <w:color w:val="auto"/>
        </w:rPr>
        <w:t xml:space="preserve">Section 7.05 </w:t>
      </w:r>
      <w:r>
        <w:rPr>
          <w:rFonts w:ascii="Times New Roman" w:cs="Times New Roman" w:eastAsia="Times New Roman" w:hAnsi="Times New Roman"/>
          <w:sz w:val="17"/>
          <w:szCs w:val="17"/>
          <w:b w:val="1"/>
          <w:bCs w:val="1"/>
          <w:color w:val="auto"/>
        </w:rPr>
        <w:t>Designation of Engineer.</w:t>
      </w:r>
      <w:r>
        <w:rPr>
          <w:rFonts w:ascii="Times New Roman" w:cs="Times New Roman" w:eastAsia="Times New Roman" w:hAnsi="Times New Roman"/>
          <w:sz w:val="17"/>
          <w:szCs w:val="17"/>
          <w:color w:val="auto"/>
        </w:rPr>
        <w:t xml:space="preserve"> 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shall be appointed by the Board from time to time as vacancies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February 8, 2024</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1400"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229235</wp:posOffset>
            </wp:positionV>
            <wp:extent cx="1517015" cy="3600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15170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NOTICE OF GRANT OF OPTION AWARD (EMPLOYEES)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grants this Option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as set forth in this Notice of Grant of Option</w:t>
      </w:r>
    </w:p>
    <w:p>
      <w:pPr>
        <w:ind w:right="240"/>
        <w:spacing w:after="0" w:line="215" w:lineRule="auto"/>
        <w:rPr>
          <w:sz w:val="20"/>
          <w:szCs w:val="20"/>
          <w:color w:val="auto"/>
        </w:rPr>
      </w:pPr>
      <w:r>
        <w:rPr>
          <w:rFonts w:ascii="Times New Roman" w:cs="Times New Roman" w:eastAsia="Times New Roman" w:hAnsi="Times New Roman"/>
          <w:sz w:val="19"/>
          <w:szCs w:val="19"/>
          <w:color w:val="auto"/>
        </w:rPr>
        <w:t>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 Grantee designated in this Notice, pursuant to the provisions of the Company’s 2017 Omnibus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and subject to certain restrictions as outlined below in this Notice and the additional provisions set forth in the attached</w:t>
      </w:r>
    </w:p>
    <w:p>
      <w:pPr>
        <w:spacing w:after="0" w:line="211" w:lineRule="auto"/>
        <w:rPr>
          <w:sz w:val="20"/>
          <w:szCs w:val="20"/>
          <w:color w:val="auto"/>
        </w:rPr>
      </w:pPr>
      <w:r>
        <w:rPr>
          <w:rFonts w:ascii="Times New Roman" w:cs="Times New Roman" w:eastAsia="Times New Roman" w:hAnsi="Times New Roman"/>
          <w:sz w:val="20"/>
          <w:szCs w:val="20"/>
          <w:color w:val="auto"/>
        </w:rPr>
        <w:t>Terms and Conditions of Option Award (the “</w:t>
      </w:r>
      <w:r>
        <w:rPr>
          <w:rFonts w:ascii="Times New Roman" w:cs="Times New Roman" w:eastAsia="Times New Roman" w:hAnsi="Times New Roman"/>
          <w:sz w:val="20"/>
          <w:szCs w:val="20"/>
          <w:b w:val="1"/>
          <w:bCs w:val="1"/>
          <w:color w:val="auto"/>
        </w:rPr>
        <w:t>Terms</w:t>
      </w:r>
      <w:r>
        <w:rPr>
          <w:rFonts w:ascii="Times New Roman" w:cs="Times New Roman" w:eastAsia="Times New Roman" w:hAnsi="Times New Roman"/>
          <w:sz w:val="20"/>
          <w:szCs w:val="20"/>
          <w:color w:val="auto"/>
        </w:rPr>
        <w:t>”). Together, this Notice, the attached Terms and all exhibits and appendices hereto</w:t>
      </w:r>
    </w:p>
    <w:p>
      <w:pPr>
        <w:ind w:right="240"/>
        <w:spacing w:after="0" w:line="215" w:lineRule="auto"/>
        <w:rPr>
          <w:sz w:val="20"/>
          <w:szCs w:val="20"/>
          <w:color w:val="auto"/>
        </w:rPr>
      </w:pPr>
      <w:r>
        <w:rPr>
          <w:rFonts w:ascii="Times New Roman" w:cs="Times New Roman" w:eastAsia="Times New Roman" w:hAnsi="Times New Roman"/>
          <w:sz w:val="19"/>
          <w:szCs w:val="19"/>
          <w:color w:val="auto"/>
        </w:rPr>
        <w:t>constitute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The terms and conditions of the Plan are incorporated by reference in their entirety into this Agreement. When used in this Agreement, the terms that are defined in the Plan shall have the meanings given to them in the Plan, as modified herein</w:t>
      </w:r>
    </w:p>
    <w:p>
      <w:pPr>
        <w:spacing w:after="0"/>
        <w:rPr>
          <w:sz w:val="20"/>
          <w:szCs w:val="20"/>
          <w:color w:val="auto"/>
        </w:rPr>
      </w:pPr>
      <w:r>
        <w:rPr>
          <w:rFonts w:ascii="Times New Roman" w:cs="Times New Roman" w:eastAsia="Times New Roman" w:hAnsi="Times New Roman"/>
          <w:sz w:val="20"/>
          <w:szCs w:val="20"/>
          <w:color w:val="auto"/>
        </w:rPr>
        <w:t>(if applicable).</w:t>
      </w:r>
    </w:p>
    <w:p>
      <w:pPr>
        <w:spacing w:after="0" w:line="190"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Award Details: </w:t>
      </w:r>
      <w:r>
        <w:rPr>
          <w:rFonts w:ascii="Times New Roman" w:cs="Times New Roman" w:eastAsia="Times New Roman" w:hAnsi="Times New Roman"/>
          <w:sz w:val="19"/>
          <w:szCs w:val="19"/>
          <w:color w:val="auto"/>
        </w:rPr>
        <w:t>The Grantee’s name, the number of shares of Stock with respect to which the Option is awarded, the Option Price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Grant Date can be found in the Grant Summary located in the electronic stock plan award administration system maintained by the</w:t>
      </w:r>
    </w:p>
    <w:p>
      <w:pPr>
        <w:spacing w:after="0" w:line="1"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color w:val="auto"/>
        </w:rPr>
        <w:t>Company or its designee that contains a link to this Agreement (which summary information is set forth in the appropriate records of the Company authorizing such award). The Option is a Non-qualified Stock Option.</w:t>
      </w:r>
    </w:p>
    <w:p>
      <w:pPr>
        <w:spacing w:after="0" w:line="18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Subject to the terms of the Plan and this Agreement, the Option shall become vested and exercisable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schedule, in the event the Grantee does not have a Separation from Service prior to the applicable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00"/>
        <w:spacing w:after="0"/>
        <w:tabs>
          <w:tab w:leader="none" w:pos="5780" w:val="left"/>
        </w:tabs>
        <w:rPr>
          <w:sz w:val="20"/>
          <w:szCs w:val="20"/>
          <w:color w:val="auto"/>
        </w:rPr>
      </w:pPr>
      <w:r>
        <w:rPr>
          <w:rFonts w:ascii="Times New Roman" w:cs="Times New Roman" w:eastAsia="Times New Roman" w:hAnsi="Times New Roman"/>
          <w:sz w:val="20"/>
          <w:szCs w:val="20"/>
          <w:b w:val="1"/>
          <w:bCs w:val="1"/>
          <w:u w:val="single" w:color="auto"/>
          <w:color w:val="auto"/>
        </w:rPr>
        <w:t>Vesting Date</w:t>
      </w:r>
      <w:r>
        <w:rPr>
          <w:sz w:val="20"/>
          <w:szCs w:val="20"/>
          <w:color w:val="auto"/>
        </w:rPr>
        <w:tab/>
      </w:r>
      <w:r>
        <w:rPr>
          <w:rFonts w:ascii="Times New Roman" w:cs="Times New Roman" w:eastAsia="Times New Roman" w:hAnsi="Times New Roman"/>
          <w:sz w:val="19"/>
          <w:szCs w:val="19"/>
          <w:b w:val="1"/>
          <w:bCs w:val="1"/>
          <w:u w:val="single" w:color="auto"/>
          <w:color w:val="auto"/>
        </w:rPr>
        <w: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60"/>
        <w:spacing w:after="0"/>
        <w:tabs>
          <w:tab w:leader="none" w:pos="6460" w:val="left"/>
        </w:tabs>
        <w:rPr>
          <w:sz w:val="20"/>
          <w:szCs w:val="20"/>
          <w:color w:val="auto"/>
        </w:rPr>
      </w:pPr>
      <w:r>
        <w:rPr>
          <w:rFonts w:ascii="Times New Roman" w:cs="Times New Roman" w:eastAsia="Times New Roman" w:hAnsi="Times New Roman"/>
          <w:sz w:val="20"/>
          <w:szCs w:val="20"/>
          <w:b w:val="1"/>
          <w:bCs w:val="1"/>
          <w:color w:val="auto"/>
        </w:rPr>
        <w:t>[add applicable vesting date(s)]</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9"/>
          <w:szCs w:val="19"/>
          <w:color w:val="auto"/>
        </w:rPr>
        <w:t>The Option may be exercisable only as to a whole number of shares of Stock as of any given vesting date. If the number of shares of Stock with respect to which the Option becomes vested and exercisable determined as of a vesting date is a fractional number, the number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vesting will be rounded down to the nearest whole number with any fractional portion carried forward.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Notice sets forth</w:t>
      </w:r>
    </w:p>
    <w:p>
      <w:pPr>
        <w:spacing w:after="0" w:line="1" w:lineRule="exact"/>
        <w:rPr>
          <w:sz w:val="20"/>
          <w:szCs w:val="20"/>
          <w:color w:val="auto"/>
        </w:rPr>
      </w:pPr>
    </w:p>
    <w:p>
      <w:pPr>
        <w:ind w:right="640"/>
        <w:spacing w:after="0" w:line="215" w:lineRule="auto"/>
        <w:rPr>
          <w:sz w:val="20"/>
          <w:szCs w:val="20"/>
          <w:color w:val="auto"/>
        </w:rPr>
      </w:pPr>
      <w:r>
        <w:rPr>
          <w:rFonts w:ascii="Times New Roman" w:cs="Times New Roman" w:eastAsia="Times New Roman" w:hAnsi="Times New Roman"/>
          <w:sz w:val="19"/>
          <w:szCs w:val="19"/>
          <w:color w:val="auto"/>
        </w:rPr>
        <w:t xml:space="preserve">the terms and provisions regarding treatment of the Award upon Separation form Service. The Option shall not become vested and exercisable following the Grantee’s Separation from Service except as otherwise expressly provided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Notice or as</w:t>
      </w:r>
    </w:p>
    <w:p>
      <w:pPr>
        <w:spacing w:after="0"/>
        <w:rPr>
          <w:sz w:val="20"/>
          <w:szCs w:val="20"/>
          <w:color w:val="auto"/>
        </w:rPr>
      </w:pPr>
      <w:r>
        <w:rPr>
          <w:rFonts w:ascii="Times New Roman" w:cs="Times New Roman" w:eastAsia="Times New Roman" w:hAnsi="Times New Roman"/>
          <w:sz w:val="20"/>
          <w:szCs w:val="20"/>
          <w:color w:val="auto"/>
        </w:rPr>
        <w:t>otherwise provided pursuant to the terms of the Plan.</w:t>
      </w:r>
    </w:p>
    <w:p>
      <w:pPr>
        <w:spacing w:after="0" w:line="271" w:lineRule="exact"/>
        <w:rPr>
          <w:sz w:val="20"/>
          <w:szCs w:val="20"/>
          <w:color w:val="auto"/>
        </w:rPr>
      </w:pPr>
    </w:p>
    <w:p>
      <w:pPr>
        <w:ind w:right="50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Expiration Date: </w:t>
      </w:r>
      <w:r>
        <w:rPr>
          <w:rFonts w:ascii="Times New Roman" w:cs="Times New Roman" w:eastAsia="Times New Roman" w:hAnsi="Times New Roman"/>
          <w:sz w:val="19"/>
          <w:szCs w:val="19"/>
          <w:color w:val="auto"/>
        </w:rPr>
        <w:t>The expiration date of the Option (the “</w:t>
      </w:r>
      <w:r>
        <w:rPr>
          <w:rFonts w:ascii="Times New Roman" w:cs="Times New Roman" w:eastAsia="Times New Roman" w:hAnsi="Times New Roman"/>
          <w:sz w:val="19"/>
          <w:szCs w:val="19"/>
          <w:b w:val="1"/>
          <w:bCs w:val="1"/>
          <w:color w:val="auto"/>
        </w:rPr>
        <w:t>Expiration Date</w:t>
      </w:r>
      <w:r>
        <w:rPr>
          <w:rFonts w:ascii="Times New Roman" w:cs="Times New Roman" w:eastAsia="Times New Roman" w:hAnsi="Times New Roman"/>
          <w:sz w:val="19"/>
          <w:szCs w:val="19"/>
          <w:color w:val="auto"/>
        </w:rPr>
        <w:t>”) is the</w:t>
      </w:r>
      <w:r>
        <w:rPr>
          <w:rFonts w:ascii="Times New Roman" w:cs="Times New Roman" w:eastAsia="Times New Roman" w:hAnsi="Times New Roman"/>
          <w:sz w:val="19"/>
          <w:szCs w:val="19"/>
          <w:b w:val="1"/>
          <w:bCs w:val="1"/>
          <w:color w:val="auto"/>
        </w:rPr>
        <w:t xml:space="preserve"> [•] </w:t>
      </w:r>
      <w:r>
        <w:rPr>
          <w:rFonts w:ascii="Times New Roman" w:cs="Times New Roman" w:eastAsia="Times New Roman" w:hAnsi="Times New Roman"/>
          <w:sz w:val="19"/>
          <w:szCs w:val="19"/>
          <w:color w:val="auto"/>
        </w:rPr>
        <w:t>anniversary of the Grant Date. The Option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terminate earlier than the Expiration Date as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the Notice in connection with the Grantee’s Separation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w:t>
      </w:r>
    </w:p>
    <w:p>
      <w:pPr>
        <w:spacing w:after="0" w:line="190"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b w:val="1"/>
          <w:bCs w:val="1"/>
          <w:color w:val="auto"/>
        </w:rPr>
        <w:t>Award Acceptance</w:t>
      </w:r>
      <w:r>
        <w:rPr>
          <w:rFonts w:ascii="Times New Roman" w:cs="Times New Roman" w:eastAsia="Times New Roman" w:hAnsi="Times New Roman"/>
          <w:sz w:val="19"/>
          <w:szCs w:val="19"/>
          <w:color w:val="auto"/>
        </w:rPr>
        <w:t>: The Grantee must accept the Agreement electronically pursuant to the online acceptance procedure established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by no later than three months following the Grant Date. If the Grantee does not accept the Agreement through the online</w:t>
      </w:r>
    </w:p>
    <w:p>
      <w:pPr>
        <w:spacing w:after="0" w:line="211" w:lineRule="auto"/>
        <w:rPr>
          <w:sz w:val="20"/>
          <w:szCs w:val="20"/>
          <w:color w:val="auto"/>
        </w:rPr>
      </w:pPr>
      <w:r>
        <w:rPr>
          <w:rFonts w:ascii="Times New Roman" w:cs="Times New Roman" w:eastAsia="Times New Roman" w:hAnsi="Times New Roman"/>
          <w:sz w:val="20"/>
          <w:szCs w:val="20"/>
          <w:color w:val="auto"/>
        </w:rPr>
        <w:t>acceptance process by that date, or such other date that may be communicated, the Grantee will be deemed to have accepted the</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Agreement and the Company will automatically accept the Agreement on the Grantee’s behalf. If the Grantee declines the Agreement, the Award will be canceled and the Grantee will not be entitled to any benefits from the Award nor any compensation or benefits in lieu</w:t>
      </w:r>
    </w:p>
    <w:p>
      <w:pPr>
        <w:spacing w:after="0"/>
        <w:rPr>
          <w:sz w:val="20"/>
          <w:szCs w:val="20"/>
          <w:color w:val="auto"/>
        </w:rPr>
      </w:pPr>
      <w:r>
        <w:rPr>
          <w:rFonts w:ascii="Times New Roman" w:cs="Times New Roman" w:eastAsia="Times New Roman" w:hAnsi="Times New Roman"/>
          <w:sz w:val="20"/>
          <w:szCs w:val="20"/>
          <w:color w:val="auto"/>
        </w:rPr>
        <w:t>of the canceled award.</w:t>
      </w:r>
    </w:p>
    <w:p>
      <w:pPr>
        <w:sectPr>
          <w:pgSz w:w="11900" w:h="16838" w:orient="portrait"/>
          <w:cols w:equalWidth="0" w:num="1">
            <w:col w:w="11140"/>
          </w:cols>
          <w:pgMar w:left="420" w:top="939"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from Service and Change in Control</w:t>
      </w:r>
    </w:p>
    <w:p>
      <w:pPr>
        <w:spacing w:after="0" w:line="301" w:lineRule="exact"/>
        <w:rPr>
          <w:sz w:val="20"/>
          <w:szCs w:val="20"/>
          <w:color w:val="auto"/>
        </w:rPr>
      </w:pPr>
    </w:p>
    <w:p>
      <w:pPr>
        <w:ind w:left="-120" w:right="20" w:firstLine="646"/>
        <w:spacing w:after="0" w:line="226" w:lineRule="auto"/>
        <w:tabs>
          <w:tab w:leader="none" w:pos="108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on Vesting of Separation from Service; Change in Control</w:t>
      </w:r>
      <w:r>
        <w:rPr>
          <w:rFonts w:ascii="Times New Roman" w:cs="Times New Roman" w:eastAsia="Times New Roman" w:hAnsi="Times New Roman"/>
          <w:sz w:val="20"/>
          <w:szCs w:val="20"/>
          <w:color w:val="auto"/>
        </w:rPr>
        <w:t>. If the Grantee has a Separation from Service before any of the vesting date(s) specified under “Vesting Schedule” in the Notice, then any unvested portion of the Option shall become vested and exercisable or shall be canceled depending on the reason for Separation from Service as follows:</w:t>
      </w:r>
    </w:p>
    <w:p>
      <w:pPr>
        <w:spacing w:after="0" w:line="187" w:lineRule="exact"/>
        <w:rPr>
          <w:rFonts w:ascii="Times New Roman" w:cs="Times New Roman" w:eastAsia="Times New Roman" w:hAnsi="Times New Roman"/>
          <w:sz w:val="20"/>
          <w:szCs w:val="20"/>
          <w:color w:val="auto"/>
        </w:rPr>
      </w:pPr>
    </w:p>
    <w:p>
      <w:pPr>
        <w:ind w:left="-120" w:right="100" w:firstLine="1294"/>
        <w:spacing w:after="0" w:line="213" w:lineRule="auto"/>
        <w:tabs>
          <w:tab w:leader="none" w:pos="172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the Grantee has a Separation from Service due to the Grantee’s death or Disability, any unvested portion of the Option shall become immediately vested and exercisable as of the date of such Separation from Service. In addition, in the event of the Grantee’s death after Separation from Service due to Special Retirement, any portion of the Option that had not yet become vested and exercisable in accordance with the schedule set forth under “Vesting Schedule” in the Notice shall become immediately vested and exercisable as of the date of such death. Following the Grantee’s death, the Option may be exercised only by the executor or administrator of the Grantee’s estate or, if there is none, the person entitled to exercise the Option under the Grantee’s will or the laws of descent and distribution. Following the Grantee’s Separation from Service due to Disability, if a guardian or conservator has been appointed to act for the Grantee and been granted this authority as part of that appointment, that guardian or conservator may exercise the Option on behalf of the Grantee.</w:t>
      </w:r>
    </w:p>
    <w:p>
      <w:pPr>
        <w:spacing w:after="0" w:line="188" w:lineRule="exact"/>
        <w:rPr>
          <w:rFonts w:ascii="Times New Roman" w:cs="Times New Roman" w:eastAsia="Times New Roman" w:hAnsi="Times New Roman"/>
          <w:sz w:val="20"/>
          <w:szCs w:val="20"/>
          <w:color w:val="auto"/>
        </w:rPr>
      </w:pPr>
    </w:p>
    <w:p>
      <w:pPr>
        <w:ind w:left="-120" w:firstLine="1294"/>
        <w:spacing w:after="0" w:line="226" w:lineRule="auto"/>
        <w:tabs>
          <w:tab w:leader="none" w:pos="172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Involuntary Termination without Cause</w:t>
      </w:r>
      <w:r>
        <w:rPr>
          <w:rFonts w:ascii="Times New Roman" w:cs="Times New Roman" w:eastAsia="Times New Roman" w:hAnsi="Times New Roman"/>
          <w:sz w:val="19"/>
          <w:szCs w:val="19"/>
          <w:color w:val="auto"/>
        </w:rPr>
        <w:t>. If the Grantee has an Involuntary Termination without Cause at least six months after the Grant Date, a prorated portion of any unvested portion of the Option shall become immediately vested and exercisable as of the date of such Involuntary Termination without Cause. Such prorated vesting shall be determined as follows: (A) the total number of shares of Stock covered by the Option shall be multiplied by the Pro Rata Fraction, rounded up to the next whole number, and (B) such resulting amount shall be reduced by the portion of the Option (if any) that previously vested in accordance with the schedule set forth under “Vesting Schedule” in the Notice. In addition, the Grantee must execute, deliver and not revoke, no later than sixty (60) days following Separation from Service, a general release of claims if requested by, and in a form satisfactory to, the Company.</w:t>
      </w:r>
    </w:p>
    <w:p>
      <w:pPr>
        <w:spacing w:after="0" w:line="179" w:lineRule="exact"/>
        <w:rPr>
          <w:rFonts w:ascii="Times New Roman" w:cs="Times New Roman" w:eastAsia="Times New Roman" w:hAnsi="Times New Roman"/>
          <w:sz w:val="19"/>
          <w:szCs w:val="19"/>
          <w:color w:val="auto"/>
        </w:rPr>
      </w:pPr>
    </w:p>
    <w:p>
      <w:pPr>
        <w:ind w:left="-120" w:firstLine="1294"/>
        <w:spacing w:after="0" w:line="224" w:lineRule="auto"/>
        <w:tabs>
          <w:tab w:leader="none" w:pos="1729"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Retirement</w:t>
      </w:r>
      <w:r>
        <w:rPr>
          <w:rFonts w:ascii="Times New Roman" w:cs="Times New Roman" w:eastAsia="Times New Roman" w:hAnsi="Times New Roman"/>
          <w:sz w:val="19"/>
          <w:szCs w:val="19"/>
          <w:color w:val="auto"/>
        </w:rPr>
        <w:t>. If the Grantee has a Separation from Service due to Special Retirement, the Option shall continue to become vested and exercisable in accordance with the schedule set forth under “Vesting Schedule” in the Notice as if the Grantee had not had a Separation from Service, but provided that the Grantee complies with the requirements of Section 6 of the Terms (regarding compliance with post-employment covenants). In addition, the Grantee must execute, deliver and not revoke, no later than sixty (60) days following Separation from Service, a general release of claims if requested by, and in a form satisfactory to, the Company. Notwithstanding the preceding sentences, if the Company receives an opinion of counsel that there has been a legal judgment and/or legal development in the Grantee’s jurisdiction that likely would result in the favorable Special Retirement treatment that otherwise would apply to the Option pursuant to this Section (a)(iii) being deemed unlawful and/or discriminatory, then the Company will not apply this favorable Special Retirement treatment at the time of the Grantee’s Separation from Service and the Option will be treated as it would under the rules that otherwise would have applied if the Grantee’s Separation from Service did not qualify as a Special Retirement.</w:t>
      </w:r>
    </w:p>
    <w:p>
      <w:pPr>
        <w:spacing w:after="0" w:line="188" w:lineRule="exact"/>
        <w:rPr>
          <w:rFonts w:ascii="Times New Roman" w:cs="Times New Roman" w:eastAsia="Times New Roman" w:hAnsi="Times New Roman"/>
          <w:sz w:val="19"/>
          <w:szCs w:val="19"/>
          <w:color w:val="auto"/>
        </w:rPr>
      </w:pPr>
    </w:p>
    <w:p>
      <w:pPr>
        <w:ind w:left="-120" w:right="240" w:firstLine="1294"/>
        <w:spacing w:after="0" w:line="237" w:lineRule="auto"/>
        <w:tabs>
          <w:tab w:leader="none" w:pos="1732"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Notwithstanding anything in this Agreement to the contrary but subject to the provisions of Section 15.3.1(i) of the Plan, if (A) a Change in Control occurs and (B) the Grantee has a Change in Control Termination, then any unvested portion of the Option shall become immediately vested and exercisable as of the date of such Change in Control Termination.</w:t>
      </w:r>
    </w:p>
    <w:p>
      <w:pPr>
        <w:spacing w:after="0" w:line="189" w:lineRule="exact"/>
        <w:rPr>
          <w:rFonts w:ascii="Times New Roman" w:cs="Times New Roman" w:eastAsia="Times New Roman" w:hAnsi="Times New Roman"/>
          <w:sz w:val="19"/>
          <w:szCs w:val="19"/>
          <w:color w:val="auto"/>
        </w:rPr>
      </w:pPr>
    </w:p>
    <w:p>
      <w:pPr>
        <w:ind w:left="-120" w:right="140" w:firstLine="1294"/>
        <w:spacing w:after="0" w:line="222" w:lineRule="auto"/>
        <w:tabs>
          <w:tab w:leader="none" w:pos="1731"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Any other Separation from Service</w:t>
      </w:r>
      <w:r>
        <w:rPr>
          <w:rFonts w:ascii="Times New Roman" w:cs="Times New Roman" w:eastAsia="Times New Roman" w:hAnsi="Times New Roman"/>
          <w:sz w:val="20"/>
          <w:szCs w:val="20"/>
          <w:color w:val="auto"/>
        </w:rPr>
        <w:t>. If the Grantee has a Separation from Service for any reason other than as specified in subparagraphs (i) through (iv) above, any portion of the Option that was not vested and exercisable pursuant to the schedule specified under “Vesting Schedule” in the Notice as of the date of the Separation from Service shall be immediately canceled as of the date of Separation from Service.</w:t>
      </w:r>
    </w:p>
    <w:p>
      <w:pPr>
        <w:spacing w:after="0" w:line="242" w:lineRule="exact"/>
        <w:rPr>
          <w:rFonts w:ascii="Times New Roman" w:cs="Times New Roman" w:eastAsia="Times New Roman" w:hAnsi="Times New Roman"/>
          <w:sz w:val="20"/>
          <w:szCs w:val="20"/>
          <w:color w:val="auto"/>
        </w:rPr>
      </w:pPr>
    </w:p>
    <w:p>
      <w:pPr>
        <w:ind w:left="1160" w:hanging="635"/>
        <w:spacing w:after="0"/>
        <w:tabs>
          <w:tab w:leader="none" w:pos="11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on Exercise Period of Separation from Service</w:t>
      </w:r>
      <w:r>
        <w:rPr>
          <w:rFonts w:ascii="Times New Roman" w:cs="Times New Roman" w:eastAsia="Times New Roman" w:hAnsi="Times New Roman"/>
          <w:sz w:val="20"/>
          <w:szCs w:val="20"/>
          <w:color w:val="auto"/>
        </w:rPr>
        <w:t>.</w:t>
      </w:r>
    </w:p>
    <w:p>
      <w:pPr>
        <w:sectPr>
          <w:pgSz w:w="11900" w:h="16838" w:orient="portrait"/>
          <w:cols w:equalWidth="0" w:num="1">
            <w:col w:w="10800"/>
          </w:cols>
          <w:pgMar w:left="540" w:top="1247" w:right="559" w:bottom="1440" w:gutter="0" w:footer="0" w:header="0"/>
        </w:sectPr>
      </w:pPr>
    </w:p>
    <w:bookmarkStart w:id="148" w:name="page149"/>
    <w:bookmarkEnd w:id="148"/>
    <w:p>
      <w:pPr>
        <w:ind w:left="-640" w:right="200" w:firstLine="1294"/>
        <w:spacing w:after="0" w:line="230" w:lineRule="auto"/>
        <w:tabs>
          <w:tab w:leader="none" w:pos="1207"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Subject to clauses (ii) and (iii) below, to the extent the Option is vested and exercisable as of the date of the Grantee’s Separation from Service, it shall remain exercisable until the earlier of (A) the 90th day after the date of Separation from Service or (B) the Expiration Date.</w:t>
      </w:r>
    </w:p>
    <w:p>
      <w:pPr>
        <w:spacing w:after="0" w:line="175" w:lineRule="exact"/>
        <w:rPr>
          <w:rFonts w:ascii="Times New Roman" w:cs="Times New Roman" w:eastAsia="Times New Roman" w:hAnsi="Times New Roman"/>
          <w:sz w:val="20"/>
          <w:szCs w:val="20"/>
          <w:color w:val="auto"/>
        </w:rPr>
      </w:pPr>
    </w:p>
    <w:p>
      <w:pPr>
        <w:ind w:left="-640" w:firstLine="1294"/>
        <w:spacing w:after="0" w:line="215" w:lineRule="auto"/>
        <w:tabs>
          <w:tab w:leader="none" w:pos="120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Retirement</w:t>
      </w:r>
      <w:r>
        <w:rPr>
          <w:rFonts w:ascii="Times New Roman" w:cs="Times New Roman" w:eastAsia="Times New Roman" w:hAnsi="Times New Roman"/>
          <w:sz w:val="20"/>
          <w:szCs w:val="20"/>
          <w:color w:val="auto"/>
        </w:rPr>
        <w:t>. Notwithstanding the foregoing and subject to the provisions of clause (iii) below, in the event of Separation from Service by reason of Special Retirement, the Option, to the extent vested and exercisable, shall remain exercisable until the Expiration Date, provided that the Grantee complies with the requirements of Section 6 of the Terms (regarding compliance with post-employment covenants). Notwithstanding the foregoing but subject to the provisions of clause (iii) below, if the Grantee fails to comply with the requirements of Section 6 of the Terms, the portion of the Option that was vested and exercisable as of the date of the Grantee’s Separation from Service shall remain exercisable until the earlier of (A) the 90th day after the date of Separation from Service or (B) the Expiration Date.</w:t>
      </w:r>
    </w:p>
    <w:p>
      <w:pPr>
        <w:spacing w:after="0" w:line="191" w:lineRule="exact"/>
        <w:rPr>
          <w:rFonts w:ascii="Times New Roman" w:cs="Times New Roman" w:eastAsia="Times New Roman" w:hAnsi="Times New Roman"/>
          <w:sz w:val="20"/>
          <w:szCs w:val="20"/>
          <w:color w:val="auto"/>
        </w:rPr>
      </w:pPr>
    </w:p>
    <w:p>
      <w:pPr>
        <w:ind w:left="-640" w:right="160" w:firstLine="1294"/>
        <w:spacing w:after="0" w:line="222" w:lineRule="auto"/>
        <w:tabs>
          <w:tab w:leader="none" w:pos="120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Notwithstanding the foregoing, in the event that the Grantee’s Separation from Service is for Cause (including a determination by the Company after the date of the Separation from Service that circumstances constituting Cause existed at the time of Separation from Service), any outstanding portion of the Option, whether or not previously vested, shall be immediately cancelled as of the date of such Separation from Service.</w:t>
      </w:r>
    </w:p>
    <w:p>
      <w:pPr>
        <w:spacing w:after="0" w:line="188" w:lineRule="exact"/>
        <w:rPr>
          <w:rFonts w:ascii="Times New Roman" w:cs="Times New Roman" w:eastAsia="Times New Roman" w:hAnsi="Times New Roman"/>
          <w:sz w:val="20"/>
          <w:szCs w:val="20"/>
          <w:color w:val="auto"/>
        </w:rPr>
      </w:pPr>
    </w:p>
    <w:p>
      <w:pPr>
        <w:ind w:left="560" w:hanging="554"/>
        <w:spacing w:after="0"/>
        <w:tabs>
          <w:tab w:leader="none" w:pos="5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the termination of Service will be deemed to exist if the Grantee:</w:t>
      </w:r>
    </w:p>
    <w:p>
      <w:pPr>
        <w:spacing w:after="0" w:line="220" w:lineRule="exact"/>
        <w:rPr>
          <w:sz w:val="20"/>
          <w:szCs w:val="20"/>
          <w:color w:val="auto"/>
        </w:rPr>
      </w:pPr>
    </w:p>
    <w:p>
      <w:pPr>
        <w:ind w:left="1300" w:right="200" w:hanging="646"/>
        <w:spacing w:after="0" w:line="230" w:lineRule="auto"/>
        <w:tabs>
          <w:tab w:leader="none" w:pos="129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convicted, or entered a plea of nolo contendere, for committing an act of fraud, embezzlement, theft or other act constituting a felony or crime of similar magnitude under applicable law (other than traffic related offenses or as a result of vicarious liability);</w:t>
      </w:r>
    </w:p>
    <w:p>
      <w:pPr>
        <w:spacing w:after="0" w:line="189" w:lineRule="exact"/>
        <w:rPr>
          <w:rFonts w:ascii="Times New Roman" w:cs="Times New Roman" w:eastAsia="Times New Roman" w:hAnsi="Times New Roman"/>
          <w:sz w:val="20"/>
          <w:szCs w:val="20"/>
          <w:color w:val="auto"/>
        </w:rPr>
      </w:pPr>
    </w:p>
    <w:p>
      <w:pPr>
        <w:ind w:left="1300" w:right="100" w:hanging="646"/>
        <w:spacing w:after="0" w:line="227" w:lineRule="auto"/>
        <w:tabs>
          <w:tab w:leader="none" w:pos="1299"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willfully engages in illegal conduct or gross misconduct that is significantly injurious to the Company or a Subsidiary, including the Grantee’s material breach of his or her obligations under any written Company policy, including any code of ethics or conduct, which is not cured, if curable, within ten (10) days after the Company or a Subsidiary notifies the Grantee of such breach; however, no act or failure to act on the Grantee’s part shall be considered “willful” unless done or omitted to be done by the Grantee not in good faith and without reasonable belief that his or her action or omission was in the best interest of the Company or a Subsidiary; or</w:t>
      </w:r>
    </w:p>
    <w:p>
      <w:pPr>
        <w:spacing w:after="0" w:line="204" w:lineRule="exact"/>
        <w:rPr>
          <w:rFonts w:ascii="Times New Roman" w:cs="Times New Roman" w:eastAsia="Times New Roman" w:hAnsi="Times New Roman"/>
          <w:sz w:val="19"/>
          <w:szCs w:val="19"/>
          <w:color w:val="auto"/>
        </w:rPr>
      </w:pPr>
    </w:p>
    <w:p>
      <w:pPr>
        <w:ind w:left="1300" w:right="460" w:hanging="646"/>
        <w:spacing w:after="0" w:line="226" w:lineRule="auto"/>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perform his or her duties in a reasonably satisfactory manner after the receipt of a notice from the Company or a Subsidiary detailing such failure if the failure is incapable of cure, and if the failure is capable of cure, upon the failure to cure such failure within 30 days of such notice or upon its recurrence.</w:t>
      </w:r>
    </w:p>
    <w:p>
      <w:pPr>
        <w:spacing w:after="0" w:line="18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in Control Termination</w:t>
      </w:r>
      <w:r>
        <w:rPr>
          <w:rFonts w:ascii="Times New Roman" w:cs="Times New Roman" w:eastAsia="Times New Roman" w:hAnsi="Times New Roman"/>
          <w:sz w:val="20"/>
          <w:szCs w:val="20"/>
          <w:color w:val="auto"/>
        </w:rPr>
        <w:t>” means the Grantee’s Separation from Service on or within two years after a Change in Control if such Separation from Service is either (i) by action of the Company, or, if different, the Grantee’s employing Subsidiary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without Cause or (ii) by action of the Grantee with Good Reason.</w:t>
      </w:r>
    </w:p>
    <w:p>
      <w:pPr>
        <w:spacing w:after="0" w:line="170" w:lineRule="exact"/>
        <w:rPr>
          <w:sz w:val="20"/>
          <w:szCs w:val="20"/>
          <w:color w:val="auto"/>
        </w:rPr>
      </w:pPr>
    </w:p>
    <w:p>
      <w:pPr>
        <w:ind w:right="76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the status of disability determined conclusively by the Company based upon certification of disability by the Social Security Administration or and equivalent authority outside the U.S., to the extent compliant with</w:t>
      </w:r>
    </w:p>
    <w:p>
      <w:pPr>
        <w:spacing w:after="0" w:line="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Section 409A, upon such other proof as the Company may require, effective upon receipt of such certification or other proof by the Company.</w:t>
      </w:r>
    </w:p>
    <w:p>
      <w:pPr>
        <w:spacing w:after="0" w:line="185"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 events or conditions without the Grantee’s prior written consent:</w:t>
      </w:r>
    </w:p>
    <w:p>
      <w:pPr>
        <w:spacing w:after="0" w:line="169" w:lineRule="exact"/>
        <w:rPr>
          <w:sz w:val="20"/>
          <w:szCs w:val="20"/>
          <w:color w:val="auto"/>
        </w:rPr>
      </w:pPr>
    </w:p>
    <w:p>
      <w:pPr>
        <w:ind w:left="1300" w:right="420" w:hanging="646"/>
        <w:spacing w:after="0" w:line="230" w:lineRule="auto"/>
        <w:tabs>
          <w:tab w:leader="none" w:pos="129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change in the Grantee’s authority, duties or responsibilities (including reporting responsibilities) from the Grantee’s authority, duties or responsibilities as in effect at any time within 90 days preceding the date of the Change in Control or at any time thereafter;</w:t>
      </w:r>
    </w:p>
    <w:p>
      <w:pPr>
        <w:sectPr>
          <w:pgSz w:w="11900" w:h="16838" w:orient="portrait"/>
          <w:cols w:equalWidth="0" w:num="1">
            <w:col w:w="10360"/>
          </w:cols>
          <w:pgMar w:left="1060" w:top="1021" w:right="479" w:bottom="1440" w:gutter="0" w:footer="0" w:header="0"/>
        </w:sectPr>
      </w:pPr>
    </w:p>
    <w:bookmarkStart w:id="149" w:name="page150"/>
    <w:bookmarkEnd w:id="149"/>
    <w:p>
      <w:pPr>
        <w:ind w:left="1300" w:right="300" w:hanging="646"/>
        <w:spacing w:after="0"/>
        <w:tabs>
          <w:tab w:leader="none" w:pos="129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Grantee’s base salary or any failure to pay the Grantee any cash compensation to which the Grantee is entitled within 15 days after the date when due;</w:t>
      </w:r>
    </w:p>
    <w:p>
      <w:pPr>
        <w:spacing w:after="0" w:line="188" w:lineRule="exact"/>
        <w:rPr>
          <w:rFonts w:ascii="Times New Roman" w:cs="Times New Roman" w:eastAsia="Times New Roman" w:hAnsi="Times New Roman"/>
          <w:sz w:val="20"/>
          <w:szCs w:val="20"/>
          <w:color w:val="auto"/>
        </w:rPr>
      </w:pPr>
    </w:p>
    <w:p>
      <w:pPr>
        <w:ind w:left="1300" w:right="220" w:hanging="646"/>
        <w:spacing w:after="0" w:line="222" w:lineRule="auto"/>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requirement (other than for reasonably required travel on Company business which is not materially greater in frequency or duration than prior to the Change in Control) that the Grantee be based at any place outside a 50-mile radius from the Grantee’s principal place of employment immediately prior to the Change in Control and which has a material adverse effect on the Grantee’s commuting requirements;</w:t>
      </w:r>
    </w:p>
    <w:p>
      <w:pPr>
        <w:spacing w:after="0" w:line="188" w:lineRule="exact"/>
        <w:rPr>
          <w:rFonts w:ascii="Times New Roman" w:cs="Times New Roman" w:eastAsia="Times New Roman" w:hAnsi="Times New Roman"/>
          <w:sz w:val="20"/>
          <w:szCs w:val="20"/>
          <w:color w:val="auto"/>
        </w:rPr>
      </w:pPr>
    </w:p>
    <w:p>
      <w:pPr>
        <w:ind w:left="1300" w:right="660" w:hanging="646"/>
        <w:spacing w:after="0"/>
        <w:tabs>
          <w:tab w:leader="none" w:pos="128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 is a participant in the Company’s Executive Severance Plan, any other event that constitutes “Good Reason” under that plan.</w:t>
      </w:r>
    </w:p>
    <w:p>
      <w:pPr>
        <w:spacing w:after="0" w:line="188"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no termination will be deemed to be for Good Reason hereunder unless (i) the Grantee provides written notice to the Company identifying the applicable event or condition within 120</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days of the occurrence of the event or the initial existence of the condition, (ii) the Company or s Subsidiary fails to remedy the event or condition within a period of 30 days following such notice, and (iii) the Grantee’s Separation from Service occurs</w:t>
      </w:r>
    </w:p>
    <w:p>
      <w:pPr>
        <w:spacing w:after="0"/>
        <w:rPr>
          <w:sz w:val="20"/>
          <w:szCs w:val="20"/>
          <w:color w:val="auto"/>
        </w:rPr>
      </w:pPr>
      <w:r>
        <w:rPr>
          <w:rFonts w:ascii="Times New Roman" w:cs="Times New Roman" w:eastAsia="Times New Roman" w:hAnsi="Times New Roman"/>
          <w:sz w:val="20"/>
          <w:szCs w:val="20"/>
          <w:color w:val="auto"/>
        </w:rPr>
        <w:t>within 90 days after the date the Company or a Subsidiary fails to remedy the event or condition.</w:t>
      </w:r>
    </w:p>
    <w:p>
      <w:pPr>
        <w:spacing w:after="0" w:line="19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Involuntary Termination without Cause</w:t>
      </w:r>
      <w:r>
        <w:rPr>
          <w:rFonts w:ascii="Times New Roman" w:cs="Times New Roman" w:eastAsia="Times New Roman" w:hAnsi="Times New Roman"/>
          <w:sz w:val="19"/>
          <w:szCs w:val="19"/>
          <w:color w:val="auto"/>
        </w:rPr>
        <w:t>” means a Grantee’s Separation from Service by action of the Company or the Employer without Cause, including due to divestiture by the Company of the business unit with which the Grantee is employed.</w:t>
      </w:r>
    </w:p>
    <w:p>
      <w:pPr>
        <w:spacing w:after="0" w:line="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9"/>
          <w:szCs w:val="19"/>
          <w:color w:val="auto"/>
        </w:rPr>
        <w:t>Notwithstanding the foregoing, if the Grantee is eligible for Special Retirement as of the date of such Involuntary Termination without Cause, the Separation from Service will be treated as Special Retirement and not Involuntary Termination without Cause.</w:t>
      </w:r>
    </w:p>
    <w:p>
      <w:pPr>
        <w:spacing w:after="0" w:line="198" w:lineRule="exact"/>
        <w:rPr>
          <w:sz w:val="20"/>
          <w:szCs w:val="20"/>
          <w:color w:val="auto"/>
        </w:rPr>
      </w:pPr>
    </w:p>
    <w:p>
      <w:pPr>
        <w:ind w:right="18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Fraction</w:t>
      </w:r>
      <w:r>
        <w:rPr>
          <w:rFonts w:ascii="Times New Roman" w:cs="Times New Roman" w:eastAsia="Times New Roman" w:hAnsi="Times New Roman"/>
          <w:sz w:val="19"/>
          <w:szCs w:val="19"/>
          <w:color w:val="auto"/>
        </w:rPr>
        <w:t>” means a fraction, the numerator of which is the number of days from the Grant Date of the Option through the date of Involuntary Termination without Cause, and the denominator or which is the number of days from the Grant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the Option through the last vesting date set forth under “Vesting Schedule” in the Notice.</w:t>
      </w:r>
    </w:p>
    <w:p>
      <w:pPr>
        <w:spacing w:after="0" w:line="190" w:lineRule="exact"/>
        <w:rPr>
          <w:sz w:val="20"/>
          <w:szCs w:val="20"/>
          <w:color w:val="auto"/>
        </w:rPr>
      </w:pPr>
    </w:p>
    <w:p>
      <w:pPr>
        <w:ind w:right="24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Retirement</w:t>
      </w:r>
      <w:r>
        <w:rPr>
          <w:rFonts w:ascii="Times New Roman" w:cs="Times New Roman" w:eastAsia="Times New Roman" w:hAnsi="Times New Roman"/>
          <w:sz w:val="19"/>
          <w:szCs w:val="19"/>
          <w:color w:val="auto"/>
        </w:rPr>
        <w:t>” means a Grantee’s Separation from Service on or after the first anniversary of the Grant Date for any reason other than death or by the Company or Employer for Cause after the Grantee has attained at least age 59-1/2 and</w:t>
      </w:r>
    </w:p>
    <w:p>
      <w:pPr>
        <w:spacing w:after="0" w:line="211" w:lineRule="auto"/>
        <w:rPr>
          <w:sz w:val="20"/>
          <w:szCs w:val="20"/>
          <w:color w:val="auto"/>
        </w:rPr>
      </w:pPr>
      <w:r>
        <w:rPr>
          <w:rFonts w:ascii="Times New Roman" w:cs="Times New Roman" w:eastAsia="Times New Roman" w:hAnsi="Times New Roman"/>
          <w:sz w:val="20"/>
          <w:szCs w:val="20"/>
          <w:color w:val="auto"/>
        </w:rPr>
        <w:t>either (i) the Grantee has at least ten years of Service or (ii) the Grantee’s combined age and years of Service equals at least 70.</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The Company’s determination of years of Service for such purpose shall be final and binding on all parties. Notwithstanding the foregoing, if the Grantee’s Separation from Service during the two-year period following a Change in Control could be treated as</w:t>
      </w:r>
    </w:p>
    <w:p>
      <w:pPr>
        <w:ind w:right="500"/>
        <w:spacing w:after="0" w:line="228" w:lineRule="auto"/>
        <w:rPr>
          <w:sz w:val="20"/>
          <w:szCs w:val="20"/>
          <w:color w:val="auto"/>
        </w:rPr>
      </w:pPr>
      <w:r>
        <w:rPr>
          <w:rFonts w:ascii="Times New Roman" w:cs="Times New Roman" w:eastAsia="Times New Roman" w:hAnsi="Times New Roman"/>
          <w:sz w:val="20"/>
          <w:szCs w:val="20"/>
          <w:color w:val="auto"/>
        </w:rPr>
        <w:t>either a Special Retirement or a Change in Control Termination, it shall be treated as a Change in Control Termination to the extent permitted by Section 409A.</w:t>
      </w:r>
    </w:p>
    <w:p>
      <w:pPr>
        <w:sectPr>
          <w:pgSz w:w="11900" w:h="16838" w:orient="portrait"/>
          <w:cols w:equalWidth="0" w:num="1">
            <w:col w:w="10360"/>
          </w:cols>
          <w:pgMar w:left="1060" w:top="1197" w:right="47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2342515</wp:posOffset>
            </wp:positionH>
            <wp:positionV relativeFrom="page">
              <wp:posOffset>774700</wp:posOffset>
            </wp:positionV>
            <wp:extent cx="1208405" cy="2832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20840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02"/>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963" w:right="2280" w:firstLine="666"/>
        <w:spacing w:after="0" w:line="408" w:lineRule="auto"/>
        <w:rPr>
          <w:sz w:val="20"/>
          <w:szCs w:val="20"/>
          <w:color w:val="auto"/>
        </w:rPr>
      </w:pPr>
      <w:r>
        <w:rPr>
          <w:rFonts w:ascii="Times New Roman" w:cs="Times New Roman" w:eastAsia="Times New Roman" w:hAnsi="Times New Roman"/>
          <w:sz w:val="20"/>
          <w:szCs w:val="20"/>
          <w:b w:val="1"/>
          <w:bCs w:val="1"/>
          <w:color w:val="auto"/>
        </w:rPr>
        <w:t>2017 OMNIBUS INCENTIVE PLAN TERMS AND CONDITIONS OF OPTION AWARD</w:t>
      </w:r>
    </w:p>
    <w:p>
      <w:pPr>
        <w:spacing w:after="0" w:line="1" w:lineRule="exact"/>
        <w:rPr>
          <w:sz w:val="20"/>
          <w:szCs w:val="20"/>
          <w:color w:val="auto"/>
        </w:rPr>
      </w:pPr>
    </w:p>
    <w:p>
      <w:pPr>
        <w:ind w:left="3" w:right="180"/>
        <w:spacing w:after="0" w:line="229" w:lineRule="auto"/>
        <w:rPr>
          <w:sz w:val="20"/>
          <w:szCs w:val="20"/>
          <w:color w:val="auto"/>
        </w:rPr>
      </w:pPr>
      <w:r>
        <w:rPr>
          <w:rFonts w:ascii="Times New Roman" w:cs="Times New Roman" w:eastAsia="Times New Roman" w:hAnsi="Times New Roman"/>
          <w:sz w:val="19"/>
          <w:szCs w:val="19"/>
          <w:color w:val="auto"/>
        </w:rPr>
        <w:t>The Option Award (the “</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granted by Leidos Holdings,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to the Grantee specified in the Notice of Grant of Option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which these Terms and Conditions of Option Award, including any additional terms and conditions for</w:t>
      </w:r>
    </w:p>
    <w:p>
      <w:pPr>
        <w:ind w:left="3"/>
        <w:spacing w:after="0" w:line="211" w:lineRule="auto"/>
        <w:rPr>
          <w:sz w:val="20"/>
          <w:szCs w:val="20"/>
          <w:color w:val="auto"/>
        </w:rPr>
      </w:pPr>
      <w:r>
        <w:rPr>
          <w:rFonts w:ascii="Times New Roman" w:cs="Times New Roman" w:eastAsia="Times New Roman" w:hAnsi="Times New Roman"/>
          <w:sz w:val="20"/>
          <w:szCs w:val="20"/>
          <w:color w:val="auto"/>
        </w:rPr>
        <w:t>Grantees outside the United States set forth in Appendices A and B (collectively, the (the “</w:t>
      </w:r>
      <w:r>
        <w:rPr>
          <w:rFonts w:ascii="Times New Roman" w:cs="Times New Roman" w:eastAsia="Times New Roman" w:hAnsi="Times New Roman"/>
          <w:sz w:val="20"/>
          <w:szCs w:val="20"/>
          <w:b w:val="1"/>
          <w:bCs w:val="1"/>
          <w:color w:val="auto"/>
        </w:rPr>
        <w:t>Terms</w:t>
      </w:r>
      <w:r>
        <w:rPr>
          <w:rFonts w:ascii="Times New Roman" w:cs="Times New Roman" w:eastAsia="Times New Roman" w:hAnsi="Times New Roman"/>
          <w:sz w:val="20"/>
          <w:szCs w:val="20"/>
          <w:color w:val="auto"/>
        </w:rPr>
        <w:t>”) are attached, is subject to the terms</w:t>
      </w:r>
    </w:p>
    <w:p>
      <w:pPr>
        <w:spacing w:after="0" w:line="1" w:lineRule="exact"/>
        <w:rPr>
          <w:sz w:val="20"/>
          <w:szCs w:val="20"/>
          <w:color w:val="auto"/>
        </w:rPr>
      </w:pPr>
    </w:p>
    <w:p>
      <w:pPr>
        <w:ind w:left="3" w:right="120"/>
        <w:spacing w:after="0" w:line="215" w:lineRule="auto"/>
        <w:rPr>
          <w:sz w:val="20"/>
          <w:szCs w:val="20"/>
          <w:color w:val="auto"/>
        </w:rPr>
      </w:pPr>
      <w:r>
        <w:rPr>
          <w:rFonts w:ascii="Times New Roman" w:cs="Times New Roman" w:eastAsia="Times New Roman" w:hAnsi="Times New Roman"/>
          <w:sz w:val="19"/>
          <w:szCs w:val="19"/>
          <w:color w:val="auto"/>
        </w:rPr>
        <w:t>and conditions of the Plan, the Notice, these Terms. The terms and conditions of the Plan are incorporated by reference in their entirety into these Terms. The Notice and these Terms together constitute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A Prospectus describing the Plan has been delivered</w:t>
      </w:r>
    </w:p>
    <w:p>
      <w:pPr>
        <w:ind w:left="3" w:right="60"/>
        <w:spacing w:after="0" w:line="228" w:lineRule="auto"/>
        <w:rPr>
          <w:sz w:val="20"/>
          <w:szCs w:val="20"/>
          <w:color w:val="auto"/>
        </w:rPr>
      </w:pPr>
      <w:r>
        <w:rPr>
          <w:rFonts w:ascii="Times New Roman" w:cs="Times New Roman" w:eastAsia="Times New Roman" w:hAnsi="Times New Roman"/>
          <w:sz w:val="20"/>
          <w:szCs w:val="20"/>
          <w:color w:val="auto"/>
        </w:rPr>
        <w:t>to the Grantee. The Plan itself is available upon request. When used in this Agreement, the terms which are defined in the Plan shall have the meanings given to them in the Plan, as modified herein (if applicable).</w:t>
      </w:r>
    </w:p>
    <w:p>
      <w:pPr>
        <w:spacing w:after="0" w:line="189" w:lineRule="exact"/>
        <w:rPr>
          <w:sz w:val="20"/>
          <w:szCs w:val="20"/>
          <w:color w:val="auto"/>
        </w:rPr>
      </w:pPr>
    </w:p>
    <w:p>
      <w:pPr>
        <w:ind w:left="643" w:hanging="643"/>
        <w:spacing w:after="0"/>
        <w:tabs>
          <w:tab w:leader="none" w:pos="6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3" w:right="220" w:firstLine="654"/>
        <w:spacing w:after="0" w:line="226" w:lineRule="auto"/>
        <w:tabs>
          <w:tab w:leader="none" w:pos="18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Grant Date set forth in the Notice, the Company grants to the Grantee an Option to purchase a number of shares of Stock set forth in the Notice and Grant Summary, subject to the terms and conditions of the Plan and this Agreement.</w:t>
      </w:r>
    </w:p>
    <w:p>
      <w:pPr>
        <w:spacing w:after="0" w:line="187" w:lineRule="exact"/>
        <w:rPr>
          <w:rFonts w:ascii="Times New Roman" w:cs="Times New Roman" w:eastAsia="Times New Roman" w:hAnsi="Times New Roman"/>
          <w:sz w:val="20"/>
          <w:szCs w:val="20"/>
          <w:color w:val="auto"/>
        </w:rPr>
      </w:pPr>
    </w:p>
    <w:p>
      <w:pPr>
        <w:ind w:left="1843" w:hanging="546"/>
        <w:spacing w:after="0"/>
        <w:tabs>
          <w:tab w:leader="none" w:pos="184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shall become vested and exercisable in accordance with the schedule set forth in the Notice.</w:t>
      </w:r>
    </w:p>
    <w:p>
      <w:pPr>
        <w:spacing w:after="0" w:line="215" w:lineRule="exact"/>
        <w:rPr>
          <w:rFonts w:ascii="Times New Roman" w:cs="Times New Roman" w:eastAsia="Times New Roman" w:hAnsi="Times New Roman"/>
          <w:sz w:val="20"/>
          <w:szCs w:val="20"/>
          <w:color w:val="auto"/>
        </w:rPr>
      </w:pPr>
    </w:p>
    <w:p>
      <w:pPr>
        <w:ind w:left="643" w:right="240" w:firstLine="654"/>
        <w:spacing w:after="0" w:line="226" w:lineRule="auto"/>
        <w:tabs>
          <w:tab w:leader="none" w:pos="184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shall terminate upon the earlier to occur of: (i) the Expiration Date set forth in the Notice; or (ii) the expiration of the applicable period following Separation from Service as set forth in the Notice. The Company shall have no obligation to provide the Grantee with notice of termination or expiration of the Option.</w:t>
      </w:r>
    </w:p>
    <w:p>
      <w:pPr>
        <w:spacing w:after="0" w:line="187" w:lineRule="exact"/>
        <w:rPr>
          <w:rFonts w:ascii="Times New Roman" w:cs="Times New Roman" w:eastAsia="Times New Roman" w:hAnsi="Times New Roman"/>
          <w:sz w:val="20"/>
          <w:szCs w:val="20"/>
          <w:color w:val="auto"/>
        </w:rPr>
      </w:pPr>
    </w:p>
    <w:p>
      <w:pPr>
        <w:ind w:left="1843" w:hanging="546"/>
        <w:spacing w:after="0"/>
        <w:tabs>
          <w:tab w:leader="none" w:pos="184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provided in the Notice, the Option shall be a Non-qualified Stock Option.</w:t>
      </w:r>
    </w:p>
    <w:p>
      <w:pPr>
        <w:spacing w:after="0" w:line="215" w:lineRule="exact"/>
        <w:rPr>
          <w:rFonts w:ascii="Times New Roman" w:cs="Times New Roman" w:eastAsia="Times New Roman" w:hAnsi="Times New Roman"/>
          <w:sz w:val="20"/>
          <w:szCs w:val="20"/>
          <w:color w:val="auto"/>
        </w:rPr>
      </w:pPr>
    </w:p>
    <w:p>
      <w:pPr>
        <w:ind w:left="643" w:hanging="643"/>
        <w:spacing w:after="0" w:line="212" w:lineRule="auto"/>
        <w:tabs>
          <w:tab w:leader="none" w:pos="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 Subject to the terms of the Plan and this Agreement, the Option, to the extent vested and exercisable, shall be exercised pursuant to procedures established by the Committee, which may include electronic or voice procedures as may be specified by the Committee and which may include a requirement to acknowledge this Agreement prior to exercise. Acceptable forms and methods of payment to exercise the Option may include (i) by cashier’s check, money order or wire transfer; (ii) by a cashless exercise procedure; or (iii) by tendering shares of Stock acceptable to the Committee valued at their Fair Market Value as of the date of exercise. No shares of Stock shall be issued pursuant to the exercise of the Option unless the issuance and exercise comply with applicable laws. Assuming such compliance, for income tax purposes the shares of Stock shall be considered transferred to the Grantee on the date on which the Option is exercised with respect to such shares. Until such time as the Option has been duly exercised and shares of Stock have been delivered, the Grantee shall not be entitled to exercise any voting rights with respect to such shares and shall not be entitled to receive dividends or other distributions with respect thereto.</w:t>
      </w:r>
    </w:p>
    <w:p>
      <w:pPr>
        <w:spacing w:after="0" w:line="196"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pacing w:after="0" w:line="264" w:lineRule="exact"/>
        <w:rPr>
          <w:rFonts w:ascii="Times New Roman" w:cs="Times New Roman" w:eastAsia="Times New Roman" w:hAnsi="Times New Roman"/>
          <w:sz w:val="20"/>
          <w:szCs w:val="20"/>
          <w:color w:val="auto"/>
        </w:rPr>
      </w:pPr>
    </w:p>
    <w:p>
      <w:pPr>
        <w:ind w:left="1863" w:hanging="566"/>
        <w:spacing w:after="0"/>
        <w:tabs>
          <w:tab w:leader="none" w:pos="186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Company or, if different, the Subsidiary which employs the Grantee (the</w:t>
      </w:r>
    </w:p>
    <w:p>
      <w:pPr>
        <w:ind w:left="643" w:right="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 takes with respect to any or all income tax, social insurance, payroll tax, fringe benefit tax, payment on account or other tax-related items related to the Grantee's participation in the Plan and legally applicable or deemed legally applicable to the</w:t>
      </w:r>
    </w:p>
    <w:p>
      <w:pPr>
        <w:ind w:left="643"/>
        <w:spacing w:after="0" w:line="222" w:lineRule="auto"/>
        <w:rPr>
          <w:sz w:val="20"/>
          <w:szCs w:val="20"/>
          <w:color w:val="auto"/>
        </w:rPr>
      </w:pPr>
      <w:r>
        <w:rPr>
          <w:rFonts w:ascii="Times New Roman" w:cs="Times New Roman" w:eastAsia="Times New Roman" w:hAnsi="Times New Roman"/>
          <w:sz w:val="19"/>
          <w:szCs w:val="19"/>
          <w:color w:val="auto"/>
        </w:rPr>
        <w:t>Grantee (“</w:t>
      </w:r>
      <w:r>
        <w:rPr>
          <w:rFonts w:ascii="Times New Roman" w:cs="Times New Roman" w:eastAsia="Times New Roman" w:hAnsi="Times New Roman"/>
          <w:sz w:val="19"/>
          <w:szCs w:val="19"/>
          <w:b w:val="1"/>
          <w:bCs w:val="1"/>
          <w:color w:val="auto"/>
        </w:rPr>
        <w:t>Tax-Related Items</w:t>
      </w:r>
      <w:r>
        <w:rPr>
          <w:rFonts w:ascii="Times New Roman" w:cs="Times New Roman" w:eastAsia="Times New Roman" w:hAnsi="Times New Roman"/>
          <w:sz w:val="19"/>
          <w:szCs w:val="19"/>
          <w:color w:val="auto"/>
        </w:rPr>
        <w:t>”), the Grantee acknowledges that the ultimate liability for all Tax-Related Items is and remains the</w:t>
      </w:r>
    </w:p>
    <w:p>
      <w:pPr>
        <w:ind w:left="643" w:right="60"/>
        <w:spacing w:after="0" w:line="215" w:lineRule="auto"/>
        <w:rPr>
          <w:sz w:val="20"/>
          <w:szCs w:val="20"/>
          <w:color w:val="auto"/>
        </w:rPr>
      </w:pPr>
      <w:r>
        <w:rPr>
          <w:rFonts w:ascii="Times New Roman" w:cs="Times New Roman" w:eastAsia="Times New Roman" w:hAnsi="Times New Roman"/>
          <w:sz w:val="19"/>
          <w:szCs w:val="19"/>
          <w:color w:val="auto"/>
        </w:rPr>
        <w:t>Grantee’s responsibility and may exceed the amount, if any, actually withheld by the Company or the Employer. The Grantee further acknowledges that the Company and the Employer (i) make no representations or undertakings regarding the treatment of</w:t>
      </w:r>
    </w:p>
    <w:p>
      <w:pPr>
        <w:ind w:left="643"/>
        <w:spacing w:after="0"/>
        <w:rPr>
          <w:sz w:val="20"/>
          <w:szCs w:val="20"/>
          <w:color w:val="auto"/>
        </w:rPr>
      </w:pPr>
      <w:r>
        <w:rPr>
          <w:rFonts w:ascii="Times New Roman" w:cs="Times New Roman" w:eastAsia="Times New Roman" w:hAnsi="Times New Roman"/>
          <w:sz w:val="20"/>
          <w:szCs w:val="20"/>
          <w:color w:val="auto"/>
        </w:rPr>
        <w:t>any Tax-Related Items in connection with any aspect of the Award, including, but</w:t>
      </w:r>
    </w:p>
    <w:p>
      <w:pPr>
        <w:sectPr>
          <w:pgSz w:w="11900" w:h="16838" w:orient="portrait"/>
          <w:cols w:equalWidth="0" w:num="1">
            <w:col w:w="10943"/>
          </w:cols>
          <w:pgMar w:left="417" w:top="1440" w:right="539" w:bottom="1440" w:gutter="0" w:footer="0" w:header="0"/>
        </w:sectPr>
      </w:pPr>
    </w:p>
    <w:bookmarkStart w:id="151" w:name="page152"/>
    <w:bookmarkEnd w:id="151"/>
    <w:p>
      <w:pPr>
        <w:ind w:left="643" w:right="360"/>
        <w:spacing w:after="0" w:line="227" w:lineRule="auto"/>
        <w:rPr>
          <w:sz w:val="20"/>
          <w:szCs w:val="20"/>
          <w:color w:val="auto"/>
        </w:rPr>
      </w:pPr>
      <w:r>
        <w:rPr>
          <w:rFonts w:ascii="Times New Roman" w:cs="Times New Roman" w:eastAsia="Times New Roman" w:hAnsi="Times New Roman"/>
          <w:sz w:val="19"/>
          <w:szCs w:val="19"/>
          <w:color w:val="auto"/>
        </w:rPr>
        <w:t>not limited to, the grant or exercise of the Option, the subsequent sale of shares of Stock acquired upon exercise, or the payment of any dividends on the shares of Stock; and (ii) do not commit to and are under no obligation to structure the terms of the grant</w:t>
      </w:r>
    </w:p>
    <w:p>
      <w:pPr>
        <w:ind w:left="643" w:right="720"/>
        <w:spacing w:after="0" w:line="228" w:lineRule="auto"/>
        <w:rPr>
          <w:sz w:val="20"/>
          <w:szCs w:val="20"/>
          <w:color w:val="auto"/>
        </w:rPr>
      </w:pPr>
      <w:r>
        <w:rPr>
          <w:rFonts w:ascii="Times New Roman" w:cs="Times New Roman" w:eastAsia="Times New Roman" w:hAnsi="Times New Roman"/>
          <w:sz w:val="20"/>
          <w:szCs w:val="20"/>
          <w:color w:val="auto"/>
        </w:rPr>
        <w:t>or any aspect of the Option to reduce or eliminate the Grantee’s liability for Tax-Related Items or achieve any particular tax result.</w:t>
      </w:r>
    </w:p>
    <w:p>
      <w:pPr>
        <w:spacing w:after="0" w:line="189" w:lineRule="exact"/>
        <w:rPr>
          <w:sz w:val="20"/>
          <w:szCs w:val="20"/>
          <w:color w:val="auto"/>
        </w:rPr>
      </w:pPr>
    </w:p>
    <w:p>
      <w:pPr>
        <w:ind w:left="643" w:right="320" w:firstLine="654"/>
        <w:spacing w:after="0" w:line="222" w:lineRule="auto"/>
        <w:tabs>
          <w:tab w:leader="none" w:pos="184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Grantee shall pay or make adequate arrangements satisfactory to the Company and/or Employer to satisfy all Tax-Related Items. In this regard, the Grantee authorizes the Company and/or the Employer, or their respective agents, in their sole discretion, to satisfy any applicable withholding obligations with regard to all Tax-Related Items by one or a combination of the following methods:</w:t>
      </w:r>
    </w:p>
    <w:p>
      <w:pPr>
        <w:spacing w:after="0" w:line="188" w:lineRule="exact"/>
        <w:rPr>
          <w:rFonts w:ascii="Times New Roman" w:cs="Times New Roman" w:eastAsia="Times New Roman" w:hAnsi="Times New Roman"/>
          <w:sz w:val="20"/>
          <w:szCs w:val="20"/>
          <w:color w:val="auto"/>
        </w:rPr>
      </w:pPr>
    </w:p>
    <w:p>
      <w:pPr>
        <w:ind w:left="1303" w:right="980" w:firstLine="643"/>
        <w:spacing w:after="0" w:line="233" w:lineRule="auto"/>
        <w:tabs>
          <w:tab w:leader="none" w:pos="255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Grantee’s wages or other cash compensation payable to the Grantee by the Company, the Employer, or any other Subsidiary;</w:t>
      </w:r>
    </w:p>
    <w:p>
      <w:pPr>
        <w:spacing w:after="0" w:line="187" w:lineRule="exact"/>
        <w:rPr>
          <w:rFonts w:ascii="Times New Roman" w:cs="Times New Roman" w:eastAsia="Times New Roman" w:hAnsi="Times New Roman"/>
          <w:sz w:val="20"/>
          <w:szCs w:val="20"/>
          <w:color w:val="auto"/>
        </w:rPr>
      </w:pPr>
    </w:p>
    <w:p>
      <w:pPr>
        <w:ind w:left="1303" w:right="440" w:firstLine="643"/>
        <w:spacing w:after="0" w:line="226" w:lineRule="auto"/>
        <w:tabs>
          <w:tab w:leader="none" w:pos="2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of Stock acquired at exercise either through a voluntary sale or through a mandatory sale arranged by the Company (on the Grantee’s behalf pursuant to this authorization without further consent);</w:t>
      </w:r>
    </w:p>
    <w:p>
      <w:pPr>
        <w:spacing w:after="0" w:line="187" w:lineRule="exact"/>
        <w:rPr>
          <w:rFonts w:ascii="Times New Roman" w:cs="Times New Roman" w:eastAsia="Times New Roman" w:hAnsi="Times New Roman"/>
          <w:sz w:val="20"/>
          <w:szCs w:val="20"/>
          <w:color w:val="auto"/>
        </w:rPr>
      </w:pPr>
    </w:p>
    <w:p>
      <w:pPr>
        <w:ind w:left="2503" w:hanging="557"/>
        <w:spacing w:after="0"/>
        <w:tabs>
          <w:tab w:leader="none" w:pos="2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of Stock otherwise issuable to the Grantee upon exercise of the Option; or</w:t>
      </w:r>
    </w:p>
    <w:p>
      <w:pPr>
        <w:spacing w:after="0" w:line="215" w:lineRule="exact"/>
        <w:rPr>
          <w:rFonts w:ascii="Times New Roman" w:cs="Times New Roman" w:eastAsia="Times New Roman" w:hAnsi="Times New Roman"/>
          <w:sz w:val="20"/>
          <w:szCs w:val="20"/>
          <w:color w:val="auto"/>
        </w:rPr>
      </w:pPr>
    </w:p>
    <w:p>
      <w:pPr>
        <w:ind w:left="1303" w:right="340" w:firstLine="643"/>
        <w:spacing w:after="0" w:line="233" w:lineRule="auto"/>
        <w:tabs>
          <w:tab w:leader="none" w:pos="250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or withholding determined by the Company, to the extent permitted under the Plan and applicable laws.</w:t>
      </w:r>
    </w:p>
    <w:p>
      <w:pPr>
        <w:spacing w:after="0" w:line="182"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 applicable</w:t>
      </w:r>
    </w:p>
    <w:p>
      <w:pPr>
        <w:ind w:left="643"/>
        <w:spacing w:after="0" w:line="215" w:lineRule="auto"/>
        <w:rPr>
          <w:sz w:val="20"/>
          <w:szCs w:val="20"/>
          <w:color w:val="auto"/>
        </w:rPr>
      </w:pPr>
      <w:r>
        <w:rPr>
          <w:rFonts w:ascii="Times New Roman" w:cs="Times New Roman" w:eastAsia="Times New Roman" w:hAnsi="Times New Roman"/>
          <w:sz w:val="19"/>
          <w:szCs w:val="19"/>
          <w:color w:val="auto"/>
        </w:rPr>
        <w:t>withholding rates, including maximum rates applicable in the Grantee’s jurisdiction(s), in which case the Grantee may receive a refund of any over-withheld amount in cash and will have no entitlement to the equivalent amount in shares of Stock. In the event of</w:t>
      </w:r>
    </w:p>
    <w:p>
      <w:pPr>
        <w:ind w:left="643"/>
        <w:spacing w:after="0" w:line="211" w:lineRule="auto"/>
        <w:rPr>
          <w:sz w:val="20"/>
          <w:szCs w:val="20"/>
          <w:color w:val="auto"/>
        </w:rPr>
      </w:pPr>
      <w:r>
        <w:rPr>
          <w:rFonts w:ascii="Times New Roman" w:cs="Times New Roman" w:eastAsia="Times New Roman" w:hAnsi="Times New Roman"/>
          <w:sz w:val="20"/>
          <w:szCs w:val="20"/>
          <w:color w:val="auto"/>
        </w:rPr>
        <w:t>over-withholding, the Grantee may receive a refund of any over-withheld amount in cash (with no entitlement to the equivalent</w:t>
      </w:r>
    </w:p>
    <w:p>
      <w:pPr>
        <w:ind w:left="643" w:right="80"/>
        <w:spacing w:after="0" w:line="215" w:lineRule="auto"/>
        <w:rPr>
          <w:sz w:val="20"/>
          <w:szCs w:val="20"/>
          <w:color w:val="auto"/>
        </w:rPr>
      </w:pPr>
      <w:r>
        <w:rPr>
          <w:rFonts w:ascii="Times New Roman" w:cs="Times New Roman" w:eastAsia="Times New Roman" w:hAnsi="Times New Roman"/>
          <w:sz w:val="19"/>
          <w:szCs w:val="19"/>
          <w:color w:val="auto"/>
        </w:rPr>
        <w:t>amount in shares of Stock), from the Company or the Employer; otherwise, the Grantee may be able to seek a refund from the local tax authorities. In the event of under-withholding, the Grantee may be required to pay any additional Tax-Related Items directly to</w:t>
      </w:r>
    </w:p>
    <w:p>
      <w:pPr>
        <w:ind w:left="643"/>
        <w:spacing w:after="0" w:line="211" w:lineRule="auto"/>
        <w:rPr>
          <w:sz w:val="20"/>
          <w:szCs w:val="20"/>
          <w:color w:val="auto"/>
        </w:rPr>
      </w:pPr>
      <w:r>
        <w:rPr>
          <w:rFonts w:ascii="Times New Roman" w:cs="Times New Roman" w:eastAsia="Times New Roman" w:hAnsi="Times New Roman"/>
          <w:sz w:val="20"/>
          <w:szCs w:val="20"/>
          <w:color w:val="auto"/>
        </w:rPr>
        <w:t>the applicable tax authority or to the Company and/or the Employer. If the obligation for Tax-Related Items is satisfied by</w:t>
      </w:r>
    </w:p>
    <w:p>
      <w:pPr>
        <w:ind w:left="643" w:right="100"/>
        <w:spacing w:after="0" w:line="215" w:lineRule="auto"/>
        <w:rPr>
          <w:sz w:val="20"/>
          <w:szCs w:val="20"/>
          <w:color w:val="auto"/>
        </w:rPr>
      </w:pPr>
      <w:r>
        <w:rPr>
          <w:rFonts w:ascii="Times New Roman" w:cs="Times New Roman" w:eastAsia="Times New Roman" w:hAnsi="Times New Roman"/>
          <w:sz w:val="19"/>
          <w:szCs w:val="19"/>
          <w:color w:val="auto"/>
        </w:rPr>
        <w:t>withholding shares of Stock, for tax purposes, the Grantee is deemed to have been issued the full number of shares of Stock subject to the exercised Option, notwithstanding that a number of the shares are held back solely for the purpose of paying the Tax-Related</w:t>
      </w:r>
    </w:p>
    <w:p>
      <w:pPr>
        <w:ind w:left="643"/>
        <w:spacing w:after="0"/>
        <w:rPr>
          <w:sz w:val="20"/>
          <w:szCs w:val="20"/>
          <w:color w:val="auto"/>
        </w:rPr>
      </w:pPr>
      <w:r>
        <w:rPr>
          <w:rFonts w:ascii="Times New Roman" w:cs="Times New Roman" w:eastAsia="Times New Roman" w:hAnsi="Times New Roman"/>
          <w:sz w:val="20"/>
          <w:szCs w:val="20"/>
          <w:color w:val="auto"/>
        </w:rPr>
        <w:t>Items.</w:t>
      </w:r>
    </w:p>
    <w:p>
      <w:pPr>
        <w:spacing w:after="0" w:line="194" w:lineRule="exact"/>
        <w:rPr>
          <w:sz w:val="20"/>
          <w:szCs w:val="20"/>
          <w:color w:val="auto"/>
        </w:rPr>
      </w:pPr>
    </w:p>
    <w:p>
      <w:pPr>
        <w:ind w:left="643" w:right="300"/>
        <w:spacing w:after="0" w:line="227" w:lineRule="auto"/>
        <w:rPr>
          <w:sz w:val="20"/>
          <w:szCs w:val="20"/>
          <w:color w:val="auto"/>
        </w:rPr>
      </w:pPr>
      <w:r>
        <w:rPr>
          <w:rFonts w:ascii="Times New Roman" w:cs="Times New Roman" w:eastAsia="Times New Roman" w:hAnsi="Times New Roman"/>
          <w:sz w:val="19"/>
          <w:szCs w:val="19"/>
          <w:color w:val="auto"/>
        </w:rPr>
        <w:t>Finally, the Grantee agrees to pay to the Company or the Employer any amount of Tax-Related Items that the Company or the Employer may be required to withhold or account for as a result of the Grantee’s participation in the Plan that cannot be satisfied</w:t>
      </w:r>
    </w:p>
    <w:p>
      <w:pPr>
        <w:ind w:left="643"/>
        <w:spacing w:after="0" w:line="211" w:lineRule="auto"/>
        <w:rPr>
          <w:sz w:val="20"/>
          <w:szCs w:val="20"/>
          <w:color w:val="auto"/>
        </w:rPr>
      </w:pPr>
      <w:r>
        <w:rPr>
          <w:rFonts w:ascii="Times New Roman" w:cs="Times New Roman" w:eastAsia="Times New Roman" w:hAnsi="Times New Roman"/>
          <w:sz w:val="20"/>
          <w:szCs w:val="20"/>
          <w:color w:val="auto"/>
        </w:rPr>
        <w:t>by the means previously described. The Company may refuse to issue and deliver shares of Stock upon exercise of the Option,</w:t>
      </w:r>
    </w:p>
    <w:p>
      <w:pPr>
        <w:spacing w:after="0" w:line="1" w:lineRule="exact"/>
        <w:rPr>
          <w:sz w:val="20"/>
          <w:szCs w:val="20"/>
          <w:color w:val="auto"/>
        </w:rPr>
      </w:pPr>
    </w:p>
    <w:p>
      <w:pPr>
        <w:ind w:left="643" w:right="360"/>
        <w:spacing w:after="0" w:line="221" w:lineRule="auto"/>
        <w:rPr>
          <w:sz w:val="20"/>
          <w:szCs w:val="20"/>
          <w:color w:val="auto"/>
        </w:rPr>
      </w:pPr>
      <w:r>
        <w:rPr>
          <w:rFonts w:ascii="Times New Roman" w:cs="Times New Roman" w:eastAsia="Times New Roman" w:hAnsi="Times New Roman"/>
          <w:sz w:val="20"/>
          <w:szCs w:val="20"/>
          <w:color w:val="auto"/>
        </w:rPr>
        <w:t>or the proceeds from the sale of shares of Stock, if the Grantee fails to comply with the Grantee’s obligations in connection with the Tax-Related Items as described in this Section 3.</w:t>
      </w:r>
    </w:p>
    <w:p>
      <w:pPr>
        <w:spacing w:after="0" w:line="200" w:lineRule="exact"/>
        <w:rPr>
          <w:sz w:val="20"/>
          <w:szCs w:val="20"/>
          <w:color w:val="auto"/>
        </w:rPr>
      </w:pPr>
    </w:p>
    <w:p>
      <w:pPr>
        <w:spacing w:after="0" w:line="245" w:lineRule="exact"/>
        <w:rPr>
          <w:sz w:val="20"/>
          <w:szCs w:val="20"/>
          <w:color w:val="auto"/>
        </w:rPr>
      </w:pPr>
    </w:p>
    <w:p>
      <w:pPr>
        <w:ind w:left="643" w:right="240" w:hanging="643"/>
        <w:spacing w:after="0" w:line="222" w:lineRule="auto"/>
        <w:tabs>
          <w:tab w:leader="none" w:pos="6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Grantee Representations</w:t>
      </w:r>
      <w:r>
        <w:rPr>
          <w:rFonts w:ascii="Times New Roman" w:cs="Times New Roman" w:eastAsia="Times New Roman" w:hAnsi="Times New Roman"/>
          <w:sz w:val="20"/>
          <w:szCs w:val="20"/>
          <w:color w:val="auto"/>
        </w:rPr>
        <w:t>. The Grantee hereby represents that the Grantee has read and fully understands the provisions of this Agreement, the Prospectus and the Plan, and the Grantee’s decision to participate in the Plan is completely voluntary. Further, the Grantee acknowledges that the Grantee is relying solely on his or her own advisors with respect to the tax consequences of this Award.</w:t>
      </w:r>
    </w:p>
    <w:p>
      <w:pPr>
        <w:spacing w:after="0" w:line="175" w:lineRule="exact"/>
        <w:rPr>
          <w:rFonts w:ascii="Times New Roman" w:cs="Times New Roman" w:eastAsia="Times New Roman" w:hAnsi="Times New Roman"/>
          <w:sz w:val="20"/>
          <w:szCs w:val="20"/>
          <w:color w:val="auto"/>
        </w:rPr>
      </w:pPr>
    </w:p>
    <w:p>
      <w:pPr>
        <w:ind w:left="643" w:right="420" w:hanging="643"/>
        <w:spacing w:after="0" w:line="224" w:lineRule="auto"/>
        <w:tabs>
          <w:tab w:leader="none" w:pos="64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Restrictions on the Shares Issued Upon Exercise</w:t>
      </w:r>
      <w:r>
        <w:rPr>
          <w:rFonts w:ascii="Times New Roman" w:cs="Times New Roman" w:eastAsia="Times New Roman" w:hAnsi="Times New Roman"/>
          <w:sz w:val="19"/>
          <w:szCs w:val="19"/>
          <w:color w:val="auto"/>
        </w:rPr>
        <w:t>. Notwithstanding the other provisions of this Agreement, the Committee shall have the sole discretion to impose such conditions, restrictions and limitations on the issuance of shares of Stock with respect to this Award unless and until the Committee determines that such issuance complies with (i) any applicable registration requirements under the Securities Act or the Committee has determined that an exemption therefrom is available,</w:t>
      </w:r>
    </w:p>
    <w:p>
      <w:pPr>
        <w:ind w:left="943" w:hanging="294"/>
        <w:spacing w:after="0" w:line="200" w:lineRule="auto"/>
        <w:tabs>
          <w:tab w:leader="none" w:pos="94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requirement of any stock exchange on which the Stock is listed, (iii) any applicable Company policy</w:t>
      </w:r>
    </w:p>
    <w:p>
      <w:pPr>
        <w:ind w:left="64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ectPr>
          <w:pgSz w:w="11900" w:h="16838" w:orient="portrait"/>
          <w:cols w:equalWidth="0" w:num="1">
            <w:col w:w="11143"/>
          </w:cols>
          <w:pgMar w:left="417" w:top="1008" w:right="339" w:bottom="1440" w:gutter="0" w:footer="0" w:header="0"/>
        </w:sectPr>
      </w:pPr>
    </w:p>
    <w:bookmarkStart w:id="152" w:name="page153"/>
    <w:bookmarkEnd w:id="152"/>
    <w:p>
      <w:pPr>
        <w:ind w:left="643"/>
        <w:spacing w:after="0"/>
        <w:rPr>
          <w:sz w:val="20"/>
          <w:szCs w:val="20"/>
          <w:color w:val="auto"/>
        </w:rPr>
      </w:pPr>
      <w:r>
        <w:rPr>
          <w:rFonts w:ascii="Times New Roman" w:cs="Times New Roman" w:eastAsia="Times New Roman" w:hAnsi="Times New Roman"/>
          <w:sz w:val="20"/>
          <w:szCs w:val="20"/>
          <w:color w:val="auto"/>
        </w:rPr>
        <w:t>administrative rules, and (iv) any other applicable provision of U.S. or non-U.S. federal, state or local law.</w:t>
      </w:r>
    </w:p>
    <w:p>
      <w:pPr>
        <w:spacing w:after="0" w:line="216" w:lineRule="exact"/>
        <w:rPr>
          <w:sz w:val="20"/>
          <w:szCs w:val="20"/>
          <w:color w:val="auto"/>
        </w:rPr>
      </w:pPr>
    </w:p>
    <w:p>
      <w:pPr>
        <w:ind w:left="643" w:hanging="643"/>
        <w:spacing w:after="0"/>
        <w:tabs>
          <w:tab w:leader="none" w:pos="6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and Non-Competition</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3" w:right="100" w:firstLine="654"/>
        <w:spacing w:after="0" w:line="224" w:lineRule="auto"/>
        <w:tabs>
          <w:tab w:leader="none" w:pos="1848" w:val="left"/>
        </w:tabs>
        <w:numPr>
          <w:ilvl w:val="2"/>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 The provisions of this Section 6 apply to Awards made to employees of the Company and its Subsidiaries, and not Awards made to Non-Employee Directors. The Grantee acknowledges that the Company conducts business throughout the United States and that the Company has a legitimate business interest in protecting this business, including but not limited its interest in its employees, programs, and projects below, against unfair competition through the promises in this Section</w:t>
      </w:r>
    </w:p>
    <w:p>
      <w:pPr>
        <w:spacing w:after="0" w:line="2" w:lineRule="exact"/>
        <w:rPr>
          <w:rFonts w:ascii="Times New Roman" w:cs="Times New Roman" w:eastAsia="Times New Roman" w:hAnsi="Times New Roman"/>
          <w:sz w:val="19"/>
          <w:szCs w:val="19"/>
          <w:color w:val="auto"/>
        </w:rPr>
      </w:pPr>
    </w:p>
    <w:p>
      <w:pPr>
        <w:ind w:left="843" w:hanging="194"/>
        <w:spacing w:after="0"/>
        <w:tabs>
          <w:tab w:leader="none" w:pos="84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Sections 6 (b), (c) and (e) do not apply in California.</w:t>
      </w:r>
    </w:p>
    <w:p>
      <w:pPr>
        <w:spacing w:after="0" w:line="255" w:lineRule="exact"/>
        <w:rPr>
          <w:rFonts w:ascii="Times New Roman" w:cs="Times New Roman" w:eastAsia="Times New Roman" w:hAnsi="Times New Roman"/>
          <w:sz w:val="20"/>
          <w:szCs w:val="20"/>
          <w:color w:val="auto"/>
        </w:rPr>
      </w:pPr>
    </w:p>
    <w:p>
      <w:pPr>
        <w:ind w:left="1843" w:hanging="546"/>
        <w:spacing w:after="0"/>
        <w:tabs>
          <w:tab w:leader="none" w:pos="1843"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Employees</w:t>
      </w:r>
      <w:r>
        <w:rPr>
          <w:rFonts w:ascii="Times New Roman" w:cs="Times New Roman" w:eastAsia="Times New Roman" w:hAnsi="Times New Roman"/>
          <w:sz w:val="20"/>
          <w:szCs w:val="20"/>
          <w:color w:val="auto"/>
        </w:rPr>
        <w:t>. The Grantee agrees that, both while in Service and for one year after Separation</w:t>
      </w:r>
    </w:p>
    <w:p>
      <w:pPr>
        <w:ind w:left="643" w:right="380"/>
        <w:spacing w:after="0" w:line="204" w:lineRule="auto"/>
        <w:rPr>
          <w:sz w:val="20"/>
          <w:szCs w:val="20"/>
          <w:color w:val="auto"/>
        </w:rPr>
      </w:pPr>
      <w:r>
        <w:rPr>
          <w:rFonts w:ascii="Times New Roman" w:cs="Times New Roman" w:eastAsia="Times New Roman" w:hAnsi="Times New Roman"/>
          <w:sz w:val="20"/>
          <w:szCs w:val="20"/>
          <w:color w:val="auto"/>
        </w:rPr>
        <w:t>from Service, the Grantee will not solicit or attempt to solicit any employee of the Company or any Subsidiary with whom the Grantee has worked on a program or project during the 12 months prior to Separation from Service to leave his or her</w:t>
      </w:r>
    </w:p>
    <w:p>
      <w:pPr>
        <w:ind w:left="643"/>
        <w:spacing w:after="0" w:line="211" w:lineRule="auto"/>
        <w:rPr>
          <w:sz w:val="20"/>
          <w:szCs w:val="20"/>
          <w:color w:val="auto"/>
        </w:rPr>
      </w:pPr>
      <w:r>
        <w:rPr>
          <w:rFonts w:ascii="Times New Roman" w:cs="Times New Roman" w:eastAsia="Times New Roman" w:hAnsi="Times New Roman"/>
          <w:sz w:val="20"/>
          <w:szCs w:val="20"/>
          <w:color w:val="auto"/>
        </w:rPr>
        <w:t>employment or to violate the terms of any agreement or understanding that employee may have with the Company or any</w:t>
      </w:r>
    </w:p>
    <w:p>
      <w:pPr>
        <w:spacing w:after="0" w:line="1" w:lineRule="exact"/>
        <w:rPr>
          <w:sz w:val="20"/>
          <w:szCs w:val="20"/>
          <w:color w:val="auto"/>
        </w:rPr>
      </w:pPr>
    </w:p>
    <w:p>
      <w:pPr>
        <w:ind w:left="643" w:right="480"/>
        <w:spacing w:after="0" w:line="215" w:lineRule="auto"/>
        <w:rPr>
          <w:sz w:val="20"/>
          <w:szCs w:val="20"/>
          <w:color w:val="auto"/>
        </w:rPr>
      </w:pPr>
      <w:r>
        <w:rPr>
          <w:rFonts w:ascii="Times New Roman" w:cs="Times New Roman" w:eastAsia="Times New Roman" w:hAnsi="Times New Roman"/>
          <w:sz w:val="19"/>
          <w:szCs w:val="19"/>
          <w:color w:val="auto"/>
        </w:rPr>
        <w:t xml:space="preserve">Subsidiary. The foregoing obligations apply to both the Grantee’s direct and indirect actions, and apply to actions intended to benefit the Grantee or any other person, business or entity. </w:t>
      </w:r>
      <w:r>
        <w:rPr>
          <w:rFonts w:ascii="Times New Roman" w:cs="Times New Roman" w:eastAsia="Times New Roman" w:hAnsi="Times New Roman"/>
          <w:sz w:val="19"/>
          <w:szCs w:val="19"/>
          <w:u w:val="single" w:color="auto"/>
          <w:color w:val="auto"/>
        </w:rPr>
        <w:t>Solicitation of Customers</w:t>
      </w:r>
      <w:r>
        <w:rPr>
          <w:rFonts w:ascii="Times New Roman" w:cs="Times New Roman" w:eastAsia="Times New Roman" w:hAnsi="Times New Roman"/>
          <w:sz w:val="19"/>
          <w:szCs w:val="19"/>
          <w:color w:val="auto"/>
        </w:rPr>
        <w:t>. The Grantee agrees that, for one year</w:t>
      </w:r>
    </w:p>
    <w:p>
      <w:pPr>
        <w:ind w:left="643" w:right="520"/>
        <w:spacing w:after="0" w:line="228" w:lineRule="auto"/>
        <w:rPr>
          <w:sz w:val="20"/>
          <w:szCs w:val="20"/>
          <w:color w:val="auto"/>
        </w:rPr>
      </w:pPr>
      <w:r>
        <w:rPr>
          <w:rFonts w:ascii="Times New Roman" w:cs="Times New Roman" w:eastAsia="Times New Roman" w:hAnsi="Times New Roman"/>
          <w:sz w:val="20"/>
          <w:szCs w:val="20"/>
          <w:color w:val="auto"/>
        </w:rPr>
        <w:t>after Separation from Service, the Grantee will not participate in any solicitation of any customer or prospective customer of the Company or any Subsidiary concerning any business that:</w:t>
      </w:r>
    </w:p>
    <w:p>
      <w:pPr>
        <w:spacing w:after="0" w:line="189" w:lineRule="exact"/>
        <w:rPr>
          <w:sz w:val="20"/>
          <w:szCs w:val="20"/>
          <w:color w:val="auto"/>
        </w:rPr>
      </w:pPr>
    </w:p>
    <w:p>
      <w:pPr>
        <w:ind w:left="1303" w:right="540" w:firstLine="642"/>
        <w:spacing w:after="0"/>
        <w:tabs>
          <w:tab w:leader="none" w:pos="250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the same programs or projects for that customer in which the Grantee was personally and/or substantially involved during the 12 months prior to Separation from Service; or</w:t>
      </w:r>
    </w:p>
    <w:p>
      <w:pPr>
        <w:spacing w:after="0" w:line="188" w:lineRule="exact"/>
        <w:rPr>
          <w:rFonts w:ascii="Times New Roman" w:cs="Times New Roman" w:eastAsia="Times New Roman" w:hAnsi="Times New Roman"/>
          <w:sz w:val="20"/>
          <w:szCs w:val="20"/>
          <w:color w:val="auto"/>
        </w:rPr>
      </w:pPr>
    </w:p>
    <w:p>
      <w:pPr>
        <w:ind w:left="1303" w:right="380" w:firstLine="642"/>
        <w:spacing w:after="0" w:line="234" w:lineRule="auto"/>
        <w:tabs>
          <w:tab w:leader="none" w:pos="2503"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at any time during the 12 months prior to Separation from Service, the subject of any capture effort, bid, offer or proposal activity by the Company or any Subsidiary in respect of that customer or prospective customer, or any negotiations or discussions about the possible performance of services by the Company or any Subsidiary to that customer or potential customer, in which the Grantee was personally and/or substantially involved.</w:t>
      </w:r>
    </w:p>
    <w:p>
      <w:pPr>
        <w:spacing w:after="0" w:line="187" w:lineRule="exact"/>
        <w:rPr>
          <w:sz w:val="20"/>
          <w:szCs w:val="20"/>
          <w:color w:val="auto"/>
        </w:rPr>
      </w:pPr>
    </w:p>
    <w:p>
      <w:pPr>
        <w:ind w:left="643"/>
        <w:spacing w:after="0" w:line="227" w:lineRule="auto"/>
        <w:rPr>
          <w:sz w:val="20"/>
          <w:szCs w:val="20"/>
          <w:color w:val="auto"/>
        </w:rPr>
      </w:pPr>
      <w:r>
        <w:rPr>
          <w:rFonts w:ascii="Times New Roman" w:cs="Times New Roman" w:eastAsia="Times New Roman" w:hAnsi="Times New Roman"/>
          <w:sz w:val="19"/>
          <w:szCs w:val="19"/>
          <w:color w:val="auto"/>
        </w:rPr>
        <w:t>For purposes of (c)(i) and (ii), in the case of a governmental, regulatory or administrative agency, commission, department or other governmental authority, the customer or prospective customer will be determined by reference to the specific program offices or</w:t>
      </w:r>
    </w:p>
    <w:p>
      <w:pPr>
        <w:ind w:left="643"/>
        <w:spacing w:after="0"/>
        <w:rPr>
          <w:sz w:val="20"/>
          <w:szCs w:val="20"/>
          <w:color w:val="auto"/>
        </w:rPr>
      </w:pPr>
      <w:r>
        <w:rPr>
          <w:rFonts w:ascii="Times New Roman" w:cs="Times New Roman" w:eastAsia="Times New Roman" w:hAnsi="Times New Roman"/>
          <w:sz w:val="20"/>
          <w:szCs w:val="20"/>
          <w:color w:val="auto"/>
        </w:rPr>
        <w:t>activities for which the Company or any Subsidiary provides (or may reasonably provide) goods or services.</w:t>
      </w:r>
    </w:p>
    <w:p>
      <w:pPr>
        <w:spacing w:after="0" w:line="194" w:lineRule="exact"/>
        <w:rPr>
          <w:sz w:val="20"/>
          <w:szCs w:val="20"/>
          <w:color w:val="auto"/>
        </w:rPr>
      </w:pPr>
    </w:p>
    <w:p>
      <w:pPr>
        <w:ind w:left="643" w:right="20" w:firstLine="654"/>
        <w:spacing w:after="0" w:line="215" w:lineRule="auto"/>
        <w:tabs>
          <w:tab w:leader="none" w:pos="18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and Non-Use of Proprietary Information</w:t>
      </w:r>
      <w:r>
        <w:rPr>
          <w:rFonts w:ascii="Times New Roman" w:cs="Times New Roman" w:eastAsia="Times New Roman" w:hAnsi="Times New Roman"/>
          <w:sz w:val="20"/>
          <w:szCs w:val="20"/>
          <w:color w:val="auto"/>
        </w:rPr>
        <w:t>. During the term of the Grantee's employment and following the voluntary or involuntary termination of that employment for any reason, and with or without cause, Grantee will not, except as authorized and required to perform the Grantee's duties for the Company or any Subsidiary, directly or indirectly: use, disclose, reproduce, distribute, or otherwise disseminate the Company or any Subsidiary's Proprietary Information, or take any action causing, or fail to take any action necessary, to prevent any such information to lose its character or cease to qualify as Proprietary Information. Grantee agrees to ask the Company or any Subsidiary, both during and after employment, if Grantee has any questions about whether particular information is Proprietary Information before using or disclosing such information.</w:t>
      </w:r>
    </w:p>
    <w:p>
      <w:pPr>
        <w:spacing w:after="0" w:line="186"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will mean any and all confidential knowledge, data or information of the Company, its</w:t>
      </w:r>
    </w:p>
    <w:p>
      <w:pPr>
        <w:ind w:left="643" w:right="380"/>
        <w:spacing w:after="0" w:line="215" w:lineRule="auto"/>
        <w:rPr>
          <w:sz w:val="20"/>
          <w:szCs w:val="20"/>
          <w:color w:val="auto"/>
        </w:rPr>
      </w:pPr>
      <w:r>
        <w:rPr>
          <w:rFonts w:ascii="Times New Roman" w:cs="Times New Roman" w:eastAsia="Times New Roman" w:hAnsi="Times New Roman"/>
          <w:sz w:val="19"/>
          <w:szCs w:val="19"/>
          <w:color w:val="auto"/>
        </w:rPr>
        <w:t>affiliates, parents and subsidiaries, which has economic value as a result of its remaining confidential, whether having existed, now existing, or to be developed during Grantee’s employment, including information developed by Grantee. By way of</w:t>
      </w:r>
    </w:p>
    <w:p>
      <w:pPr>
        <w:ind w:left="643"/>
        <w:spacing w:after="0" w:line="211" w:lineRule="auto"/>
        <w:rPr>
          <w:sz w:val="20"/>
          <w:szCs w:val="20"/>
          <w:color w:val="auto"/>
        </w:rPr>
      </w:pPr>
      <w:r>
        <w:rPr>
          <w:rFonts w:ascii="Times New Roman" w:cs="Times New Roman" w:eastAsia="Times New Roman" w:hAnsi="Times New Roman"/>
          <w:sz w:val="20"/>
          <w:szCs w:val="20"/>
          <w:color w:val="auto"/>
        </w:rPr>
        <w:t>illustration but not limitation, “Proprietary Information” includes (1) trade secrets, inventions, mask works, ideas, processes,</w:t>
      </w:r>
    </w:p>
    <w:p>
      <w:pPr>
        <w:ind w:left="643" w:right="600"/>
        <w:spacing w:after="0" w:line="215" w:lineRule="auto"/>
        <w:rPr>
          <w:sz w:val="20"/>
          <w:szCs w:val="20"/>
          <w:color w:val="auto"/>
        </w:rPr>
      </w:pPr>
      <w:r>
        <w:rPr>
          <w:rFonts w:ascii="Times New Roman" w:cs="Times New Roman" w:eastAsia="Times New Roman" w:hAnsi="Times New Roman"/>
          <w:sz w:val="19"/>
          <w:szCs w:val="19"/>
          <w:color w:val="auto"/>
        </w:rPr>
        <w:t>formulas, source and object codes, data, programs, other works of authorship, know-how, algorithms, software programs, schematics, improvements, discoveries, developments, designs and techniques and any other proprietary technology and all</w:t>
      </w:r>
    </w:p>
    <w:p>
      <w:pPr>
        <w:ind w:left="643"/>
        <w:spacing w:after="0" w:line="222" w:lineRule="auto"/>
        <w:rPr>
          <w:sz w:val="20"/>
          <w:szCs w:val="20"/>
          <w:color w:val="auto"/>
        </w:rPr>
      </w:pPr>
      <w:r>
        <w:rPr>
          <w:rFonts w:ascii="Times New Roman" w:cs="Times New Roman" w:eastAsia="Times New Roman" w:hAnsi="Times New Roman"/>
          <w:sz w:val="19"/>
          <w:szCs w:val="19"/>
          <w:color w:val="auto"/>
        </w:rPr>
        <w:t>Proprietary Rights therein (collectively,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 (2) information regarding research, development, new products, marketing</w:t>
      </w:r>
    </w:p>
    <w:p>
      <w:pPr>
        <w:ind w:left="643" w:right="380"/>
        <w:spacing w:after="0" w:line="221" w:lineRule="auto"/>
        <w:rPr>
          <w:sz w:val="20"/>
          <w:szCs w:val="20"/>
          <w:color w:val="auto"/>
        </w:rPr>
      </w:pPr>
      <w:r>
        <w:rPr>
          <w:rFonts w:ascii="Times New Roman" w:cs="Times New Roman" w:eastAsia="Times New Roman" w:hAnsi="Times New Roman"/>
          <w:sz w:val="20"/>
          <w:szCs w:val="20"/>
          <w:color w:val="auto"/>
        </w:rPr>
        <w:t>and selling, business plans, budgets and unpublished financial statements, licenses, prices and costs, margins, discounts, credit terms, pricing and billing</w:t>
      </w:r>
    </w:p>
    <w:p>
      <w:pPr>
        <w:sectPr>
          <w:pgSz w:w="11900" w:h="16838" w:orient="portrait"/>
          <w:cols w:equalWidth="0" w:num="1">
            <w:col w:w="11023"/>
          </w:cols>
          <w:pgMar w:left="417" w:top="940" w:right="459" w:bottom="1440" w:gutter="0" w:footer="0" w:header="0"/>
        </w:sectPr>
      </w:pPr>
    </w:p>
    <w:bookmarkStart w:id="153" w:name="page154"/>
    <w:bookmarkEnd w:id="153"/>
    <w:p>
      <w:pPr>
        <w:ind w:right="180"/>
        <w:spacing w:after="0" w:line="234" w:lineRule="auto"/>
        <w:rPr>
          <w:sz w:val="20"/>
          <w:szCs w:val="20"/>
          <w:color w:val="auto"/>
        </w:rPr>
      </w:pPr>
      <w:r>
        <w:rPr>
          <w:rFonts w:ascii="Times New Roman" w:cs="Times New Roman" w:eastAsia="Times New Roman" w:hAnsi="Times New Roman"/>
          <w:sz w:val="19"/>
          <w:szCs w:val="19"/>
          <w:color w:val="auto"/>
        </w:rPr>
        <w:t>policies, quoting procedures, methods of obtaining business, forecasts, future plans and potential strategies, financial projections and business strategies, operational plans, financing and capital-raising plans, activities and agreements, internal services and</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operational manuals, methods of conducting Company business, suppliers and supplier information, and purchasing; (3) information regarding Customers and potential Customers of the Company and its Subsidiaries, including customer lists, names,</w:t>
      </w:r>
    </w:p>
    <w:p>
      <w:pPr>
        <w:spacing w:after="0" w:line="211" w:lineRule="auto"/>
        <w:rPr>
          <w:sz w:val="20"/>
          <w:szCs w:val="20"/>
          <w:color w:val="auto"/>
        </w:rPr>
      </w:pPr>
      <w:r>
        <w:rPr>
          <w:rFonts w:ascii="Times New Roman" w:cs="Times New Roman" w:eastAsia="Times New Roman" w:hAnsi="Times New Roman"/>
          <w:sz w:val="20"/>
          <w:szCs w:val="20"/>
          <w:color w:val="auto"/>
        </w:rPr>
        <w:t>representatives, their needs or desires with respect to the types of products or services offered by the Company, proposals, bids,</w:t>
      </w:r>
    </w:p>
    <w:p>
      <w:pPr>
        <w:ind w:right="600"/>
        <w:spacing w:after="0" w:line="215" w:lineRule="auto"/>
        <w:rPr>
          <w:sz w:val="20"/>
          <w:szCs w:val="20"/>
          <w:color w:val="auto"/>
        </w:rPr>
      </w:pPr>
      <w:r>
        <w:rPr>
          <w:rFonts w:ascii="Times New Roman" w:cs="Times New Roman" w:eastAsia="Times New Roman" w:hAnsi="Times New Roman"/>
          <w:sz w:val="19"/>
          <w:szCs w:val="19"/>
          <w:color w:val="auto"/>
        </w:rPr>
        <w:t>contracts and their contents and parties, the type and quantity of products and services provided or sought to be provided to Customers and potential Customers of the Company and other non-public information relating to Customers and potential</w:t>
      </w:r>
    </w:p>
    <w:p>
      <w:pPr>
        <w:spacing w:after="0" w:line="222" w:lineRule="auto"/>
        <w:rPr>
          <w:sz w:val="20"/>
          <w:szCs w:val="20"/>
          <w:color w:val="auto"/>
        </w:rPr>
      </w:pPr>
      <w:r>
        <w:rPr>
          <w:rFonts w:ascii="Times New Roman" w:cs="Times New Roman" w:eastAsia="Times New Roman" w:hAnsi="Times New Roman"/>
          <w:sz w:val="19"/>
          <w:szCs w:val="19"/>
          <w:color w:val="auto"/>
        </w:rPr>
        <w:t>Customers; (4) information regarding any of the Company’s business partners and their services, including names; representatives,</w:t>
      </w:r>
    </w:p>
    <w:p>
      <w:pPr>
        <w:ind w:right="140"/>
        <w:spacing w:after="0" w:line="215" w:lineRule="auto"/>
        <w:rPr>
          <w:sz w:val="20"/>
          <w:szCs w:val="20"/>
          <w:color w:val="auto"/>
        </w:rPr>
      </w:pPr>
      <w:r>
        <w:rPr>
          <w:rFonts w:ascii="Times New Roman" w:cs="Times New Roman" w:eastAsia="Times New Roman" w:hAnsi="Times New Roman"/>
          <w:sz w:val="19"/>
          <w:szCs w:val="19"/>
          <w:color w:val="auto"/>
        </w:rPr>
        <w:t>proposals, bids, contracts and their contents and parties, the type and quantity of products and services received by the Company, and other non- public information relating to business partners that Grantee acquires as a result of Grantee's employment; (5)</w:t>
      </w:r>
    </w:p>
    <w:p>
      <w:pPr>
        <w:ind w:right="340"/>
        <w:spacing w:after="0" w:line="228" w:lineRule="auto"/>
        <w:rPr>
          <w:sz w:val="20"/>
          <w:szCs w:val="20"/>
          <w:color w:val="auto"/>
        </w:rPr>
      </w:pPr>
      <w:r>
        <w:rPr>
          <w:rFonts w:ascii="Times New Roman" w:cs="Times New Roman" w:eastAsia="Times New Roman" w:hAnsi="Times New Roman"/>
          <w:sz w:val="20"/>
          <w:szCs w:val="20"/>
          <w:color w:val="auto"/>
        </w:rPr>
        <w:t>information regarding personnel, employee lists, compensation, and employee skills; and (6) any other non-public information which a competitor of the Company could use to the competitive disadvantage of the Company.</w:t>
      </w:r>
    </w:p>
    <w:p>
      <w:pPr>
        <w:spacing w:after="0" w:line="176" w:lineRule="exact"/>
        <w:rPr>
          <w:sz w:val="20"/>
          <w:szCs w:val="20"/>
          <w:color w:val="auto"/>
        </w:rPr>
      </w:pPr>
    </w:p>
    <w:p>
      <w:pPr>
        <w:jc w:val="both"/>
        <w:ind w:right="280" w:firstLine="654"/>
        <w:spacing w:after="0" w:line="234" w:lineRule="auto"/>
        <w:tabs>
          <w:tab w:leader="none" w:pos="1203"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To the extent allowed by and consistent with applicable law, the Grantee agrees that, for one year after Separation from Service, the Grantee will not, directly or indirectly, on behalf of the Grantee or any other person or entity other than the Company, perform on or support any program, or provide oversight on any program, product, or service in which the Grantee was personally and/or substantially involved during the 12 months prior to Separation from Service:</w:t>
      </w:r>
    </w:p>
    <w:p>
      <w:pPr>
        <w:spacing w:after="0" w:line="187" w:lineRule="exact"/>
        <w:rPr>
          <w:rFonts w:ascii="Times New Roman" w:cs="Times New Roman" w:eastAsia="Times New Roman" w:hAnsi="Times New Roman"/>
          <w:sz w:val="19"/>
          <w:szCs w:val="19"/>
          <w:color w:val="auto"/>
        </w:rPr>
      </w:pPr>
    </w:p>
    <w:p>
      <w:pPr>
        <w:ind w:left="660" w:right="340" w:firstLine="643"/>
        <w:spacing w:after="0"/>
        <w:tabs>
          <w:tab w:leader="none" w:pos="1859"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more likely than not cause the Grantee to use, disclose, or access Proprietary Information of any such program, product, or service; or</w:t>
      </w:r>
    </w:p>
    <w:p>
      <w:pPr>
        <w:spacing w:after="0" w:line="188" w:lineRule="exact"/>
        <w:rPr>
          <w:rFonts w:ascii="Times New Roman" w:cs="Times New Roman" w:eastAsia="Times New Roman" w:hAnsi="Times New Roman"/>
          <w:sz w:val="20"/>
          <w:szCs w:val="20"/>
          <w:color w:val="auto"/>
        </w:rPr>
      </w:pPr>
    </w:p>
    <w:p>
      <w:pPr>
        <w:jc w:val="both"/>
        <w:ind w:left="660" w:right="1260" w:firstLine="643"/>
        <w:spacing w:after="0" w:line="266" w:lineRule="auto"/>
        <w:tabs>
          <w:tab w:leader="none" w:pos="186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competitive with any such program, product, or service and where the Grantee’s new responsibilities and duties will be similar to those previously held with the Company or any Subsidiary; or</w:t>
      </w:r>
    </w:p>
    <w:p>
      <w:pPr>
        <w:spacing w:after="0" w:line="163" w:lineRule="exact"/>
        <w:rPr>
          <w:rFonts w:ascii="Times New Roman" w:cs="Times New Roman" w:eastAsia="Times New Roman" w:hAnsi="Times New Roman"/>
          <w:sz w:val="19"/>
          <w:szCs w:val="19"/>
          <w:color w:val="auto"/>
        </w:rPr>
      </w:pPr>
    </w:p>
    <w:p>
      <w:pPr>
        <w:ind w:left="660" w:right="500" w:firstLine="643"/>
        <w:spacing w:after="0" w:line="222" w:lineRule="auto"/>
        <w:tabs>
          <w:tab w:leader="none" w:pos="1861"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associated with any program, product or service that was the subject of any capture effort, bid, offer or proposal activity by the Company or any Subsidiary in which the Grantee was personally and substantially involved during the 12 months prior to Separation from Service and of which the Grantee possesses Proprietary Information.</w:t>
      </w:r>
    </w:p>
    <w:p>
      <w:pPr>
        <w:spacing w:after="0" w:line="188" w:lineRule="exact"/>
        <w:rPr>
          <w:rFonts w:ascii="Times New Roman" w:cs="Times New Roman" w:eastAsia="Times New Roman" w:hAnsi="Times New Roman"/>
          <w:sz w:val="20"/>
          <w:szCs w:val="20"/>
          <w:color w:val="auto"/>
        </w:rPr>
      </w:pPr>
    </w:p>
    <w:p>
      <w:pPr>
        <w:ind w:firstLine="654"/>
        <w:spacing w:after="0" w:line="211" w:lineRule="auto"/>
        <w:tabs>
          <w:tab w:leader="none" w:pos="120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Grantee acknowledges and agrees that a breach of any of the promises or agreements contained in this Section 6 will result in immediate, irreparable and continuing damage to the Company and its Subsidiaries for which there is no adequate remedy at law, and the Company and its Subsidiaries will be entitled to injunctive relief, a decree for specific performance, and other relief as may be proper, including money damages such as, but not limited to, the disgorgement of any profits, commissions, or fees realized by the Grantee, any subsequent employers, any business owned or operated by the Grantee, or any of Grantee’s agents, heirs, or assigns because of any such breach. Furthermore, to the extent allowed by and consistent with applicable law and any applicable limitations period, if it is determined at any time by the Company or any Subsidiary that the Grantee has materially breached any employment-related covenants, including the covenants in this Section 6, the Company will be entitled to (i) cause any unvested portion of the Award to be immediately canceled without any payment of consideration by the Company and/or (ii) cause, upon written demand by the Company to the Grantee, that the Grantee promptly return to the Company some or all of the shares of Stock (or proceeds received by the Grantee from such shares of Stock) paid to the Grantee pursuant to this Agreement. If the Company must resort to litigation to enforce the Grantee’s obligation in (ii), the Company will be entitled to an award of reasonable attorneys' fees and costs should it prevail in the litigation.</w:t>
      </w:r>
    </w:p>
    <w:p>
      <w:pPr>
        <w:sectPr>
          <w:pgSz w:w="11900" w:h="16838" w:orient="portrait"/>
          <w:cols w:equalWidth="0" w:num="1">
            <w:col w:w="10360"/>
          </w:cols>
          <w:pgMar w:left="1060" w:top="940" w:right="479" w:bottom="1440" w:gutter="0" w:footer="0" w:header="0"/>
        </w:sectPr>
      </w:pPr>
    </w:p>
    <w:bookmarkStart w:id="154" w:name="page155"/>
    <w:bookmarkEnd w:id="154"/>
    <w:p>
      <w:pPr>
        <w:ind w:left="643" w:right="440" w:hanging="643"/>
        <w:spacing w:after="0" w:line="215" w:lineRule="auto"/>
        <w:tabs>
          <w:tab w:leader="none" w:pos="6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Interference with Rights</w:t>
      </w:r>
      <w:r>
        <w:rPr>
          <w:rFonts w:ascii="Times New Roman" w:cs="Times New Roman" w:eastAsia="Times New Roman" w:hAnsi="Times New Roman"/>
          <w:sz w:val="20"/>
          <w:szCs w:val="20"/>
          <w:color w:val="auto"/>
        </w:rPr>
        <w:t>. Grantee understands that Grantee shall not be held criminally or civilly liable under any U.S. or non-U.S. federal or state trade secret law for the disclosure of a trade secret that: (1) is made in confidence to a U.S. or non-U.S.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The Grantee also understands that disclosure of trade secrets to attorneys, made under seal, or pursuant to court order is also protected under 18 U.S. Code § 1833 in a retaliation lawsuit based on the reporting of a suspected violation of law.</w:t>
      </w:r>
    </w:p>
    <w:p>
      <w:pPr>
        <w:spacing w:after="0" w:line="245"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337" w:lineRule="exact"/>
        <w:rPr>
          <w:rFonts w:ascii="Times New Roman" w:cs="Times New Roman" w:eastAsia="Times New Roman" w:hAnsi="Times New Roman"/>
          <w:sz w:val="20"/>
          <w:szCs w:val="20"/>
          <w:color w:val="auto"/>
        </w:rPr>
      </w:pPr>
    </w:p>
    <w:p>
      <w:pPr>
        <w:ind w:left="643" w:right="120" w:firstLine="654"/>
        <w:spacing w:after="0" w:line="216" w:lineRule="auto"/>
        <w:tabs>
          <w:tab w:leader="none" w:pos="184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which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189" w:lineRule="exact"/>
        <w:rPr>
          <w:rFonts w:ascii="Times New Roman" w:cs="Times New Roman" w:eastAsia="Times New Roman" w:hAnsi="Times New Roman"/>
          <w:sz w:val="20"/>
          <w:szCs w:val="20"/>
          <w:color w:val="auto"/>
        </w:rPr>
      </w:pPr>
    </w:p>
    <w:p>
      <w:pPr>
        <w:ind w:left="643" w:right="400" w:firstLine="654"/>
        <w:spacing w:after="0" w:line="233" w:lineRule="auto"/>
        <w:tabs>
          <w:tab w:leader="none" w:pos="184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hereto of a breach of any provision of this Agreement shall not operate or be construed as a waiver of any other or subsequent breach.</w:t>
      </w:r>
    </w:p>
    <w:p>
      <w:pPr>
        <w:spacing w:after="0" w:line="187" w:lineRule="exact"/>
        <w:rPr>
          <w:rFonts w:ascii="Times New Roman" w:cs="Times New Roman" w:eastAsia="Times New Roman" w:hAnsi="Times New Roman"/>
          <w:sz w:val="20"/>
          <w:szCs w:val="20"/>
          <w:color w:val="auto"/>
        </w:rPr>
      </w:pPr>
    </w:p>
    <w:p>
      <w:pPr>
        <w:ind w:left="643" w:right="20" w:firstLine="654"/>
        <w:spacing w:after="0"/>
        <w:tabs>
          <w:tab w:leader="none" w:pos="184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constitute the entire agreement between the parties with respect to the subject matter hereof. Any prior agreements, commitments or negotiations concerning the Award are superseded.</w:t>
      </w:r>
    </w:p>
    <w:p>
      <w:pPr>
        <w:spacing w:after="0" w:line="188" w:lineRule="exact"/>
        <w:rPr>
          <w:rFonts w:ascii="Times New Roman" w:cs="Times New Roman" w:eastAsia="Times New Roman" w:hAnsi="Times New Roman"/>
          <w:sz w:val="20"/>
          <w:szCs w:val="20"/>
          <w:color w:val="auto"/>
        </w:rPr>
      </w:pPr>
    </w:p>
    <w:p>
      <w:pPr>
        <w:ind w:left="643" w:right="100" w:firstLine="654"/>
        <w:spacing w:after="0" w:line="222" w:lineRule="auto"/>
        <w:tabs>
          <w:tab w:leader="none" w:pos="1846"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This Agreement shall inure to the benefit of and be binding upon the parties hereto and to the extent not prohibited herein, their respective heirs, successors, assigns and representatives. Nothing in this Agreement, express or implied, is intended to confer on any person other than the parties hereto and as provided above, their respective heirs, successors, assigns and representatives any rights, remedies, obligations or liabilities.</w:t>
      </w:r>
    </w:p>
    <w:p>
      <w:pPr>
        <w:spacing w:after="0" w:line="169" w:lineRule="exact"/>
        <w:rPr>
          <w:rFonts w:ascii="Times New Roman" w:cs="Times New Roman" w:eastAsia="Times New Roman" w:hAnsi="Times New Roman"/>
          <w:sz w:val="20"/>
          <w:szCs w:val="20"/>
          <w:color w:val="auto"/>
        </w:rPr>
      </w:pPr>
    </w:p>
    <w:p>
      <w:pPr>
        <w:ind w:left="1863" w:hanging="566"/>
        <w:spacing w:after="0"/>
        <w:tabs>
          <w:tab w:leader="none" w:pos="186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w:t>
      </w:r>
    </w:p>
    <w:p>
      <w:pPr>
        <w:ind w:left="643"/>
        <w:spacing w:after="0"/>
        <w:rPr>
          <w:sz w:val="20"/>
          <w:szCs w:val="20"/>
          <w:color w:val="auto"/>
        </w:rPr>
      </w:pPr>
      <w:r>
        <w:rPr>
          <w:rFonts w:ascii="Times New Roman" w:cs="Times New Roman" w:eastAsia="Times New Roman" w:hAnsi="Times New Roman"/>
          <w:sz w:val="20"/>
          <w:szCs w:val="20"/>
          <w:color w:val="auto"/>
        </w:rPr>
        <w:t>State of Delaware without giving effect to the principles of conflicts of law, and applicable U.S. federal law.</w:t>
      </w:r>
    </w:p>
    <w:p>
      <w:pPr>
        <w:spacing w:after="0" w:line="194" w:lineRule="exact"/>
        <w:rPr>
          <w:sz w:val="20"/>
          <w:szCs w:val="20"/>
          <w:color w:val="auto"/>
        </w:rPr>
      </w:pPr>
    </w:p>
    <w:p>
      <w:pPr>
        <w:ind w:left="643" w:right="460" w:firstLine="654"/>
        <w:spacing w:after="0" w:line="220" w:lineRule="auto"/>
        <w:tabs>
          <w:tab w:leader="none" w:pos="18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Any legal or equitable action or any proceeding arising directly, indirectly, or otherwise in connection with, out of, related to or from the Agreement, or any provision hereof, shall exclusively be filed and adjudicated in the Circuit Court for Fairfax County, Virginia, or the United States District Court for the Eastern District of Virginia, Alexandria Division, and no other venue. Any arbitration will be conducted according to the terms of the applicable arbitration agreement.</w:t>
      </w:r>
    </w:p>
    <w:p>
      <w:pPr>
        <w:spacing w:after="0" w:line="174" w:lineRule="exact"/>
        <w:rPr>
          <w:rFonts w:ascii="Times New Roman" w:cs="Times New Roman" w:eastAsia="Times New Roman" w:hAnsi="Times New Roman"/>
          <w:sz w:val="20"/>
          <w:szCs w:val="20"/>
          <w:color w:val="auto"/>
        </w:rPr>
      </w:pPr>
    </w:p>
    <w:p>
      <w:pPr>
        <w:ind w:left="643" w:right="40" w:firstLine="654"/>
        <w:spacing w:after="0"/>
        <w:tabs>
          <w:tab w:leader="none" w:pos="18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herein are for the sole purpose of convenience of reference, and shall not in any way limit or affect the meaning or interpretation of any of the terms or provisions of this Agreement.</w:t>
      </w:r>
    </w:p>
    <w:p>
      <w:pPr>
        <w:spacing w:after="0" w:line="188" w:lineRule="exact"/>
        <w:rPr>
          <w:rFonts w:ascii="Times New Roman" w:cs="Times New Roman" w:eastAsia="Times New Roman" w:hAnsi="Times New Roman"/>
          <w:sz w:val="20"/>
          <w:szCs w:val="20"/>
          <w:color w:val="auto"/>
        </w:rPr>
      </w:pPr>
    </w:p>
    <w:p>
      <w:pPr>
        <w:ind w:left="643" w:firstLine="654"/>
        <w:spacing w:after="0" w:line="215" w:lineRule="auto"/>
        <w:tabs>
          <w:tab w:leader="none" w:pos="184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 Amendment</w:t>
      </w:r>
      <w:r>
        <w:rPr>
          <w:rFonts w:ascii="Times New Roman" w:cs="Times New Roman" w:eastAsia="Times New Roman" w:hAnsi="Times New Roman"/>
          <w:sz w:val="20"/>
          <w:szCs w:val="20"/>
          <w:color w:val="auto"/>
        </w:rPr>
        <w:t>. The provisions of the Plan are incorporated in this Agreement in their entirety. In the event of any conflict between the provisions of this Agreement and the Plan, the provisions of the Plan shall control. This Agreement may be amended at any time by the Committee, provided that no amendment may, without the consent of the Grantee, materially impair the Grantee’s rights with respect to the Award, except as otherwise required pursuant to Section 8(l) below. The Committee shall have full authority and discretion, subject only to the terms of the Plan, to decide all matters relating to the administration or interpretation of the Plan, the Award, and the Agreement, and all such action by the Committee shall be final, conclusive, and binding upon the Company and the Grantee.</w:t>
      </w:r>
    </w:p>
    <w:p>
      <w:pPr>
        <w:sectPr>
          <w:pgSz w:w="11900" w:h="16838" w:orient="portrait"/>
          <w:cols w:equalWidth="0" w:num="1">
            <w:col w:w="10963"/>
          </w:cols>
          <w:pgMar w:left="417" w:top="940" w:right="519" w:bottom="1440" w:gutter="0" w:footer="0" w:header="0"/>
        </w:sectPr>
      </w:pPr>
    </w:p>
    <w:bookmarkStart w:id="155" w:name="page156"/>
    <w:bookmarkEnd w:id="155"/>
    <w:p>
      <w:pPr>
        <w:ind w:left="643" w:right="300" w:firstLine="654"/>
        <w:spacing w:after="0" w:line="230" w:lineRule="auto"/>
        <w:tabs>
          <w:tab w:leader="none" w:pos="184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this Agreement shall confer upon the Grantee any right to continue in the Service of the Company or any Subsidiary or affect the right of the Company or any Subsidiary to terminate the Grantee’s Service at any time.</w:t>
      </w:r>
    </w:p>
    <w:p>
      <w:pPr>
        <w:spacing w:after="0" w:line="175" w:lineRule="exact"/>
        <w:rPr>
          <w:rFonts w:ascii="Times New Roman" w:cs="Times New Roman" w:eastAsia="Times New Roman" w:hAnsi="Times New Roman"/>
          <w:sz w:val="20"/>
          <w:szCs w:val="20"/>
          <w:color w:val="auto"/>
        </w:rPr>
      </w:pPr>
    </w:p>
    <w:p>
      <w:pPr>
        <w:ind w:left="643" w:right="640" w:firstLine="654"/>
        <w:spacing w:after="0"/>
        <w:tabs>
          <w:tab w:leader="none" w:pos="184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Grantee agrees, upon demand of the Company or the Committee, to do all acts and execute, deliver and perform all additional documents, instruments</w:t>
      </w:r>
    </w:p>
    <w:p>
      <w:pPr>
        <w:spacing w:after="0" w:line="1" w:lineRule="exact"/>
        <w:rPr>
          <w:sz w:val="20"/>
          <w:szCs w:val="20"/>
          <w:color w:val="auto"/>
        </w:rPr>
      </w:pPr>
    </w:p>
    <w:p>
      <w:pPr>
        <w:ind w:left="643" w:right="560"/>
        <w:spacing w:after="0" w:line="239" w:lineRule="auto"/>
        <w:rPr>
          <w:sz w:val="20"/>
          <w:szCs w:val="20"/>
          <w:color w:val="auto"/>
        </w:rPr>
      </w:pPr>
      <w:r>
        <w:rPr>
          <w:rFonts w:ascii="Times New Roman" w:cs="Times New Roman" w:eastAsia="Times New Roman" w:hAnsi="Times New Roman"/>
          <w:sz w:val="20"/>
          <w:szCs w:val="20"/>
          <w:color w:val="auto"/>
        </w:rPr>
        <w:t>and agreements which may be reasonably required by the Company or the Committee, as the case may be, to implement the provisions and purposes of this Agreement and the Plan.</w:t>
      </w:r>
    </w:p>
    <w:p>
      <w:pPr>
        <w:spacing w:after="0" w:line="188" w:lineRule="exact"/>
        <w:rPr>
          <w:sz w:val="20"/>
          <w:szCs w:val="20"/>
          <w:color w:val="auto"/>
        </w:rPr>
      </w:pPr>
    </w:p>
    <w:p>
      <w:pPr>
        <w:ind w:left="643" w:right="100" w:firstLine="654"/>
        <w:spacing w:after="0" w:line="230" w:lineRule="auto"/>
        <w:tabs>
          <w:tab w:leader="none" w:pos="184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Appendices</w:t>
      </w:r>
      <w:r>
        <w:rPr>
          <w:rFonts w:ascii="Times New Roman" w:cs="Times New Roman" w:eastAsia="Times New Roman" w:hAnsi="Times New Roman"/>
          <w:sz w:val="19"/>
          <w:szCs w:val="19"/>
          <w:color w:val="auto"/>
        </w:rPr>
        <w:t>. By accepting this Award, the Grantee acknowledges and agrees that, should the Grantee reside and/or work in a country outside the United States at any time during the life of the Award, this Award is subject to the additional terms set forth in the Appendices A and B hereto. Appendices A and B constitute part of this Agreement. Please review the provisions of Appendices A and B carefully, as this Award will be null and void absent the Grantee’s acceptance of such provisions.</w:t>
      </w:r>
    </w:p>
    <w:p>
      <w:pPr>
        <w:spacing w:after="0" w:line="188" w:lineRule="exact"/>
        <w:rPr>
          <w:rFonts w:ascii="Times New Roman" w:cs="Times New Roman" w:eastAsia="Times New Roman" w:hAnsi="Times New Roman"/>
          <w:sz w:val="19"/>
          <w:szCs w:val="19"/>
          <w:color w:val="auto"/>
        </w:rPr>
      </w:pPr>
    </w:p>
    <w:p>
      <w:pPr>
        <w:ind w:left="643" w:right="60" w:firstLine="654"/>
        <w:spacing w:after="0" w:line="222" w:lineRule="auto"/>
        <w:tabs>
          <w:tab w:leader="none" w:pos="184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Award to the extent that the Company determines it is necessary or advisable in order to comply with local law or facilitate the administration of the Award and to require the Grantee to sign any additional agreements or undertakings that may be necessary to accomplish the foregoing.</w:t>
      </w:r>
    </w:p>
    <w:p>
      <w:pPr>
        <w:spacing w:after="0" w:line="181" w:lineRule="exact"/>
        <w:rPr>
          <w:rFonts w:ascii="Times New Roman" w:cs="Times New Roman" w:eastAsia="Times New Roman" w:hAnsi="Times New Roman"/>
          <w:sz w:val="20"/>
          <w:szCs w:val="20"/>
          <w:color w:val="auto"/>
        </w:rPr>
      </w:pPr>
    </w:p>
    <w:p>
      <w:pPr>
        <w:ind w:left="1843" w:hanging="546"/>
        <w:spacing w:after="0"/>
        <w:tabs>
          <w:tab w:leader="none" w:pos="1843"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Recovery of Compensation.</w:t>
      </w:r>
      <w:r>
        <w:rPr>
          <w:rFonts w:ascii="Times New Roman" w:cs="Times New Roman" w:eastAsia="Times New Roman" w:hAnsi="Times New Roman"/>
          <w:sz w:val="19"/>
          <w:szCs w:val="19"/>
          <w:color w:val="auto"/>
        </w:rPr>
        <w:t xml:space="preserve"> In accordance with Section 3.3 of the Plan, the Award is subject to the requirements of</w:t>
      </w:r>
    </w:p>
    <w:p>
      <w:pPr>
        <w:ind w:left="883" w:hanging="234"/>
        <w:spacing w:after="0" w:line="211" w:lineRule="auto"/>
        <w:tabs>
          <w:tab w:leader="none" w:pos="88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954 of the U.S. Dodd-Frank Wall Street Reform and Consumer Protection Act (regarding recovery of erroneously</w:t>
      </w:r>
    </w:p>
    <w:p>
      <w:pPr>
        <w:ind w:left="643"/>
        <w:spacing w:after="0" w:line="211" w:lineRule="auto"/>
        <w:rPr>
          <w:sz w:val="20"/>
          <w:szCs w:val="20"/>
          <w:color w:val="auto"/>
        </w:rPr>
      </w:pPr>
      <w:r>
        <w:rPr>
          <w:rFonts w:ascii="Times New Roman" w:cs="Times New Roman" w:eastAsia="Times New Roman" w:hAnsi="Times New Roman"/>
          <w:sz w:val="20"/>
          <w:szCs w:val="20"/>
          <w:color w:val="auto"/>
        </w:rPr>
        <w:t>awarded compensation) and any implementing rules and regulations thereunder, (ii) any policies adopted by the Company to</w:t>
      </w:r>
    </w:p>
    <w:p>
      <w:pPr>
        <w:spacing w:after="0" w:line="1" w:lineRule="exact"/>
        <w:rPr>
          <w:sz w:val="20"/>
          <w:szCs w:val="20"/>
          <w:color w:val="auto"/>
        </w:rPr>
      </w:pPr>
    </w:p>
    <w:p>
      <w:pPr>
        <w:ind w:left="643"/>
        <w:spacing w:after="0" w:line="215" w:lineRule="auto"/>
        <w:rPr>
          <w:sz w:val="20"/>
          <w:szCs w:val="20"/>
          <w:color w:val="auto"/>
        </w:rPr>
      </w:pPr>
      <w:r>
        <w:rPr>
          <w:rFonts w:ascii="Times New Roman" w:cs="Times New Roman" w:eastAsia="Times New Roman" w:hAnsi="Times New Roman"/>
          <w:sz w:val="19"/>
          <w:szCs w:val="19"/>
          <w:color w:val="auto"/>
        </w:rPr>
        <w:t>implement such requirements, and (iii) the Company’s compensation recoupment policy as amended and restated on June 26, 2023, as in effect from time to time (the “Compensation Recoupment Policy”), all to the extent determined by the Committee to be</w:t>
      </w:r>
    </w:p>
    <w:p>
      <w:pPr>
        <w:ind w:left="643"/>
        <w:spacing w:after="0"/>
        <w:rPr>
          <w:sz w:val="20"/>
          <w:szCs w:val="20"/>
          <w:color w:val="auto"/>
        </w:rPr>
      </w:pPr>
      <w:r>
        <w:rPr>
          <w:rFonts w:ascii="Times New Roman" w:cs="Times New Roman" w:eastAsia="Times New Roman" w:hAnsi="Times New Roman"/>
          <w:sz w:val="20"/>
          <w:szCs w:val="20"/>
          <w:color w:val="auto"/>
        </w:rPr>
        <w:t>applicable to the Grantee.</w:t>
      </w:r>
    </w:p>
    <w:p>
      <w:pPr>
        <w:spacing w:after="0" w:line="194" w:lineRule="exact"/>
        <w:rPr>
          <w:sz w:val="20"/>
          <w:szCs w:val="20"/>
          <w:color w:val="auto"/>
        </w:rPr>
      </w:pPr>
    </w:p>
    <w:p>
      <w:pPr>
        <w:ind w:left="643" w:right="220" w:firstLine="654"/>
        <w:spacing w:after="0" w:line="226" w:lineRule="auto"/>
        <w:tabs>
          <w:tab w:leader="none" w:pos="184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87" w:lineRule="exact"/>
        <w:rPr>
          <w:rFonts w:ascii="Times New Roman" w:cs="Times New Roman" w:eastAsia="Times New Roman" w:hAnsi="Times New Roman"/>
          <w:sz w:val="20"/>
          <w:szCs w:val="20"/>
          <w:color w:val="auto"/>
        </w:rPr>
      </w:pPr>
    </w:p>
    <w:p>
      <w:pPr>
        <w:ind w:left="643" w:right="160" w:firstLine="654"/>
        <w:spacing w:after="0" w:line="222" w:lineRule="auto"/>
        <w:tabs>
          <w:tab w:leader="none" w:pos="1846"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188" w:lineRule="exact"/>
        <w:rPr>
          <w:rFonts w:ascii="Times New Roman" w:cs="Times New Roman" w:eastAsia="Times New Roman" w:hAnsi="Times New Roman"/>
          <w:sz w:val="20"/>
          <w:szCs w:val="20"/>
          <w:color w:val="auto"/>
        </w:rPr>
      </w:pPr>
    </w:p>
    <w:p>
      <w:pPr>
        <w:jc w:val="both"/>
        <w:ind w:left="643" w:right="280" w:hanging="643"/>
        <w:spacing w:after="0" w:line="222" w:lineRule="auto"/>
        <w:tabs>
          <w:tab w:leader="none" w:pos="6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Grantee’s participation in the Plan or the Grantee’s acquisition of any shares of Stock under the Plan or subsequent sale of such shares of Stock. The Grantee should consult with the Grantee’s personal tax, legal and financial advisors regarding the Grantee’s participation in the Plan before taking any action in relation thereto.</w:t>
      </w:r>
    </w:p>
    <w:p>
      <w:pPr>
        <w:spacing w:after="0" w:line="175" w:lineRule="exact"/>
        <w:rPr>
          <w:rFonts w:ascii="Times New Roman" w:cs="Times New Roman" w:eastAsia="Times New Roman" w:hAnsi="Times New Roman"/>
          <w:sz w:val="20"/>
          <w:szCs w:val="20"/>
          <w:color w:val="auto"/>
        </w:rPr>
      </w:pPr>
    </w:p>
    <w:p>
      <w:pPr>
        <w:ind w:left="643" w:right="220" w:hanging="643"/>
        <w:spacing w:after="0" w:line="212" w:lineRule="auto"/>
        <w:tabs>
          <w:tab w:leader="none" w:pos="63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Grantee acknowledges that he or she may be subject to insider trading restrictions and/or market abuse laws which may affect the Grantee’s ability to accept, acquire, sell or otherwise dispose of shares of Stock, rights to shares of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Award) or rights linked to the value of Stock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Grantee acknowledges that it is the Grantee’s responsibility to comply with any applicable insider trading restrictions and/or market abuse laws, and the Grantee should speak to his or her personal advisor on this matter.</w:t>
      </w:r>
    </w:p>
    <w:p>
      <w:pPr>
        <w:sectPr>
          <w:pgSz w:w="11900" w:h="16838" w:orient="portrait"/>
          <w:cols w:equalWidth="0" w:num="1">
            <w:col w:w="11023"/>
          </w:cols>
          <w:pgMar w:left="417" w:top="940" w:right="45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b w:val="1"/>
          <w:bCs w:val="1"/>
          <w:color w:val="auto"/>
        </w:rPr>
        <w:t>TO THE TERMS AND CONDITIONS OF OPTION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20"/>
          <w:szCs w:val="20"/>
          <w:b w:val="1"/>
          <w:bCs w:val="1"/>
          <w:u w:val="single" w:color="auto"/>
          <w:color w:val="auto"/>
        </w:rPr>
        <w:t>General Additional Terms Applicable to Awards Held by Grantees Outside the U.S.</w:t>
      </w:r>
    </w:p>
    <w:p>
      <w:pPr>
        <w:spacing w:after="0" w:line="297" w:lineRule="exact"/>
        <w:rPr>
          <w:sz w:val="20"/>
          <w:szCs w:val="20"/>
          <w:color w:val="auto"/>
        </w:rPr>
      </w:pPr>
    </w:p>
    <w:p>
      <w:pPr>
        <w:ind w:left="643" w:hanging="643"/>
        <w:spacing w:after="0"/>
        <w:tabs>
          <w:tab w:leader="none" w:pos="643" w:val="left"/>
        </w:tabs>
        <w:numPr>
          <w:ilvl w:val="0"/>
          <w:numId w:val="8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b w:val="1"/>
          <w:bCs w:val="1"/>
          <w:i w:val="1"/>
          <w:iCs w:val="1"/>
          <w:u w:val="single" w:color="auto"/>
          <w:color w:val="auto"/>
        </w:rPr>
        <w:t>Data Privacy</w:t>
      </w:r>
      <w:r>
        <w:rPr>
          <w:rFonts w:ascii="Times New Roman" w:cs="Times New Roman" w:eastAsia="Times New Roman" w:hAnsi="Times New Roman"/>
          <w:sz w:val="20"/>
          <w:szCs w:val="20"/>
          <w:b w:val="1"/>
          <w:bCs w:val="1"/>
          <w:i w:val="1"/>
          <w:iCs w:val="1"/>
          <w:color w:val="auto"/>
        </w:rPr>
        <w:t>.</w:t>
      </w:r>
    </w:p>
    <w:p>
      <w:pPr>
        <w:spacing w:after="0" w:line="215" w:lineRule="exact"/>
        <w:rPr>
          <w:rFonts w:ascii="Times New Roman" w:cs="Times New Roman" w:eastAsia="Times New Roman" w:hAnsi="Times New Roman"/>
          <w:sz w:val="20"/>
          <w:szCs w:val="20"/>
          <w:i w:val="1"/>
          <w:iCs w:val="1"/>
          <w:color w:val="auto"/>
        </w:rPr>
      </w:pPr>
    </w:p>
    <w:p>
      <w:pPr>
        <w:ind w:left="643" w:firstLine="654"/>
        <w:spacing w:after="0" w:line="215" w:lineRule="auto"/>
        <w:tabs>
          <w:tab w:leader="none" w:pos="1846" w:val="left"/>
        </w:tabs>
        <w:numPr>
          <w:ilvl w:val="1"/>
          <w:numId w:val="8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and the Employer collect, process and use certain personal information about the Grantee, including, but not limited to, the Grantee’s name, home address and telephone number, email address, date of birth, social insurance, passport or other identification number, salary, nationality, job title, any shares of Stock or directorships held in the Company, details of all Awards under the Plan or any other entitlement to shares of Stock or equivalent benefits awarded, canceled, exercised, vested, unvested or outstanding in the Grantee favor (“Data”), for the legitimate purpose of implementing, administering and managing the Grantee’s participation in the Plan. The legal basis, where required, for the processing of Data by the Company and the third-party service providers described below is the Grantee’s consent.</w:t>
      </w:r>
    </w:p>
    <w:p>
      <w:pPr>
        <w:spacing w:after="0" w:line="187" w:lineRule="exact"/>
        <w:rPr>
          <w:rFonts w:ascii="Times New Roman" w:cs="Times New Roman" w:eastAsia="Times New Roman" w:hAnsi="Times New Roman"/>
          <w:sz w:val="20"/>
          <w:szCs w:val="20"/>
          <w:b w:val="1"/>
          <w:bCs w:val="1"/>
          <w:i w:val="1"/>
          <w:iCs w:val="1"/>
          <w:color w:val="auto"/>
        </w:rPr>
      </w:pPr>
    </w:p>
    <w:p>
      <w:pPr>
        <w:ind w:left="643" w:firstLine="654"/>
        <w:spacing w:after="0" w:line="216" w:lineRule="auto"/>
        <w:tabs>
          <w:tab w:leader="none" w:pos="1846" w:val="left"/>
        </w:tabs>
        <w:numPr>
          <w:ilvl w:val="1"/>
          <w:numId w:val="8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Computershare, Inc. and certain of its affiliated companies (collectively, “Computershare”), an independent service provider based in the United States, which assists the Company with the implementation, administration and management of the Plan. The Grantee acknowledges and understands that Computershare will open an account for the Grantee to receive and trade shares of Stock acquired under the Plan and that the Grantee will be asked to agree on separate terms and data processing practices with Computershare, with such agreement being a condition to the ability to participate in the Plan. The legal basis, where required, for the transfer of Data by the Company to Computershare is the Grantee’s consent.</w:t>
      </w:r>
    </w:p>
    <w:p>
      <w:pPr>
        <w:spacing w:after="0" w:line="184" w:lineRule="exact"/>
        <w:rPr>
          <w:rFonts w:ascii="Times New Roman" w:cs="Times New Roman" w:eastAsia="Times New Roman" w:hAnsi="Times New Roman"/>
          <w:sz w:val="20"/>
          <w:szCs w:val="20"/>
          <w:b w:val="1"/>
          <w:bCs w:val="1"/>
          <w:i w:val="1"/>
          <w:iCs w:val="1"/>
          <w:color w:val="auto"/>
        </w:rPr>
      </w:pPr>
    </w:p>
    <w:p>
      <w:pPr>
        <w:ind w:left="643" w:right="160" w:firstLine="654"/>
        <w:spacing w:after="0" w:line="219" w:lineRule="auto"/>
        <w:tabs>
          <w:tab w:leader="none" w:pos="1848" w:val="left"/>
        </w:tabs>
        <w:numPr>
          <w:ilvl w:val="1"/>
          <w:numId w:val="8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is based in the United States. The Grantee’s country or jurisdiction may have different data privacy laws and protections than the United States. As a result, in the absence of appropriate safeguards such as standard data protection clauses, the processing of the Grantee’s Data in the United States or, as the case may be, other countries might not be subject to substantive data processing principles or supervision by data protection authorities. In addition, the Grantee might not have enforceable rights regarding the processing of the Grantee’s Data in such countries. The Company’s legal basis, where required, for the transfer of Data is the Grantee’s consent.</w:t>
      </w:r>
    </w:p>
    <w:p>
      <w:pPr>
        <w:spacing w:after="0" w:line="185" w:lineRule="exact"/>
        <w:rPr>
          <w:rFonts w:ascii="Times New Roman" w:cs="Times New Roman" w:eastAsia="Times New Roman" w:hAnsi="Times New Roman"/>
          <w:sz w:val="20"/>
          <w:szCs w:val="20"/>
          <w:b w:val="1"/>
          <w:bCs w:val="1"/>
          <w:i w:val="1"/>
          <w:iCs w:val="1"/>
          <w:color w:val="auto"/>
        </w:rPr>
      </w:pPr>
    </w:p>
    <w:p>
      <w:pPr>
        <w:ind w:left="643" w:right="60" w:firstLine="654"/>
        <w:spacing w:after="0" w:line="223" w:lineRule="auto"/>
        <w:tabs>
          <w:tab w:leader="none" w:pos="1846" w:val="left"/>
        </w:tabs>
        <w:numPr>
          <w:ilvl w:val="1"/>
          <w:numId w:val="8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the Grantee’s participation in the Plan, or as required to comply with applicable law, exercise or defense of legal rights, and archiving, back-up and deletion processes. This means Data may be held even after the Grantee’s employment or service is terminated.</w:t>
      </w:r>
    </w:p>
    <w:p>
      <w:pPr>
        <w:spacing w:after="0" w:line="184" w:lineRule="exact"/>
        <w:rPr>
          <w:rFonts w:ascii="Times New Roman" w:cs="Times New Roman" w:eastAsia="Times New Roman" w:hAnsi="Times New Roman"/>
          <w:sz w:val="20"/>
          <w:szCs w:val="20"/>
          <w:b w:val="1"/>
          <w:bCs w:val="1"/>
          <w:i w:val="1"/>
          <w:iCs w:val="1"/>
          <w:color w:val="auto"/>
        </w:rPr>
      </w:pPr>
    </w:p>
    <w:p>
      <w:pPr>
        <w:ind w:left="643" w:right="20" w:firstLine="654"/>
        <w:spacing w:after="0" w:line="219" w:lineRule="auto"/>
        <w:tabs>
          <w:tab w:leader="none" w:pos="1848" w:val="left"/>
        </w:tabs>
        <w:numPr>
          <w:ilvl w:val="1"/>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the Grantee is providing any consents herein on a purely voluntary basis. The Grantee understands that the Grantee may withdraw his or her consent at any time with future effect for any or no reason. If the Grantee does not consent, or if the Grantee later seeks to revoke his or her consent, the Grantee’s Service with the Employer will not be affected; the only consequence of refusing or withdrawing the Grantee’s consent is that the Company would not be able to grant the Awards under the Plan or other equity awards to the Grantee or administer or maintain the Grantee’s participation in the Plan.</w:t>
      </w:r>
    </w:p>
    <w:p>
      <w:pPr>
        <w:spacing w:after="0" w:line="171" w:lineRule="exact"/>
        <w:rPr>
          <w:rFonts w:ascii="Times New Roman" w:cs="Times New Roman" w:eastAsia="Times New Roman" w:hAnsi="Times New Roman"/>
          <w:sz w:val="20"/>
          <w:szCs w:val="20"/>
          <w:b w:val="1"/>
          <w:bCs w:val="1"/>
          <w:color w:val="auto"/>
        </w:rPr>
      </w:pPr>
    </w:p>
    <w:p>
      <w:pPr>
        <w:ind w:left="643" w:right="140" w:firstLine="654"/>
        <w:spacing w:after="0" w:line="222" w:lineRule="auto"/>
        <w:tabs>
          <w:tab w:leader="none" w:pos="1842" w:val="left"/>
        </w:tabs>
        <w:numPr>
          <w:ilvl w:val="1"/>
          <w:numId w:val="8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b w:val="1"/>
          <w:bCs w:val="1"/>
          <w:i w:val="1"/>
          <w:iCs w:val="1"/>
          <w:u w:val="single" w:color="auto"/>
          <w:color w:val="auto"/>
        </w:rPr>
        <w:t>Data Subject Rights</w:t>
      </w:r>
      <w:r>
        <w:rPr>
          <w:rFonts w:ascii="Times New Roman" w:cs="Times New Roman" w:eastAsia="Times New Roman" w:hAnsi="Times New Roman"/>
          <w:sz w:val="19"/>
          <w:szCs w:val="19"/>
          <w:b w:val="1"/>
          <w:bCs w:val="1"/>
          <w:i w:val="1"/>
          <w:iCs w:val="1"/>
          <w:color w:val="auto"/>
        </w:rPr>
        <w:t>. The Grantee may have a number of rights under data privacy laws in the Grantee’s jurisdiction. Depending on where the Grantee is based and subject to the conditions under applicable law, such rights may include the right to (i) request access or copies of Data the Company processes, (ii) rectification of incorrect Data, (iii) deletion of Data, (iv) restrictions on processing of Data, (v) portability of Data, (vi) lodge complaints with competent authorities in the Grantee’s jurisdiction, and/or (vii) receive a list with the names and addresses of any potential recipients of Data. To receive clarification regarding these rights or to exercise these rights, the Grantee can contact his or her local human resources</w:t>
      </w:r>
    </w:p>
    <w:p>
      <w:pPr>
        <w:sectPr>
          <w:pgSz w:w="11900" w:h="16838" w:orient="portrait"/>
          <w:cols w:equalWidth="0" w:num="1">
            <w:col w:w="11103"/>
          </w:cols>
          <w:pgMar w:left="417" w:top="1440" w:right="379" w:bottom="0" w:gutter="0" w:footer="0" w:header="0"/>
        </w:sectPr>
      </w:pPr>
    </w:p>
    <w:p>
      <w:pPr>
        <w:spacing w:after="0" w:line="1"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9"/>
          <w:szCs w:val="19"/>
          <w:b w:val="1"/>
          <w:bCs w:val="1"/>
          <w:i w:val="1"/>
          <w:iCs w:val="1"/>
          <w:color w:val="auto"/>
        </w:rPr>
        <w:t>representative.</w:t>
      </w:r>
    </w:p>
    <w:p>
      <w:pPr>
        <w:sectPr>
          <w:pgSz w:w="11900" w:h="16838" w:orient="portrait"/>
          <w:cols w:equalWidth="0" w:num="1">
            <w:col w:w="11103"/>
          </w:cols>
          <w:pgMar w:left="417" w:top="1440" w:right="379" w:bottom="0" w:gutter="0" w:footer="0" w:header="0"/>
          <w:type w:val="continuous"/>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ind w:left="643" w:right="1140" w:hanging="643"/>
        <w:spacing w:after="0"/>
        <w:tabs>
          <w:tab w:leader="none" w:pos="64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entering into this Agreement and accepting the grant of the Option evidenced hereby, the Grantee acknowledges, understands and agrees that:</w:t>
      </w:r>
    </w:p>
    <w:p>
      <w:pPr>
        <w:spacing w:after="0" w:line="188" w:lineRule="exact"/>
        <w:rPr>
          <w:rFonts w:ascii="Times New Roman" w:cs="Times New Roman" w:eastAsia="Times New Roman" w:hAnsi="Times New Roman"/>
          <w:sz w:val="20"/>
          <w:szCs w:val="20"/>
          <w:color w:val="auto"/>
        </w:rPr>
      </w:pPr>
    </w:p>
    <w:p>
      <w:pPr>
        <w:ind w:left="643" w:right="100" w:firstLine="655"/>
        <w:spacing w:after="0" w:line="233" w:lineRule="auto"/>
        <w:tabs>
          <w:tab w:leader="none" w:pos="184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terminated, suspended or amended by the Company at any time, to the extent permitted by the Plan;</w:t>
      </w:r>
    </w:p>
    <w:p>
      <w:pPr>
        <w:spacing w:after="0" w:line="201" w:lineRule="exact"/>
        <w:rPr>
          <w:rFonts w:ascii="Times New Roman" w:cs="Times New Roman" w:eastAsia="Times New Roman" w:hAnsi="Times New Roman"/>
          <w:sz w:val="20"/>
          <w:szCs w:val="20"/>
          <w:color w:val="auto"/>
        </w:rPr>
      </w:pPr>
    </w:p>
    <w:p>
      <w:pPr>
        <w:ind w:left="643" w:right="120" w:firstLine="655"/>
        <w:spacing w:after="0" w:line="233" w:lineRule="auto"/>
        <w:tabs>
          <w:tab w:leader="none" w:pos="18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awards of the Option or benefits in lieu of the Option, even if such awards have been awarded in the past;</w:t>
      </w:r>
    </w:p>
    <w:p>
      <w:pPr>
        <w:spacing w:after="0" w:line="187" w:lineRule="exact"/>
        <w:rPr>
          <w:rFonts w:ascii="Times New Roman" w:cs="Times New Roman" w:eastAsia="Times New Roman" w:hAnsi="Times New Roman"/>
          <w:sz w:val="20"/>
          <w:szCs w:val="20"/>
          <w:color w:val="auto"/>
        </w:rPr>
      </w:pPr>
    </w:p>
    <w:p>
      <w:pPr>
        <w:ind w:left="1863" w:hanging="565"/>
        <w:spacing w:after="0"/>
        <w:tabs>
          <w:tab w:leader="none" w:pos="186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awards, if any, will be at the sole discretion of the Company;</w:t>
      </w:r>
    </w:p>
    <w:p>
      <w:pPr>
        <w:spacing w:after="0" w:line="229" w:lineRule="exact"/>
        <w:rPr>
          <w:rFonts w:ascii="Times New Roman" w:cs="Times New Roman" w:eastAsia="Times New Roman" w:hAnsi="Times New Roman"/>
          <w:sz w:val="20"/>
          <w:szCs w:val="20"/>
          <w:color w:val="auto"/>
        </w:rPr>
      </w:pPr>
    </w:p>
    <w:p>
      <w:pPr>
        <w:ind w:left="643" w:right="420" w:firstLine="655"/>
        <w:spacing w:after="0" w:line="226" w:lineRule="auto"/>
        <w:tabs>
          <w:tab w:leader="none" w:pos="18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shall not create a right to Service or be interpreted as forming an employment or Service contract with the Company or any other Subsidiary and shall not interfere with the ability of the Employer to terminate the Grantee’s Service relationship (if any) at any time;</w:t>
      </w:r>
    </w:p>
    <w:p>
      <w:pPr>
        <w:spacing w:after="0" w:line="187" w:lineRule="exact"/>
        <w:rPr>
          <w:rFonts w:ascii="Times New Roman" w:cs="Times New Roman" w:eastAsia="Times New Roman" w:hAnsi="Times New Roman"/>
          <w:sz w:val="20"/>
          <w:szCs w:val="20"/>
          <w:color w:val="auto"/>
        </w:rPr>
      </w:pPr>
    </w:p>
    <w:p>
      <w:pPr>
        <w:ind w:left="1863" w:hanging="565"/>
        <w:spacing w:after="0"/>
        <w:tabs>
          <w:tab w:leader="none" w:pos="186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voluntarily participating in the Plan;</w:t>
      </w:r>
    </w:p>
    <w:p>
      <w:pPr>
        <w:spacing w:after="0" w:line="202" w:lineRule="exact"/>
        <w:rPr>
          <w:rFonts w:ascii="Times New Roman" w:cs="Times New Roman" w:eastAsia="Times New Roman" w:hAnsi="Times New Roman"/>
          <w:sz w:val="20"/>
          <w:szCs w:val="20"/>
          <w:color w:val="auto"/>
        </w:rPr>
      </w:pPr>
    </w:p>
    <w:p>
      <w:pPr>
        <w:ind w:left="643" w:right="40" w:firstLine="655"/>
        <w:spacing w:after="0" w:line="222" w:lineRule="auto"/>
        <w:tabs>
          <w:tab w:leader="none" w:pos="184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and any payment made pursuant to the exercise of the Option, and the income from and value of same, are not part of normal or expected compensation or salary for any purposes, including, but not limited to, calculating any severance, resignation, termination, redundancy, dismissal, end-of-service payments, bonuses, holiday pay, long-service awards, leave-related payments, pension or retirement benefits or welfare benefits or similar payments;</w:t>
      </w:r>
    </w:p>
    <w:p>
      <w:pPr>
        <w:spacing w:after="0" w:line="188" w:lineRule="exact"/>
        <w:rPr>
          <w:rFonts w:ascii="Times New Roman" w:cs="Times New Roman" w:eastAsia="Times New Roman" w:hAnsi="Times New Roman"/>
          <w:sz w:val="20"/>
          <w:szCs w:val="20"/>
          <w:color w:val="auto"/>
        </w:rPr>
      </w:pPr>
    </w:p>
    <w:p>
      <w:pPr>
        <w:ind w:left="643" w:firstLine="655"/>
        <w:spacing w:after="0" w:line="226" w:lineRule="auto"/>
        <w:tabs>
          <w:tab w:leader="none" w:pos="18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Option and any shares of Stock subject to the Option, and the income from and value of same, are not granted as consideration for, or in connection with, any service the Grantee may provide as a director of any Subsidiary;</w:t>
      </w:r>
    </w:p>
    <w:p>
      <w:pPr>
        <w:spacing w:after="0" w:line="200" w:lineRule="exact"/>
        <w:rPr>
          <w:rFonts w:ascii="Times New Roman" w:cs="Times New Roman" w:eastAsia="Times New Roman" w:hAnsi="Times New Roman"/>
          <w:sz w:val="20"/>
          <w:szCs w:val="20"/>
          <w:color w:val="auto"/>
        </w:rPr>
      </w:pPr>
    </w:p>
    <w:p>
      <w:pPr>
        <w:ind w:left="643" w:right="1060" w:firstLine="655"/>
        <w:spacing w:after="0" w:line="233" w:lineRule="auto"/>
        <w:tabs>
          <w:tab w:leader="none" w:pos="184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of Stock which may be delivered upon exercise of the Option is unknown, indeterminable and cannot be predicted with certainty;</w:t>
      </w:r>
    </w:p>
    <w:p>
      <w:pPr>
        <w:spacing w:after="0" w:line="187" w:lineRule="exact"/>
        <w:rPr>
          <w:rFonts w:ascii="Times New Roman" w:cs="Times New Roman" w:eastAsia="Times New Roman" w:hAnsi="Times New Roman"/>
          <w:sz w:val="20"/>
          <w:szCs w:val="20"/>
          <w:color w:val="auto"/>
        </w:rPr>
      </w:pPr>
    </w:p>
    <w:p>
      <w:pPr>
        <w:ind w:left="643" w:right="160" w:firstLine="655"/>
        <w:spacing w:after="0" w:line="217" w:lineRule="auto"/>
        <w:tabs>
          <w:tab w:leader="none" w:pos="1842"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Option resulting from the Grantee’s Separation from Service (for any reason whatsoever, whether or not such termination is later found to be invalid or in breach of applicable laws in the jurisdiction where the Grantee is employed or the terms of the Grantee’s employment or service agreement, if any) or recoupment of all or any portion of any payment made pursuant to the Option as provided by the Company’s Compensation Recoupment Policy;</w:t>
      </w:r>
    </w:p>
    <w:p>
      <w:pPr>
        <w:spacing w:after="0" w:line="188" w:lineRule="exact"/>
        <w:rPr>
          <w:rFonts w:ascii="Times New Roman" w:cs="Times New Roman" w:eastAsia="Times New Roman" w:hAnsi="Times New Roman"/>
          <w:sz w:val="20"/>
          <w:szCs w:val="20"/>
          <w:color w:val="auto"/>
        </w:rPr>
      </w:pPr>
    </w:p>
    <w:p>
      <w:pPr>
        <w:ind w:left="643" w:firstLine="655"/>
        <w:spacing w:after="0" w:line="224" w:lineRule="auto"/>
        <w:tabs>
          <w:tab w:leader="none" w:pos="1842"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the Option, the date of the Grantee’s Separation from Service (for any reason whatsoever, whether or not such termination is later found to be invalid or in breach of applicable laws in the jurisdiction where the Grantee is employed or the terms of the Grantee’s employment or service agreement, if any) will be deemed to occur as of the date the Grantee is no longer actively providing Service to the Company or any of its Subsidiaries, and unless otherwise expressly provided in this Agreement or otherwise determined by the Company, the Grantee’s right to vest in any portion of the Option under the Plan, if any, will terminate as of such date and will not be extended by any notice period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Grantee’s active employment or period of service would not include any contractual notice period or any period of “garden leave” or similar period mandated under applicable laws in the jurisdiction where the Grantee is employed or the terms of the Grantee’s employment or service agreement, if any); the Company, in its sole discretion, shall determine when the Grantee is no longer actively providing Service for purposes of the Option (including whether the Grantee may still be considered to be actively providing Service while on an approved leave of absence);</w:t>
      </w:r>
    </w:p>
    <w:p>
      <w:pPr>
        <w:spacing w:after="0" w:line="188" w:lineRule="exact"/>
        <w:rPr>
          <w:rFonts w:ascii="Times New Roman" w:cs="Times New Roman" w:eastAsia="Times New Roman" w:hAnsi="Times New Roman"/>
          <w:sz w:val="19"/>
          <w:szCs w:val="19"/>
          <w:color w:val="auto"/>
        </w:rPr>
      </w:pPr>
    </w:p>
    <w:p>
      <w:pPr>
        <w:ind w:left="643" w:right="120" w:firstLine="655"/>
        <w:spacing w:after="0" w:line="237" w:lineRule="auto"/>
        <w:tabs>
          <w:tab w:leader="none" w:pos="1845"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Stock; and</w:t>
      </w:r>
    </w:p>
    <w:p>
      <w:pPr>
        <w:spacing w:after="0" w:line="189" w:lineRule="exact"/>
        <w:rPr>
          <w:rFonts w:ascii="Times New Roman" w:cs="Times New Roman" w:eastAsia="Times New Roman" w:hAnsi="Times New Roman"/>
          <w:sz w:val="19"/>
          <w:szCs w:val="19"/>
          <w:color w:val="auto"/>
        </w:rPr>
      </w:pPr>
    </w:p>
    <w:p>
      <w:pPr>
        <w:ind w:left="643" w:right="580" w:firstLine="655"/>
        <w:spacing w:after="0" w:line="233" w:lineRule="auto"/>
        <w:tabs>
          <w:tab w:leader="none" w:pos="1842"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shall not be liable for any foreign exchange rate fluctuation between the Grantee’s local currency and the United States</w:t>
      </w:r>
    </w:p>
    <w:p>
      <w:pPr>
        <w:sectPr>
          <w:pgSz w:w="11900" w:h="16838" w:orient="portrait"/>
          <w:cols w:equalWidth="0" w:num="1">
            <w:col w:w="11123"/>
          </w:cols>
          <w:pgMar w:left="417" w:top="940" w:right="359" w:bottom="1440" w:gutter="0" w:footer="0" w:header="0"/>
        </w:sectPr>
      </w:pPr>
    </w:p>
    <w:bookmarkStart w:id="159" w:name="page160"/>
    <w:bookmarkEnd w:id="159"/>
    <w:p>
      <w:pPr>
        <w:ind w:left="643" w:right="240"/>
        <w:spacing w:after="0"/>
        <w:rPr>
          <w:sz w:val="20"/>
          <w:szCs w:val="20"/>
          <w:color w:val="auto"/>
        </w:rPr>
      </w:pPr>
      <w:r>
        <w:rPr>
          <w:rFonts w:ascii="Times New Roman" w:cs="Times New Roman" w:eastAsia="Times New Roman" w:hAnsi="Times New Roman"/>
          <w:sz w:val="20"/>
          <w:szCs w:val="20"/>
          <w:color w:val="auto"/>
        </w:rPr>
        <w:t>Dollar that may affect the value of the Option, any payment made pursuant to the exercise of the Option or the subsequent sale of any shares of Stock acquired under the Plan.</w:t>
      </w:r>
    </w:p>
    <w:p>
      <w:pPr>
        <w:spacing w:after="0" w:line="188" w:lineRule="exact"/>
        <w:rPr>
          <w:sz w:val="20"/>
          <w:szCs w:val="20"/>
          <w:color w:val="auto"/>
        </w:rPr>
      </w:pPr>
    </w:p>
    <w:p>
      <w:pPr>
        <w:ind w:left="643" w:hanging="643"/>
        <w:spacing w:after="0" w:line="217" w:lineRule="auto"/>
        <w:tabs>
          <w:tab w:leader="none" w:pos="64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Grantee acknowledges and represents that the Grantee is proficient in the English language or has consulted with an advisor who is sufficiently proficient in English, as to allow the Grantee to understand the terms of this Agreement and any other documents related to the Plan. If the Grantee has received this Agreement or any other document related to the Plan translated into a language other than English and if the meaning of the translated version differs from the English version, the English version shall control.</w:t>
      </w:r>
    </w:p>
    <w:p>
      <w:pPr>
        <w:spacing w:after="0" w:line="188" w:lineRule="exact"/>
        <w:rPr>
          <w:rFonts w:ascii="Times New Roman" w:cs="Times New Roman" w:eastAsia="Times New Roman" w:hAnsi="Times New Roman"/>
          <w:sz w:val="20"/>
          <w:szCs w:val="20"/>
          <w:color w:val="auto"/>
        </w:rPr>
      </w:pPr>
    </w:p>
    <w:p>
      <w:pPr>
        <w:ind w:left="643" w:right="20" w:hanging="643"/>
        <w:spacing w:after="0" w:line="213" w:lineRule="auto"/>
        <w:tabs>
          <w:tab w:leader="none" w:pos="64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Grantee may be subject to certain foreign asset and/or account reporting requirements and/or exchange controls which may affect the Grantee’s ability to acquire or hold shares of Stock acquired under the Plan or cash received from participating in the Plan (including from any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further acknowledges that it is the Grantee’s responsibility to comply with such regulations and that the Grantee should consult the Grantee’s personal legal advisor for any details.</w:t>
      </w:r>
    </w:p>
    <w:p>
      <w:pPr>
        <w:sectPr>
          <w:pgSz w:w="11900" w:h="16838" w:orient="portrait"/>
          <w:cols w:equalWidth="0" w:num="1">
            <w:col w:w="11123"/>
          </w:cols>
          <w:pgMar w:left="417" w:top="940" w:right="35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B</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THE TERMS AND CONDITIONS OF OPTION AWARD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Country-Specific Additional Terms Applicable to Awards Held by Grantees Outside the U.S.</w:t>
      </w:r>
    </w:p>
    <w:p>
      <w:pPr>
        <w:spacing w:after="0" w:line="220" w:lineRule="exact"/>
        <w:rPr>
          <w:sz w:val="20"/>
          <w:szCs w:val="20"/>
          <w:color w:val="auto"/>
        </w:rPr>
      </w:pPr>
    </w:p>
    <w:p>
      <w:pPr>
        <w:ind w:right="400"/>
        <w:spacing w:after="0" w:line="457" w:lineRule="auto"/>
        <w:rPr>
          <w:sz w:val="20"/>
          <w:szCs w:val="20"/>
          <w:color w:val="auto"/>
        </w:rPr>
      </w:pPr>
      <w:r>
        <w:rPr>
          <w:rFonts w:ascii="Times New Roman" w:cs="Times New Roman" w:eastAsia="Times New Roman" w:hAnsi="Times New Roman"/>
          <w:sz w:val="20"/>
          <w:szCs w:val="20"/>
          <w:color w:val="auto"/>
        </w:rPr>
        <w:t xml:space="preserve">Capitalized terms used but not otherwise defined herein shall have the meaning given to such terms in the Plan and/or this Agreement. </w:t>
      </w:r>
      <w:r>
        <w:rPr>
          <w:rFonts w:ascii="Times New Roman" w:cs="Times New Roman" w:eastAsia="Times New Roman" w:hAnsi="Times New Roman"/>
          <w:sz w:val="20"/>
          <w:szCs w:val="20"/>
          <w:b w:val="1"/>
          <w:bCs w:val="1"/>
          <w:i w:val="1"/>
          <w:iCs w:val="1"/>
          <w:color w:val="auto"/>
        </w:rPr>
        <w:t>Terms and Conditions</w:t>
      </w:r>
    </w:p>
    <w:p>
      <w:pPr>
        <w:spacing w:after="0" w:line="2"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19"/>
          <w:szCs w:val="19"/>
          <w:color w:val="auto"/>
        </w:rPr>
        <w:t>This Appendix B includes additional terms and conditions that govern the Grantee’s participation in the Plan if the Grantee resides and/or works in one of the countries listed below. If the Grantee is a citizen or resident of a country other than the one in which he or she is</w:t>
      </w:r>
    </w:p>
    <w:p>
      <w:pPr>
        <w:spacing w:after="0" w:line="1" w:lineRule="exact"/>
        <w:rPr>
          <w:sz w:val="20"/>
          <w:szCs w:val="20"/>
          <w:color w:val="auto"/>
        </w:rPr>
      </w:pPr>
    </w:p>
    <w:p>
      <w:pPr>
        <w:ind w:right="460"/>
        <w:spacing w:after="0" w:line="215" w:lineRule="auto"/>
        <w:rPr>
          <w:sz w:val="20"/>
          <w:szCs w:val="20"/>
          <w:color w:val="auto"/>
        </w:rPr>
      </w:pPr>
      <w:r>
        <w:rPr>
          <w:rFonts w:ascii="Times New Roman" w:cs="Times New Roman" w:eastAsia="Times New Roman" w:hAnsi="Times New Roman"/>
          <w:sz w:val="19"/>
          <w:szCs w:val="19"/>
          <w:color w:val="auto"/>
        </w:rPr>
        <w:t>currently residing and/or working (or if the Grantee is considered as such for local law purposes), or if the Grantee moves or transfers Service to another country after the Grant Date, the Company will, in its sole discretion, determine the extent to which the terms and</w:t>
      </w:r>
    </w:p>
    <w:p>
      <w:pPr>
        <w:spacing w:after="0"/>
        <w:rPr>
          <w:sz w:val="20"/>
          <w:szCs w:val="20"/>
          <w:color w:val="auto"/>
        </w:rPr>
      </w:pPr>
      <w:r>
        <w:rPr>
          <w:rFonts w:ascii="Times New Roman" w:cs="Times New Roman" w:eastAsia="Times New Roman" w:hAnsi="Times New Roman"/>
          <w:sz w:val="20"/>
          <w:szCs w:val="20"/>
          <w:color w:val="auto"/>
        </w:rPr>
        <w:t>conditions herein will be applicable to the Grantee.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Appendix B also includes information regarding securities laws, exchange controls and certain other issues of which the Grantee</w:t>
      </w:r>
    </w:p>
    <w:p>
      <w:pPr>
        <w:ind w:right="300"/>
        <w:spacing w:after="0" w:line="215" w:lineRule="auto"/>
        <w:rPr>
          <w:sz w:val="20"/>
          <w:szCs w:val="20"/>
          <w:color w:val="auto"/>
        </w:rPr>
      </w:pPr>
      <w:r>
        <w:rPr>
          <w:rFonts w:ascii="Times New Roman" w:cs="Times New Roman" w:eastAsia="Times New Roman" w:hAnsi="Times New Roman"/>
          <w:sz w:val="19"/>
          <w:szCs w:val="19"/>
          <w:color w:val="auto"/>
        </w:rPr>
        <w:t>should be aware with respect to the Grantee’s participation in the Plan. The information is based on the securities, exchange control and other laws in effect in the respective countries as of January 2022. Such laws are often complex and change frequently. As a result, the</w:t>
      </w:r>
    </w:p>
    <w:p>
      <w:pPr>
        <w:spacing w:after="0" w:line="211" w:lineRule="auto"/>
        <w:rPr>
          <w:sz w:val="20"/>
          <w:szCs w:val="20"/>
          <w:color w:val="auto"/>
        </w:rPr>
      </w:pPr>
      <w:r>
        <w:rPr>
          <w:rFonts w:ascii="Times New Roman" w:cs="Times New Roman" w:eastAsia="Times New Roman" w:hAnsi="Times New Roman"/>
          <w:sz w:val="20"/>
          <w:szCs w:val="20"/>
          <w:color w:val="auto"/>
        </w:rPr>
        <w:t>Company recommends that the Grantee not rely on the information in this Appendix B as the only source of information relating to the</w:t>
      </w:r>
    </w:p>
    <w:p>
      <w:pPr>
        <w:ind w:right="420"/>
        <w:spacing w:after="0" w:line="221" w:lineRule="auto"/>
        <w:rPr>
          <w:sz w:val="20"/>
          <w:szCs w:val="20"/>
          <w:color w:val="auto"/>
        </w:rPr>
      </w:pPr>
      <w:r>
        <w:rPr>
          <w:rFonts w:ascii="Times New Roman" w:cs="Times New Roman" w:eastAsia="Times New Roman" w:hAnsi="Times New Roman"/>
          <w:sz w:val="20"/>
          <w:szCs w:val="20"/>
          <w:color w:val="auto"/>
        </w:rPr>
        <w:t>consequences of the Grantee’s participation in the Plan because the information included herein may be out of date at the time that the Option vests, the Grantee exercises the Option, or the Grantee subsequently sells the shares of Stock acquired at exercise.</w:t>
      </w:r>
    </w:p>
    <w:p>
      <w:pPr>
        <w:spacing w:after="0" w:line="202" w:lineRule="exact"/>
        <w:rPr>
          <w:sz w:val="20"/>
          <w:szCs w:val="20"/>
          <w:color w:val="auto"/>
        </w:rPr>
      </w:pPr>
    </w:p>
    <w:p>
      <w:pPr>
        <w:ind w:right="800"/>
        <w:spacing w:after="0" w:line="227" w:lineRule="auto"/>
        <w:rPr>
          <w:sz w:val="20"/>
          <w:szCs w:val="20"/>
          <w:color w:val="auto"/>
        </w:rPr>
      </w:pPr>
      <w:r>
        <w:rPr>
          <w:rFonts w:ascii="Times New Roman" w:cs="Times New Roman" w:eastAsia="Times New Roman" w:hAnsi="Times New Roman"/>
          <w:sz w:val="19"/>
          <w:szCs w:val="19"/>
          <w:color w:val="auto"/>
        </w:rPr>
        <w:t>In addition, the Grantee understands that the information contained herein is general in nature and may not apply to the Grantee’s particular situation and the Company is not in a position to assure the Grantee of any particular result. Accordingly, the Grantee</w:t>
      </w:r>
    </w:p>
    <w:p>
      <w:pPr>
        <w:ind w:right="260"/>
        <w:spacing w:after="0" w:line="228" w:lineRule="auto"/>
        <w:rPr>
          <w:sz w:val="20"/>
          <w:szCs w:val="20"/>
          <w:color w:val="auto"/>
        </w:rPr>
      </w:pPr>
      <w:r>
        <w:rPr>
          <w:rFonts w:ascii="Times New Roman" w:cs="Times New Roman" w:eastAsia="Times New Roman" w:hAnsi="Times New Roman"/>
          <w:sz w:val="20"/>
          <w:szCs w:val="20"/>
          <w:color w:val="auto"/>
        </w:rPr>
        <w:t>acknowledges that he or she should seek appropriate professional advice as to how the relevant laws in the Grantee’s country may apply to the Grantee’s situation.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Grantee is a citizen or resident of a country other than the one in which the Grantee is currently residing and/or working (or if the</w:t>
      </w:r>
    </w:p>
    <w:p>
      <w:pPr>
        <w:spacing w:after="0" w:line="215" w:lineRule="auto"/>
        <w:rPr>
          <w:sz w:val="20"/>
          <w:szCs w:val="20"/>
          <w:color w:val="auto"/>
        </w:rPr>
      </w:pPr>
      <w:r>
        <w:rPr>
          <w:rFonts w:ascii="Times New Roman" w:cs="Times New Roman" w:eastAsia="Times New Roman" w:hAnsi="Times New Roman"/>
          <w:sz w:val="19"/>
          <w:szCs w:val="19"/>
          <w:color w:val="auto"/>
        </w:rPr>
        <w:t>Grantee is considered as such for local law purposes), or if the Grantee moves or transfers residency and/or Service to another country after the Option is granted, the Grantee understands that the information contained herein may not be applicable to the Grantee in the same</w:t>
      </w:r>
    </w:p>
    <w:p>
      <w:pPr>
        <w:spacing w:after="0"/>
        <w:rPr>
          <w:sz w:val="20"/>
          <w:szCs w:val="20"/>
          <w:color w:val="auto"/>
        </w:rPr>
      </w:pPr>
      <w:r>
        <w:rPr>
          <w:rFonts w:ascii="Times New Roman" w:cs="Times New Roman" w:eastAsia="Times New Roman" w:hAnsi="Times New Roman"/>
          <w:sz w:val="20"/>
          <w:szCs w:val="20"/>
          <w:color w:val="auto"/>
        </w:rPr>
        <w:t>manner.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jc w:val="both"/>
        <w:ind w:right="80"/>
        <w:spacing w:after="0" w:line="217"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If the Grantee acquires shares of Stock under the Plan and offers the shares of Stock for sale to a person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entity resident in Australia, the offer may be subject to disclosure requirements under Australian law. The Grantee should obtain legal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advice regarding any applicable disclosure obligations before making any such offer in Australia.</w:t>
      </w:r>
    </w:p>
    <w:p>
      <w:pPr>
        <w:spacing w:after="0" w:line="176" w:lineRule="exact"/>
        <w:rPr>
          <w:sz w:val="20"/>
          <w:szCs w:val="20"/>
          <w:color w:val="auto"/>
        </w:rPr>
      </w:pPr>
    </w:p>
    <w:p>
      <w:pPr>
        <w:jc w:val="both"/>
        <w:ind w:right="80"/>
        <w:spacing w:after="0" w:line="232"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AUD10,000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fund transfers. If an Australian bank is assisting with the international fund transfer transaction, the bank will file the report on behalf of the Grantee. If there is no Australian bank involved in the transfer, the Grantee will be required to file the report.</w:t>
      </w:r>
    </w:p>
    <w:p>
      <w:pPr>
        <w:ind w:right="300"/>
        <w:spacing w:after="0" w:line="239" w:lineRule="auto"/>
        <w:rPr>
          <w:sz w:val="20"/>
          <w:szCs w:val="20"/>
          <w:color w:val="auto"/>
        </w:rPr>
      </w:pPr>
      <w:r>
        <w:rPr>
          <w:rFonts w:ascii="Times New Roman" w:cs="Times New Roman" w:eastAsia="Times New Roman" w:hAnsi="Times New Roman"/>
          <w:sz w:val="20"/>
          <w:szCs w:val="20"/>
          <w:b w:val="1"/>
          <w:bCs w:val="1"/>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that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Belgian residents are required to report any securities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those related to</w:t>
      </w:r>
    </w:p>
    <w:p>
      <w:pPr>
        <w:ind w:right="140"/>
        <w:spacing w:after="0" w:line="221" w:lineRule="auto"/>
        <w:rPr>
          <w:sz w:val="20"/>
          <w:szCs w:val="20"/>
          <w:color w:val="auto"/>
        </w:rPr>
      </w:pPr>
      <w:r>
        <w:rPr>
          <w:rFonts w:ascii="Times New Roman" w:cs="Times New Roman" w:eastAsia="Times New Roman" w:hAnsi="Times New Roman"/>
          <w:sz w:val="20"/>
          <w:szCs w:val="20"/>
          <w:color w:val="auto"/>
        </w:rPr>
        <w:t>shares of Stock acquired under the Plan) or bank accounts (including brokerage accounts) maintained outside Belgium on their annual tax return. In a separate report, they must provide the National Bank of Belgium with certain details regarding such foreign accounts</w:t>
      </w:r>
    </w:p>
    <w:p>
      <w:pPr>
        <w:sectPr>
          <w:pgSz w:w="11900" w:h="16838" w:orient="portrait"/>
          <w:cols w:equalWidth="0" w:num="1">
            <w:col w:w="11040"/>
          </w:cols>
          <w:pgMar w:left="420" w:top="1002" w:right="439" w:bottom="1440" w:gutter="0" w:footer="0" w:header="0"/>
        </w:sectPr>
      </w:pPr>
    </w:p>
    <w:bookmarkStart w:id="161" w:name="page162"/>
    <w:bookmarkEnd w:id="161"/>
    <w:p>
      <w:pPr>
        <w:ind w:left="20" w:right="380"/>
        <w:spacing w:after="0" w:line="230" w:lineRule="auto"/>
        <w:rPr>
          <w:sz w:val="20"/>
          <w:szCs w:val="20"/>
          <w:color w:val="auto"/>
        </w:rPr>
      </w:pPr>
      <w:r>
        <w:rPr>
          <w:rFonts w:ascii="Times New Roman" w:cs="Times New Roman" w:eastAsia="Times New Roman" w:hAnsi="Times New Roman"/>
          <w:sz w:val="20"/>
          <w:szCs w:val="20"/>
          <w:color w:val="auto"/>
        </w:rPr>
        <w:t>(including the account number, bank name and country in which any such account was opened). The forms to complete this report are available at the website of the National Bank of Belgium. Belgian residents should consult with their personal tax advisors to determine their reporting obligations.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Stock Exchange Tax. </w:t>
      </w:r>
      <w:r>
        <w:rPr>
          <w:rFonts w:ascii="Times New Roman" w:cs="Times New Roman" w:eastAsia="Times New Roman" w:hAnsi="Times New Roman"/>
          <w:sz w:val="20"/>
          <w:szCs w:val="20"/>
          <w:color w:val="auto"/>
        </w:rPr>
        <w:t>A stock exchange tax applies to transactions executed by a Belgian resident through a non-Belgian financial</w:t>
      </w:r>
    </w:p>
    <w:p>
      <w:pPr>
        <w:ind w:left="20" w:right="320"/>
        <w:spacing w:after="0" w:line="215" w:lineRule="auto"/>
        <w:rPr>
          <w:sz w:val="20"/>
          <w:szCs w:val="20"/>
          <w:color w:val="auto"/>
        </w:rPr>
      </w:pPr>
      <w:r>
        <w:rPr>
          <w:rFonts w:ascii="Times New Roman" w:cs="Times New Roman" w:eastAsia="Times New Roman" w:hAnsi="Times New Roman"/>
          <w:sz w:val="19"/>
          <w:szCs w:val="19"/>
          <w:color w:val="auto"/>
        </w:rPr>
        <w:t>intermediary, such as a U.S. bank or broker. If the transaction is conducted through a Belgian financial intermediary, it may withhold the stock exchange tax, but if the transaction is conducted through a non-Belgian financial intermediary, the Belgian resident may need to</w:t>
      </w:r>
    </w:p>
    <w:p>
      <w:pPr>
        <w:ind w:left="20"/>
        <w:spacing w:after="0" w:line="211" w:lineRule="auto"/>
        <w:rPr>
          <w:sz w:val="20"/>
          <w:szCs w:val="20"/>
          <w:color w:val="auto"/>
        </w:rPr>
      </w:pPr>
      <w:r>
        <w:rPr>
          <w:rFonts w:ascii="Times New Roman" w:cs="Times New Roman" w:eastAsia="Times New Roman" w:hAnsi="Times New Roman"/>
          <w:sz w:val="20"/>
          <w:szCs w:val="20"/>
          <w:color w:val="auto"/>
        </w:rPr>
        <w:t>report and pay the stock exchange tax directly. The stock exchange tax may apply when shares of Stock acquired under the Plan are sold.</w:t>
      </w:r>
    </w:p>
    <w:p>
      <w:pPr>
        <w:ind w:left="20" w:right="640"/>
        <w:spacing w:after="0" w:line="221" w:lineRule="auto"/>
        <w:rPr>
          <w:sz w:val="20"/>
          <w:szCs w:val="20"/>
          <w:color w:val="auto"/>
        </w:rPr>
      </w:pPr>
      <w:r>
        <w:rPr>
          <w:rFonts w:ascii="Times New Roman" w:cs="Times New Roman" w:eastAsia="Times New Roman" w:hAnsi="Times New Roman"/>
          <w:sz w:val="20"/>
          <w:szCs w:val="20"/>
          <w:color w:val="auto"/>
        </w:rPr>
        <w:t>Belgian residents should consult with a personal tax or financial advisor for additional details on their obligations with respect to the stock exchange tax.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Annual Securities Accounts Tax. </w:t>
      </w:r>
      <w:r>
        <w:rPr>
          <w:rFonts w:ascii="Times New Roman" w:cs="Times New Roman" w:eastAsia="Times New Roman" w:hAnsi="Times New Roman"/>
          <w:sz w:val="20"/>
          <w:szCs w:val="20"/>
          <w:color w:val="auto"/>
        </w:rPr>
        <w:t>An annual securities accounts tax may be payable if the total value of securities held in a Belgian or</w:t>
      </w:r>
    </w:p>
    <w:p>
      <w:pPr>
        <w:spacing w:after="0" w:line="215" w:lineRule="auto"/>
        <w:rPr>
          <w:sz w:val="20"/>
          <w:szCs w:val="20"/>
          <w:color w:val="auto"/>
        </w:rPr>
      </w:pPr>
      <w:r>
        <w:rPr>
          <w:rFonts w:ascii="Times New Roman" w:cs="Times New Roman" w:eastAsia="Times New Roman" w:hAnsi="Times New Roman"/>
          <w:sz w:val="19"/>
          <w:szCs w:val="19"/>
          <w:color w:val="auto"/>
        </w:rPr>
        <w:t>foreign securities account (e.g., shares of Stock) exceeds a certain threshold on four reference dates within the relevant reporting period (i.e., December 31, March 31, June 30 and September 30). Different payment obligations may apply, depending on whether the securities account</w:t>
      </w:r>
    </w:p>
    <w:p>
      <w:pPr>
        <w:ind w:right="620"/>
        <w:spacing w:after="0" w:line="228" w:lineRule="auto"/>
        <w:rPr>
          <w:sz w:val="20"/>
          <w:szCs w:val="20"/>
          <w:color w:val="auto"/>
        </w:rPr>
      </w:pPr>
      <w:r>
        <w:rPr>
          <w:rFonts w:ascii="Times New Roman" w:cs="Times New Roman" w:eastAsia="Times New Roman" w:hAnsi="Times New Roman"/>
          <w:sz w:val="20"/>
          <w:szCs w:val="20"/>
          <w:color w:val="auto"/>
        </w:rPr>
        <w:t>is held with a Belgian or foreign financial institution. The Grantee should consult with his or her personal tax or financial advisor for additional details.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Responsibility for Taxes. </w:t>
      </w:r>
      <w:r>
        <w:rPr>
          <w:rFonts w:ascii="Times New Roman" w:cs="Times New Roman" w:eastAsia="Times New Roman" w:hAnsi="Times New Roman"/>
          <w:sz w:val="20"/>
          <w:szCs w:val="20"/>
          <w:color w:val="auto"/>
        </w:rPr>
        <w:t>This provision supplements the Section 3 of the Terms and Conditions of Option Award:</w:t>
      </w:r>
    </w:p>
    <w:p>
      <w:pPr>
        <w:spacing w:after="0" w:line="206" w:lineRule="exact"/>
        <w:rPr>
          <w:sz w:val="20"/>
          <w:szCs w:val="20"/>
          <w:color w:val="auto"/>
        </w:rPr>
      </w:pPr>
    </w:p>
    <w:p>
      <w:pPr>
        <w:ind w:left="20" w:right="360"/>
        <w:spacing w:after="0" w:line="234" w:lineRule="auto"/>
        <w:rPr>
          <w:sz w:val="20"/>
          <w:szCs w:val="20"/>
          <w:color w:val="auto"/>
        </w:rPr>
      </w:pPr>
      <w:r>
        <w:rPr>
          <w:rFonts w:ascii="Times New Roman" w:cs="Times New Roman" w:eastAsia="Times New Roman" w:hAnsi="Times New Roman"/>
          <w:sz w:val="19"/>
          <w:szCs w:val="19"/>
          <w:color w:val="auto"/>
        </w:rPr>
        <w:t>Without limitation to Section 3 of the Terms and Conditions of Option Award, the Grantee agrees that the Grantee is liable for all Tax-Related Items and hereby covenants to pay all such Tax-Related Items, as and when requested by the Company, the Employer or by Her</w:t>
      </w:r>
    </w:p>
    <w:p>
      <w:pPr>
        <w:spacing w:after="0" w:line="1" w:lineRule="exact"/>
        <w:rPr>
          <w:sz w:val="20"/>
          <w:szCs w:val="20"/>
          <w:color w:val="auto"/>
        </w:rPr>
      </w:pPr>
    </w:p>
    <w:p>
      <w:pPr>
        <w:ind w:left="20" w:right="260"/>
        <w:spacing w:after="0" w:line="215" w:lineRule="auto"/>
        <w:rPr>
          <w:sz w:val="20"/>
          <w:szCs w:val="20"/>
          <w:color w:val="auto"/>
        </w:rPr>
      </w:pPr>
      <w:r>
        <w:rPr>
          <w:rFonts w:ascii="Times New Roman" w:cs="Times New Roman" w:eastAsia="Times New Roman" w:hAnsi="Times New Roman"/>
          <w:sz w:val="19"/>
          <w:szCs w:val="19"/>
          <w:color w:val="auto"/>
        </w:rPr>
        <w:t>Majesty’s Revenue and Customs (“</w:t>
      </w:r>
      <w:r>
        <w:rPr>
          <w:rFonts w:ascii="Times New Roman" w:cs="Times New Roman" w:eastAsia="Times New Roman" w:hAnsi="Times New Roman"/>
          <w:sz w:val="19"/>
          <w:szCs w:val="19"/>
          <w:b w:val="1"/>
          <w:bCs w:val="1"/>
          <w:color w:val="auto"/>
        </w:rPr>
        <w:t>HMRC</w:t>
      </w:r>
      <w:r>
        <w:rPr>
          <w:rFonts w:ascii="Times New Roman" w:cs="Times New Roman" w:eastAsia="Times New Roman" w:hAnsi="Times New Roman"/>
          <w:sz w:val="19"/>
          <w:szCs w:val="19"/>
          <w:color w:val="auto"/>
        </w:rPr>
        <w:t>”) (or any other tax authority or any other relevant authority). The Grantee also agrees to indemnify and keep indemnified the Company and the Employer against any Tax–Related Items that they are required to pay or withhold</w:t>
      </w:r>
    </w:p>
    <w:p>
      <w:pPr>
        <w:ind w:left="20"/>
        <w:spacing w:after="0"/>
        <w:rPr>
          <w:sz w:val="20"/>
          <w:szCs w:val="20"/>
          <w:color w:val="auto"/>
        </w:rPr>
      </w:pPr>
      <w:r>
        <w:rPr>
          <w:rFonts w:ascii="Times New Roman" w:cs="Times New Roman" w:eastAsia="Times New Roman" w:hAnsi="Times New Roman"/>
          <w:sz w:val="20"/>
          <w:szCs w:val="20"/>
          <w:color w:val="auto"/>
        </w:rPr>
        <w:t>or have paid or will pay to HMRC (or any other tax authority or any other relevant authority) on the Grantee’s behalf.</w:t>
      </w:r>
    </w:p>
    <w:p>
      <w:pPr>
        <w:spacing w:after="0" w:line="194" w:lineRule="exact"/>
        <w:rPr>
          <w:sz w:val="20"/>
          <w:szCs w:val="20"/>
          <w:color w:val="auto"/>
        </w:rPr>
      </w:pPr>
    </w:p>
    <w:p>
      <w:pPr>
        <w:ind w:left="20" w:right="360"/>
        <w:spacing w:after="0" w:line="227" w:lineRule="auto"/>
        <w:rPr>
          <w:sz w:val="20"/>
          <w:szCs w:val="20"/>
          <w:color w:val="auto"/>
        </w:rPr>
      </w:pPr>
      <w:r>
        <w:rPr>
          <w:rFonts w:ascii="Times New Roman" w:cs="Times New Roman" w:eastAsia="Times New Roman" w:hAnsi="Times New Roman"/>
          <w:sz w:val="19"/>
          <w:szCs w:val="19"/>
          <w:color w:val="auto"/>
        </w:rPr>
        <w:t>Notwithstanding the foregoing, if the Grantee becomes a director or executive officer (within the meaning of Section 13(k) of the Exchange Act), the Grantee understands that the Grantee may not be able to indemnify the Company or the Employer for the amount of</w:t>
      </w:r>
    </w:p>
    <w:p>
      <w:pPr>
        <w:ind w:left="20" w:right="140"/>
        <w:spacing w:after="0" w:line="204" w:lineRule="auto"/>
        <w:rPr>
          <w:sz w:val="20"/>
          <w:szCs w:val="20"/>
          <w:color w:val="auto"/>
        </w:rPr>
      </w:pPr>
      <w:r>
        <w:rPr>
          <w:rFonts w:ascii="Times New Roman" w:cs="Times New Roman" w:eastAsia="Times New Roman" w:hAnsi="Times New Roman"/>
          <w:sz w:val="20"/>
          <w:szCs w:val="20"/>
          <w:color w:val="auto"/>
        </w:rPr>
        <w:t>any Tax-Related Items not collected from or paid by the Grantee, in case the indemnification could be considered to be a loan. In this case, the Tax- Related Items not collected or paid within 90 days of the end of the U.K. tax year in which the taxable event occurs may</w:t>
      </w:r>
    </w:p>
    <w:p>
      <w:pPr>
        <w:ind w:left="20"/>
        <w:spacing w:after="0" w:line="211" w:lineRule="auto"/>
        <w:rPr>
          <w:sz w:val="20"/>
          <w:szCs w:val="20"/>
          <w:color w:val="auto"/>
        </w:rPr>
      </w:pPr>
      <w:r>
        <w:rPr>
          <w:rFonts w:ascii="Times New Roman" w:cs="Times New Roman" w:eastAsia="Times New Roman" w:hAnsi="Times New Roman"/>
          <w:sz w:val="20"/>
          <w:szCs w:val="20"/>
          <w:color w:val="auto"/>
        </w:rPr>
        <w:t>constitute a benefit to the Grantee on which additional income tax and National Insurance contributions (“</w:t>
      </w:r>
      <w:r>
        <w:rPr>
          <w:rFonts w:ascii="Times New Roman" w:cs="Times New Roman" w:eastAsia="Times New Roman" w:hAnsi="Times New Roman"/>
          <w:sz w:val="20"/>
          <w:szCs w:val="20"/>
          <w:b w:val="1"/>
          <w:bCs w:val="1"/>
          <w:color w:val="auto"/>
        </w:rPr>
        <w:t>NICs</w:t>
      </w:r>
      <w:r>
        <w:rPr>
          <w:rFonts w:ascii="Times New Roman" w:cs="Times New Roman" w:eastAsia="Times New Roman" w:hAnsi="Times New Roman"/>
          <w:sz w:val="20"/>
          <w:szCs w:val="20"/>
          <w:color w:val="auto"/>
        </w:rPr>
        <w:t>”) may be payable. The</w:t>
      </w:r>
    </w:p>
    <w:p>
      <w:pPr>
        <w:spacing w:after="0" w:line="1" w:lineRule="exact"/>
        <w:rPr>
          <w:sz w:val="20"/>
          <w:szCs w:val="20"/>
          <w:color w:val="auto"/>
        </w:rPr>
      </w:pPr>
    </w:p>
    <w:p>
      <w:pPr>
        <w:ind w:left="20" w:right="200"/>
        <w:spacing w:after="0" w:line="204" w:lineRule="auto"/>
        <w:rPr>
          <w:sz w:val="20"/>
          <w:szCs w:val="20"/>
          <w:color w:val="auto"/>
        </w:rPr>
      </w:pPr>
      <w:r>
        <w:rPr>
          <w:rFonts w:ascii="Times New Roman" w:cs="Times New Roman" w:eastAsia="Times New Roman" w:hAnsi="Times New Roman"/>
          <w:sz w:val="20"/>
          <w:szCs w:val="20"/>
          <w:color w:val="auto"/>
        </w:rPr>
        <w:t>Grantee understands that the Grantee will be responsible for reporting and paying any income tax due on this additional benefit directly to HMRC under the self-assessment regime and for paying to the Company and/or the Employer (as appropriate) the amount of any</w:t>
      </w:r>
    </w:p>
    <w:p>
      <w:pPr>
        <w:spacing w:after="0" w:line="1" w:lineRule="exact"/>
        <w:rPr>
          <w:sz w:val="20"/>
          <w:szCs w:val="20"/>
          <w:color w:val="auto"/>
        </w:rPr>
      </w:pPr>
    </w:p>
    <w:p>
      <w:pPr>
        <w:ind w:left="20" w:right="100"/>
        <w:spacing w:after="0" w:line="228" w:lineRule="auto"/>
        <w:rPr>
          <w:sz w:val="20"/>
          <w:szCs w:val="20"/>
          <w:color w:val="auto"/>
        </w:rPr>
      </w:pPr>
      <w:r>
        <w:rPr>
          <w:rFonts w:ascii="Times New Roman" w:cs="Times New Roman" w:eastAsia="Times New Roman" w:hAnsi="Times New Roman"/>
          <w:sz w:val="20"/>
          <w:szCs w:val="20"/>
          <w:color w:val="auto"/>
        </w:rPr>
        <w:t>employee NICs due on this additional benefit, which may also be recovered from the Grantee by the Company or the Employer at any time thereafter by any of the means referred to in Section 3 of the Terms and Conditions of Option Award.</w:t>
      </w:r>
    </w:p>
    <w:p>
      <w:pPr>
        <w:sectPr>
          <w:pgSz w:w="11900" w:h="16838" w:orient="portrait"/>
          <w:cols w:equalWidth="0" w:num="1">
            <w:col w:w="11140"/>
          </w:cols>
          <w:pgMar w:left="400" w:top="940" w:right="35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209040" cy="283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12090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NOTICE OF GRANT OF RESTRICTED STOCK UNIT AWARD (PERFORMANCE-</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VESTING)</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grants this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of the number of</w:t>
      </w:r>
    </w:p>
    <w:p>
      <w:pPr>
        <w:ind w:right="480"/>
        <w:spacing w:after="0" w:line="215" w:lineRule="auto"/>
        <w:rPr>
          <w:sz w:val="20"/>
          <w:szCs w:val="20"/>
          <w:color w:val="auto"/>
        </w:rPr>
      </w:pPr>
      <w:r>
        <w:rPr>
          <w:rFonts w:ascii="Times New Roman" w:cs="Times New Roman" w:eastAsia="Times New Roman" w:hAnsi="Times New Roman"/>
          <w:sz w:val="19"/>
          <w:szCs w:val="19"/>
          <w:color w:val="auto"/>
        </w:rPr>
        <w:t>Restricted Stock Units set forth in this Notice of Grant of Restricted Stock Unit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 Grantee designated in this Notice, pursuant to the provisions of the Company’s 2017 Omnibus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and subject to certain restrictions as</w:t>
      </w:r>
    </w:p>
    <w:p>
      <w:pPr>
        <w:spacing w:after="0" w:line="211" w:lineRule="auto"/>
        <w:rPr>
          <w:sz w:val="20"/>
          <w:szCs w:val="20"/>
          <w:color w:val="auto"/>
        </w:rPr>
      </w:pPr>
      <w:r>
        <w:rPr>
          <w:rFonts w:ascii="Times New Roman" w:cs="Times New Roman" w:eastAsia="Times New Roman" w:hAnsi="Times New Roman"/>
          <w:sz w:val="20"/>
          <w:szCs w:val="20"/>
          <w:color w:val="auto"/>
        </w:rPr>
        <w:t>outlined below in this Notice and the additional provisions set forth in the attached Terms and Conditions of</w:t>
      </w:r>
    </w:p>
    <w:p>
      <w:pPr>
        <w:ind w:right="360"/>
        <w:spacing w:after="0" w:line="215" w:lineRule="auto"/>
        <w:rPr>
          <w:sz w:val="20"/>
          <w:szCs w:val="20"/>
          <w:color w:val="auto"/>
        </w:rPr>
      </w:pPr>
      <w:r>
        <w:rPr>
          <w:rFonts w:ascii="Times New Roman" w:cs="Times New Roman" w:eastAsia="Times New Roman" w:hAnsi="Times New Roman"/>
          <w:sz w:val="19"/>
          <w:szCs w:val="19"/>
          <w:color w:val="auto"/>
        </w:rPr>
        <w:t>Restricted Stock Units Award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Together, this Notice, the attached Terms and all exhibits and appendices hereto constitute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The terms and conditions of the Plan are incorporated by reference in their entirety into this Agreement. When used</w:t>
      </w:r>
    </w:p>
    <w:p>
      <w:pPr>
        <w:ind w:right="920"/>
        <w:spacing w:after="0" w:line="228" w:lineRule="auto"/>
        <w:rPr>
          <w:sz w:val="20"/>
          <w:szCs w:val="20"/>
          <w:color w:val="auto"/>
        </w:rPr>
      </w:pPr>
      <w:r>
        <w:rPr>
          <w:rFonts w:ascii="Times New Roman" w:cs="Times New Roman" w:eastAsia="Times New Roman" w:hAnsi="Times New Roman"/>
          <w:sz w:val="20"/>
          <w:szCs w:val="20"/>
          <w:color w:val="auto"/>
        </w:rPr>
        <w:t>in this Agreement, the terms that are defined in the Plan shall have the meanings given to them in the Plan, as modified herein (if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Award Details: </w:t>
      </w:r>
      <w:r>
        <w:rPr>
          <w:rFonts w:ascii="Times New Roman" w:cs="Times New Roman" w:eastAsia="Times New Roman" w:hAnsi="Times New Roman"/>
          <w:sz w:val="20"/>
          <w:szCs w:val="20"/>
          <w:color w:val="auto"/>
        </w:rPr>
        <w:t>The Grantee’s name, the number of Restricted Stock Units awarded and the Grant Date can be found in the Grant</w:t>
      </w:r>
    </w:p>
    <w:p>
      <w:pPr>
        <w:ind w:right="560"/>
        <w:spacing w:after="0" w:line="233" w:lineRule="auto"/>
        <w:rPr>
          <w:sz w:val="20"/>
          <w:szCs w:val="20"/>
          <w:color w:val="auto"/>
        </w:rPr>
      </w:pPr>
      <w:r>
        <w:rPr>
          <w:rFonts w:ascii="Times New Roman" w:cs="Times New Roman" w:eastAsia="Times New Roman" w:hAnsi="Times New Roman"/>
          <w:sz w:val="19"/>
          <w:szCs w:val="19"/>
          <w:color w:val="auto"/>
        </w:rPr>
        <w:t>Summary located in the electronic stock plan award administration system maintained by the Company or its designee that contains a link to this Agreement (which summary information is set forth in the appropriate records of the Company authorizing such award).</w:t>
      </w:r>
    </w:p>
    <w:p>
      <w:pPr>
        <w:spacing w:after="0" w:line="184"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Subject to the terms of the Plan and this Agreement, the Restricted Stock Units shall become earned and vested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w:t>
      </w:r>
    </w:p>
    <w:p>
      <w:pPr>
        <w:spacing w:after="0" w:line="169" w:lineRule="exact"/>
        <w:rPr>
          <w:sz w:val="20"/>
          <w:szCs w:val="20"/>
          <w:color w:val="auto"/>
        </w:rPr>
      </w:pPr>
    </w:p>
    <w:p>
      <w:pPr>
        <w:ind w:right="280" w:firstLine="644"/>
        <w:spacing w:after="0" w:line="226" w:lineRule="auto"/>
        <w:tabs>
          <w:tab w:leader="none" w:pos="117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Performance-Vesting Condition</w:t>
      </w:r>
      <w:r>
        <w:rPr>
          <w:rFonts w:ascii="Times New Roman" w:cs="Times New Roman" w:eastAsia="Times New Roman" w:hAnsi="Times New Roman"/>
          <w:sz w:val="20"/>
          <w:szCs w:val="20"/>
          <w:color w:val="auto"/>
        </w:rPr>
        <w:t xml:space="preserve">. The vesting of the Restricted Stock Units is conditioned on achievement of the Performance Goals during the Performance Period in accordance with the provisions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 Performance Goals are not met, the Restricted Stock Units shall be immediately cancelled and forfeited as of the Determination Date.</w:t>
      </w:r>
    </w:p>
    <w:p>
      <w:pPr>
        <w:spacing w:after="0" w:line="187" w:lineRule="exact"/>
        <w:rPr>
          <w:rFonts w:ascii="Times New Roman" w:cs="Times New Roman" w:eastAsia="Times New Roman" w:hAnsi="Times New Roman"/>
          <w:sz w:val="20"/>
          <w:szCs w:val="20"/>
          <w:color w:val="auto"/>
        </w:rPr>
      </w:pPr>
    </w:p>
    <w:p>
      <w:pPr>
        <w:ind w:right="440" w:firstLine="644"/>
        <w:spacing w:after="0" w:line="222" w:lineRule="auto"/>
        <w:tabs>
          <w:tab w:leader="none" w:pos="117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Time-Vesting Conditions</w:t>
      </w:r>
      <w:r>
        <w:rPr>
          <w:rFonts w:ascii="Times New Roman" w:cs="Times New Roman" w:eastAsia="Times New Roman" w:hAnsi="Times New Roman"/>
          <w:sz w:val="20"/>
          <w:szCs w:val="20"/>
          <w:color w:val="auto"/>
        </w:rPr>
        <w:t>. In addition to the performance-vesting condition stated above, subject to the terms of the Plan and this Agreement, the Restricted Stock Units shall become earned and vested, and shares of Stock shall be issued in settlement of vested Restricted Stock Units, in accordance with the following schedule, in the event the Grantee does not have a Separation from Service prior to the applicable vesting date(s):</w:t>
      </w:r>
    </w:p>
    <w:p>
      <w:pPr>
        <w:spacing w:after="0" w:line="2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u w:val="single" w:color="auto"/>
          <w:color w:val="auto"/>
        </w:rPr>
        <w:t>Vesting Date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0"/>
          <w:szCs w:val="20"/>
          <w:u w:val="single" w:color="auto"/>
          <w:color w:val="auto"/>
        </w:rPr>
        <w:t>%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color w:val="auto"/>
        </w:rPr>
        <w:t>[add applicable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9"/>
          <w:szCs w:val="19"/>
          <w:color w:val="auto"/>
        </w:rPr>
        <w:t>Only a whole number of Restricted Stock Units will become vested as of any given vesting date. If the number of Restricted Stock Units determined as of a vesting date is a fractional number, the number vesting will be rounded down to the nearest whole number with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fractional portion carried forward.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Notice sets forth the terms and provisions regarding treatment of the Award</w:t>
      </w:r>
    </w:p>
    <w:p>
      <w:pPr>
        <w:spacing w:after="0" w:line="1" w:lineRule="exact"/>
        <w:rPr>
          <w:sz w:val="20"/>
          <w:szCs w:val="20"/>
          <w:color w:val="auto"/>
        </w:rPr>
      </w:pPr>
    </w:p>
    <w:p>
      <w:pPr>
        <w:ind w:right="580"/>
        <w:spacing w:after="0" w:line="233" w:lineRule="auto"/>
        <w:rPr>
          <w:sz w:val="20"/>
          <w:szCs w:val="20"/>
          <w:color w:val="auto"/>
        </w:rPr>
      </w:pPr>
      <w:r>
        <w:rPr>
          <w:rFonts w:ascii="Times New Roman" w:cs="Times New Roman" w:eastAsia="Times New Roman" w:hAnsi="Times New Roman"/>
          <w:sz w:val="19"/>
          <w:szCs w:val="19"/>
          <w:color w:val="auto"/>
        </w:rPr>
        <w:t xml:space="preserve">upon Separation form Service. No Restricted Stock Units shall become earned and vested following the Grantee’s Separation from Service except as otherwise expressly provided in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to this Notice or as otherwise provided pursuant to the terms of the Plan.</w:t>
      </w:r>
    </w:p>
    <w:p>
      <w:pPr>
        <w:sectPr>
          <w:pgSz w:w="11900" w:h="16838" w:orient="portrait"/>
          <w:cols w:equalWidth="0" w:num="1">
            <w:col w:w="11120"/>
          </w:cols>
          <w:pgMar w:left="440" w:top="953" w:right="339" w:bottom="1440" w:gutter="0" w:footer="0" w:header="0"/>
        </w:sectPr>
      </w:pPr>
    </w:p>
    <w:bookmarkStart w:id="163" w:name="page164"/>
    <w:bookmarkEnd w:id="163"/>
    <w:p>
      <w:pPr>
        <w:ind w:right="20"/>
        <w:spacing w:after="0" w:line="236" w:lineRule="auto"/>
        <w:rPr>
          <w:sz w:val="20"/>
          <w:szCs w:val="20"/>
          <w:color w:val="auto"/>
        </w:rPr>
      </w:pPr>
      <w:r>
        <w:rPr>
          <w:rFonts w:ascii="Times New Roman" w:cs="Times New Roman" w:eastAsia="Times New Roman" w:hAnsi="Times New Roman"/>
          <w:sz w:val="19"/>
          <w:szCs w:val="19"/>
          <w:b w:val="1"/>
          <w:bCs w:val="1"/>
          <w:color w:val="auto"/>
        </w:rPr>
        <w:t>Award Acceptance</w:t>
      </w:r>
      <w:r>
        <w:rPr>
          <w:rFonts w:ascii="Times New Roman" w:cs="Times New Roman" w:eastAsia="Times New Roman" w:hAnsi="Times New Roman"/>
          <w:sz w:val="19"/>
          <w:szCs w:val="19"/>
          <w:color w:val="auto"/>
        </w:rPr>
        <w:t>: The Grantee must accept the Agreement electronically pursuant to the online acceptance procedure established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by no later than three months following the Grant Date. If the Grantee does not accept the Agreement through the online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acceptance process by that date, or such other date that may be communicated, the Grantee will be deemed to have accepted the Agreement and the Company will automatically accept the Agreement on the Grantee’s behalf. If the Grantee declines the Agreement,</w:t>
      </w:r>
    </w:p>
    <w:p>
      <w:pPr>
        <w:spacing w:after="0" w:line="228" w:lineRule="auto"/>
        <w:rPr>
          <w:sz w:val="20"/>
          <w:szCs w:val="20"/>
          <w:color w:val="auto"/>
        </w:rPr>
      </w:pPr>
      <w:r>
        <w:rPr>
          <w:rFonts w:ascii="Times New Roman" w:cs="Times New Roman" w:eastAsia="Times New Roman" w:hAnsi="Times New Roman"/>
          <w:sz w:val="20"/>
          <w:szCs w:val="20"/>
          <w:color w:val="auto"/>
        </w:rPr>
        <w:t>the Award will be canceled and the Grantee will not be entitled to any benefits from the Award nor any compensation or benefits in lieu of the canceled award.</w:t>
      </w:r>
    </w:p>
    <w:p>
      <w:pPr>
        <w:sectPr>
          <w:pgSz w:w="11900" w:h="16838" w:orient="portrait"/>
          <w:cols w:equalWidth="0" w:num="1">
            <w:col w:w="10720"/>
          </w:cols>
          <w:pgMar w:left="440" w:top="936" w:right="7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Performance-Vesting Condition</w:t>
      </w:r>
    </w:p>
    <w:p>
      <w:pPr>
        <w:spacing w:after="0" w:line="301" w:lineRule="exact"/>
        <w:rPr>
          <w:sz w:val="20"/>
          <w:szCs w:val="20"/>
          <w:color w:val="auto"/>
        </w:rPr>
      </w:pPr>
    </w:p>
    <w:p>
      <w:pPr>
        <w:ind w:left="1140" w:hanging="536"/>
        <w:spacing w:after="0"/>
        <w:tabs>
          <w:tab w:leader="none" w:pos="11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2" w:lineRule="exact"/>
        <w:rPr>
          <w:sz w:val="20"/>
          <w:szCs w:val="20"/>
          <w:color w:val="auto"/>
        </w:rPr>
      </w:pPr>
    </w:p>
    <w:p>
      <w:pPr>
        <w:ind w:left="600" w:right="36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means the date on which the Committee certifies whether and to what extent the Performance Goals have been achieved, which shall be no later than March 15 following the end of the Performance Period.</w:t>
      </w:r>
    </w:p>
    <w:p>
      <w:pPr>
        <w:spacing w:after="0" w:line="198" w:lineRule="exact"/>
        <w:rPr>
          <w:sz w:val="20"/>
          <w:szCs w:val="20"/>
          <w:color w:val="auto"/>
        </w:rPr>
      </w:pPr>
    </w:p>
    <w:p>
      <w:pPr>
        <w:ind w:left="60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Earnings Per Share (EPS)”</w:t>
      </w:r>
      <w:r>
        <w:rPr>
          <w:rFonts w:ascii="Times New Roman" w:cs="Times New Roman" w:eastAsia="Times New Roman" w:hAnsi="Times New Roman"/>
          <w:sz w:val="19"/>
          <w:szCs w:val="19"/>
          <w:color w:val="auto"/>
        </w:rPr>
        <w:t xml:space="preserve"> means the Non-GAAP diluted earnings per share from continuing operations defined as net income from continuing operations, adjusted to exclude the impact of discrete items such as integration and restructuring costs</w:t>
      </w:r>
    </w:p>
    <w:p>
      <w:pPr>
        <w:ind w:left="600"/>
        <w:spacing w:after="0" w:line="211" w:lineRule="auto"/>
        <w:rPr>
          <w:sz w:val="20"/>
          <w:szCs w:val="20"/>
          <w:color w:val="auto"/>
        </w:rPr>
      </w:pPr>
      <w:r>
        <w:rPr>
          <w:rFonts w:ascii="Times New Roman" w:cs="Times New Roman" w:eastAsia="Times New Roman" w:hAnsi="Times New Roman"/>
          <w:sz w:val="20"/>
          <w:szCs w:val="20"/>
          <w:color w:val="auto"/>
        </w:rPr>
        <w:t>(integration, lease termination and severance costs related to the Company’s acquisitions), amortization of acquired intangible</w:t>
      </w:r>
    </w:p>
    <w:p>
      <w:pPr>
        <w:spacing w:after="0" w:line="1" w:lineRule="exact"/>
        <w:rPr>
          <w:sz w:val="20"/>
          <w:szCs w:val="20"/>
          <w:color w:val="auto"/>
        </w:rPr>
      </w:pPr>
    </w:p>
    <w:p>
      <w:pPr>
        <w:ind w:left="600" w:right="200"/>
        <w:spacing w:after="0" w:line="221" w:lineRule="auto"/>
        <w:rPr>
          <w:sz w:val="20"/>
          <w:szCs w:val="20"/>
          <w:color w:val="auto"/>
        </w:rPr>
      </w:pPr>
      <w:r>
        <w:rPr>
          <w:rFonts w:ascii="Times New Roman" w:cs="Times New Roman" w:eastAsia="Times New Roman" w:hAnsi="Times New Roman"/>
          <w:sz w:val="20"/>
          <w:szCs w:val="20"/>
          <w:color w:val="auto"/>
        </w:rPr>
        <w:t>assets (amortization of the fair value of the acquired equity method investment), gain (loss) on sale of business (net gain on sale of business) and asset impairment charges (impairments of long- lived tangible assets).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 means the performance goals specified in paragraph (b) below.</w:t>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means the fiscal year of the Company in which the Grant Date</w:t>
      </w:r>
    </w:p>
    <w:p>
      <w:pPr>
        <w:ind w:left="600"/>
        <w:spacing w:after="0"/>
        <w:rPr>
          <w:sz w:val="20"/>
          <w:szCs w:val="20"/>
          <w:color w:val="auto"/>
        </w:rPr>
      </w:pPr>
      <w:r>
        <w:rPr>
          <w:rFonts w:ascii="Times New Roman" w:cs="Times New Roman" w:eastAsia="Times New Roman" w:hAnsi="Times New Roman"/>
          <w:sz w:val="20"/>
          <w:szCs w:val="20"/>
          <w:color w:val="auto"/>
        </w:rPr>
        <w:t>occurs.</w:t>
      </w:r>
    </w:p>
    <w:p>
      <w:pPr>
        <w:spacing w:after="0" w:line="1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[add defined terms as needed of the specific performance metrics]</w:t>
      </w:r>
    </w:p>
    <w:p>
      <w:pPr>
        <w:spacing w:after="0" w:line="297" w:lineRule="exact"/>
        <w:rPr>
          <w:sz w:val="20"/>
          <w:szCs w:val="20"/>
          <w:color w:val="auto"/>
        </w:rPr>
      </w:pPr>
    </w:p>
    <w:p>
      <w:pPr>
        <w:ind w:left="-40" w:right="640" w:firstLine="644"/>
        <w:spacing w:after="0" w:line="235" w:lineRule="auto"/>
        <w:tabs>
          <w:tab w:leader="none" w:pos="113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xml:space="preserve">. As a condition to vesting of the Restricted Stock Units, the </w:t>
      </w:r>
      <w:r>
        <w:rPr>
          <w:rFonts w:ascii="Times New Roman" w:cs="Times New Roman" w:eastAsia="Times New Roman" w:hAnsi="Times New Roman"/>
          <w:sz w:val="20"/>
          <w:szCs w:val="20"/>
          <w:b w:val="1"/>
          <w:bCs w:val="1"/>
          <w:color w:val="auto"/>
        </w:rPr>
        <w:t>Earnings Per Share Goal of $3.81</w:t>
      </w:r>
      <w:r>
        <w:rPr>
          <w:rFonts w:ascii="Times New Roman" w:cs="Times New Roman" w:eastAsia="Times New Roman" w:hAnsi="Times New Roman"/>
          <w:sz w:val="20"/>
          <w:szCs w:val="20"/>
          <w:color w:val="auto"/>
        </w:rPr>
        <w:t xml:space="preserve"> must be achieved during the Performance Period, as certified in writing by the Committee on the Determination Date.</w:t>
      </w:r>
    </w:p>
    <w:p>
      <w:pPr>
        <w:sectPr>
          <w:pgSz w:w="11900" w:h="16838" w:orient="portrait"/>
          <w:cols w:equalWidth="0" w:num="1">
            <w:col w:w="10920"/>
          </w:cols>
          <w:pgMar w:left="480" w:top="1004" w:right="4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from Service and Change in Control</w:t>
      </w:r>
    </w:p>
    <w:p>
      <w:pPr>
        <w:spacing w:after="0" w:line="301" w:lineRule="exact"/>
        <w:rPr>
          <w:sz w:val="20"/>
          <w:szCs w:val="20"/>
          <w:color w:val="auto"/>
        </w:rPr>
      </w:pPr>
    </w:p>
    <w:p>
      <w:pPr>
        <w:ind w:left="-80" w:right="300" w:firstLine="644"/>
        <w:spacing w:after="0" w:line="226" w:lineRule="auto"/>
        <w:tabs>
          <w:tab w:leader="none" w:pos="109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of Separation from Service; Change in Control</w:t>
      </w:r>
      <w:r>
        <w:rPr>
          <w:rFonts w:ascii="Times New Roman" w:cs="Times New Roman" w:eastAsia="Times New Roman" w:hAnsi="Times New Roman"/>
          <w:sz w:val="20"/>
          <w:szCs w:val="20"/>
          <w:color w:val="auto"/>
        </w:rPr>
        <w:t>. If the Grantee has a Separation from Service before any of the vesting date(s) specified under “Vesting Schedule” in the Notice, then any unearned and unvested Restricted Stock Units shall become earned and vested or be canceled depending on the reason for Separation from Service as follows:</w:t>
      </w:r>
    </w:p>
    <w:p>
      <w:pPr>
        <w:spacing w:after="0" w:line="187" w:lineRule="exact"/>
        <w:rPr>
          <w:rFonts w:ascii="Times New Roman" w:cs="Times New Roman" w:eastAsia="Times New Roman" w:hAnsi="Times New Roman"/>
          <w:sz w:val="20"/>
          <w:szCs w:val="20"/>
          <w:color w:val="auto"/>
        </w:rPr>
      </w:pPr>
    </w:p>
    <w:p>
      <w:pPr>
        <w:ind w:left="-80" w:right="180" w:firstLine="1292"/>
        <w:spacing w:after="0" w:line="216" w:lineRule="auto"/>
        <w:tabs>
          <w:tab w:leader="none" w:pos="175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If the Grantee has a Separation from Service due to the Grantee’s death or Disability, any unearned and unvested Restricted Stock Units shall become immediately earned and vested as of the date of such Separation from Service. If such Separation from Service occurs during the Performance Period, such vesting shall occur without regard to achievement of the Performance Goals. In addition, in the event of the Grantee’s death after Separation from Service due to Special Retirement, any Restricted Stock Units that had not yet become earned and vested in accordance with the schedule set forth under “Vesting Schedule” in the Notice shall become immediately earned and vested as of the date of such death.</w:t>
      </w:r>
    </w:p>
    <w:p>
      <w:pPr>
        <w:spacing w:after="0" w:line="202" w:lineRule="exact"/>
        <w:rPr>
          <w:rFonts w:ascii="Times New Roman" w:cs="Times New Roman" w:eastAsia="Times New Roman" w:hAnsi="Times New Roman"/>
          <w:sz w:val="20"/>
          <w:szCs w:val="20"/>
          <w:color w:val="auto"/>
        </w:rPr>
      </w:pPr>
    </w:p>
    <w:p>
      <w:pPr>
        <w:ind w:left="-80" w:right="100" w:firstLine="1292"/>
        <w:spacing w:after="0" w:line="213" w:lineRule="auto"/>
        <w:tabs>
          <w:tab w:leader="none" w:pos="1755"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Termination without Cause</w:t>
      </w:r>
      <w:r>
        <w:rPr>
          <w:rFonts w:ascii="Times New Roman" w:cs="Times New Roman" w:eastAsia="Times New Roman" w:hAnsi="Times New Roman"/>
          <w:sz w:val="20"/>
          <w:szCs w:val="20"/>
          <w:color w:val="auto"/>
        </w:rPr>
        <w:t xml:space="preserve">. If the Grantee has an Involuntary Termination without Cause at least six months after the Grant Date, a prorated portion of any unearned and unvested Restricted Stock Units shall become immediately earned and vested as of the date of such Involuntary Termination without Cause;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Grantee is a Covered Employee, such vesting shall be conditioned on achievement of the Performance Goals and any such vested Restricted Stock Units shall not be paid until the Determination Date. Such prorated vesting shall be determined as follows: (A) the total number of Restricted Stock Units granted shall be multiplied by the Pro Rata Fraction, rounded up to the next whole number, and (B) such resulting amount shall be reduced by the number of Restricted Stock Units (if any) that previously vested in accordance with the schedule set forth under “Vesting Schedule” in the Notice. In addition, the Grantee must execute, deliver and not revoke, no later than sixty (60) days following Separation from Service, a general release of claims if requested by, and in a form satisfactory to, the Company.</w:t>
      </w:r>
    </w:p>
    <w:p>
      <w:pPr>
        <w:spacing w:after="0" w:line="188" w:lineRule="exact"/>
        <w:rPr>
          <w:rFonts w:ascii="Times New Roman" w:cs="Times New Roman" w:eastAsia="Times New Roman" w:hAnsi="Times New Roman"/>
          <w:sz w:val="20"/>
          <w:szCs w:val="20"/>
          <w:color w:val="auto"/>
        </w:rPr>
      </w:pPr>
    </w:p>
    <w:p>
      <w:pPr>
        <w:ind w:left="-80" w:firstLine="1292"/>
        <w:spacing w:after="0" w:line="222" w:lineRule="auto"/>
        <w:tabs>
          <w:tab w:leader="none" w:pos="1756"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Retirement</w:t>
      </w:r>
      <w:r>
        <w:rPr>
          <w:rFonts w:ascii="Times New Roman" w:cs="Times New Roman" w:eastAsia="Times New Roman" w:hAnsi="Times New Roman"/>
          <w:sz w:val="19"/>
          <w:szCs w:val="19"/>
          <w:color w:val="auto"/>
        </w:rPr>
        <w:t>. If the Grantee has a Separation from Service due to Special Retirement, the Restricted Stock Units shall continue to become earned and vested in accordance with the schedule set forth under “Vesting Schedule” in the Notice as if the Grantee had not had a Separation from Service, including without limitation the achievement of the performance condition, but provided that the Grantee complies with the requirements of Section 7 of the Terms (regarding compliance with post- employment covenants). In addition, the Grantee must execute, deliver and not revoke, no later than sixty (60) days following Separation from Service, a general release of claims if requested by, and in a form satisfactory to, the Company. Notwithstanding the preceding sentences, if the Company receives an opinion of counsel that there has been a legal judgment and/or legal development in the Grantee’s jurisdiction that likely would result in the favorable Special Retirement treatment that otherwise would apply to the Restricted Stock Units pursuant to this Section (a)(iii) being deemed unlawful and/or discriminatory, then the Company will not apply this favorable Special Retirement treatment at the time of the Grantee’s Separation from Service and the Restricted Stock Units will be treated as they would under the rules that otherwise would have applied if the Grantee’s Separation from Service did not qualify as a Special Retirement.</w:t>
      </w:r>
    </w:p>
    <w:p>
      <w:pPr>
        <w:spacing w:after="0" w:line="207" w:lineRule="exact"/>
        <w:rPr>
          <w:rFonts w:ascii="Times New Roman" w:cs="Times New Roman" w:eastAsia="Times New Roman" w:hAnsi="Times New Roman"/>
          <w:sz w:val="19"/>
          <w:szCs w:val="19"/>
          <w:color w:val="auto"/>
        </w:rPr>
      </w:pPr>
    </w:p>
    <w:p>
      <w:pPr>
        <w:ind w:left="-80" w:right="340" w:firstLine="1292"/>
        <w:spacing w:after="0" w:line="222" w:lineRule="auto"/>
        <w:tabs>
          <w:tab w:leader="none" w:pos="1745"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anything in this Agreement to the contrary but subject to the provisions of Section 15.3.1(i) of the Plan, if (A) a Change in Control occurs and (B) the Grantee has a Change in Control Termination, then any unearned and unvested Restricted Stock Units shall become immediately earned and vested as of the date of such Change in Control Termination.</w:t>
      </w:r>
    </w:p>
    <w:p>
      <w:pPr>
        <w:spacing w:after="0" w:line="175" w:lineRule="exact"/>
        <w:rPr>
          <w:rFonts w:ascii="Times New Roman" w:cs="Times New Roman" w:eastAsia="Times New Roman" w:hAnsi="Times New Roman"/>
          <w:sz w:val="20"/>
          <w:szCs w:val="20"/>
          <w:color w:val="auto"/>
        </w:rPr>
      </w:pPr>
    </w:p>
    <w:p>
      <w:pPr>
        <w:jc w:val="both"/>
        <w:ind w:left="-80" w:right="100" w:firstLine="1292"/>
        <w:spacing w:after="0" w:line="222" w:lineRule="auto"/>
        <w:tabs>
          <w:tab w:leader="none" w:pos="174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Any other Separation from Service</w:t>
      </w:r>
      <w:r>
        <w:rPr>
          <w:rFonts w:ascii="Times New Roman" w:cs="Times New Roman" w:eastAsia="Times New Roman" w:hAnsi="Times New Roman"/>
          <w:sz w:val="20"/>
          <w:szCs w:val="20"/>
          <w:color w:val="auto"/>
        </w:rPr>
        <w:t>. If the Grantee has a Separation from Service for any reason other than as specified in subparagraphs (i) through (iv) above, any Restricted Stock Units that were not already earned and vested pursuant to the schedule specified under “Vesting Schedule” in the Notice as of the date of the Separation from Service shall be immediately canceled as of the date of Separation from Service.</w:t>
      </w:r>
    </w:p>
    <w:p>
      <w:pPr>
        <w:spacing w:after="0" w:line="242" w:lineRule="exact"/>
        <w:rPr>
          <w:rFonts w:ascii="Times New Roman" w:cs="Times New Roman" w:eastAsia="Times New Roman" w:hAnsi="Times New Roman"/>
          <w:sz w:val="20"/>
          <w:szCs w:val="20"/>
          <w:color w:val="auto"/>
        </w:rPr>
      </w:pPr>
    </w:p>
    <w:p>
      <w:pPr>
        <w:ind w:left="1100" w:hanging="536"/>
        <w:spacing w:after="0"/>
        <w:tabs>
          <w:tab w:leader="none" w:pos="11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the termination of Service will be deemed to exist if the Grantee:</w:t>
      </w:r>
    </w:p>
    <w:p>
      <w:pPr>
        <w:sectPr>
          <w:pgSz w:w="11900" w:h="16838" w:orient="portrait"/>
          <w:cols w:equalWidth="0" w:num="1">
            <w:col w:w="10860"/>
          </w:cols>
          <w:pgMar w:left="520" w:top="1004" w:right="519" w:bottom="1440" w:gutter="0" w:footer="0" w:header="0"/>
        </w:sectPr>
      </w:pPr>
    </w:p>
    <w:bookmarkStart w:id="166" w:name="page167"/>
    <w:bookmarkEnd w:id="166"/>
    <w:p>
      <w:pPr>
        <w:ind w:left="1300" w:right="80" w:hanging="648"/>
        <w:spacing w:after="0" w:line="226" w:lineRule="auto"/>
        <w:tabs>
          <w:tab w:leader="none" w:pos="129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convicted, or entered a plea of nolo contendere, for committing an act of fraud, embezzlement, theft or other act constituting a felony or crime of similar magnitude under applicable law (other than traffic related offenses or as a result of vicarious liability);</w:t>
      </w:r>
    </w:p>
    <w:p>
      <w:pPr>
        <w:spacing w:after="0" w:line="181" w:lineRule="exact"/>
        <w:rPr>
          <w:rFonts w:ascii="Times New Roman" w:cs="Times New Roman" w:eastAsia="Times New Roman" w:hAnsi="Times New Roman"/>
          <w:sz w:val="20"/>
          <w:szCs w:val="20"/>
          <w:color w:val="auto"/>
        </w:rPr>
      </w:pPr>
    </w:p>
    <w:p>
      <w:pPr>
        <w:ind w:left="1300" w:hanging="649"/>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willfully engages in illegal conduct or gross misconduct that is significantly</w:t>
      </w:r>
    </w:p>
    <w:p>
      <w:pPr>
        <w:ind w:left="1300"/>
        <w:spacing w:after="0" w:line="21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injurious to the Company or a Subsidiary, including the Grantee’s material breach of his or her obligations under any written Company policy, including any code of ethics or conduct, which is not cured, if curable, within ten (10) days after the Company or a Subsidiary notifies the Grantee of such breach; however, no act or failure to act on the Grantee’s part shall be considered “willful” unless done or omitted to be done by the Grantee not in good faith and without reasonable belief that his or her action or omission was in the best interest of the Company or a Subsidiary; or</w:t>
      </w:r>
    </w:p>
    <w:p>
      <w:pPr>
        <w:spacing w:after="0" w:line="192" w:lineRule="exact"/>
        <w:rPr>
          <w:rFonts w:ascii="Times New Roman" w:cs="Times New Roman" w:eastAsia="Times New Roman" w:hAnsi="Times New Roman"/>
          <w:sz w:val="20"/>
          <w:szCs w:val="20"/>
          <w:color w:val="auto"/>
        </w:rPr>
      </w:pPr>
    </w:p>
    <w:p>
      <w:pPr>
        <w:ind w:left="1300" w:right="340" w:hanging="648"/>
        <w:spacing w:after="0" w:line="226" w:lineRule="auto"/>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perform his or her duties in a reasonably satisfactory manner after the receipt of a notice from the Company or a Subsidiary detailing such failure if the failure is incapable of cure, and if the failure is capable of cure, upon the failure to cure such failure within 30 days of such notice or upon its recurrence.</w:t>
      </w:r>
    </w:p>
    <w:p>
      <w:pPr>
        <w:spacing w:after="0" w:line="197"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 Termination</w:t>
      </w:r>
      <w:r>
        <w:rPr>
          <w:rFonts w:ascii="Times New Roman" w:cs="Times New Roman" w:eastAsia="Times New Roman" w:hAnsi="Times New Roman"/>
          <w:sz w:val="19"/>
          <w:szCs w:val="19"/>
          <w:color w:val="auto"/>
        </w:rPr>
        <w:t>” means the Grantee’s Separation from Service on or within two years after a Change in Control if such Separation from Service is either (i) by action of the Company or, if different, the Grantee’s employing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without Cause or (ii) by action of the Grantee with Good Reason.</w:t>
      </w:r>
    </w:p>
    <w:p>
      <w:pPr>
        <w:spacing w:after="0" w:line="190" w:lineRule="exact"/>
        <w:rPr>
          <w:sz w:val="20"/>
          <w:szCs w:val="20"/>
          <w:color w:val="auto"/>
        </w:rPr>
      </w:pPr>
    </w:p>
    <w:p>
      <w:pPr>
        <w:ind w:right="54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the status of disability determined conclusively by the Company based upon certification of disability by the Social Security Administration or an equivalent authority outside the U.S. or, to the extent compliant with</w:t>
      </w:r>
    </w:p>
    <w:p>
      <w:pPr>
        <w:spacing w:after="0" w:line="211" w:lineRule="auto"/>
        <w:rPr>
          <w:sz w:val="20"/>
          <w:szCs w:val="20"/>
          <w:color w:val="auto"/>
        </w:rPr>
      </w:pPr>
      <w:r>
        <w:rPr>
          <w:rFonts w:ascii="Times New Roman" w:cs="Times New Roman" w:eastAsia="Times New Roman" w:hAnsi="Times New Roman"/>
          <w:sz w:val="20"/>
          <w:szCs w:val="20"/>
          <w:color w:val="auto"/>
        </w:rPr>
        <w:t>Section 409A, upon such other proof as the Company may require, effective upon receipt of such certification or other proof by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the Company. Notwithstanding the foregoing, if the Grantee is eligible for Special Retirement as of the date of a Separation from Service due to Disability, the Separation from Service will be treated as Special Retirement and not Separation from Service due</w:t>
      </w:r>
    </w:p>
    <w:p>
      <w:pPr>
        <w:spacing w:after="0"/>
        <w:rPr>
          <w:sz w:val="20"/>
          <w:szCs w:val="20"/>
          <w:color w:val="auto"/>
        </w:rPr>
      </w:pPr>
      <w:r>
        <w:rPr>
          <w:rFonts w:ascii="Times New Roman" w:cs="Times New Roman" w:eastAsia="Times New Roman" w:hAnsi="Times New Roman"/>
          <w:sz w:val="20"/>
          <w:szCs w:val="20"/>
          <w:color w:val="auto"/>
        </w:rPr>
        <w:t>to Disability.</w:t>
      </w:r>
    </w:p>
    <w:p>
      <w:pPr>
        <w:spacing w:after="0" w:line="190"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 events or conditions without the Grantee’s prior written consent:</w:t>
      </w:r>
    </w:p>
    <w:p>
      <w:pPr>
        <w:spacing w:after="0" w:line="188" w:lineRule="exact"/>
        <w:rPr>
          <w:sz w:val="20"/>
          <w:szCs w:val="20"/>
          <w:color w:val="auto"/>
        </w:rPr>
      </w:pPr>
    </w:p>
    <w:p>
      <w:pPr>
        <w:ind w:left="1300" w:right="300" w:hanging="648"/>
        <w:spacing w:after="0" w:line="226" w:lineRule="auto"/>
        <w:tabs>
          <w:tab w:leader="none" w:pos="129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change in the Grantee’s authority, duties or responsibilities (including reporting responsibilities) from the Grantee’s authority, duties or responsibilities as in effect at any time within 90 days preceding the date of the Change in Control or at any time thereafter;</w:t>
      </w:r>
    </w:p>
    <w:p>
      <w:pPr>
        <w:spacing w:after="0" w:line="187" w:lineRule="exact"/>
        <w:rPr>
          <w:rFonts w:ascii="Times New Roman" w:cs="Times New Roman" w:eastAsia="Times New Roman" w:hAnsi="Times New Roman"/>
          <w:sz w:val="20"/>
          <w:szCs w:val="20"/>
          <w:color w:val="auto"/>
        </w:rPr>
      </w:pPr>
    </w:p>
    <w:p>
      <w:pPr>
        <w:ind w:left="1300" w:right="180" w:hanging="648"/>
        <w:spacing w:after="0"/>
        <w:tabs>
          <w:tab w:leader="none" w:pos="129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Grantee’s base salary or any failure to pay the Grantee any cash compensation to which the Grantee is entitled within 15 days after the date when due;</w:t>
      </w:r>
    </w:p>
    <w:p>
      <w:pPr>
        <w:spacing w:after="0" w:line="255" w:lineRule="exact"/>
        <w:rPr>
          <w:rFonts w:ascii="Times New Roman" w:cs="Times New Roman" w:eastAsia="Times New Roman" w:hAnsi="Times New Roman"/>
          <w:sz w:val="20"/>
          <w:szCs w:val="20"/>
          <w:color w:val="auto"/>
        </w:rPr>
      </w:pPr>
    </w:p>
    <w:p>
      <w:pPr>
        <w:ind w:left="1300" w:right="340" w:hanging="648"/>
        <w:spacing w:after="0" w:line="226" w:lineRule="auto"/>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requirement (other than for reasonably required travel on Company business which is not materially greater in frequency or duration than prior to the Change in Control) that the Grantee be based at any place outside a 50-mile radius from the Grantee’s principal place of employment immediately</w:t>
      </w:r>
    </w:p>
    <w:p>
      <w:pPr>
        <w:ind w:left="1300" w:right="1100" w:hanging="648"/>
        <w:spacing w:after="0" w:line="239" w:lineRule="auto"/>
        <w:tabs>
          <w:tab w:leader="none" w:pos="1289"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Change in Control and which has a material adverse effect on the Grantee’s commuting requirements; or</w:t>
      </w:r>
    </w:p>
    <w:p>
      <w:pPr>
        <w:spacing w:after="0" w:line="188" w:lineRule="exact"/>
        <w:rPr>
          <w:rFonts w:ascii="Times New Roman" w:cs="Times New Roman" w:eastAsia="Times New Roman" w:hAnsi="Times New Roman"/>
          <w:sz w:val="20"/>
          <w:szCs w:val="20"/>
          <w:color w:val="auto"/>
        </w:rPr>
      </w:pPr>
    </w:p>
    <w:p>
      <w:pPr>
        <w:ind w:left="1300" w:right="540" w:hanging="648"/>
        <w:spacing w:after="0"/>
        <w:tabs>
          <w:tab w:leader="none" w:pos="12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 is a participant in the Company’s Executive Severance Plan, any other event that constitutes “Good Reason” under that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in this Agreement, no termination will be deemed to be for Good Reason</w:t>
      </w:r>
    </w:p>
    <w:p>
      <w:pPr>
        <w:spacing w:after="0" w:line="197" w:lineRule="auto"/>
        <w:rPr>
          <w:sz w:val="20"/>
          <w:szCs w:val="20"/>
          <w:color w:val="auto"/>
        </w:rPr>
      </w:pPr>
      <w:r>
        <w:rPr>
          <w:rFonts w:ascii="Times New Roman" w:cs="Times New Roman" w:eastAsia="Times New Roman" w:hAnsi="Times New Roman"/>
          <w:sz w:val="20"/>
          <w:szCs w:val="20"/>
          <w:color w:val="auto"/>
        </w:rPr>
        <w:t>hereunder unless (i) the Grantee provides written notice to the Company identifying the applicable event or condition within</w:t>
      </w:r>
    </w:p>
    <w:p>
      <w:pPr>
        <w:spacing w:after="0"/>
        <w:rPr>
          <w:sz w:val="20"/>
          <w:szCs w:val="20"/>
          <w:color w:val="auto"/>
        </w:rPr>
      </w:pPr>
      <w:r>
        <w:rPr>
          <w:rFonts w:ascii="Times New Roman" w:cs="Times New Roman" w:eastAsia="Times New Roman" w:hAnsi="Times New Roman"/>
          <w:sz w:val="19"/>
          <w:szCs w:val="19"/>
          <w:color w:val="auto"/>
        </w:rPr>
        <w:t>120 days of the occurrence of the event or the initial existence of the condition, (ii) the Company or a Subsidiary fails to remedy</w:t>
      </w:r>
    </w:p>
    <w:p>
      <w:pPr>
        <w:sectPr>
          <w:pgSz w:w="11900" w:h="16838" w:orient="portrait"/>
          <w:cols w:equalWidth="0" w:num="1">
            <w:col w:w="10240"/>
          </w:cols>
          <w:pgMar w:left="1080" w:top="1197" w:right="579" w:bottom="1440" w:gutter="0" w:footer="0" w:header="0"/>
        </w:sectPr>
      </w:pPr>
    </w:p>
    <w:bookmarkStart w:id="167" w:name="page168"/>
    <w:bookmarkEnd w:id="167"/>
    <w:p>
      <w:pPr>
        <w:ind w:right="460"/>
        <w:spacing w:after="0" w:line="247" w:lineRule="auto"/>
        <w:rPr>
          <w:sz w:val="20"/>
          <w:szCs w:val="20"/>
          <w:color w:val="auto"/>
        </w:rPr>
      </w:pPr>
      <w:r>
        <w:rPr>
          <w:rFonts w:ascii="Times New Roman" w:cs="Times New Roman" w:eastAsia="Times New Roman" w:hAnsi="Times New Roman"/>
          <w:sz w:val="20"/>
          <w:szCs w:val="20"/>
          <w:color w:val="auto"/>
        </w:rPr>
        <w:t xml:space="preserve">the event or condition within a period of 30 days following such notice, and (iii) </w:t>
      </w:r>
      <w:r>
        <w:rPr>
          <w:rFonts w:ascii="Times New Roman" w:cs="Times New Roman" w:eastAsia="Times New Roman" w:hAnsi="Times New Roman"/>
          <w:sz w:val="21"/>
          <w:szCs w:val="21"/>
          <w:color w:val="auto"/>
        </w:rPr>
        <w:t>t</w:t>
      </w:r>
      <w:r>
        <w:rPr>
          <w:rFonts w:ascii="Times New Roman" w:cs="Times New Roman" w:eastAsia="Times New Roman" w:hAnsi="Times New Roman"/>
          <w:sz w:val="20"/>
          <w:szCs w:val="20"/>
          <w:color w:val="auto"/>
        </w:rPr>
        <w:t>he Grantee’s Separation from Service occurs within 90 days after the date the Company or a Subsidiary fails to remedy the event or condition.</w:t>
      </w:r>
    </w:p>
    <w:p>
      <w:pPr>
        <w:spacing w:after="0" w:line="190" w:lineRule="exact"/>
        <w:rPr>
          <w:sz w:val="20"/>
          <w:szCs w:val="20"/>
          <w:color w:val="auto"/>
        </w:rPr>
      </w:pPr>
    </w:p>
    <w:p>
      <w:pPr>
        <w:jc w:val="both"/>
        <w:ind w:right="18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Involuntary Termination without Cause</w:t>
      </w:r>
      <w:r>
        <w:rPr>
          <w:rFonts w:ascii="Times New Roman" w:cs="Times New Roman" w:eastAsia="Times New Roman" w:hAnsi="Times New Roman"/>
          <w:sz w:val="19"/>
          <w:szCs w:val="19"/>
          <w:color w:val="auto"/>
        </w:rPr>
        <w:t>” means a Grantee’s Separation from Service by action of the Company or the Employer without Cause, including due to divestiture by the Company of the business unit with which the Grantee is employed.</w:t>
      </w:r>
    </w:p>
    <w:p>
      <w:pPr>
        <w:spacing w:after="0" w:line="1"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19"/>
          <w:szCs w:val="19"/>
          <w:color w:val="auto"/>
        </w:rPr>
        <w:t>Notwithstanding the foregoing, if the Grantee is eligible for Special Retirement as of the date of such Involuntary Termination without Cause, the Separation from Service will be treated as Special Retirement and not Involuntary Termination without Cause.</w:t>
      </w:r>
    </w:p>
    <w:p>
      <w:pPr>
        <w:spacing w:after="0" w:line="168" w:lineRule="exact"/>
        <w:rPr>
          <w:sz w:val="20"/>
          <w:szCs w:val="20"/>
          <w:color w:val="auto"/>
        </w:rPr>
      </w:pPr>
    </w:p>
    <w:p>
      <w:pPr>
        <w:ind w:right="88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Fraction</w:t>
      </w:r>
      <w:r>
        <w:rPr>
          <w:rFonts w:ascii="Times New Roman" w:cs="Times New Roman" w:eastAsia="Times New Roman" w:hAnsi="Times New Roman"/>
          <w:sz w:val="19"/>
          <w:szCs w:val="19"/>
          <w:color w:val="auto"/>
        </w:rPr>
        <w:t>” means a fraction, the numerator of which is the number of days from the Grant Date of the Restricted Stock Units through the date of Involuntary Termination without Cause, and the denominator or which is the</w:t>
      </w:r>
    </w:p>
    <w:p>
      <w:pPr>
        <w:spacing w:after="0" w:line="1" w:lineRule="exact"/>
        <w:rPr>
          <w:sz w:val="20"/>
          <w:szCs w:val="20"/>
          <w:color w:val="auto"/>
        </w:rPr>
      </w:pPr>
    </w:p>
    <w:p>
      <w:pPr>
        <w:ind w:right="1020"/>
        <w:spacing w:after="0" w:line="221" w:lineRule="auto"/>
        <w:rPr>
          <w:sz w:val="20"/>
          <w:szCs w:val="20"/>
          <w:color w:val="auto"/>
        </w:rPr>
      </w:pPr>
      <w:r>
        <w:rPr>
          <w:rFonts w:ascii="Times New Roman" w:cs="Times New Roman" w:eastAsia="Times New Roman" w:hAnsi="Times New Roman"/>
          <w:sz w:val="20"/>
          <w:szCs w:val="20"/>
          <w:color w:val="auto"/>
        </w:rPr>
        <w:t>number of days from the Grant Date of the Restricted Stock Units through the last vesting date set forth under “Vesting Schedule” in the Notice.</w:t>
      </w:r>
    </w:p>
    <w:p>
      <w:pPr>
        <w:spacing w:after="0" w:line="185"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Retirement</w:t>
      </w:r>
      <w:r>
        <w:rPr>
          <w:rFonts w:ascii="Times New Roman" w:cs="Times New Roman" w:eastAsia="Times New Roman" w:hAnsi="Times New Roman"/>
          <w:sz w:val="19"/>
          <w:szCs w:val="19"/>
          <w:color w:val="auto"/>
        </w:rPr>
        <w:t>” means a Grantee’s Separation from Service on or after the first anniversary of the Grant Date for any reason other than death or by the Company or the Employer for Cause after the Grantee has attained at least age 59-1/2 and either</w:t>
      </w:r>
    </w:p>
    <w:p>
      <w:pPr>
        <w:spacing w:after="0" w:line="1" w:lineRule="exact"/>
        <w:rPr>
          <w:sz w:val="20"/>
          <w:szCs w:val="20"/>
          <w:color w:val="auto"/>
        </w:rPr>
      </w:pPr>
    </w:p>
    <w:p>
      <w:pPr>
        <w:ind w:right="80" w:firstLine="4"/>
        <w:spacing w:after="0" w:line="215" w:lineRule="auto"/>
        <w:tabs>
          <w:tab w:leader="none" w:pos="23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has at least ten years of Service or (ii) the Grantee’s combined age and years of Service equals at least 70. The Company’s determination of years of Service for such purpose shall be final and binding on all parties. Notwithstanding the foregoing, if the Grantee’s Separation from Service during the two-year period following a Change in Control could be treated as either a Special Retirement or a Change in Control Termination, it shall be treated as a Change in Control Termination to the extent permitted by Section 409A.</w:t>
      </w:r>
    </w:p>
    <w:p>
      <w:pPr>
        <w:sectPr>
          <w:pgSz w:w="11900" w:h="16838" w:orient="portrait"/>
          <w:cols w:equalWidth="0" w:num="1">
            <w:col w:w="10460"/>
          </w:cols>
          <w:pgMar w:left="1080" w:top="936" w:right="35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2111375</wp:posOffset>
            </wp:positionH>
            <wp:positionV relativeFrom="page">
              <wp:posOffset>620395</wp:posOffset>
            </wp:positionV>
            <wp:extent cx="1482725" cy="3600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5"/>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 AWARD</w:t>
      </w:r>
    </w:p>
    <w:p>
      <w:pPr>
        <w:spacing w:after="0" w:line="2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color w:val="auto"/>
        </w:rPr>
        <w:t>The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granted by 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w:t>
      </w:r>
    </w:p>
    <w:p>
      <w:pPr>
        <w:ind w:left="5" w:right="140"/>
        <w:spacing w:after="0" w:line="222" w:lineRule="auto"/>
        <w:rPr>
          <w:sz w:val="20"/>
          <w:szCs w:val="20"/>
          <w:color w:val="auto"/>
        </w:rPr>
      </w:pPr>
      <w:r>
        <w:rPr>
          <w:rFonts w:ascii="Times New Roman" w:cs="Times New Roman" w:eastAsia="Times New Roman" w:hAnsi="Times New Roman"/>
          <w:sz w:val="19"/>
          <w:szCs w:val="19"/>
          <w:color w:val="auto"/>
        </w:rPr>
        <w:t>the Grantee specified in the Notice of Grant of Restricted Stock Unit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which these Terms and Conditions of Restricted Stock Unit Award, including any additional terms and conditions for Grantees outside the United States set forth in Appendices</w:t>
      </w:r>
    </w:p>
    <w:p>
      <w:pPr>
        <w:spacing w:after="0" w:line="1" w:lineRule="exact"/>
        <w:rPr>
          <w:sz w:val="20"/>
          <w:szCs w:val="20"/>
          <w:color w:val="auto"/>
        </w:rPr>
      </w:pPr>
    </w:p>
    <w:p>
      <w:pPr>
        <w:ind w:left="5" w:right="100"/>
        <w:spacing w:after="0" w:line="215" w:lineRule="auto"/>
        <w:rPr>
          <w:sz w:val="20"/>
          <w:szCs w:val="20"/>
          <w:color w:val="auto"/>
        </w:rPr>
      </w:pPr>
      <w:r>
        <w:rPr>
          <w:rFonts w:ascii="Times New Roman" w:cs="Times New Roman" w:eastAsia="Times New Roman" w:hAnsi="Times New Roman"/>
          <w:sz w:val="19"/>
          <w:szCs w:val="19"/>
          <w:color w:val="auto"/>
        </w:rPr>
        <w:t>A and B (collectively,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are attached, is subject to the terms and conditions of the Plan, the Notice, and these Terms. The terms and conditions of the Plan are incorporated by reference in their entirety into these Terms. The Notice and these Terms together constitute</w:t>
      </w:r>
    </w:p>
    <w:p>
      <w:pPr>
        <w:ind w:left="5"/>
        <w:spacing w:after="0" w:line="222" w:lineRule="auto"/>
        <w:rPr>
          <w:sz w:val="20"/>
          <w:szCs w:val="20"/>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A Prospectus describing the Plan has been delivered to the Grantee. The Plan itself is available upon request. When used</w:t>
      </w:r>
    </w:p>
    <w:p>
      <w:pPr>
        <w:ind w:left="5" w:right="680"/>
        <w:spacing w:after="0" w:line="221" w:lineRule="auto"/>
        <w:rPr>
          <w:sz w:val="20"/>
          <w:szCs w:val="20"/>
          <w:color w:val="auto"/>
        </w:rPr>
      </w:pPr>
      <w:r>
        <w:rPr>
          <w:rFonts w:ascii="Times New Roman" w:cs="Times New Roman" w:eastAsia="Times New Roman" w:hAnsi="Times New Roman"/>
          <w:sz w:val="20"/>
          <w:szCs w:val="20"/>
          <w:color w:val="auto"/>
        </w:rPr>
        <w:t>in this Agreement, the terms which are defined in the Plan shall have the meanings given to them in the Plan, as modified herein (if applicable).</w:t>
      </w:r>
    </w:p>
    <w:p>
      <w:pPr>
        <w:spacing w:after="0" w:line="189" w:lineRule="exact"/>
        <w:rPr>
          <w:sz w:val="20"/>
          <w:szCs w:val="20"/>
          <w:color w:val="auto"/>
        </w:rPr>
      </w:pPr>
    </w:p>
    <w:p>
      <w:pPr>
        <w:ind w:left="625" w:hanging="625"/>
        <w:spacing w:after="0"/>
        <w:tabs>
          <w:tab w:leader="none" w:pos="625"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Units</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5" w:right="280" w:firstLine="652"/>
        <w:spacing w:after="0" w:line="226" w:lineRule="auto"/>
        <w:tabs>
          <w:tab w:leader="none" w:pos="182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Grant Date set forth in the Notice, the Company grants to the Grantee the number of Restricted Stock Units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set forth in the Notice. Each Unit represents the right to receive one share of Stock at a future date after the Unit has become earned and vested, subject to the terms and conditions of this Agreement.</w:t>
      </w:r>
    </w:p>
    <w:p>
      <w:pPr>
        <w:spacing w:after="0" w:line="187" w:lineRule="exact"/>
        <w:rPr>
          <w:rFonts w:ascii="Times New Roman" w:cs="Times New Roman" w:eastAsia="Times New Roman" w:hAnsi="Times New Roman"/>
          <w:sz w:val="20"/>
          <w:szCs w:val="20"/>
          <w:color w:val="auto"/>
        </w:rPr>
      </w:pPr>
    </w:p>
    <w:p>
      <w:pPr>
        <w:ind w:left="645" w:right="140" w:firstLine="652"/>
        <w:spacing w:after="0" w:line="222" w:lineRule="auto"/>
        <w:tabs>
          <w:tab w:leader="none" w:pos="18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covered by this Award shall become earned and vested in accordance with the schedule set forth in the Notice. Each earned and vested Unit shall be settled on the date(s) specified in the Notice by issuance of one share of Stock on or as soon as administratively practicable (but no more than 75 days) after the applicable vesting date specified in the Notice, subject to the requirements of the Plan and this Agreement.</w:t>
      </w:r>
    </w:p>
    <w:p>
      <w:pPr>
        <w:spacing w:after="0" w:line="188" w:lineRule="exact"/>
        <w:rPr>
          <w:rFonts w:ascii="Times New Roman" w:cs="Times New Roman" w:eastAsia="Times New Roman" w:hAnsi="Times New Roman"/>
          <w:sz w:val="20"/>
          <w:szCs w:val="20"/>
          <w:color w:val="auto"/>
        </w:rPr>
      </w:pPr>
    </w:p>
    <w:p>
      <w:pPr>
        <w:ind w:left="645" w:right="120" w:firstLine="652"/>
        <w:spacing w:after="0" w:line="217" w:lineRule="auto"/>
        <w:tabs>
          <w:tab w:leader="none" w:pos="182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constitute an unfunded and unsecured obligation of the Company. The Grantee shall not have any rights of a stockholder of the Company with respect to the shares of Stock underlying the Units unless and until the Units become earned and vested and are settled by the issuance of shares of Stock. Upon issuance of shares of Stock in connection with the settlement of vested Units, the Grantee shall be the record owner of the shares of Stock unless and until such shares are sold or otherwise disposed of, and as record owner shall be entitled to all rights of a stockholder of the Company (including voting rights).</w:t>
      </w:r>
    </w:p>
    <w:p>
      <w:pPr>
        <w:spacing w:after="0" w:line="202" w:lineRule="exact"/>
        <w:rPr>
          <w:rFonts w:ascii="Times New Roman" w:cs="Times New Roman" w:eastAsia="Times New Roman" w:hAnsi="Times New Roman"/>
          <w:sz w:val="20"/>
          <w:szCs w:val="20"/>
          <w:color w:val="auto"/>
        </w:rPr>
      </w:pPr>
    </w:p>
    <w:p>
      <w:pPr>
        <w:ind w:left="645" w:right="80" w:firstLine="652"/>
        <w:spacing w:after="0" w:line="222" w:lineRule="auto"/>
        <w:tabs>
          <w:tab w:leader="none" w:pos="18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earned and vested will receive dividend equivalents paid in cash (without interest) based on the dividend rates in effect during the vesting period applied to the number of Units in which the Grantee vests, subject to the vesting provisions set forth in the Notice. Cash dividend equivalents accrued on the earned and vested Units will be paid in cash on or about the same time the earned and vested Units are settled and paid.</w:t>
      </w:r>
    </w:p>
    <w:p>
      <w:pPr>
        <w:spacing w:after="0" w:line="296" w:lineRule="exact"/>
        <w:rPr>
          <w:rFonts w:ascii="Times New Roman" w:cs="Times New Roman" w:eastAsia="Times New Roman" w:hAnsi="Times New Roman"/>
          <w:sz w:val="20"/>
          <w:szCs w:val="20"/>
          <w:color w:val="auto"/>
        </w:rPr>
      </w:pPr>
    </w:p>
    <w:p>
      <w:pPr>
        <w:ind w:left="645" w:firstLine="652"/>
        <w:spacing w:after="0" w:line="257" w:lineRule="auto"/>
        <w:tabs>
          <w:tab w:leader="none" w:pos="182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Grantee is a U.S. taxpayer, payment of Units that become earned and vested under this Agreement may be deferred under the terms of the Company’s Key Executive Stock Deferral Plan (or any similar plan or program) in which the Grantee is eligible to participate, subject to the terms and conditions of such plan and the requirements of Section 409A. Any Units deferred under any such plan shall be administered in accordance with the terms and provisions of such plan.</w:t>
      </w:r>
    </w:p>
    <w:p>
      <w:pPr>
        <w:spacing w:after="0" w:line="64" w:lineRule="exact"/>
        <w:rPr>
          <w:rFonts w:ascii="Times New Roman" w:cs="Times New Roman" w:eastAsia="Times New Roman" w:hAnsi="Times New Roman"/>
          <w:sz w:val="20"/>
          <w:szCs w:val="20"/>
          <w:color w:val="auto"/>
        </w:rPr>
      </w:pPr>
    </w:p>
    <w:p>
      <w:pPr>
        <w:ind w:left="645" w:right="120" w:hanging="645"/>
        <w:spacing w:after="0" w:line="258" w:lineRule="auto"/>
        <w:tabs>
          <w:tab w:leader="none" w:pos="63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Subject to any exceptions set forth in this Agreement, until such time as the Units become earned and vested and are settled in shares of Stock in accordance with Section 1, the Units or the rights relating thereto may not be assigned, alienated, pledged, attached, sold or otherwise transferred or encumbered by the Grantee. Any attempt to assign, alienate, pledge, attach, sell or otherwise transfer or encumber the Units or the rights relating thereto shall be wholly ineffective</w:t>
      </w:r>
    </w:p>
    <w:p>
      <w:pPr>
        <w:sectPr>
          <w:pgSz w:w="11900" w:h="16838" w:orient="portrait"/>
          <w:cols w:equalWidth="0" w:num="1">
            <w:col w:w="11085"/>
          </w:cols>
          <w:pgMar w:left="435" w:top="1440" w:right="379" w:bottom="0" w:gutter="0" w:footer="0" w:header="0"/>
        </w:sectPr>
      </w:pPr>
    </w:p>
    <w:bookmarkStart w:id="169" w:name="page170"/>
    <w:bookmarkEnd w:id="169"/>
    <w:p>
      <w:pPr>
        <w:spacing w:after="0" w:line="258" w:lineRule="auto"/>
        <w:tabs>
          <w:tab w:leader="none" w:pos="632" w:val="left"/>
        </w:tabs>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ind w:left="760" w:right="40"/>
        <w:spacing w:after="0" w:line="253" w:lineRule="auto"/>
        <w:rPr>
          <w:sz w:val="20"/>
          <w:szCs w:val="20"/>
          <w:color w:val="auto"/>
        </w:rPr>
      </w:pPr>
      <w:r>
        <w:rPr>
          <w:rFonts w:ascii="Times New Roman" w:cs="Times New Roman" w:eastAsia="Times New Roman" w:hAnsi="Times New Roman"/>
          <w:sz w:val="20"/>
          <w:szCs w:val="20"/>
          <w:color w:val="auto"/>
        </w:rPr>
        <w:t>and, if any such attempt is made, the Units will be forfeited by the Grantee and all of the Grantee’s rights to such Units shall immediately terminate without any payment of consideration by the Company.</w:t>
      </w: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Subject to any exceptions set forth in this Agreement, until such time as the Units become earned and vested and are settled in shares of Stock in accordance with Section 1, the Units or the rights relating thereto may not be assigned, alienated, pledged, attached, sold or otherwise transferred or encumbered by the Grantee. Any attempt to assign, alienate, pledge, attach, sell or otherwise transfer or encumber the Units or the rights relating thereto shall be wholly ineffective and, if any such attempt is made, the Units will be forfeited by the Grantee and all of the Grantee’s rights to such Units shall immediately terminate without any payment of consideration by the Company.</w:t>
      </w:r>
    </w:p>
    <w:p>
      <w:pPr>
        <w:spacing w:after="0" w:line="71" w:lineRule="exact"/>
        <w:rPr>
          <w:sz w:val="20"/>
          <w:szCs w:val="20"/>
          <w:color w:val="auto"/>
        </w:rPr>
      </w:pPr>
    </w:p>
    <w:p>
      <w:pPr>
        <w:ind w:left="760" w:right="500" w:hanging="645"/>
        <w:spacing w:after="0" w:line="222" w:lineRule="auto"/>
        <w:tabs>
          <w:tab w:leader="none" w:pos="75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of Rights</w:t>
      </w:r>
      <w:r>
        <w:rPr>
          <w:rFonts w:ascii="Times New Roman" w:cs="Times New Roman" w:eastAsia="Times New Roman" w:hAnsi="Times New Roman"/>
          <w:sz w:val="20"/>
          <w:szCs w:val="20"/>
          <w:color w:val="auto"/>
        </w:rPr>
        <w:t>. If any portion of the Units fail to become earned and vested (for example, because the Grantee fails to satisfy the vesting conditions specified in the Notice prior to a Separation from Service), then such Units shall be immediately forfeited as of the date of such failure and all of the Grantee’s rights to such Units shall immediately terminate without any payment of consideration by the Company.</w:t>
      </w:r>
    </w:p>
    <w:p>
      <w:pPr>
        <w:spacing w:after="0" w:line="40" w:lineRule="exact"/>
        <w:rPr>
          <w:rFonts w:ascii="Times New Roman" w:cs="Times New Roman" w:eastAsia="Times New Roman" w:hAnsi="Times New Roman"/>
          <w:sz w:val="20"/>
          <w:szCs w:val="20"/>
          <w:color w:val="auto"/>
        </w:rPr>
      </w:pPr>
    </w:p>
    <w:p>
      <w:pPr>
        <w:ind w:left="760" w:hanging="645"/>
        <w:spacing w:after="0"/>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pacing w:after="0" w:line="306" w:lineRule="exact"/>
        <w:rPr>
          <w:sz w:val="20"/>
          <w:szCs w:val="20"/>
          <w:color w:val="auto"/>
        </w:rPr>
      </w:pPr>
    </w:p>
    <w:p>
      <w:pPr>
        <w:ind w:right="380" w:firstLine="648"/>
        <w:spacing w:after="0" w:line="217" w:lineRule="auto"/>
        <w:rPr>
          <w:sz w:val="20"/>
          <w:szCs w:val="20"/>
          <w:color w:val="auto"/>
        </w:rPr>
      </w:pPr>
      <w:r>
        <w:rPr>
          <w:rFonts w:ascii="Times New Roman" w:cs="Times New Roman" w:eastAsia="Times New Roman" w:hAnsi="Times New Roman"/>
          <w:sz w:val="20"/>
          <w:szCs w:val="20"/>
          <w:color w:val="auto"/>
        </w:rPr>
        <w:t>(a) Regardless of any action the Company or, if different, the Subsidiary which employs the Grantee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takes with respect to any or all income tax, social insurance, payroll tax, fringe benefit tax, payment on account or other tax-related items</w:t>
      </w:r>
    </w:p>
    <w:p>
      <w:pPr>
        <w:spacing w:after="0" w:line="213" w:lineRule="auto"/>
        <w:rPr>
          <w:sz w:val="20"/>
          <w:szCs w:val="20"/>
          <w:color w:val="auto"/>
        </w:rPr>
      </w:pPr>
      <w:r>
        <w:rPr>
          <w:rFonts w:ascii="Times New Roman" w:cs="Times New Roman" w:eastAsia="Times New Roman" w:hAnsi="Times New Roman"/>
          <w:sz w:val="20"/>
          <w:szCs w:val="20"/>
          <w:color w:val="auto"/>
        </w:rPr>
        <w:t>related to the Grantee’s participation in the Plan and legally applicable or deemed legally applicable to the Grantee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w:t>
      </w:r>
    </w:p>
    <w:p>
      <w:pPr>
        <w:ind w:right="80"/>
        <w:spacing w:after="0" w:line="215" w:lineRule="auto"/>
        <w:rPr>
          <w:sz w:val="20"/>
          <w:szCs w:val="20"/>
          <w:color w:val="auto"/>
        </w:rPr>
      </w:pPr>
      <w:r>
        <w:rPr>
          <w:rFonts w:ascii="Times New Roman" w:cs="Times New Roman" w:eastAsia="Times New Roman" w:hAnsi="Times New Roman"/>
          <w:sz w:val="19"/>
          <w:szCs w:val="19"/>
          <w:color w:val="auto"/>
        </w:rPr>
        <w:t>the Grantee acknowledges that the ultimate liability for all Tax-Related Items is and remains the Grantee’s responsibility and may exceed the amount, if any, actually withheld by the Company or the Employer. The Grantee further acknowledges that the Company and the Employer</w:t>
      </w:r>
    </w:p>
    <w:p>
      <w:pPr>
        <w:ind w:right="40" w:firstLine="8"/>
        <w:spacing w:after="0" w:line="212" w:lineRule="auto"/>
        <w:tabs>
          <w:tab w:leader="none" w:pos="23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no representations or undertakings regarding the treatment of any Tax-Related Items in connection with any aspect of the Award, including, but not limited to, the grant or vesting of the Units, the subsequent sale of shares of Stock acquired upon vesting, the payment of any dividend equivalents on the Units or the payment of any dividends on the shares of Stock; and (ii) do not commit to and are under no obligation to structure the terms of the grant or any aspect of the Award to reduce or eliminate the Grantee’s liability for Tax-Related Items or achieve any particular tax result.</w:t>
      </w:r>
    </w:p>
    <w:p>
      <w:pPr>
        <w:spacing w:after="0" w:line="271" w:lineRule="exact"/>
        <w:rPr>
          <w:rFonts w:ascii="Times New Roman" w:cs="Times New Roman" w:eastAsia="Times New Roman" w:hAnsi="Times New Roman"/>
          <w:sz w:val="20"/>
          <w:szCs w:val="20"/>
          <w:color w:val="auto"/>
        </w:rPr>
      </w:pPr>
    </w:p>
    <w:p>
      <w:pPr>
        <w:ind w:right="380" w:firstLine="656"/>
        <w:spacing w:after="0" w:line="222" w:lineRule="auto"/>
        <w:tabs>
          <w:tab w:leader="none" w:pos="1297"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Grantee shall pay or make adequate arrangements satisfactory to the Company and/or the Employer to satisfy all Tax-Related Items. In this regard, the Grantee authorizes the Company and/or the Employer, or their respective agents, in their sole discretion, to satisfy any applicable withholding obligations with regard to all Tax-Related Items by one or a combination of the following methods:</w:t>
      </w:r>
    </w:p>
    <w:p>
      <w:pPr>
        <w:spacing w:after="0" w:line="188" w:lineRule="exact"/>
        <w:rPr>
          <w:rFonts w:ascii="Times New Roman" w:cs="Times New Roman" w:eastAsia="Times New Roman" w:hAnsi="Times New Roman"/>
          <w:sz w:val="20"/>
          <w:szCs w:val="20"/>
          <w:color w:val="auto"/>
        </w:rPr>
      </w:pPr>
    </w:p>
    <w:p>
      <w:pPr>
        <w:ind w:left="1280" w:right="100" w:hanging="651"/>
        <w:spacing w:after="0" w:line="233" w:lineRule="auto"/>
        <w:tabs>
          <w:tab w:leader="none" w:pos="1278"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Grantee’s wages or other cash compensation payable to the Grantee by the Company, the Employer, or any other Subsidiary;</w:t>
      </w:r>
    </w:p>
    <w:p>
      <w:pPr>
        <w:spacing w:after="0" w:line="187" w:lineRule="exact"/>
        <w:rPr>
          <w:rFonts w:ascii="Times New Roman" w:cs="Times New Roman" w:eastAsia="Times New Roman" w:hAnsi="Times New Roman"/>
          <w:sz w:val="20"/>
          <w:szCs w:val="20"/>
          <w:color w:val="auto"/>
        </w:rPr>
      </w:pPr>
    </w:p>
    <w:p>
      <w:pPr>
        <w:ind w:left="1280" w:right="320" w:hanging="651"/>
        <w:spacing w:after="0" w:line="266" w:lineRule="auto"/>
        <w:tabs>
          <w:tab w:leader="none" w:pos="1279"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withholding from proceeds of the sale of shares of Stock acquired at vesting either through a voluntary sale or through a mandatory sale arranged by the Company (on the Grantee’s behalf pursuant to this authorization without further consent);</w:t>
      </w:r>
    </w:p>
    <w:p>
      <w:pPr>
        <w:spacing w:after="0" w:line="150" w:lineRule="exact"/>
        <w:rPr>
          <w:rFonts w:ascii="Times New Roman" w:cs="Times New Roman" w:eastAsia="Times New Roman" w:hAnsi="Times New Roman"/>
          <w:sz w:val="19"/>
          <w:szCs w:val="19"/>
          <w:color w:val="auto"/>
        </w:rPr>
      </w:pPr>
    </w:p>
    <w:p>
      <w:pPr>
        <w:ind w:left="1280" w:hanging="651"/>
        <w:spacing w:after="0"/>
        <w:tabs>
          <w:tab w:leader="none" w:pos="128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of Stock otherwise issuable to the Grantee upon vesting of the Units; or</w:t>
      </w:r>
    </w:p>
    <w:p>
      <w:pPr>
        <w:spacing w:after="0" w:line="215" w:lineRule="exact"/>
        <w:rPr>
          <w:rFonts w:ascii="Times New Roman" w:cs="Times New Roman" w:eastAsia="Times New Roman" w:hAnsi="Times New Roman"/>
          <w:sz w:val="20"/>
          <w:szCs w:val="20"/>
          <w:color w:val="auto"/>
        </w:rPr>
      </w:pPr>
    </w:p>
    <w:p>
      <w:pPr>
        <w:ind w:left="1260" w:hanging="631"/>
        <w:spacing w:after="0"/>
        <w:tabs>
          <w:tab w:leader="none" w:pos="12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the extent permitted under the Plan and applicable laws.</w:t>
      </w:r>
    </w:p>
    <w:p>
      <w:pPr>
        <w:spacing w:after="0" w:line="216"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Company may withhold or account for Tax-Related Items by considering statutory withholding amounts or other applicable withholding rates, including maximum rates applicable in the Grantee’s jurisdiction(s), in which case the Grantee may receive a refund of any</w:t>
      </w:r>
    </w:p>
    <w:p>
      <w:pPr>
        <w:spacing w:after="0" w:line="222" w:lineRule="auto"/>
        <w:rPr>
          <w:sz w:val="20"/>
          <w:szCs w:val="20"/>
          <w:color w:val="auto"/>
        </w:rPr>
      </w:pPr>
      <w:r>
        <w:rPr>
          <w:rFonts w:ascii="Times New Roman" w:cs="Times New Roman" w:eastAsia="Times New Roman" w:hAnsi="Times New Roman"/>
          <w:sz w:val="19"/>
          <w:szCs w:val="19"/>
          <w:color w:val="auto"/>
        </w:rPr>
        <w:t>over-withheld amount in cash and will have no entitlement to the equivalent amount in shares of Stock. In the event of over-withholding, the</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Grantee may receive a refund of any over-withheld amount in cash (with no entitlement to the equivalent amount in shares of Stock), from the Company or the Employer; otherwise, the Grantee may be able to seek a refund from the local tax authorities. In the event of under-</w:t>
      </w:r>
    </w:p>
    <w:p>
      <w:pPr>
        <w:ind w:right="120"/>
        <w:spacing w:after="0" w:line="228" w:lineRule="auto"/>
        <w:rPr>
          <w:sz w:val="20"/>
          <w:szCs w:val="20"/>
          <w:color w:val="auto"/>
        </w:rPr>
      </w:pPr>
      <w:r>
        <w:rPr>
          <w:rFonts w:ascii="Times New Roman" w:cs="Times New Roman" w:eastAsia="Times New Roman" w:hAnsi="Times New Roman"/>
          <w:sz w:val="20"/>
          <w:szCs w:val="20"/>
          <w:color w:val="auto"/>
        </w:rPr>
        <w:t>withholding, the Grantee may be required to pay any additional Tax-Related Items directly to the applicable tax authority or to the Company and/or the</w:t>
      </w:r>
    </w:p>
    <w:p>
      <w:pPr>
        <w:sectPr>
          <w:pgSz w:w="11900" w:h="16838" w:orient="portrait"/>
          <w:cols w:equalWidth="0" w:num="1">
            <w:col w:w="11240"/>
          </w:cols>
          <w:pgMar w:left="320" w:top="1062" w:right="339" w:bottom="1440" w:gutter="0" w:footer="0" w:header="0"/>
        </w:sectPr>
      </w:pPr>
    </w:p>
    <w:bookmarkStart w:id="171" w:name="page172"/>
    <w:bookmarkEnd w:id="171"/>
    <w:p>
      <w:pPr>
        <w:jc w:val="both"/>
        <w:spacing w:after="0" w:line="230" w:lineRule="auto"/>
        <w:rPr>
          <w:sz w:val="20"/>
          <w:szCs w:val="20"/>
          <w:color w:val="auto"/>
        </w:rPr>
      </w:pPr>
      <w:r>
        <w:rPr>
          <w:rFonts w:ascii="Times New Roman" w:cs="Times New Roman" w:eastAsia="Times New Roman" w:hAnsi="Times New Roman"/>
          <w:sz w:val="20"/>
          <w:szCs w:val="20"/>
          <w:color w:val="auto"/>
        </w:rPr>
        <w:t>Employer. If the obligation for Tax-Related Items is satisfied by withholding shares of Stock, for tax purposes, the Grantee is deemed to have been issued the full number of shares of Stock subject to the vested Units, notwithstanding that a number of the shares is held back solely for the purpose of paying the Tax-Related Items.</w:t>
      </w:r>
    </w:p>
    <w:p>
      <w:pPr>
        <w:spacing w:after="0" w:line="176" w:lineRule="exact"/>
        <w:rPr>
          <w:sz w:val="20"/>
          <w:szCs w:val="20"/>
          <w:color w:val="auto"/>
        </w:rPr>
      </w:pPr>
    </w:p>
    <w:p>
      <w:pPr>
        <w:ind w:right="460" w:firstLine="648"/>
        <w:spacing w:after="0" w:line="234" w:lineRule="auto"/>
        <w:rPr>
          <w:sz w:val="20"/>
          <w:szCs w:val="20"/>
          <w:color w:val="auto"/>
        </w:rPr>
      </w:pPr>
      <w:r>
        <w:rPr>
          <w:rFonts w:ascii="Times New Roman" w:cs="Times New Roman" w:eastAsia="Times New Roman" w:hAnsi="Times New Roman"/>
          <w:sz w:val="19"/>
          <w:szCs w:val="19"/>
          <w:color w:val="auto"/>
        </w:rPr>
        <w:t>Finally, the Grantee agrees to pay to the Company or the Employer any amount of Tax-Related Items that the Company or the Employer may be required to withhold or account for as a result of the Grantee’s participation in the Plan that cannot be satisfied by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means previously described. The Company may refuse to issue and deliver shares of Stock in payment of any earned and vested Units, or the proceeds from the sale of shares of Stock, if the Grantee fails to comply with the Grantee’s obligations in connection with the Tax-Related</w:t>
      </w:r>
    </w:p>
    <w:p>
      <w:pPr>
        <w:spacing w:after="0"/>
        <w:rPr>
          <w:sz w:val="20"/>
          <w:szCs w:val="20"/>
          <w:color w:val="auto"/>
        </w:rPr>
      </w:pPr>
      <w:r>
        <w:rPr>
          <w:rFonts w:ascii="Times New Roman" w:cs="Times New Roman" w:eastAsia="Times New Roman" w:hAnsi="Times New Roman"/>
          <w:sz w:val="20"/>
          <w:szCs w:val="20"/>
          <w:color w:val="auto"/>
        </w:rPr>
        <w:t>Items as described in this Section 4.</w:t>
      </w:r>
    </w:p>
    <w:p>
      <w:pPr>
        <w:spacing w:after="0" w:line="194" w:lineRule="exact"/>
        <w:rPr>
          <w:sz w:val="20"/>
          <w:szCs w:val="20"/>
          <w:color w:val="auto"/>
        </w:rPr>
      </w:pPr>
    </w:p>
    <w:p>
      <w:pPr>
        <w:ind w:left="660" w:right="300" w:hanging="653"/>
        <w:spacing w:after="0" w:line="222" w:lineRule="auto"/>
        <w:tabs>
          <w:tab w:leader="none" w:pos="65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Grantee Representations</w:t>
      </w:r>
      <w:r>
        <w:rPr>
          <w:rFonts w:ascii="Times New Roman" w:cs="Times New Roman" w:eastAsia="Times New Roman" w:hAnsi="Times New Roman"/>
          <w:sz w:val="20"/>
          <w:szCs w:val="20"/>
          <w:color w:val="auto"/>
        </w:rPr>
        <w:t>. The Grantee hereby represents that the Grantee has read and fully understands the provisions of this Agreement, the Prospectus and the Plan, and the Grantee’s decision to participate in the Plan is completely voluntary. Further, the Grantee acknowledges that the Grantee is relying solely on his or her own advisors with respect to the tax consequences of this Award.</w:t>
      </w:r>
    </w:p>
    <w:p>
      <w:pPr>
        <w:spacing w:after="0" w:line="202" w:lineRule="exact"/>
        <w:rPr>
          <w:rFonts w:ascii="Times New Roman" w:cs="Times New Roman" w:eastAsia="Times New Roman" w:hAnsi="Times New Roman"/>
          <w:sz w:val="20"/>
          <w:szCs w:val="20"/>
          <w:color w:val="auto"/>
        </w:rPr>
      </w:pPr>
    </w:p>
    <w:p>
      <w:pPr>
        <w:ind w:left="660" w:right="20" w:hanging="653"/>
        <w:spacing w:after="0" w:line="216" w:lineRule="auto"/>
        <w:tabs>
          <w:tab w:leader="none" w:pos="65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Restrictions on the Shares Issued Upon Settlement</w:t>
      </w:r>
      <w:r>
        <w:rPr>
          <w:rFonts w:ascii="Times New Roman" w:cs="Times New Roman" w:eastAsia="Times New Roman" w:hAnsi="Times New Roman"/>
          <w:sz w:val="20"/>
          <w:szCs w:val="20"/>
          <w:color w:val="auto"/>
        </w:rPr>
        <w:t>. Notwithstanding the other provisions of this Agreement, the Committee shall have the sole discretion to impose such conditions, restrictions and limitations on the issuance of shares of Stock with respect to this Award unless and until the Committee determines that such issuance complies with (i) any applicable registration requirements under the Securities Act or the Committee has determined that an exemption therefrom is available, (ii) any applicable listing requirement of any stock exchange on which the Stock is listed, (iii) any applicable Company policy or administrative rules, and (iv) any other applicable provision of U.S. or non-U.S. federal, state or local law.</w:t>
      </w:r>
    </w:p>
    <w:p>
      <w:pPr>
        <w:spacing w:after="0" w:line="189" w:lineRule="exact"/>
        <w:rPr>
          <w:rFonts w:ascii="Times New Roman" w:cs="Times New Roman" w:eastAsia="Times New Roman" w:hAnsi="Times New Roman"/>
          <w:sz w:val="20"/>
          <w:szCs w:val="20"/>
          <w:color w:val="auto"/>
        </w:rPr>
      </w:pPr>
    </w:p>
    <w:p>
      <w:pPr>
        <w:ind w:left="640" w:hanging="633"/>
        <w:spacing w:after="0"/>
        <w:tabs>
          <w:tab w:leader="none" w:pos="6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and Non-Competition</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firstLine="656"/>
        <w:spacing w:after="0" w:line="220" w:lineRule="auto"/>
        <w:tabs>
          <w:tab w:leader="none" w:pos="1286"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w:t>
      </w:r>
      <w:r>
        <w:rPr>
          <w:rFonts w:ascii="Times New Roman" w:cs="Times New Roman" w:eastAsia="Times New Roman" w:hAnsi="Times New Roman"/>
          <w:sz w:val="20"/>
          <w:szCs w:val="20"/>
          <w:color w:val="auto"/>
        </w:rPr>
        <w:t>. The provisions of this Section 7 apply to Awards made to employees of the Company and its Subsidiaries, and not Awards made to Non-Employee Directors. The Grantee acknowledges that the Company conducts business throughout the United States and that the Company has a legitimate business interest in protecting this business, including but not limited its interest in its employees, programs, and projects below, against unfair competition through the promises in this Section 7. In addition, Sections 7 (b), (c) and (e) do not apply in California.</w:t>
      </w:r>
    </w:p>
    <w:p>
      <w:pPr>
        <w:spacing w:after="0" w:line="187" w:lineRule="exact"/>
        <w:rPr>
          <w:rFonts w:ascii="Times New Roman" w:cs="Times New Roman" w:eastAsia="Times New Roman" w:hAnsi="Times New Roman"/>
          <w:sz w:val="20"/>
          <w:szCs w:val="20"/>
          <w:color w:val="auto"/>
        </w:rPr>
      </w:pPr>
    </w:p>
    <w:p>
      <w:pPr>
        <w:ind w:right="20" w:firstLine="656"/>
        <w:spacing w:after="0" w:line="220" w:lineRule="auto"/>
        <w:tabs>
          <w:tab w:leader="none" w:pos="1284"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Employees</w:t>
      </w:r>
      <w:r>
        <w:rPr>
          <w:rFonts w:ascii="Times New Roman" w:cs="Times New Roman" w:eastAsia="Times New Roman" w:hAnsi="Times New Roman"/>
          <w:sz w:val="20"/>
          <w:szCs w:val="20"/>
          <w:color w:val="auto"/>
        </w:rPr>
        <w:t>. The Grantee agrees that, both while in Service and for one year after Separation from Service, the Grantee will not solicit or attempt to solicit any employee of the Company or any Subsidiary with whom the Grantee has worked on a program or project during the 12 months prior to Separation from Service to leave his or her employment or to violate the terms of any agreement or understanding that employee may have with the Company or any Subsidiary. The foregoing obligations apply to both the Grantee’s direct and indirect actions, and apply to actions intended to benefit the Grantee or any other person, business or entity.</w:t>
      </w:r>
    </w:p>
    <w:p>
      <w:pPr>
        <w:spacing w:after="0" w:line="174" w:lineRule="exact"/>
        <w:rPr>
          <w:rFonts w:ascii="Times New Roman" w:cs="Times New Roman" w:eastAsia="Times New Roman" w:hAnsi="Times New Roman"/>
          <w:sz w:val="20"/>
          <w:szCs w:val="20"/>
          <w:color w:val="auto"/>
        </w:rPr>
      </w:pPr>
    </w:p>
    <w:p>
      <w:pPr>
        <w:ind w:right="460" w:firstLine="656"/>
        <w:spacing w:after="0" w:line="266" w:lineRule="auto"/>
        <w:tabs>
          <w:tab w:leader="none" w:pos="1286" w:val="left"/>
        </w:tabs>
        <w:numPr>
          <w:ilvl w:val="2"/>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Customers</w:t>
      </w:r>
      <w:r>
        <w:rPr>
          <w:rFonts w:ascii="Times New Roman" w:cs="Times New Roman" w:eastAsia="Times New Roman" w:hAnsi="Times New Roman"/>
          <w:sz w:val="19"/>
          <w:szCs w:val="19"/>
          <w:color w:val="auto"/>
        </w:rPr>
        <w:t>. The Grantee agrees that, for one year after Separation from Service, the Grantee will not participate in any solicitation of any customer or prospective customer of the Company or any Subsidiary concerning any business that:</w:t>
      </w:r>
    </w:p>
    <w:p>
      <w:pPr>
        <w:spacing w:after="0" w:line="163" w:lineRule="exact"/>
        <w:rPr>
          <w:rFonts w:ascii="Times New Roman" w:cs="Times New Roman" w:eastAsia="Times New Roman" w:hAnsi="Times New Roman"/>
          <w:sz w:val="19"/>
          <w:szCs w:val="19"/>
          <w:color w:val="auto"/>
        </w:rPr>
      </w:pPr>
    </w:p>
    <w:p>
      <w:pPr>
        <w:ind w:left="1280" w:right="140" w:hanging="651"/>
        <w:spacing w:after="0"/>
        <w:tabs>
          <w:tab w:leader="none" w:pos="127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the same programs or projects for that customer in which the Grantee was personally and/or substantially involved during the 12 months prior to Separation from Service; or</w:t>
      </w:r>
    </w:p>
    <w:p>
      <w:pPr>
        <w:spacing w:after="0" w:line="188" w:lineRule="exact"/>
        <w:rPr>
          <w:rFonts w:ascii="Times New Roman" w:cs="Times New Roman" w:eastAsia="Times New Roman" w:hAnsi="Times New Roman"/>
          <w:sz w:val="20"/>
          <w:szCs w:val="20"/>
          <w:color w:val="auto"/>
        </w:rPr>
      </w:pPr>
    </w:p>
    <w:p>
      <w:pPr>
        <w:ind w:left="1280" w:right="80" w:hanging="651"/>
        <w:spacing w:after="0" w:line="222" w:lineRule="auto"/>
        <w:tabs>
          <w:tab w:leader="none" w:pos="1279"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at any time during the 12 months prior to Separation from Service, the subject of any capture effort, bid, offer or proposal activity by the Company or any Subsidiary in respect of that customer or prospective customer, or any negotiations or discussions about the possible performance of services by the Company or any Subsidiary to that customer or potential customer, in which the Grantee was personally and/or substantially involved.</w:t>
      </w:r>
    </w:p>
    <w:p>
      <w:pPr>
        <w:spacing w:after="0" w:line="108" w:lineRule="exact"/>
        <w:rPr>
          <w:sz w:val="20"/>
          <w:szCs w:val="20"/>
          <w:color w:val="auto"/>
        </w:rPr>
      </w:pPr>
    </w:p>
    <w:p>
      <w:pPr>
        <w:ind w:right="200" w:firstLine="625"/>
        <w:spacing w:after="0" w:line="233" w:lineRule="auto"/>
        <w:rPr>
          <w:sz w:val="20"/>
          <w:szCs w:val="20"/>
          <w:color w:val="auto"/>
        </w:rPr>
      </w:pPr>
      <w:r>
        <w:rPr>
          <w:rFonts w:ascii="Times New Roman" w:cs="Times New Roman" w:eastAsia="Times New Roman" w:hAnsi="Times New Roman"/>
          <w:sz w:val="20"/>
          <w:szCs w:val="20"/>
          <w:color w:val="auto"/>
        </w:rPr>
        <w:t>For purposes of (c)(i) and (ii), in the case of a governmental, regulatory or administrative agency, commission, department or other governmental authority, the customer or prospective customer will be</w:t>
      </w:r>
    </w:p>
    <w:p>
      <w:pPr>
        <w:sectPr>
          <w:pgSz w:w="11900" w:h="16838" w:orient="portrait"/>
          <w:cols w:equalWidth="0" w:num="1">
            <w:col w:w="11200"/>
          </w:cols>
          <w:pgMar w:left="320" w:top="940" w:right="379" w:bottom="1440" w:gutter="0" w:footer="0" w:header="0"/>
        </w:sectPr>
      </w:pPr>
    </w:p>
    <w:bookmarkStart w:id="172" w:name="page173"/>
    <w:bookmarkEnd w:id="172"/>
    <w:p>
      <w:pPr>
        <w:ind w:right="140"/>
        <w:spacing w:after="0" w:line="233" w:lineRule="auto"/>
        <w:rPr>
          <w:sz w:val="20"/>
          <w:szCs w:val="20"/>
          <w:color w:val="auto"/>
        </w:rPr>
      </w:pPr>
      <w:r>
        <w:rPr>
          <w:rFonts w:ascii="Times New Roman" w:cs="Times New Roman" w:eastAsia="Times New Roman" w:hAnsi="Times New Roman"/>
          <w:sz w:val="20"/>
          <w:szCs w:val="20"/>
          <w:color w:val="auto"/>
        </w:rPr>
        <w:t>determined by reference to the specific program offices or activities for which the Company or any Subsidiary provides (or may reasonably provide) goods or services.</w:t>
      </w:r>
    </w:p>
    <w:p>
      <w:pPr>
        <w:spacing w:after="0" w:line="188" w:lineRule="exact"/>
        <w:rPr>
          <w:sz w:val="20"/>
          <w:szCs w:val="20"/>
          <w:color w:val="auto"/>
        </w:rPr>
      </w:pPr>
    </w:p>
    <w:p>
      <w:pPr>
        <w:ind w:right="40" w:firstLine="633"/>
        <w:spacing w:after="0" w:line="215" w:lineRule="auto"/>
        <w:tabs>
          <w:tab w:leader="none" w:pos="128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and Non-Use of Proprietary Information</w:t>
      </w:r>
      <w:r>
        <w:rPr>
          <w:rFonts w:ascii="Times New Roman" w:cs="Times New Roman" w:eastAsia="Times New Roman" w:hAnsi="Times New Roman"/>
          <w:sz w:val="20"/>
          <w:szCs w:val="20"/>
          <w:color w:val="auto"/>
        </w:rPr>
        <w:t>. During the term of the Grantee's employment and following the voluntary or involuntary termination of that employment for any reason, and with or without cause, Grantee will not, except as authorized and required to perform the Grantee's duties for the Company or any Subsidiary, directly or indirectly: use, disclose, reproduce, distribute, or otherwise disseminate the Company or any Subsidiary's Proprietary Information, or take any action causing, or fail to take any action necessary, to prevent any such information to lose its character or cease to qualify as Proprietary Information. Grantee agrees to ask the Company or any Subsidiary, both during and after employment, if Grantee has any questions about whether particular information is Proprietary Information before using or disclosing such information.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will mean any and all confidential knowledge, data or information of the Company, its</w:t>
      </w:r>
    </w:p>
    <w:p>
      <w:pPr>
        <w:jc w:val="center"/>
        <w:ind w:right="60"/>
        <w:spacing w:after="0" w:line="222" w:lineRule="auto"/>
        <w:rPr>
          <w:sz w:val="20"/>
          <w:szCs w:val="20"/>
          <w:color w:val="auto"/>
        </w:rPr>
      </w:pPr>
      <w:r>
        <w:rPr>
          <w:rFonts w:ascii="Times New Roman" w:cs="Times New Roman" w:eastAsia="Times New Roman" w:hAnsi="Times New Roman"/>
          <w:sz w:val="19"/>
          <w:szCs w:val="19"/>
          <w:color w:val="auto"/>
        </w:rPr>
        <w:t>affiliates, parents and subsidiaries, which has economic value as a result of its remaining confidential, whether having existed, now existing,</w:t>
      </w:r>
    </w:p>
    <w:p>
      <w:pPr>
        <w:spacing w:after="0" w:line="211" w:lineRule="auto"/>
        <w:rPr>
          <w:sz w:val="20"/>
          <w:szCs w:val="20"/>
          <w:color w:val="auto"/>
        </w:rPr>
      </w:pPr>
      <w:r>
        <w:rPr>
          <w:rFonts w:ascii="Times New Roman" w:cs="Times New Roman" w:eastAsia="Times New Roman" w:hAnsi="Times New Roman"/>
          <w:sz w:val="20"/>
          <w:szCs w:val="20"/>
          <w:color w:val="auto"/>
        </w:rPr>
        <w:t>or to be developed during Grantee’s employment, including information developed by Grantee. By way of illustration but not limitation,</w:t>
      </w:r>
    </w:p>
    <w:p>
      <w:pPr>
        <w:spacing w:after="0" w:line="1" w:lineRule="exact"/>
        <w:rPr>
          <w:sz w:val="20"/>
          <w:szCs w:val="20"/>
          <w:color w:val="auto"/>
        </w:rPr>
      </w:pPr>
    </w:p>
    <w:p>
      <w:pPr>
        <w:ind w:right="400"/>
        <w:spacing w:after="0" w:line="215" w:lineRule="auto"/>
        <w:rPr>
          <w:sz w:val="20"/>
          <w:szCs w:val="20"/>
          <w:color w:val="auto"/>
        </w:rPr>
      </w:pPr>
      <w:r>
        <w:rPr>
          <w:rFonts w:ascii="Times New Roman" w:cs="Times New Roman" w:eastAsia="Times New Roman" w:hAnsi="Times New Roman"/>
          <w:sz w:val="19"/>
          <w:szCs w:val="19"/>
          <w:color w:val="auto"/>
        </w:rPr>
        <w:t>“Proprietary Information” includes (1) trade secrets, inventions, mask works, ideas, processes, formulas, source and object codes, data, programs, other works of authorship, know-how, algorithms, software programs, schematics, improvements, discoveries, developments,</w:t>
      </w:r>
    </w:p>
    <w:p>
      <w:pPr>
        <w:spacing w:after="0" w:line="222" w:lineRule="auto"/>
        <w:rPr>
          <w:sz w:val="20"/>
          <w:szCs w:val="20"/>
          <w:color w:val="auto"/>
        </w:rPr>
      </w:pPr>
      <w:r>
        <w:rPr>
          <w:rFonts w:ascii="Times New Roman" w:cs="Times New Roman" w:eastAsia="Times New Roman" w:hAnsi="Times New Roman"/>
          <w:sz w:val="19"/>
          <w:szCs w:val="19"/>
          <w:color w:val="auto"/>
        </w:rPr>
        <w:t>designs and techniques and any other proprietary technology and all Proprietary Rights therein (collectively,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 (2) information</w:t>
      </w:r>
    </w:p>
    <w:p>
      <w:pPr>
        <w:ind w:right="180"/>
        <w:spacing w:after="0" w:line="215" w:lineRule="auto"/>
        <w:rPr>
          <w:sz w:val="20"/>
          <w:szCs w:val="20"/>
          <w:color w:val="auto"/>
        </w:rPr>
      </w:pPr>
      <w:r>
        <w:rPr>
          <w:rFonts w:ascii="Times New Roman" w:cs="Times New Roman" w:eastAsia="Times New Roman" w:hAnsi="Times New Roman"/>
          <w:sz w:val="19"/>
          <w:szCs w:val="19"/>
          <w:color w:val="auto"/>
        </w:rPr>
        <w:t>regarding research, development, new products, marketing and selling, business plans, budgets and unpublished financial statements, licenses, prices and costs, margins, discounts, credit terms, pricing and billing policies, quoting procedures, methods of obtaining business,</w:t>
      </w:r>
    </w:p>
    <w:p>
      <w:pPr>
        <w:spacing w:after="0" w:line="211" w:lineRule="auto"/>
        <w:rPr>
          <w:sz w:val="20"/>
          <w:szCs w:val="20"/>
          <w:color w:val="auto"/>
        </w:rPr>
      </w:pPr>
      <w:r>
        <w:rPr>
          <w:rFonts w:ascii="Times New Roman" w:cs="Times New Roman" w:eastAsia="Times New Roman" w:hAnsi="Times New Roman"/>
          <w:sz w:val="20"/>
          <w:szCs w:val="20"/>
          <w:color w:val="auto"/>
        </w:rPr>
        <w:t>forecasts, future plans and potential strategies, financial projections and business strategies, operational plans, financing and capital- raising</w:t>
      </w:r>
    </w:p>
    <w:p>
      <w:pPr>
        <w:spacing w:after="0" w:line="215" w:lineRule="auto"/>
        <w:rPr>
          <w:sz w:val="20"/>
          <w:szCs w:val="20"/>
          <w:color w:val="auto"/>
        </w:rPr>
      </w:pPr>
      <w:r>
        <w:rPr>
          <w:rFonts w:ascii="Times New Roman" w:cs="Times New Roman" w:eastAsia="Times New Roman" w:hAnsi="Times New Roman"/>
          <w:sz w:val="19"/>
          <w:szCs w:val="19"/>
          <w:color w:val="auto"/>
        </w:rPr>
        <w:t>plans, activities and agreements, internal services and operational manuals, methods of conducting Company business, suppliers and supplier information, and purchasing; (3) information regarding Customers and potential Customers of the Company and its Subsidiaries, including</w:t>
      </w:r>
    </w:p>
    <w:p>
      <w:pPr>
        <w:spacing w:after="0" w:line="211" w:lineRule="auto"/>
        <w:rPr>
          <w:sz w:val="20"/>
          <w:szCs w:val="20"/>
          <w:color w:val="auto"/>
        </w:rPr>
      </w:pPr>
      <w:r>
        <w:rPr>
          <w:rFonts w:ascii="Times New Roman" w:cs="Times New Roman" w:eastAsia="Times New Roman" w:hAnsi="Times New Roman"/>
          <w:sz w:val="20"/>
          <w:szCs w:val="20"/>
          <w:color w:val="auto"/>
        </w:rPr>
        <w:t>customer lists, names, representatives, their needs or desires with respect to the types of products or services offered by the Company,</w:t>
      </w:r>
    </w:p>
    <w:p>
      <w:pPr>
        <w:ind w:right="140"/>
        <w:spacing w:after="0" w:line="215" w:lineRule="auto"/>
        <w:rPr>
          <w:sz w:val="20"/>
          <w:szCs w:val="20"/>
          <w:color w:val="auto"/>
        </w:rPr>
      </w:pPr>
      <w:r>
        <w:rPr>
          <w:rFonts w:ascii="Times New Roman" w:cs="Times New Roman" w:eastAsia="Times New Roman" w:hAnsi="Times New Roman"/>
          <w:sz w:val="19"/>
          <w:szCs w:val="19"/>
          <w:color w:val="auto"/>
        </w:rPr>
        <w:t>proposals, bids, contracts and their contents and parties, the type and quantity of products and services provided or sought to be provided to Customers and potential Customers of the Company and other non-public information relating to Customers and potential Customers; (4)</w:t>
      </w:r>
    </w:p>
    <w:p>
      <w:pPr>
        <w:spacing w:after="0" w:line="222" w:lineRule="auto"/>
        <w:rPr>
          <w:sz w:val="20"/>
          <w:szCs w:val="20"/>
          <w:color w:val="auto"/>
        </w:rPr>
      </w:pPr>
      <w:r>
        <w:rPr>
          <w:rFonts w:ascii="Times New Roman" w:cs="Times New Roman" w:eastAsia="Times New Roman" w:hAnsi="Times New Roman"/>
          <w:sz w:val="19"/>
          <w:szCs w:val="19"/>
          <w:color w:val="auto"/>
        </w:rPr>
        <w:t>information regarding any of the Company’s business partners and their services, including names, representatives, proposals, bids, contracts</w:t>
      </w:r>
    </w:p>
    <w:p>
      <w:pPr>
        <w:ind w:right="280"/>
        <w:spacing w:after="0" w:line="215" w:lineRule="auto"/>
        <w:rPr>
          <w:sz w:val="20"/>
          <w:szCs w:val="20"/>
          <w:color w:val="auto"/>
        </w:rPr>
      </w:pPr>
      <w:r>
        <w:rPr>
          <w:rFonts w:ascii="Times New Roman" w:cs="Times New Roman" w:eastAsia="Times New Roman" w:hAnsi="Times New Roman"/>
          <w:sz w:val="19"/>
          <w:szCs w:val="19"/>
          <w:color w:val="auto"/>
        </w:rPr>
        <w:t>and their contents and parties, the type and quantity of products and services received by the Company, and other non- public information relating to business partners that Grantee acquires as a result of their employment; (5) information regarding personnel, employee lists,</w:t>
      </w:r>
    </w:p>
    <w:p>
      <w:pPr>
        <w:ind w:right="860"/>
        <w:spacing w:after="0" w:line="228" w:lineRule="auto"/>
        <w:rPr>
          <w:sz w:val="20"/>
          <w:szCs w:val="20"/>
          <w:color w:val="auto"/>
        </w:rPr>
      </w:pPr>
      <w:r>
        <w:rPr>
          <w:rFonts w:ascii="Times New Roman" w:cs="Times New Roman" w:eastAsia="Times New Roman" w:hAnsi="Times New Roman"/>
          <w:sz w:val="20"/>
          <w:szCs w:val="20"/>
          <w:color w:val="auto"/>
        </w:rPr>
        <w:t>compensation, and employee skills; and (6) any other non-public information which a competitor of the Company could use to the competitive disadvantage of the Company.</w:t>
      </w:r>
    </w:p>
    <w:p>
      <w:pPr>
        <w:spacing w:after="0" w:line="189" w:lineRule="exact"/>
        <w:rPr>
          <w:sz w:val="20"/>
          <w:szCs w:val="20"/>
          <w:color w:val="auto"/>
        </w:rPr>
      </w:pPr>
    </w:p>
    <w:p>
      <w:pPr>
        <w:ind w:firstLine="656"/>
        <w:spacing w:after="0" w:line="222" w:lineRule="auto"/>
        <w:tabs>
          <w:tab w:leader="none" w:pos="13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To the extent allowed by and consistent with applicable law, the Grantee agrees that, for one year after Separation from Service, the Grantee will not, directly or indirectly, on behalf of the Grantee or any other person or entity other than the Company, perform on or support any program, or provide oversight on any program, product, or service in which the Grantee was personally and/or substantially involved during the 12 months prior to Separation from Service:</w:t>
      </w:r>
    </w:p>
    <w:p>
      <w:pPr>
        <w:spacing w:after="0" w:line="175" w:lineRule="exact"/>
        <w:rPr>
          <w:rFonts w:ascii="Times New Roman" w:cs="Times New Roman" w:eastAsia="Times New Roman" w:hAnsi="Times New Roman"/>
          <w:sz w:val="20"/>
          <w:szCs w:val="20"/>
          <w:color w:val="auto"/>
        </w:rPr>
      </w:pPr>
    </w:p>
    <w:p>
      <w:pPr>
        <w:ind w:left="1920" w:right="340" w:hanging="643"/>
        <w:spacing w:after="0"/>
        <w:tabs>
          <w:tab w:leader="none" w:pos="1918"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more likely than not cause the Grantee to use, disclose, or access Proprietary Information of any such program, product, or service; or</w:t>
      </w:r>
    </w:p>
    <w:p>
      <w:pPr>
        <w:spacing w:after="0" w:line="80" w:lineRule="exact"/>
        <w:rPr>
          <w:rFonts w:ascii="Times New Roman" w:cs="Times New Roman" w:eastAsia="Times New Roman" w:hAnsi="Times New Roman"/>
          <w:sz w:val="20"/>
          <w:szCs w:val="20"/>
          <w:color w:val="auto"/>
        </w:rPr>
      </w:pPr>
    </w:p>
    <w:p>
      <w:pPr>
        <w:ind w:left="1920" w:right="420" w:hanging="643"/>
        <w:spacing w:after="0"/>
        <w:tabs>
          <w:tab w:leader="none" w:pos="1919"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competitive with any such program, product, or service and where the Grantee’s new responsibilities and duties will be similar to those previously held with the Company or any Subsidiary; or</w:t>
      </w:r>
    </w:p>
    <w:p>
      <w:pPr>
        <w:spacing w:after="0" w:line="80" w:lineRule="exact"/>
        <w:rPr>
          <w:rFonts w:ascii="Times New Roman" w:cs="Times New Roman" w:eastAsia="Times New Roman" w:hAnsi="Times New Roman"/>
          <w:sz w:val="20"/>
          <w:szCs w:val="20"/>
          <w:color w:val="auto"/>
        </w:rPr>
      </w:pPr>
    </w:p>
    <w:p>
      <w:pPr>
        <w:ind w:left="1920" w:right="60" w:hanging="643"/>
        <w:spacing w:after="0" w:line="237" w:lineRule="auto"/>
        <w:tabs>
          <w:tab w:leader="none" w:pos="192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associated with any program, product or service that was the subject of any capture effort, bid, offer or proposal activity by the Company or any Subsidiary in which the Grantee was personally and substantially involved during the 12 months prior to Separation from Service and of which the Grantee possesses Proprietary Information.</w:t>
      </w:r>
    </w:p>
    <w:p>
      <w:pPr>
        <w:spacing w:after="0" w:line="189" w:lineRule="exact"/>
        <w:rPr>
          <w:rFonts w:ascii="Times New Roman" w:cs="Times New Roman" w:eastAsia="Times New Roman" w:hAnsi="Times New Roman"/>
          <w:sz w:val="19"/>
          <w:szCs w:val="19"/>
          <w:color w:val="auto"/>
        </w:rPr>
      </w:pPr>
    </w:p>
    <w:p>
      <w:pPr>
        <w:ind w:right="300" w:firstLine="656"/>
        <w:spacing w:after="0" w:line="226" w:lineRule="auto"/>
        <w:tabs>
          <w:tab w:leader="none" w:pos="131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Grantee acknowledges and agrees that a breach of any of the promises or agreements contained in this Section 7 will result in immediate, irreparable and continuing damage to the Company and its Subsidiaries for which there is no adequate remedy at law, and the Company and its</w:t>
      </w:r>
    </w:p>
    <w:p>
      <w:pPr>
        <w:sectPr>
          <w:pgSz w:w="11900" w:h="16838" w:orient="portrait"/>
          <w:cols w:equalWidth="0" w:num="1">
            <w:col w:w="11180"/>
          </w:cols>
          <w:pgMar w:left="320" w:top="1116" w:right="399" w:bottom="1440" w:gutter="0" w:footer="0" w:header="0"/>
        </w:sectPr>
      </w:pPr>
    </w:p>
    <w:bookmarkStart w:id="173" w:name="page174"/>
    <w:bookmarkEnd w:id="173"/>
    <w:p>
      <w:pPr>
        <w:ind w:left="19" w:right="620"/>
        <w:spacing w:after="0" w:line="234" w:lineRule="auto"/>
        <w:rPr>
          <w:sz w:val="20"/>
          <w:szCs w:val="20"/>
          <w:color w:val="auto"/>
        </w:rPr>
      </w:pPr>
      <w:r>
        <w:rPr>
          <w:rFonts w:ascii="Times New Roman" w:cs="Times New Roman" w:eastAsia="Times New Roman" w:hAnsi="Times New Roman"/>
          <w:sz w:val="19"/>
          <w:szCs w:val="19"/>
          <w:color w:val="auto"/>
        </w:rPr>
        <w:t>Subsidiaries will be entitled to injunctive relief, a decree for specific performance, and other relief as may be proper, including money damages such as, but not limited to, the disgorgement of any profits, commissions, or fees realized by the Grantee, any subsequent</w:t>
      </w:r>
    </w:p>
    <w:p>
      <w:pPr>
        <w:spacing w:after="0" w:line="1" w:lineRule="exact"/>
        <w:rPr>
          <w:sz w:val="20"/>
          <w:szCs w:val="20"/>
          <w:color w:val="auto"/>
        </w:rPr>
      </w:pPr>
    </w:p>
    <w:p>
      <w:pPr>
        <w:ind w:left="19" w:right="40"/>
        <w:spacing w:after="0" w:line="215" w:lineRule="auto"/>
        <w:rPr>
          <w:sz w:val="20"/>
          <w:szCs w:val="20"/>
          <w:color w:val="auto"/>
        </w:rPr>
      </w:pPr>
      <w:r>
        <w:rPr>
          <w:rFonts w:ascii="Times New Roman" w:cs="Times New Roman" w:eastAsia="Times New Roman" w:hAnsi="Times New Roman"/>
          <w:sz w:val="19"/>
          <w:szCs w:val="19"/>
          <w:color w:val="auto"/>
        </w:rPr>
        <w:t>employers, any business owned or operated by the Grantee, or any of Grantee’s agents, heirs, or assigns because of any such breach. Furthermore, to the extent allowed by and consistent with applicable law and any applicable limitations period, if it is determined at any time</w:t>
      </w:r>
    </w:p>
    <w:p>
      <w:pPr>
        <w:ind w:left="19"/>
        <w:spacing w:after="0" w:line="211" w:lineRule="auto"/>
        <w:rPr>
          <w:sz w:val="20"/>
          <w:szCs w:val="20"/>
          <w:color w:val="auto"/>
        </w:rPr>
      </w:pPr>
      <w:r>
        <w:rPr>
          <w:rFonts w:ascii="Times New Roman" w:cs="Times New Roman" w:eastAsia="Times New Roman" w:hAnsi="Times New Roman"/>
          <w:sz w:val="20"/>
          <w:szCs w:val="20"/>
          <w:color w:val="auto"/>
        </w:rPr>
        <w:t>by the Company or any Subsidiary that the Grantee has materially breached any employment-related covenants, including the covenants in</w:t>
      </w:r>
    </w:p>
    <w:p>
      <w:pPr>
        <w:ind w:left="19" w:right="60"/>
        <w:spacing w:after="0" w:line="215" w:lineRule="auto"/>
        <w:rPr>
          <w:sz w:val="20"/>
          <w:szCs w:val="20"/>
          <w:color w:val="auto"/>
        </w:rPr>
      </w:pPr>
      <w:r>
        <w:rPr>
          <w:rFonts w:ascii="Times New Roman" w:cs="Times New Roman" w:eastAsia="Times New Roman" w:hAnsi="Times New Roman"/>
          <w:sz w:val="19"/>
          <w:szCs w:val="19"/>
          <w:color w:val="auto"/>
        </w:rPr>
        <w:t>this Section 7, the Company will be entitled to (i) cause any unvested portion of the Award to be immediately canceled without any payment of consideration by the Company and/or (ii) cause, upon written demand by the Company to the Grantee, that the Grantee promptly return to</w:t>
      </w:r>
    </w:p>
    <w:p>
      <w:pPr>
        <w:ind w:left="19"/>
        <w:spacing w:after="0" w:line="222" w:lineRule="auto"/>
        <w:rPr>
          <w:sz w:val="20"/>
          <w:szCs w:val="20"/>
          <w:color w:val="auto"/>
        </w:rPr>
      </w:pPr>
      <w:r>
        <w:rPr>
          <w:rFonts w:ascii="Times New Roman" w:cs="Times New Roman" w:eastAsia="Times New Roman" w:hAnsi="Times New Roman"/>
          <w:sz w:val="19"/>
          <w:szCs w:val="19"/>
          <w:color w:val="auto"/>
        </w:rPr>
        <w:t>the Company some or all of the shares of Stock (or proceeds received by the Grantee from such shares of Stock) paid to the Grantee pursuant</w:t>
      </w:r>
    </w:p>
    <w:p>
      <w:pPr>
        <w:ind w:left="19" w:right="420"/>
        <w:spacing w:after="0" w:line="221" w:lineRule="auto"/>
        <w:rPr>
          <w:sz w:val="20"/>
          <w:szCs w:val="20"/>
          <w:color w:val="auto"/>
        </w:rPr>
      </w:pPr>
      <w:r>
        <w:rPr>
          <w:rFonts w:ascii="Times New Roman" w:cs="Times New Roman" w:eastAsia="Times New Roman" w:hAnsi="Times New Roman"/>
          <w:sz w:val="20"/>
          <w:szCs w:val="20"/>
          <w:color w:val="auto"/>
        </w:rPr>
        <w:t>to this Agreement. If the Company must resort to litigation to enforce the Grantee’s obligation in (ii), the Company will be entitled to an award of reasonable attorneys' fees and costs should it prevail in the litigation.</w:t>
      </w:r>
    </w:p>
    <w:p>
      <w:pPr>
        <w:spacing w:after="0" w:line="121" w:lineRule="exact"/>
        <w:rPr>
          <w:sz w:val="20"/>
          <w:szCs w:val="20"/>
          <w:color w:val="auto"/>
        </w:rPr>
      </w:pPr>
    </w:p>
    <w:p>
      <w:pPr>
        <w:ind w:left="639" w:right="160" w:hanging="639"/>
        <w:spacing w:after="0" w:line="215" w:lineRule="auto"/>
        <w:tabs>
          <w:tab w:leader="none" w:pos="63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Interference with Rights</w:t>
      </w:r>
      <w:r>
        <w:rPr>
          <w:rFonts w:ascii="Times New Roman" w:cs="Times New Roman" w:eastAsia="Times New Roman" w:hAnsi="Times New Roman"/>
          <w:sz w:val="20"/>
          <w:szCs w:val="20"/>
          <w:color w:val="auto"/>
        </w:rPr>
        <w:t>. Grantee understands that Grantee shall not be held criminally or civilly liable under any U.S. or non-U.S. federal or state trade secret law for the disclosure of a trade secret that: (1) is made in confidence to a U.S. or non-U.S.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The Grantee also understands that disclosure of trade secrets to attorneys, made under seal, or pursuant to court order is also protected under 18 U.S. Code § 1833 in a retaliation lawsuit based on the reporting of a suspected violation of law.</w:t>
      </w: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659" w:hanging="633"/>
        <w:spacing w:after="0"/>
        <w:tabs>
          <w:tab w:leader="none" w:pos="659"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19" w:right="200" w:firstLine="656"/>
        <w:spacing w:after="0" w:line="220" w:lineRule="auto"/>
        <w:tabs>
          <w:tab w:leader="none" w:pos="1305"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which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187" w:lineRule="exact"/>
        <w:rPr>
          <w:rFonts w:ascii="Times New Roman" w:cs="Times New Roman" w:eastAsia="Times New Roman" w:hAnsi="Times New Roman"/>
          <w:sz w:val="20"/>
          <w:szCs w:val="20"/>
          <w:color w:val="auto"/>
        </w:rPr>
      </w:pPr>
    </w:p>
    <w:p>
      <w:pPr>
        <w:ind w:left="19" w:right="60" w:firstLine="656"/>
        <w:spacing w:after="0"/>
        <w:tabs>
          <w:tab w:leader="none" w:pos="1303"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hereto of a breach of any provision of this Agreement shall not operate or be construed as a waiver of any other or subsequent breach.</w:t>
      </w:r>
    </w:p>
    <w:p>
      <w:pPr>
        <w:spacing w:after="0" w:line="174" w:lineRule="exact"/>
        <w:rPr>
          <w:rFonts w:ascii="Times New Roman" w:cs="Times New Roman" w:eastAsia="Times New Roman" w:hAnsi="Times New Roman"/>
          <w:sz w:val="20"/>
          <w:szCs w:val="20"/>
          <w:color w:val="auto"/>
        </w:rPr>
      </w:pPr>
    </w:p>
    <w:p>
      <w:pPr>
        <w:ind w:left="19" w:right="540" w:firstLine="656"/>
        <w:spacing w:after="0"/>
        <w:tabs>
          <w:tab w:leader="none" w:pos="1305"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constitute the entire agreement between the parties with respect to the subject matter hereof. Any prior agreements, commitments or negotiations concerning the Award are superseded.</w:t>
      </w:r>
    </w:p>
    <w:p>
      <w:pPr>
        <w:spacing w:after="0" w:line="188" w:lineRule="exact"/>
        <w:rPr>
          <w:rFonts w:ascii="Times New Roman" w:cs="Times New Roman" w:eastAsia="Times New Roman" w:hAnsi="Times New Roman"/>
          <w:sz w:val="20"/>
          <w:szCs w:val="20"/>
          <w:color w:val="auto"/>
        </w:rPr>
      </w:pPr>
    </w:p>
    <w:p>
      <w:pPr>
        <w:ind w:left="19" w:right="100" w:firstLine="656"/>
        <w:spacing w:after="0" w:line="222" w:lineRule="auto"/>
        <w:tabs>
          <w:tab w:leader="none" w:pos="1303"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This Agreement shall inure to the benefit of and be binding upon the parties hereto and to the extent not prohibited herein, their respective heirs, successors, assigns and representatives. Nothing in this Agreement, express or implied, is intended to confer on any person other than the parties hereto and as provided above, their respective heirs, successors, assigns and representatives any rights, remedies, obligations or liabilities.</w:t>
      </w:r>
    </w:p>
    <w:p>
      <w:pPr>
        <w:spacing w:after="0" w:line="188" w:lineRule="exact"/>
        <w:rPr>
          <w:rFonts w:ascii="Times New Roman" w:cs="Times New Roman" w:eastAsia="Times New Roman" w:hAnsi="Times New Roman"/>
          <w:sz w:val="20"/>
          <w:szCs w:val="20"/>
          <w:color w:val="auto"/>
        </w:rPr>
      </w:pPr>
    </w:p>
    <w:p>
      <w:pPr>
        <w:ind w:left="19" w:right="240" w:firstLine="656"/>
        <w:spacing w:after="0"/>
        <w:tabs>
          <w:tab w:leader="none" w:pos="1305"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without giving effect to the principles of conflicts of law, and applicable U.S. federal law.</w:t>
      </w:r>
    </w:p>
    <w:p>
      <w:pPr>
        <w:spacing w:after="0" w:line="269" w:lineRule="exact"/>
        <w:rPr>
          <w:rFonts w:ascii="Times New Roman" w:cs="Times New Roman" w:eastAsia="Times New Roman" w:hAnsi="Times New Roman"/>
          <w:sz w:val="20"/>
          <w:szCs w:val="20"/>
          <w:color w:val="auto"/>
        </w:rPr>
      </w:pPr>
    </w:p>
    <w:p>
      <w:pPr>
        <w:ind w:left="19" w:firstLine="656"/>
        <w:spacing w:after="0" w:line="244" w:lineRule="auto"/>
        <w:tabs>
          <w:tab w:leader="none" w:pos="131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Any legal or equitable action or any proceeding arising directly, indirectly, or otherwise in connection with, out of, related to or from the Agreement, or any provision hereof, shall exclusively be filed and adjudicated in the Circuit Court for Fairfax County, Virginia, or the United States District Court for the Eastern District of Virginia, Alexandria Division, and no other venue. Any arbitration will be conducted according to the terms of the applicable arbitration agreement.</w:t>
      </w:r>
    </w:p>
    <w:p>
      <w:pPr>
        <w:sectPr>
          <w:pgSz w:w="11900" w:h="16838" w:orient="portrait"/>
          <w:cols w:equalWidth="0" w:num="1">
            <w:col w:w="11239"/>
          </w:cols>
          <w:pgMar w:left="301" w:top="940" w:right="359" w:bottom="1440" w:gutter="0" w:footer="0" w:header="0"/>
        </w:sectPr>
      </w:pPr>
    </w:p>
    <w:bookmarkStart w:id="174" w:name="page175"/>
    <w:bookmarkEnd w:id="174"/>
    <w:p>
      <w:pPr>
        <w:ind w:left="-7" w:right="40" w:firstLine="656"/>
        <w:spacing w:after="0"/>
        <w:tabs>
          <w:tab w:leader="none" w:pos="127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herein are for the sole purpose of convenience of reference, and shall not in any way limit or affect the meaning or interpretation of any of the terms or provisions of this Agreement.</w:t>
      </w:r>
    </w:p>
    <w:p>
      <w:pPr>
        <w:spacing w:after="0" w:line="188" w:lineRule="exact"/>
        <w:rPr>
          <w:rFonts w:ascii="Times New Roman" w:cs="Times New Roman" w:eastAsia="Times New Roman" w:hAnsi="Times New Roman"/>
          <w:sz w:val="20"/>
          <w:szCs w:val="20"/>
          <w:color w:val="auto"/>
        </w:rPr>
      </w:pPr>
    </w:p>
    <w:p>
      <w:pPr>
        <w:ind w:left="-7" w:firstLine="656"/>
        <w:spacing w:after="0" w:line="216" w:lineRule="auto"/>
        <w:tabs>
          <w:tab w:leader="none" w:pos="127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 Amendment</w:t>
      </w:r>
      <w:r>
        <w:rPr>
          <w:rFonts w:ascii="Times New Roman" w:cs="Times New Roman" w:eastAsia="Times New Roman" w:hAnsi="Times New Roman"/>
          <w:sz w:val="20"/>
          <w:szCs w:val="20"/>
          <w:color w:val="auto"/>
        </w:rPr>
        <w:t>. The provisions of the Plan are incorporated in this Agreement in their entirety. In the event of any conflict between the provisions of this Agreement and the Plan, the provisions of the Plan shall control. This Agreement may be amended at any time by the Committee, provided that no amendment may, without the consent of the Grantee, materially impair the Grantee’s rights with respect to the Award, except as otherwise required pursuant to Section 9(l) below. The Committee shall have full authority and discretion, subject only to the terms of the Plan, to decide all matters relating to the administration or interpretation of the Plan, the Award, and the Agreement, and all such action by the Committee shall be final, conclusive, and binding upon the Company and the Grantee.</w:t>
      </w:r>
    </w:p>
    <w:p>
      <w:pPr>
        <w:spacing w:after="0" w:line="189" w:lineRule="exact"/>
        <w:rPr>
          <w:rFonts w:ascii="Times New Roman" w:cs="Times New Roman" w:eastAsia="Times New Roman" w:hAnsi="Times New Roman"/>
          <w:sz w:val="20"/>
          <w:szCs w:val="20"/>
          <w:color w:val="auto"/>
        </w:rPr>
      </w:pPr>
    </w:p>
    <w:p>
      <w:pPr>
        <w:ind w:left="-7" w:right="220" w:firstLine="656"/>
        <w:spacing w:after="0" w:line="226" w:lineRule="auto"/>
        <w:tabs>
          <w:tab w:leader="none" w:pos="128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this Agreement shall confer upon the Grantee any right to continue in the Service of the Company or any Subsidiary or affect the right of the Company or any Subsidiary to terminate the Grantee’s Service at any time.</w:t>
      </w:r>
    </w:p>
    <w:p>
      <w:pPr>
        <w:spacing w:after="0" w:line="187" w:lineRule="exact"/>
        <w:rPr>
          <w:rFonts w:ascii="Times New Roman" w:cs="Times New Roman" w:eastAsia="Times New Roman" w:hAnsi="Times New Roman"/>
          <w:sz w:val="20"/>
          <w:szCs w:val="20"/>
          <w:color w:val="auto"/>
        </w:rPr>
      </w:pPr>
    </w:p>
    <w:p>
      <w:pPr>
        <w:jc w:val="both"/>
        <w:ind w:left="-7" w:right="60" w:firstLine="656"/>
        <w:spacing w:after="0" w:line="226" w:lineRule="auto"/>
        <w:tabs>
          <w:tab w:leader="none" w:pos="128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Grantee agrees, upon demand of the Company or the Committee, to do all acts and execute, deliver and perform all additional documents, instruments and agreements which may be reasonably required by the Company or the Committee, as the case may be, to implement the provisions and purposes of this Agreement and the Plan.</w:t>
      </w:r>
    </w:p>
    <w:p>
      <w:pPr>
        <w:spacing w:after="0" w:line="187" w:lineRule="exact"/>
        <w:rPr>
          <w:rFonts w:ascii="Times New Roman" w:cs="Times New Roman" w:eastAsia="Times New Roman" w:hAnsi="Times New Roman"/>
          <w:sz w:val="20"/>
          <w:szCs w:val="20"/>
          <w:color w:val="auto"/>
        </w:rPr>
      </w:pPr>
    </w:p>
    <w:p>
      <w:pPr>
        <w:ind w:left="-7" w:right="40" w:firstLine="656"/>
        <w:spacing w:after="0" w:line="222" w:lineRule="auto"/>
        <w:tabs>
          <w:tab w:leader="none" w:pos="127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Appendices</w:t>
      </w:r>
      <w:r>
        <w:rPr>
          <w:rFonts w:ascii="Times New Roman" w:cs="Times New Roman" w:eastAsia="Times New Roman" w:hAnsi="Times New Roman"/>
          <w:sz w:val="20"/>
          <w:szCs w:val="20"/>
          <w:color w:val="auto"/>
        </w:rPr>
        <w:t>. By accepting this Award, the Grantee acknowledges and agrees that, should the Grantee reside and/or work in a country outside the United States at any time during the life of the Award, this Award is subject to the additional terms set forth in the Appendices A and B hereto. Appendices A and B constitute part of this Agreement. Please review the provisions of Appendices A and B carefully, as this Award will be null and void absent the Grantee’s acceptance of such provisions.</w:t>
      </w:r>
    </w:p>
    <w:p>
      <w:pPr>
        <w:spacing w:after="0" w:line="175" w:lineRule="exact"/>
        <w:rPr>
          <w:rFonts w:ascii="Times New Roman" w:cs="Times New Roman" w:eastAsia="Times New Roman" w:hAnsi="Times New Roman"/>
          <w:sz w:val="20"/>
          <w:szCs w:val="20"/>
          <w:color w:val="auto"/>
        </w:rPr>
      </w:pPr>
    </w:p>
    <w:p>
      <w:pPr>
        <w:ind w:left="-7" w:right="40" w:firstLine="656"/>
        <w:spacing w:after="0" w:line="230" w:lineRule="auto"/>
        <w:tabs>
          <w:tab w:leader="none" w:pos="128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Award to the extent that the Company determines it is necessary or advisable in order to comply with local law or facilitate the administration of the Award and to require the Grantee to sign any additional agreements or undertakings that may be necessary to accomplish the foregoing.</w:t>
      </w:r>
    </w:p>
    <w:p>
      <w:pPr>
        <w:spacing w:after="0" w:line="175" w:lineRule="exact"/>
        <w:rPr>
          <w:rFonts w:ascii="Times New Roman" w:cs="Times New Roman" w:eastAsia="Times New Roman" w:hAnsi="Times New Roman"/>
          <w:sz w:val="20"/>
          <w:szCs w:val="20"/>
          <w:color w:val="auto"/>
        </w:rPr>
      </w:pPr>
    </w:p>
    <w:p>
      <w:pPr>
        <w:ind w:left="-7" w:right="120" w:firstLine="656"/>
        <w:spacing w:after="0" w:line="220" w:lineRule="auto"/>
        <w:tabs>
          <w:tab w:leader="none" w:pos="1277"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Recovery of Compensation</w:t>
      </w:r>
      <w:r>
        <w:rPr>
          <w:rFonts w:ascii="Times New Roman" w:cs="Times New Roman" w:eastAsia="Times New Roman" w:hAnsi="Times New Roman"/>
          <w:sz w:val="20"/>
          <w:szCs w:val="20"/>
          <w:color w:val="auto"/>
        </w:rPr>
        <w:t>. In accordance with Section 3.3 of the Plan, the Award is subject to the requirements of (i) Section 954 of the U.S. Dodd-Frank Wall Street Reform and Consumer Protection Act (regarding recovery of erroneously awarded compensation) and any implementing rules and regulations thereunder, (ii) any policies adopted by the Company to implement such requirements, and (iii) the Company’s compensation recoupment policy as amended and restated on June 26, 2023, as in effect from time to time (the “Compensation Recoupment Policy”), all to the extent determined by the Committee to be applicable to the Grantee.</w:t>
      </w:r>
    </w:p>
    <w:p>
      <w:pPr>
        <w:spacing w:after="0" w:line="174" w:lineRule="exact"/>
        <w:rPr>
          <w:rFonts w:ascii="Times New Roman" w:cs="Times New Roman" w:eastAsia="Times New Roman" w:hAnsi="Times New Roman"/>
          <w:sz w:val="20"/>
          <w:szCs w:val="20"/>
          <w:color w:val="auto"/>
        </w:rPr>
      </w:pPr>
    </w:p>
    <w:p>
      <w:pPr>
        <w:ind w:left="-7" w:right="180" w:firstLine="656"/>
        <w:spacing w:after="0"/>
        <w:tabs>
          <w:tab w:leader="none" w:pos="127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w:t>
      </w:r>
      <w:r>
        <w:rPr>
          <w:rFonts w:ascii="Times New Roman" w:cs="Times New Roman" w:eastAsia="Times New Roman" w:hAnsi="Times New Roman"/>
          <w:sz w:val="20"/>
          <w:szCs w:val="20"/>
          <w:color w:val="auto"/>
        </w:rPr>
        <w:t>ity. The provisions of this Agreement are severable and if any one or more provisions are determined to be illegal or otherwise unenforceable, in whole or in part, the remaining provisions shall nevertheless be binding and enforceable.</w:t>
      </w:r>
    </w:p>
    <w:p>
      <w:pPr>
        <w:spacing w:after="0" w:line="188" w:lineRule="exact"/>
        <w:rPr>
          <w:rFonts w:ascii="Times New Roman" w:cs="Times New Roman" w:eastAsia="Times New Roman" w:hAnsi="Times New Roman"/>
          <w:sz w:val="20"/>
          <w:szCs w:val="20"/>
          <w:color w:val="auto"/>
        </w:rPr>
      </w:pPr>
    </w:p>
    <w:p>
      <w:pPr>
        <w:ind w:left="-7" w:firstLine="656"/>
        <w:spacing w:after="0" w:line="222" w:lineRule="auto"/>
        <w:tabs>
          <w:tab w:leader="none" w:pos="1276"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20"/>
          <w:szCs w:val="20"/>
          <w:color w:val="auto"/>
        </w:rPr>
      </w:pPr>
    </w:p>
    <w:p>
      <w:pPr>
        <w:ind w:left="653" w:right="60" w:hanging="653"/>
        <w:spacing w:after="0" w:line="222" w:lineRule="auto"/>
        <w:tabs>
          <w:tab w:leader="none" w:pos="6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Grantee’s participation in the Plan or the Grantee’s acquisition of any shares of Stock under the Plan or subsequent sale of such shares of Stock. The Grantee should consult with the Grantee’s personal tax, legal and financial advisors regarding the Grantee’s participation in the Plan before taking any action in relation thereto.</w:t>
      </w:r>
    </w:p>
    <w:p>
      <w:pPr>
        <w:spacing w:after="0" w:line="188" w:lineRule="exact"/>
        <w:rPr>
          <w:rFonts w:ascii="Times New Roman" w:cs="Times New Roman" w:eastAsia="Times New Roman" w:hAnsi="Times New Roman"/>
          <w:sz w:val="20"/>
          <w:szCs w:val="20"/>
          <w:color w:val="auto"/>
        </w:rPr>
      </w:pPr>
    </w:p>
    <w:p>
      <w:pPr>
        <w:ind w:left="653" w:right="200" w:hanging="653"/>
        <w:spacing w:after="0" w:line="237" w:lineRule="auto"/>
        <w:tabs>
          <w:tab w:leader="none" w:pos="637"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Trading/Market Abuse Laws</w:t>
      </w:r>
      <w:r>
        <w:rPr>
          <w:rFonts w:ascii="Times New Roman" w:cs="Times New Roman" w:eastAsia="Times New Roman" w:hAnsi="Times New Roman"/>
          <w:sz w:val="19"/>
          <w:szCs w:val="19"/>
          <w:color w:val="auto"/>
        </w:rPr>
        <w:t>. The Grantee acknowledges that he or she may be subject to insider trading restrictions and/or market abuse laws which may affect the Grantee’s ability to accept, acquire, sell or otherwise dispose of shares of Stock, rights to shares of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the Award) or rights linked to the value of Stock during such times as the Grantee is considered to have</w:t>
      </w:r>
    </w:p>
    <w:p>
      <w:pPr>
        <w:sectPr>
          <w:pgSz w:w="11900" w:h="16838" w:orient="portrait"/>
          <w:cols w:equalWidth="0" w:num="1">
            <w:col w:w="11193"/>
          </w:cols>
          <w:pgMar w:left="327" w:top="940" w:right="379" w:bottom="1440" w:gutter="0" w:footer="0" w:header="0"/>
        </w:sectPr>
      </w:pPr>
    </w:p>
    <w:bookmarkStart w:id="175" w:name="page176"/>
    <w:bookmarkEnd w:id="175"/>
    <w:p>
      <w:pPr>
        <w:ind w:right="140"/>
        <w:spacing w:after="0" w:line="222" w:lineRule="auto"/>
        <w:rPr>
          <w:sz w:val="20"/>
          <w:szCs w:val="20"/>
          <w:color w:val="auto"/>
        </w:rPr>
      </w:pPr>
      <w:r>
        <w:rPr>
          <w:rFonts w:ascii="Times New Roman" w:cs="Times New Roman" w:eastAsia="Times New Roman" w:hAnsi="Times New Roman"/>
          <w:sz w:val="20"/>
          <w:szCs w:val="20"/>
          <w:color w:val="auto"/>
        </w:rPr>
        <w:t>“inside information” regarding the Company (as defined by the laws in the applicable jurisdictions). Local insider trading laws and regulations may prohibit the cancellation or amendment of orders the Grantee placed before the Grantee possessed inside</w:t>
      </w:r>
    </w:p>
    <w:p>
      <w:pPr>
        <w:spacing w:after="0" w:line="2"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information. Furthermore, the Grantee could be prohibited from (i) disclosing the inside information to any third party, which may include fellow employees and (ii) “tipping” third parties or causing them otherwise to buy or sell securities. Any restrictions under</w:t>
      </w:r>
    </w:p>
    <w:p>
      <w:pPr>
        <w:spacing w:after="0" w:line="211" w:lineRule="auto"/>
        <w:rPr>
          <w:sz w:val="20"/>
          <w:szCs w:val="20"/>
          <w:color w:val="auto"/>
        </w:rPr>
      </w:pPr>
      <w:r>
        <w:rPr>
          <w:rFonts w:ascii="Times New Roman" w:cs="Times New Roman" w:eastAsia="Times New Roman" w:hAnsi="Times New Roman"/>
          <w:sz w:val="20"/>
          <w:szCs w:val="20"/>
          <w:color w:val="auto"/>
        </w:rPr>
        <w:t>these laws or regulations are separate from and in addition to any restrictions that may be imposed under the Company’s insider</w:t>
      </w:r>
    </w:p>
    <w:p>
      <w:pPr>
        <w:spacing w:after="0" w:line="215" w:lineRule="auto"/>
        <w:rPr>
          <w:sz w:val="20"/>
          <w:szCs w:val="20"/>
          <w:color w:val="auto"/>
        </w:rPr>
      </w:pPr>
      <w:r>
        <w:rPr>
          <w:rFonts w:ascii="Times New Roman" w:cs="Times New Roman" w:eastAsia="Times New Roman" w:hAnsi="Times New Roman"/>
          <w:sz w:val="19"/>
          <w:szCs w:val="19"/>
          <w:color w:val="auto"/>
        </w:rPr>
        <w:t>trading policy as may be in effect from time to time. The Grantee acknowledges that it is the Grantee’s responsibility to comply with any applicable insider trading restrictions and/or market abuse laws, and the Grantee should speak to his or her personal advisor on</w:t>
      </w:r>
    </w:p>
    <w:p>
      <w:pPr>
        <w:spacing w:after="0"/>
        <w:rPr>
          <w:sz w:val="20"/>
          <w:szCs w:val="20"/>
          <w:color w:val="auto"/>
        </w:rPr>
      </w:pPr>
      <w:r>
        <w:rPr>
          <w:rFonts w:ascii="Times New Roman" w:cs="Times New Roman" w:eastAsia="Times New Roman" w:hAnsi="Times New Roman"/>
          <w:sz w:val="20"/>
          <w:szCs w:val="20"/>
          <w:color w:val="auto"/>
        </w:rPr>
        <w:t>this matter.</w:t>
      </w:r>
    </w:p>
    <w:p>
      <w:pPr>
        <w:sectPr>
          <w:pgSz w:w="11900" w:h="16838" w:orient="portrait"/>
          <w:cols w:equalWidth="0" w:num="1">
            <w:col w:w="10500"/>
          </w:cols>
          <w:pgMar w:left="980" w:top="940" w:right="419" w:bottom="1440" w:gutter="0" w:footer="0" w:header="0"/>
        </w:sectPr>
      </w:pPr>
    </w:p>
    <w:bookmarkStart w:id="176" w:name="page177"/>
    <w:bookmarkEnd w:id="176"/>
    <w:p>
      <w:pPr>
        <w:jc w:val="center"/>
        <w:ind w:right="75"/>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20"/>
          <w:szCs w:val="20"/>
          <w:b w:val="1"/>
          <w:bCs w:val="1"/>
          <w:color w:val="auto"/>
        </w:rPr>
        <w:t>TO THE TERMS AND CONDITIONS OF RESTRICTED STOCK UNIT AWARD</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b w:val="1"/>
          <w:bCs w:val="1"/>
          <w:u w:val="single" w:color="auto"/>
          <w:color w:val="auto"/>
        </w:rPr>
        <w:t>General Additional Terms Applicable to Awards Held by Grantees Outside the U.S.</w:t>
      </w:r>
    </w:p>
    <w:p>
      <w:pPr>
        <w:spacing w:after="0" w:line="297" w:lineRule="exact"/>
        <w:rPr>
          <w:sz w:val="20"/>
          <w:szCs w:val="20"/>
          <w:color w:val="auto"/>
        </w:rPr>
      </w:pPr>
    </w:p>
    <w:p>
      <w:pPr>
        <w:ind w:left="645" w:hanging="645"/>
        <w:spacing w:after="0"/>
        <w:tabs>
          <w:tab w:leader="none" w:pos="64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color w:val="auto"/>
        </w:rPr>
      </w:pPr>
    </w:p>
    <w:p>
      <w:pPr>
        <w:ind w:left="645" w:right="20" w:firstLine="652"/>
        <w:spacing w:after="0" w:line="209" w:lineRule="auto"/>
        <w:tabs>
          <w:tab w:leader="none" w:pos="182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and the Employer collect, process and use certain personal information about the Grantee, including, but not limited to, the Grantee’s name, home address and telephone number, email address, date of birth, social insurance, passport or other identification number, salary, nationality, job title, any shares of Stock or directorships held in the Company, details of all Awards under the Plan or any other entitlement to shares of Stock or equivalent benefits awarded, canceled, exercised, vested, unvested or outstanding in the Grantee favor (“Data”), for the legitimate purpose of implementing, administering and managing the Grantee’s participation in the Plan. The legal basis, where required, for the processing of Data by the Company and the third-party service providers described below is the Grantee’s consent.</w:t>
      </w:r>
    </w:p>
    <w:p>
      <w:pPr>
        <w:spacing w:after="0" w:line="3" w:lineRule="exact"/>
        <w:rPr>
          <w:rFonts w:ascii="Times New Roman" w:cs="Times New Roman" w:eastAsia="Times New Roman" w:hAnsi="Times New Roman"/>
          <w:sz w:val="20"/>
          <w:szCs w:val="20"/>
          <w:color w:val="auto"/>
        </w:rPr>
      </w:pPr>
    </w:p>
    <w:p>
      <w:pPr>
        <w:ind w:left="645" w:firstLine="652"/>
        <w:spacing w:after="0" w:line="212" w:lineRule="auto"/>
        <w:tabs>
          <w:tab w:leader="none" w:pos="18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Computershare and certain of its affiliated companies (collectively, “Computershare”), an independent service provider based in the United States, which assists the Company with the implementation, administration and management of the Plan. The Grantee acknowledges and understands that Computershare will open an account for the Grantee to receive and trade shares of Stock acquired under the Plan and that the Grantee will be asked to agree on separate terms and data processing practices with Computershare, with such agreement being a condition to the ability to participate in the Plan. The legal basis, where required, for the transfer of Data by the Company to Computershare is the Grantee’s consent.</w:t>
      </w:r>
    </w:p>
    <w:p>
      <w:pPr>
        <w:spacing w:after="0" w:line="185" w:lineRule="exact"/>
        <w:rPr>
          <w:rFonts w:ascii="Times New Roman" w:cs="Times New Roman" w:eastAsia="Times New Roman" w:hAnsi="Times New Roman"/>
          <w:sz w:val="20"/>
          <w:szCs w:val="20"/>
          <w:color w:val="auto"/>
        </w:rPr>
      </w:pPr>
    </w:p>
    <w:p>
      <w:pPr>
        <w:ind w:left="645" w:right="180" w:firstLine="652"/>
        <w:spacing w:after="0" w:line="217" w:lineRule="auto"/>
        <w:tabs>
          <w:tab w:leader="none" w:pos="182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is based in the United States. The Grantee’s country or jurisdiction may have different data privacy laws and protections than the United States. As a result, in the absence of appropriate safeguards such as standard data protection clauses, the processing of the Grantee’s Data in the United States or, as the case may be, other countries might not be subject to substantive data processing principles or supervision by data protection authorities. In addition, the Grantee might not have enforceable rights regarding the processing of the Grantee’s Data in such countries. The Company’s legal basis, where required, for the transfer of Data is the Grantee’s consent.</w:t>
      </w:r>
    </w:p>
    <w:p>
      <w:pPr>
        <w:spacing w:after="0" w:line="183" w:lineRule="exact"/>
        <w:rPr>
          <w:rFonts w:ascii="Times New Roman" w:cs="Times New Roman" w:eastAsia="Times New Roman" w:hAnsi="Times New Roman"/>
          <w:sz w:val="20"/>
          <w:szCs w:val="20"/>
          <w:color w:val="auto"/>
        </w:rPr>
      </w:pPr>
    </w:p>
    <w:p>
      <w:pPr>
        <w:ind w:left="645" w:right="60" w:firstLine="652"/>
        <w:spacing w:after="0" w:line="223" w:lineRule="auto"/>
        <w:tabs>
          <w:tab w:leader="none" w:pos="182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the Grantee’s participation in the Plan, or as required to comply with applicable law, exercise or defense of legal rights, and archiving, back-up and deletion processes. This means Data may be held even after the Grantee’s employment or service is terminated.</w:t>
      </w:r>
    </w:p>
    <w:p>
      <w:pPr>
        <w:spacing w:after="0" w:line="184" w:lineRule="exact"/>
        <w:rPr>
          <w:rFonts w:ascii="Times New Roman" w:cs="Times New Roman" w:eastAsia="Times New Roman" w:hAnsi="Times New Roman"/>
          <w:sz w:val="20"/>
          <w:szCs w:val="20"/>
          <w:color w:val="auto"/>
        </w:rPr>
      </w:pPr>
    </w:p>
    <w:p>
      <w:pPr>
        <w:ind w:left="645" w:right="40" w:firstLine="652"/>
        <w:spacing w:after="0" w:line="217" w:lineRule="auto"/>
        <w:tabs>
          <w:tab w:leader="none" w:pos="182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the Grantee is providing any consents herein on a purely voluntary basis. The Grantee understands that the Grantee may withdraw his or her consent at any time with future effect for any or no reason. If the Grantee does not consent, or if the Grantee later seeks to revoke his or her consent, the Grantee’s Service with the Employer will not be affected; the only consequence of refusing or withdrawing the Grantee’s consent is that the Company would not be able to grant the Awards under the Plan or other equity awards to the Grantee or administer or maintain the Grantee’s participation in the Plan.</w:t>
      </w:r>
    </w:p>
    <w:p>
      <w:pPr>
        <w:spacing w:after="0" w:line="183" w:lineRule="exact"/>
        <w:rPr>
          <w:rFonts w:ascii="Times New Roman" w:cs="Times New Roman" w:eastAsia="Times New Roman" w:hAnsi="Times New Roman"/>
          <w:sz w:val="20"/>
          <w:szCs w:val="20"/>
          <w:color w:val="auto"/>
        </w:rPr>
      </w:pPr>
    </w:p>
    <w:p>
      <w:pPr>
        <w:ind w:left="645" w:right="120" w:firstLine="652"/>
        <w:spacing w:after="0" w:line="217" w:lineRule="auto"/>
        <w:tabs>
          <w:tab w:leader="none" w:pos="182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Grantee may have a number of rights under data privacy laws in the Grantee’s jurisdiction. Depending on where the Grantee is based, such rights may include the right to (i) request access or copies of Data the Company processes, (ii) rectification of incorrect Data, (iii) deletion of Data, (iv) restrictions on processing of Data, (v) portability of Data, (vi) lodge complaints with competent authorities in the Grantee’s jurisdiction, and/or (vii) receive a list with the names and addresses of any potential recipients of Data. To receive clarification regarding these rights or to exercise these rights, the Grantee can contact his or her local human resources representative.</w:t>
      </w:r>
    </w:p>
    <w:p>
      <w:pPr>
        <w:sectPr>
          <w:pgSz w:w="11900" w:h="16838" w:orient="portrait"/>
          <w:cols w:equalWidth="0" w:num="1">
            <w:col w:w="11105"/>
          </w:cols>
          <w:pgMar w:left="435" w:top="1004" w:right="359" w:bottom="1440" w:gutter="0" w:footer="0" w:header="0"/>
        </w:sectPr>
      </w:pPr>
    </w:p>
    <w:bookmarkStart w:id="177" w:name="page178"/>
    <w:bookmarkEnd w:id="177"/>
    <w:p>
      <w:pPr>
        <w:ind w:left="645" w:right="340" w:hanging="645"/>
        <w:spacing w:after="0"/>
        <w:tabs>
          <w:tab w:leader="none" w:pos="6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entering into this Agreement and accepting the grant of Units evidenced hereby, the Grantee acknowledges, understands and agrees that:</w:t>
      </w:r>
    </w:p>
    <w:p>
      <w:pPr>
        <w:spacing w:after="0" w:line="188" w:lineRule="exact"/>
        <w:rPr>
          <w:rFonts w:ascii="Times New Roman" w:cs="Times New Roman" w:eastAsia="Times New Roman" w:hAnsi="Times New Roman"/>
          <w:sz w:val="20"/>
          <w:szCs w:val="20"/>
          <w:color w:val="auto"/>
        </w:rPr>
      </w:pPr>
    </w:p>
    <w:p>
      <w:pPr>
        <w:ind w:left="625" w:firstLine="613"/>
        <w:spacing w:after="0" w:line="233" w:lineRule="auto"/>
        <w:tabs>
          <w:tab w:leader="none" w:pos="183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terminated, suspended or amended by the Company at any time, to the extent permitted by the Plan;</w:t>
      </w:r>
    </w:p>
    <w:p>
      <w:pPr>
        <w:spacing w:after="0" w:line="187" w:lineRule="exact"/>
        <w:rPr>
          <w:rFonts w:ascii="Times New Roman" w:cs="Times New Roman" w:eastAsia="Times New Roman" w:hAnsi="Times New Roman"/>
          <w:sz w:val="20"/>
          <w:szCs w:val="20"/>
          <w:color w:val="auto"/>
        </w:rPr>
      </w:pPr>
    </w:p>
    <w:p>
      <w:pPr>
        <w:ind w:left="625" w:right="560" w:firstLine="613"/>
        <w:spacing w:after="0"/>
        <w:tabs>
          <w:tab w:leader="none" w:pos="1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is exceptional, voluntary and occasional and does not create any contractual or other right to receive future awards of Units or benefits in lieu of Units, even if such awards have been awarded in the past;</w:t>
      </w:r>
    </w:p>
    <w:p>
      <w:pPr>
        <w:spacing w:after="0" w:line="174" w:lineRule="exact"/>
        <w:rPr>
          <w:rFonts w:ascii="Times New Roman" w:cs="Times New Roman" w:eastAsia="Times New Roman" w:hAnsi="Times New Roman"/>
          <w:sz w:val="20"/>
          <w:szCs w:val="20"/>
          <w:color w:val="auto"/>
        </w:rPr>
      </w:pPr>
    </w:p>
    <w:p>
      <w:pPr>
        <w:ind w:left="1845" w:hanging="607"/>
        <w:spacing w:after="0"/>
        <w:tabs>
          <w:tab w:leader="none" w:pos="184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awards,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625" w:right="40" w:firstLine="613"/>
        <w:spacing w:after="0" w:line="226" w:lineRule="auto"/>
        <w:tabs>
          <w:tab w:leader="none" w:pos="1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shall not create a right to Service or be interpreted as forming an employment or service contract with the Company or any other Subsidiary and shall not interfere with the ability of the Employer to terminate the Grantee’s Service relationship (if any) at any time;</w:t>
      </w:r>
    </w:p>
    <w:p>
      <w:pPr>
        <w:spacing w:after="0" w:line="187" w:lineRule="exact"/>
        <w:rPr>
          <w:rFonts w:ascii="Times New Roman" w:cs="Times New Roman" w:eastAsia="Times New Roman" w:hAnsi="Times New Roman"/>
          <w:sz w:val="20"/>
          <w:szCs w:val="20"/>
          <w:color w:val="auto"/>
        </w:rPr>
      </w:pPr>
    </w:p>
    <w:p>
      <w:pPr>
        <w:ind w:left="1845" w:hanging="607"/>
        <w:spacing w:after="0"/>
        <w:tabs>
          <w:tab w:leader="none" w:pos="184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voluntarily participating in the Plan;</w:t>
      </w:r>
    </w:p>
    <w:p>
      <w:pPr>
        <w:spacing w:after="0" w:line="215" w:lineRule="exact"/>
        <w:rPr>
          <w:rFonts w:ascii="Times New Roman" w:cs="Times New Roman" w:eastAsia="Times New Roman" w:hAnsi="Times New Roman"/>
          <w:sz w:val="20"/>
          <w:szCs w:val="20"/>
          <w:color w:val="auto"/>
        </w:rPr>
      </w:pPr>
    </w:p>
    <w:p>
      <w:pPr>
        <w:ind w:left="625" w:right="260" w:firstLine="613"/>
        <w:spacing w:after="0" w:line="222" w:lineRule="auto"/>
        <w:tabs>
          <w:tab w:leader="none" w:pos="1829"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and any payment made pursuant to the Units, and the income from and value of same, are not part of normal or expected compensation or salary for any purposes, including, but not limited to, calculating any severance, resignation, termination, redundancy, dismissal, end-of-service payments, bonuses, holiday pay, long-service awards, leave-related payments, pension or retirement benefits or welfare benefits or similar payments;</w:t>
      </w:r>
    </w:p>
    <w:p>
      <w:pPr>
        <w:spacing w:after="0" w:line="188" w:lineRule="exact"/>
        <w:rPr>
          <w:rFonts w:ascii="Times New Roman" w:cs="Times New Roman" w:eastAsia="Times New Roman" w:hAnsi="Times New Roman"/>
          <w:sz w:val="20"/>
          <w:szCs w:val="20"/>
          <w:color w:val="auto"/>
        </w:rPr>
      </w:pPr>
    </w:p>
    <w:p>
      <w:pPr>
        <w:ind w:left="625" w:right="380" w:firstLine="613"/>
        <w:spacing w:after="0" w:line="226" w:lineRule="auto"/>
        <w:tabs>
          <w:tab w:leader="none" w:pos="1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Award and any shares of Stock subject to the Award, and income from and value of same, are not granted as consideration for, or in connection with, any service the Grantee may provide as a director of any Subsidiary;</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625" w:right="1020" w:firstLine="613"/>
        <w:spacing w:after="0"/>
        <w:tabs>
          <w:tab w:leader="none" w:pos="1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of Stock which may be delivered in settlement of vested Units is unknown, indeterminable and cannot be predicted with certainty;</w:t>
      </w:r>
    </w:p>
    <w:p>
      <w:pPr>
        <w:spacing w:after="0" w:line="188" w:lineRule="exact"/>
        <w:rPr>
          <w:rFonts w:ascii="Times New Roman" w:cs="Times New Roman" w:eastAsia="Times New Roman" w:hAnsi="Times New Roman"/>
          <w:sz w:val="20"/>
          <w:szCs w:val="20"/>
          <w:color w:val="auto"/>
        </w:rPr>
      </w:pPr>
    </w:p>
    <w:p>
      <w:pPr>
        <w:ind w:left="625" w:right="320" w:firstLine="613"/>
        <w:spacing w:after="0" w:line="220" w:lineRule="auto"/>
        <w:tabs>
          <w:tab w:leader="none" w:pos="183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Units resulting from the Grantee’s Separation from Service (for any reason whatsoever, whether or not such termination is later found to be invalid or in breach of applicable laws in the jurisdiction where the Grantee is employed or the terms of the Grantee’s employment or service agreement, if any) or recoupment of all or any portion of any payment made pursuant to the Units as provided by the Company’s Compensation Recoupment Policy;</w:t>
      </w:r>
    </w:p>
    <w:p>
      <w:pPr>
        <w:spacing w:after="0" w:line="174" w:lineRule="exact"/>
        <w:rPr>
          <w:rFonts w:ascii="Times New Roman" w:cs="Times New Roman" w:eastAsia="Times New Roman" w:hAnsi="Times New Roman"/>
          <w:sz w:val="20"/>
          <w:szCs w:val="20"/>
          <w:color w:val="auto"/>
        </w:rPr>
      </w:pPr>
    </w:p>
    <w:p>
      <w:pPr>
        <w:ind w:left="625" w:right="20" w:firstLine="613"/>
        <w:spacing w:after="0" w:line="211" w:lineRule="auto"/>
        <w:tabs>
          <w:tab w:leader="none" w:pos="183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Units, the date of the Grantee’s Separation from Service (for any reason whatsoever, whether or not such termination is later found to be invalid or in breach of applicable laws in the jurisdiction where the Grantee is employed or the terms of the Grantee’s employment or service agreement, if any) will be deemed to occur as of the date the Grantee is no longer actively providing Service to the Company or any of its Subsidiaries, and unless otherwise expressly provided in this Agreement or otherwise determined by the Company, the Grantee’s right to vest in any portion of the Units (and any related dividend equivalents)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Grantee’s active employment or period of service would not include any contractual notice period or any period of “garden leave” or similar period mandated under applicable laws in the jurisdiction where the Grantee is employed or the terms of the Grantee’s employment or service agreement, if any). For the avoidance of doubt, actively providing Service during only a portion of the vesting period prior to a vesting date shall not entitle the Grantee to vest in a pro-rata portion of the unvested Units that would have vested as of such vesting date, nor will it entitle the Grantee to any compensation for lost vesting. The Company, in its sole discretion, shall determine when the Grantee is no longer actively providing Service for purposes of the Units (including whether the Grantee may still be considered to be actively providing Service while on an approved leave of absence);</w:t>
      </w:r>
    </w:p>
    <w:p>
      <w:pPr>
        <w:spacing w:after="0" w:line="193" w:lineRule="exact"/>
        <w:rPr>
          <w:rFonts w:ascii="Times New Roman" w:cs="Times New Roman" w:eastAsia="Times New Roman" w:hAnsi="Times New Roman"/>
          <w:sz w:val="20"/>
          <w:szCs w:val="20"/>
          <w:color w:val="auto"/>
        </w:rPr>
      </w:pPr>
    </w:p>
    <w:p>
      <w:pPr>
        <w:ind w:left="625" w:right="260" w:firstLine="613"/>
        <w:spacing w:after="0"/>
        <w:tabs>
          <w:tab w:leader="none" w:pos="1835"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Units and the benefits evidenced by this Agreement do not create any entitlement to have the Units or any</w:t>
      </w:r>
    </w:p>
    <w:p>
      <w:pPr>
        <w:sectPr>
          <w:pgSz w:w="11900" w:h="16838" w:orient="portrait"/>
          <w:cols w:equalWidth="0" w:num="1">
            <w:col w:w="11125"/>
          </w:cols>
          <w:pgMar w:left="435" w:top="940" w:right="339" w:bottom="1440" w:gutter="0" w:footer="0" w:header="0"/>
        </w:sectPr>
      </w:pPr>
    </w:p>
    <w:bookmarkStart w:id="178" w:name="page179"/>
    <w:bookmarkEnd w:id="178"/>
    <w:p>
      <w:pPr>
        <w:ind w:left="625" w:right="100"/>
        <w:spacing w:after="0"/>
        <w:rPr>
          <w:sz w:val="20"/>
          <w:szCs w:val="20"/>
          <w:color w:val="auto"/>
        </w:rPr>
      </w:pPr>
      <w:r>
        <w:rPr>
          <w:rFonts w:ascii="Times New Roman" w:cs="Times New Roman" w:eastAsia="Times New Roman" w:hAnsi="Times New Roman"/>
          <w:sz w:val="20"/>
          <w:szCs w:val="20"/>
          <w:color w:val="auto"/>
        </w:rPr>
        <w:t>such benefits transferred to, or assumed by, another company nor to be exchanged, cashed out or substituted for, in connection with any corporate transaction affecting the Stock; and</w:t>
      </w:r>
    </w:p>
    <w:p>
      <w:pPr>
        <w:spacing w:after="0" w:line="188" w:lineRule="exact"/>
        <w:rPr>
          <w:sz w:val="20"/>
          <w:szCs w:val="20"/>
          <w:color w:val="auto"/>
        </w:rPr>
      </w:pPr>
    </w:p>
    <w:p>
      <w:pPr>
        <w:ind w:left="625" w:right="280" w:firstLine="613"/>
        <w:spacing w:after="0" w:line="226" w:lineRule="auto"/>
        <w:tabs>
          <w:tab w:leader="none" w:pos="183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shall be liable for any foreign exchange rate fluctuation between the Grantee’s local currency and the United States Dollar that may affect the value of the Units, any payment made pursuant to the Units or the subsequent sale of any shares of Stock acquired under the Plan.</w:t>
      </w:r>
    </w:p>
    <w:p>
      <w:pPr>
        <w:spacing w:after="0" w:line="187" w:lineRule="exact"/>
        <w:rPr>
          <w:rFonts w:ascii="Times New Roman" w:cs="Times New Roman" w:eastAsia="Times New Roman" w:hAnsi="Times New Roman"/>
          <w:sz w:val="20"/>
          <w:szCs w:val="20"/>
          <w:color w:val="auto"/>
        </w:rPr>
      </w:pPr>
    </w:p>
    <w:p>
      <w:pPr>
        <w:ind w:left="645" w:hanging="645"/>
        <w:spacing w:after="0" w:line="217" w:lineRule="auto"/>
        <w:tabs>
          <w:tab w:leader="none" w:pos="6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Grantee acknowledges and represents that the Grantee is proficient in the English language or has consulted with an advisor who is sufficiently proficient in English, as to allow the Grantee to understand the terms of this Agreement and any other documents related to the Plan. If the Grantee has received this Agreement or any other document related to the Plan translated into a language other than English and if the meaning of the translated version differs from the English version, the English version shall control.</w:t>
      </w:r>
    </w:p>
    <w:p>
      <w:pPr>
        <w:spacing w:after="0" w:line="188" w:lineRule="exact"/>
        <w:rPr>
          <w:rFonts w:ascii="Times New Roman" w:cs="Times New Roman" w:eastAsia="Times New Roman" w:hAnsi="Times New Roman"/>
          <w:sz w:val="20"/>
          <w:szCs w:val="20"/>
          <w:color w:val="auto"/>
        </w:rPr>
      </w:pPr>
    </w:p>
    <w:p>
      <w:pPr>
        <w:ind w:left="645" w:right="80" w:hanging="645"/>
        <w:spacing w:after="0" w:line="213" w:lineRule="auto"/>
        <w:tabs>
          <w:tab w:leader="none" w:pos="6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Grantee may be subject to certain foreign asset and/or account reporting requirements and/or exchange controls which may affect the Grantee’s ability to acquire or hold shares of Stock acquired under the Plan or cash received from participating in the Plan (including from any dividend equivalents or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further acknowledges that it is the Grantee’s responsibility to comply with such regulations and that the Grantee should consult the Grantee’s personal legal advisor for any details.</w:t>
      </w:r>
    </w:p>
    <w:p>
      <w:pPr>
        <w:sectPr>
          <w:pgSz w:w="11900" w:h="16838" w:orient="portrait"/>
          <w:cols w:equalWidth="0" w:num="1">
            <w:col w:w="11125"/>
          </w:cols>
          <w:pgMar w:left="435" w:top="940" w:right="339" w:bottom="1440" w:gutter="0" w:footer="0" w:header="0"/>
        </w:sectPr>
      </w:pPr>
    </w:p>
    <w:bookmarkStart w:id="179" w:name="page180"/>
    <w:bookmarkEnd w:id="179"/>
    <w:p>
      <w:pPr>
        <w:jc w:val="center"/>
        <w:ind w:right="80"/>
        <w:spacing w:after="0"/>
        <w:rPr>
          <w:sz w:val="20"/>
          <w:szCs w:val="20"/>
          <w:color w:val="auto"/>
        </w:rPr>
      </w:pPr>
      <w:r>
        <w:rPr>
          <w:rFonts w:ascii="Arial" w:cs="Arial" w:eastAsia="Arial" w:hAnsi="Arial"/>
          <w:sz w:val="16"/>
          <w:szCs w:val="16"/>
          <w:color w:val="auto"/>
        </w:rPr>
        <w:t>Leidos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0"/>
          <w:szCs w:val="20"/>
          <w:b w:val="1"/>
          <w:bCs w:val="1"/>
          <w:color w:val="auto"/>
        </w:rPr>
        <w:t>TO THE TERMS AND CONDITIONS OF RESTRICTED STOCK UNIT AWARD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Country-Specific Additional Terms Applicable to Awards Held by Grantees Outside the 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otherwise defined herein shall have the meaning given to such terms in the Plan and/or this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Appendix B includes additional terms and conditions that govern the Grantee’s participation in the Plan if the Grantee resides and/or</w:t>
      </w:r>
    </w:p>
    <w:p>
      <w:pPr>
        <w:ind w:right="520"/>
        <w:spacing w:after="0" w:line="215" w:lineRule="auto"/>
        <w:rPr>
          <w:sz w:val="20"/>
          <w:szCs w:val="20"/>
          <w:color w:val="auto"/>
        </w:rPr>
      </w:pPr>
      <w:r>
        <w:rPr>
          <w:rFonts w:ascii="Times New Roman" w:cs="Times New Roman" w:eastAsia="Times New Roman" w:hAnsi="Times New Roman"/>
          <w:sz w:val="19"/>
          <w:szCs w:val="19"/>
          <w:color w:val="auto"/>
        </w:rPr>
        <w:t>works in one of the countries listed below. If the Grantee is a citizen or resident of a country other than the one in which he or she is currently residing and/or working (or if the Grantee is considered as such for local law purposes), or if the Grantee moves or transfers</w:t>
      </w:r>
    </w:p>
    <w:p>
      <w:pPr>
        <w:ind w:right="620"/>
        <w:spacing w:after="0" w:line="228" w:lineRule="auto"/>
        <w:rPr>
          <w:sz w:val="20"/>
          <w:szCs w:val="20"/>
          <w:color w:val="auto"/>
        </w:rPr>
      </w:pPr>
      <w:r>
        <w:rPr>
          <w:rFonts w:ascii="Times New Roman" w:cs="Times New Roman" w:eastAsia="Times New Roman" w:hAnsi="Times New Roman"/>
          <w:sz w:val="20"/>
          <w:szCs w:val="20"/>
          <w:color w:val="auto"/>
        </w:rPr>
        <w:t>Service to another country after the Grant Date, the Company will, in its sole discretion, determine the extent to which the terms and conditions herein will be applicable to the Grantee.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9"/>
          <w:szCs w:val="19"/>
          <w:color w:val="auto"/>
        </w:rPr>
        <w:t>This Appendix B also includes information regarding securities laws, exchange controls and certain other issues of which the Grantee should be aware with respect to the Grantee’s participation in the Plan. The information is based on the securities, exchange control and</w:t>
      </w:r>
    </w:p>
    <w:p>
      <w:pPr>
        <w:spacing w:after="0" w:line="1" w:lineRule="exact"/>
        <w:rPr>
          <w:sz w:val="20"/>
          <w:szCs w:val="20"/>
          <w:color w:val="auto"/>
        </w:rPr>
      </w:pPr>
    </w:p>
    <w:p>
      <w:pPr>
        <w:ind w:right="420"/>
        <w:spacing w:after="0" w:line="215" w:lineRule="auto"/>
        <w:rPr>
          <w:sz w:val="20"/>
          <w:szCs w:val="20"/>
          <w:color w:val="auto"/>
        </w:rPr>
      </w:pPr>
      <w:r>
        <w:rPr>
          <w:rFonts w:ascii="Times New Roman" w:cs="Times New Roman" w:eastAsia="Times New Roman" w:hAnsi="Times New Roman"/>
          <w:sz w:val="19"/>
          <w:szCs w:val="19"/>
          <w:color w:val="auto"/>
        </w:rPr>
        <w:t>other laws in effect in the respective countries as of January 2022. Such laws are often complex and change frequently. As a result, the Company recommends that the Grantee not rely on the information in this Appendix B as the only source of information relating to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consequences of the Grantee’s participation in the Plan because the information included herein may be out of date at the time that the Units vest or the Grantee subsequently sells the shares of Stock acquired at vesting.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 Grantee understands that the information contained herein is general in nature and may not apply to the Grantee’s particular</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situation and the Company is not in a position to assure the Grantee of any particular result. Accordingly, the Grantee acknowledges that he or she should seek appropriate professional advice as to how the relevant laws in the Grantee’s country may apply to the Grantee’s situation.</w:t>
      </w:r>
    </w:p>
    <w:p>
      <w:pPr>
        <w:spacing w:after="0" w:line="202"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19"/>
          <w:szCs w:val="19"/>
          <w:color w:val="auto"/>
        </w:rPr>
        <w:t>If the Grantee is a citizen or resident of a country other than the one in which the Grantee is currently residing and/or working (or if the Grantee is considered as such for local law purposes), or if the Grantee moves or transfers Service to another country after the Units are</w:t>
      </w:r>
    </w:p>
    <w:p>
      <w:pPr>
        <w:spacing w:after="0"/>
        <w:rPr>
          <w:sz w:val="20"/>
          <w:szCs w:val="20"/>
          <w:color w:val="auto"/>
        </w:rPr>
      </w:pPr>
      <w:r>
        <w:rPr>
          <w:rFonts w:ascii="Times New Roman" w:cs="Times New Roman" w:eastAsia="Times New Roman" w:hAnsi="Times New Roman"/>
          <w:sz w:val="20"/>
          <w:szCs w:val="20"/>
          <w:color w:val="auto"/>
        </w:rPr>
        <w:t>granted, the Grantee understands that the information contained herein may not be applicable to the Grantee in the same manner.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b w:val="1"/>
          <w:bCs w:val="1"/>
          <w:color w:val="auto"/>
        </w:rPr>
        <w:t>Securities Law Information</w:t>
      </w:r>
      <w:r>
        <w:rPr>
          <w:rFonts w:ascii="Times New Roman" w:cs="Times New Roman" w:eastAsia="Times New Roman" w:hAnsi="Times New Roman"/>
          <w:sz w:val="19"/>
          <w:szCs w:val="19"/>
          <w:color w:val="auto"/>
        </w:rPr>
        <w:t>. This offer of Units is being made under Division 1A, Part 7.12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Corporations Act 2001 (Cth)</w:t>
      </w:r>
      <w:r>
        <w:rPr>
          <w:rFonts w:ascii="Times New Roman" w:cs="Times New Roman" w:eastAsia="Times New Roman" w:hAnsi="Times New Roman"/>
          <w:sz w:val="19"/>
          <w:szCs w:val="19"/>
          <w:color w:val="auto"/>
        </w:rPr>
        <w:t>. Please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note that if the Grantee offers shares of Stock for sale to a person or entity resident in Australia, the offer may be subject to disclosure</w:t>
      </w:r>
    </w:p>
    <w:p>
      <w:pPr>
        <w:spacing w:after="0" w:line="1"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20"/>
          <w:szCs w:val="20"/>
          <w:color w:val="auto"/>
        </w:rPr>
        <w:t>requirements under Australian law. The Grantee should obtain legal advice on applicable disclosure obligations prior to making any such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A$10,000 and international fund</w:t>
      </w:r>
    </w:p>
    <w:p>
      <w:pPr>
        <w:spacing w:after="0" w:line="215" w:lineRule="auto"/>
        <w:rPr>
          <w:sz w:val="20"/>
          <w:szCs w:val="20"/>
          <w:color w:val="auto"/>
        </w:rPr>
      </w:pPr>
      <w:r>
        <w:rPr>
          <w:rFonts w:ascii="Times New Roman" w:cs="Times New Roman" w:eastAsia="Times New Roman" w:hAnsi="Times New Roman"/>
          <w:sz w:val="19"/>
          <w:szCs w:val="19"/>
          <w:color w:val="auto"/>
        </w:rPr>
        <w:t>transfers. The Australian bank assisting with the transaction may file the report for the Grantee. If there is no Australian bank involved in the transfer, the Grantee will have to file the report. The Grantee should consult with his or her personal advisor to ensure that the Grantee is</w:t>
      </w:r>
    </w:p>
    <w:p>
      <w:pPr>
        <w:spacing w:after="0"/>
        <w:rPr>
          <w:sz w:val="20"/>
          <w:szCs w:val="20"/>
          <w:color w:val="auto"/>
        </w:rPr>
      </w:pPr>
      <w:r>
        <w:rPr>
          <w:rFonts w:ascii="Times New Roman" w:cs="Times New Roman" w:eastAsia="Times New Roman" w:hAnsi="Times New Roman"/>
          <w:sz w:val="20"/>
          <w:szCs w:val="20"/>
          <w:color w:val="auto"/>
        </w:rPr>
        <w:t>properly complying with applicable reporting requirements in Australia.</w:t>
      </w:r>
    </w:p>
    <w:p>
      <w:pPr>
        <w:spacing w:after="0" w:line="190" w:lineRule="exact"/>
        <w:rPr>
          <w:sz w:val="20"/>
          <w:szCs w:val="20"/>
          <w:color w:val="auto"/>
        </w:rPr>
      </w:pPr>
    </w:p>
    <w:p>
      <w:pPr>
        <w:ind w:right="380"/>
        <w:spacing w:after="0" w:line="245" w:lineRule="auto"/>
        <w:rPr>
          <w:sz w:val="20"/>
          <w:szCs w:val="20"/>
          <w:color w:val="auto"/>
        </w:rPr>
      </w:pPr>
      <w:r>
        <w:rPr>
          <w:rFonts w:ascii="Times New Roman" w:cs="Times New Roman" w:eastAsia="Times New Roman" w:hAnsi="Times New Roman"/>
          <w:sz w:val="20"/>
          <w:szCs w:val="20"/>
          <w:b w:val="1"/>
          <w:bCs w:val="1"/>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the 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ectPr>
          <w:pgSz w:w="11900" w:h="16838" w:orient="portrait"/>
          <w:cols w:equalWidth="0" w:num="1">
            <w:col w:w="11100"/>
          </w:cols>
          <w:pgMar w:left="440" w:top="166" w:right="35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6"/>
          <w:szCs w:val="16"/>
          <w:color w:val="auto"/>
        </w:rPr>
        <w:t>Leidos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Belgian residents are required to report any securities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those related to</w:t>
      </w:r>
    </w:p>
    <w:p>
      <w:pPr>
        <w:ind w:left="120" w:right="60"/>
        <w:spacing w:after="0" w:line="215" w:lineRule="auto"/>
        <w:rPr>
          <w:sz w:val="20"/>
          <w:szCs w:val="20"/>
          <w:color w:val="auto"/>
        </w:rPr>
      </w:pPr>
      <w:r>
        <w:rPr>
          <w:rFonts w:ascii="Times New Roman" w:cs="Times New Roman" w:eastAsia="Times New Roman" w:hAnsi="Times New Roman"/>
          <w:sz w:val="19"/>
          <w:szCs w:val="19"/>
          <w:color w:val="auto"/>
        </w:rPr>
        <w:t>shares of Stock acquired under the Plan) or bank accounts (including brokerage accounts) maintained outside Belgium on their annual tax return. In a separate report, they must provide the National Bank of Belgium with certain details regarding such foreign accounts (including</w:t>
      </w:r>
    </w:p>
    <w:p>
      <w:pPr>
        <w:ind w:left="120"/>
        <w:spacing w:after="0" w:line="211" w:lineRule="auto"/>
        <w:rPr>
          <w:sz w:val="20"/>
          <w:szCs w:val="20"/>
          <w:color w:val="auto"/>
        </w:rPr>
      </w:pPr>
      <w:r>
        <w:rPr>
          <w:rFonts w:ascii="Times New Roman" w:cs="Times New Roman" w:eastAsia="Times New Roman" w:hAnsi="Times New Roman"/>
          <w:sz w:val="20"/>
          <w:szCs w:val="20"/>
          <w:color w:val="auto"/>
        </w:rPr>
        <w:t>the account number, bank name and country in which any such account was opened). The forms to complete this report are available at the</w:t>
      </w:r>
    </w:p>
    <w:p>
      <w:pPr>
        <w:ind w:left="120" w:right="440"/>
        <w:spacing w:after="0" w:line="221" w:lineRule="auto"/>
        <w:rPr>
          <w:sz w:val="20"/>
          <w:szCs w:val="20"/>
          <w:color w:val="auto"/>
        </w:rPr>
      </w:pPr>
      <w:r>
        <w:rPr>
          <w:rFonts w:ascii="Times New Roman" w:cs="Times New Roman" w:eastAsia="Times New Roman" w:hAnsi="Times New Roman"/>
          <w:sz w:val="20"/>
          <w:szCs w:val="20"/>
          <w:color w:val="auto"/>
        </w:rPr>
        <w:t>website of the National Bank of Belgium. Belgian residents should consult with their personal tax advisors to determine their reporting obligations.</w:t>
      </w:r>
    </w:p>
    <w:p>
      <w:pPr>
        <w:spacing w:after="0" w:line="198" w:lineRule="exact"/>
        <w:rPr>
          <w:sz w:val="20"/>
          <w:szCs w:val="20"/>
          <w:color w:val="auto"/>
        </w:rPr>
      </w:pPr>
    </w:p>
    <w:p>
      <w:pPr>
        <w:ind w:left="100" w:right="50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Stock Exchange Tax. </w:t>
      </w:r>
      <w:r>
        <w:rPr>
          <w:rFonts w:ascii="Times New Roman" w:cs="Times New Roman" w:eastAsia="Times New Roman" w:hAnsi="Times New Roman"/>
          <w:sz w:val="19"/>
          <w:szCs w:val="19"/>
          <w:color w:val="auto"/>
        </w:rPr>
        <w:t>A stock exchange tax applies to transactions executed by a Belgian resident through a non-Belgian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intermediary, such as a U.S. broker. The stock exchange tax may apply when shares of Stock acquired under the Plan are sold. Belgian</w:t>
      </w:r>
    </w:p>
    <w:p>
      <w:pPr>
        <w:spacing w:after="0" w:line="1" w:lineRule="exact"/>
        <w:rPr>
          <w:sz w:val="20"/>
          <w:szCs w:val="20"/>
          <w:color w:val="auto"/>
        </w:rPr>
      </w:pPr>
    </w:p>
    <w:p>
      <w:pPr>
        <w:ind w:left="100" w:right="60"/>
        <w:spacing w:after="0" w:line="228" w:lineRule="auto"/>
        <w:rPr>
          <w:sz w:val="20"/>
          <w:szCs w:val="20"/>
          <w:color w:val="auto"/>
        </w:rPr>
      </w:pPr>
      <w:r>
        <w:rPr>
          <w:rFonts w:ascii="Times New Roman" w:cs="Times New Roman" w:eastAsia="Times New Roman" w:hAnsi="Times New Roman"/>
          <w:sz w:val="20"/>
          <w:szCs w:val="20"/>
          <w:color w:val="auto"/>
        </w:rPr>
        <w:t>residents should consult with a personal tax or financial advisor for additional details on their obligations with respect to the stock exchange tax.</w:t>
      </w:r>
    </w:p>
    <w:p>
      <w:pPr>
        <w:spacing w:after="0" w:line="172" w:lineRule="exact"/>
        <w:rPr>
          <w:sz w:val="20"/>
          <w:szCs w:val="20"/>
          <w:color w:val="auto"/>
        </w:rPr>
      </w:pPr>
    </w:p>
    <w:p>
      <w:pPr>
        <w:ind w:left="120" w:right="40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Annual Securities Accounts Tax. </w:t>
      </w:r>
      <w:r>
        <w:rPr>
          <w:rFonts w:ascii="Times New Roman" w:cs="Times New Roman" w:eastAsia="Times New Roman" w:hAnsi="Times New Roman"/>
          <w:sz w:val="19"/>
          <w:szCs w:val="19"/>
          <w:color w:val="auto"/>
        </w:rPr>
        <w:t>An annual securities accounts tax may be payable if the total value of securities held in a Belgian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foreign securities account (e.g., shares of Stock) exceeds a certain threshold on four reference dates within the relevant reporting period</w:t>
      </w:r>
    </w:p>
    <w:p>
      <w:pPr>
        <w:spacing w:after="0" w:line="1"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9"/>
          <w:szCs w:val="19"/>
          <w:color w:val="auto"/>
        </w:rPr>
        <w:t>(i.e., December 31, March 31, June 30 and September 30). Different payment obligations may apply, depending on whether the securities account is held with a Belgian or foreign financial institution. The Grantee should consult with his or her personal tax or financial advisor</w:t>
      </w:r>
    </w:p>
    <w:p>
      <w:pPr>
        <w:ind w:left="120"/>
        <w:spacing w:after="0"/>
        <w:rPr>
          <w:sz w:val="20"/>
          <w:szCs w:val="20"/>
          <w:color w:val="auto"/>
        </w:rPr>
      </w:pPr>
      <w:r>
        <w:rPr>
          <w:rFonts w:ascii="Times New Roman" w:cs="Times New Roman" w:eastAsia="Times New Roman" w:hAnsi="Times New Roman"/>
          <w:sz w:val="20"/>
          <w:szCs w:val="20"/>
          <w:color w:val="auto"/>
        </w:rPr>
        <w:t>for additional details.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ISRAEL</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9"/>
          <w:szCs w:val="19"/>
          <w:b w:val="1"/>
          <w:bCs w:val="1"/>
          <w:color w:val="auto"/>
        </w:rPr>
        <w:t>Tax Consent</w:t>
      </w:r>
      <w:r>
        <w:rPr>
          <w:rFonts w:ascii="Times New Roman" w:cs="Times New Roman" w:eastAsia="Times New Roman" w:hAnsi="Times New Roman"/>
          <w:sz w:val="19"/>
          <w:szCs w:val="19"/>
          <w:color w:val="auto"/>
        </w:rPr>
        <w:t>. On January 20, 2020 , the Israeli Tax Authority issued a tax ruling to the Company in connection with the non-trustee track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102 of the Income Tax Ordinance [New Version], 1961 (the “</w:t>
      </w:r>
      <w:r>
        <w:rPr>
          <w:rFonts w:ascii="Times New Roman" w:cs="Times New Roman" w:eastAsia="Times New Roman" w:hAnsi="Times New Roman"/>
          <w:sz w:val="19"/>
          <w:szCs w:val="19"/>
          <w:b w:val="1"/>
          <w:bCs w:val="1"/>
          <w:color w:val="auto"/>
        </w:rPr>
        <w:t>Tax Ruling</w:t>
      </w:r>
      <w:r>
        <w:rPr>
          <w:rFonts w:ascii="Times New Roman" w:cs="Times New Roman" w:eastAsia="Times New Roman" w:hAnsi="Times New Roman"/>
          <w:sz w:val="19"/>
          <w:szCs w:val="19"/>
          <w:color w:val="auto"/>
        </w:rPr>
        <w:t>”) regarding the taxation of Units granted under the Plan.</w:t>
      </w:r>
    </w:p>
    <w:p>
      <w:pPr>
        <w:spacing w:after="0" w:line="1"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9"/>
          <w:szCs w:val="19"/>
          <w:color w:val="auto"/>
        </w:rPr>
        <w:t>The Grantee may review a copy of the Tax Ruling by contacting stockprograms@leidos.com. In accordance with the Tax Ruling and by accepting the Units granted under the Plan, the Grantee hereby declares that the Grantee understands the provisions of the Tax Ruling and</w:t>
      </w:r>
    </w:p>
    <w:p>
      <w:pPr>
        <w:ind w:left="120" w:right="460"/>
        <w:spacing w:after="0" w:line="228" w:lineRule="auto"/>
        <w:rPr>
          <w:sz w:val="20"/>
          <w:szCs w:val="20"/>
          <w:color w:val="auto"/>
        </w:rPr>
      </w:pPr>
      <w:r>
        <w:rPr>
          <w:rFonts w:ascii="Times New Roman" w:cs="Times New Roman" w:eastAsia="Times New Roman" w:hAnsi="Times New Roman"/>
          <w:sz w:val="20"/>
          <w:szCs w:val="20"/>
          <w:color w:val="auto"/>
        </w:rPr>
        <w:t>the obligation to report and pay any capital gains tax due upon the sale of the shares of Stock issued under the Plan (including filing an annual tax return).</w:t>
      </w:r>
    </w:p>
    <w:p>
      <w:pPr>
        <w:spacing w:after="0" w:line="176" w:lineRule="exact"/>
        <w:rPr>
          <w:sz w:val="20"/>
          <w:szCs w:val="20"/>
          <w:color w:val="auto"/>
        </w:rPr>
      </w:pPr>
    </w:p>
    <w:p>
      <w:pPr>
        <w:ind w:left="120" w:right="20"/>
        <w:spacing w:after="0"/>
        <w:rPr>
          <w:sz w:val="20"/>
          <w:szCs w:val="20"/>
          <w:color w:val="auto"/>
        </w:rPr>
      </w:pPr>
      <w:r>
        <w:rPr>
          <w:rFonts w:ascii="Times New Roman" w:cs="Times New Roman" w:eastAsia="Times New Roman" w:hAnsi="Times New Roman"/>
          <w:sz w:val="20"/>
          <w:szCs w:val="20"/>
          <w:color w:val="auto"/>
        </w:rPr>
        <w:t>Further, the Grantee agrees to act in accordance with the Tax Ruling and will not request to amend, cancel, and/or replace it with a different ruling and/or demand any additional tax benefit beyond the provisions of the Tax Ruling.</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This offer of Awards under the Plan does not constitute a public offering under the Securities Law, 1968.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100" w:right="28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Acknowledgment of the Agreement. </w:t>
      </w:r>
      <w:r>
        <w:rPr>
          <w:rFonts w:ascii="Times New Roman" w:cs="Times New Roman" w:eastAsia="Times New Roman" w:hAnsi="Times New Roman"/>
          <w:sz w:val="19"/>
          <w:szCs w:val="19"/>
          <w:color w:val="auto"/>
        </w:rPr>
        <w:t>By participating in the Plan, the Grantee acknowledges that the Grantee has received a copy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has reviewed the Plan in its entirety and fully understands and accepts all provisions of the Plan. The Grantee further acknowledges</w:t>
      </w:r>
    </w:p>
    <w:p>
      <w:pPr>
        <w:spacing w:after="0" w:line="1" w:lineRule="exact"/>
        <w:rPr>
          <w:sz w:val="20"/>
          <w:szCs w:val="20"/>
          <w:color w:val="auto"/>
        </w:rPr>
      </w:pPr>
    </w:p>
    <w:p>
      <w:pPr>
        <w:ind w:left="100" w:right="400"/>
        <w:spacing w:after="0" w:line="215" w:lineRule="auto"/>
        <w:rPr>
          <w:sz w:val="20"/>
          <w:szCs w:val="20"/>
          <w:color w:val="auto"/>
        </w:rPr>
      </w:pPr>
      <w:r>
        <w:rPr>
          <w:rFonts w:ascii="Times New Roman" w:cs="Times New Roman" w:eastAsia="Times New Roman" w:hAnsi="Times New Roman"/>
          <w:sz w:val="19"/>
          <w:szCs w:val="19"/>
          <w:color w:val="auto"/>
        </w:rPr>
        <w:t>that the Grantee has read and expressly approves the terms and conditions set forth in the Nature of Grant section of Appendix A, in which the following is clearly described and established: (i) the Grantee’s participation in the Plan does not constitute an acquired right;</w:t>
      </w:r>
    </w:p>
    <w:p>
      <w:pPr>
        <w:ind w:left="100" w:right="460" w:hanging="1"/>
        <w:spacing w:after="0" w:line="223" w:lineRule="auto"/>
        <w:tabs>
          <w:tab w:leader="none" w:pos="39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the Grantee’s participation in the Plan are offered by the Company on a wholly discretionary basis; (iii) the Grantee’s participation in the Plan is voluntary; and (iv) the Company and its Subsidiaries are not responsible for any decrease in the value of the underlying Shares.</w:t>
      </w:r>
    </w:p>
    <w:p>
      <w:pPr>
        <w:sectPr>
          <w:pgSz w:w="11900" w:h="16838" w:orient="portrait"/>
          <w:cols w:equalWidth="0" w:num="1">
            <w:col w:w="11240"/>
          </w:cols>
          <w:pgMar w:left="320" w:top="166" w:right="339" w:bottom="1440" w:gutter="0" w:footer="0" w:header="0"/>
        </w:sectPr>
      </w:pPr>
    </w:p>
    <w:bookmarkStart w:id="181" w:name="page182"/>
    <w:bookmarkEnd w:id="181"/>
    <w:p>
      <w:pPr>
        <w:jc w:val="center"/>
        <w:ind w:right="-119"/>
        <w:spacing w:after="0"/>
        <w:rPr>
          <w:sz w:val="20"/>
          <w:szCs w:val="20"/>
          <w:color w:val="auto"/>
        </w:rPr>
      </w:pPr>
      <w:r>
        <w:rPr>
          <w:rFonts w:ascii="Arial" w:cs="Arial" w:eastAsia="Arial" w:hAnsi="Arial"/>
          <w:sz w:val="16"/>
          <w:szCs w:val="16"/>
          <w:color w:val="auto"/>
        </w:rPr>
        <w:t>Leidos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Labor Law Policy and Acknowledgment. </w:t>
      </w:r>
      <w:r>
        <w:rPr>
          <w:rFonts w:ascii="Times New Roman" w:cs="Times New Roman" w:eastAsia="Times New Roman" w:hAnsi="Times New Roman"/>
          <w:sz w:val="19"/>
          <w:szCs w:val="19"/>
          <w:color w:val="auto"/>
        </w:rPr>
        <w:t>By participating in the Plan, the Grantee expressly recognizes that the Company,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registered offices at 1750 Presidents Street, Reston, Virginia 20190, U.S.A., is solely responsible for the administration of the Plan and</w:t>
      </w:r>
    </w:p>
    <w:p>
      <w:pPr>
        <w:spacing w:after="0" w:line="223" w:lineRule="auto"/>
        <w:rPr>
          <w:sz w:val="20"/>
          <w:szCs w:val="20"/>
          <w:color w:val="auto"/>
        </w:rPr>
      </w:pPr>
      <w:r>
        <w:rPr>
          <w:rFonts w:ascii="Times New Roman" w:cs="Times New Roman" w:eastAsia="Times New Roman" w:hAnsi="Times New Roman"/>
          <w:sz w:val="19"/>
          <w:szCs w:val="19"/>
          <w:color w:val="auto"/>
        </w:rPr>
        <w:t>that the Grantee’s participation in the Plan and acquisition of Shares does not constitute an employment relationship between the Grantee</w:t>
      </w:r>
    </w:p>
    <w:p>
      <w:pPr>
        <w:spacing w:after="0" w:line="215" w:lineRule="auto"/>
        <w:rPr>
          <w:sz w:val="20"/>
          <w:szCs w:val="20"/>
          <w:color w:val="auto"/>
        </w:rPr>
      </w:pPr>
      <w:r>
        <w:rPr>
          <w:rFonts w:ascii="Times New Roman" w:cs="Times New Roman" w:eastAsia="Times New Roman" w:hAnsi="Times New Roman"/>
          <w:sz w:val="19"/>
          <w:szCs w:val="19"/>
          <w:color w:val="auto"/>
        </w:rPr>
        <w:t>and the Company since the Grantee is participating in the Plan on a wholly commercial basis and the Participant’s Employer is a Mexican Subsidiary of the Company. Based on the foregoing, the Grantee expressly recognizes that the Plan and the benefits that the Grantee may</w:t>
      </w:r>
    </w:p>
    <w:p>
      <w:pPr>
        <w:spacing w:after="0" w:line="211" w:lineRule="auto"/>
        <w:rPr>
          <w:sz w:val="20"/>
          <w:szCs w:val="20"/>
          <w:color w:val="auto"/>
        </w:rPr>
      </w:pPr>
      <w:r>
        <w:rPr>
          <w:rFonts w:ascii="Times New Roman" w:cs="Times New Roman" w:eastAsia="Times New Roman" w:hAnsi="Times New Roman"/>
          <w:sz w:val="20"/>
          <w:szCs w:val="20"/>
          <w:color w:val="auto"/>
        </w:rPr>
        <w:t>derive from participation in the Plan do not establish any rights between the Grantee and the Employer and do not form part of the</w:t>
      </w:r>
    </w:p>
    <w:p>
      <w:pPr>
        <w:ind w:right="120"/>
        <w:spacing w:after="0" w:line="221" w:lineRule="auto"/>
        <w:rPr>
          <w:sz w:val="20"/>
          <w:szCs w:val="20"/>
          <w:color w:val="auto"/>
        </w:rPr>
      </w:pPr>
      <w:r>
        <w:rPr>
          <w:rFonts w:ascii="Times New Roman" w:cs="Times New Roman" w:eastAsia="Times New Roman" w:hAnsi="Times New Roman"/>
          <w:sz w:val="20"/>
          <w:szCs w:val="20"/>
          <w:color w:val="auto"/>
        </w:rPr>
        <w:t>employment conditions and/or benefits provided by the Employer and any modification of the Plan or its termination shall not constitute a change or impairment of the terms and conditions of the Grantee's employment.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Grantee further understands that the Grantee’s participation in the Plan is as a result of a unilateral and discretionary decision of the</w:t>
      </w:r>
    </w:p>
    <w:p>
      <w:pPr>
        <w:ind w:right="40"/>
        <w:spacing w:after="0" w:line="204" w:lineRule="auto"/>
        <w:rPr>
          <w:sz w:val="20"/>
          <w:szCs w:val="20"/>
          <w:color w:val="auto"/>
        </w:rPr>
      </w:pPr>
      <w:r>
        <w:rPr>
          <w:rFonts w:ascii="Times New Roman" w:cs="Times New Roman" w:eastAsia="Times New Roman" w:hAnsi="Times New Roman"/>
          <w:sz w:val="20"/>
          <w:szCs w:val="20"/>
          <w:color w:val="auto"/>
        </w:rPr>
        <w:t>Company; therefore, the Company reserves the absolute right to amend and/or discontinue the Grantee's participation at any time without any liability to the Grantee.</w:t>
      </w:r>
    </w:p>
    <w:p>
      <w:pPr>
        <w:spacing w:after="0" w:line="211" w:lineRule="auto"/>
        <w:rPr>
          <w:sz w:val="20"/>
          <w:szCs w:val="20"/>
          <w:color w:val="auto"/>
        </w:rPr>
      </w:pPr>
      <w:r>
        <w:rPr>
          <w:rFonts w:ascii="Times New Roman" w:cs="Times New Roman" w:eastAsia="Times New Roman" w:hAnsi="Times New Roman"/>
          <w:sz w:val="20"/>
          <w:szCs w:val="20"/>
          <w:color w:val="auto"/>
        </w:rPr>
        <w:t>Finally, the Grantee hereby declares that Grantee does not reserve any action or right to bring any claim against the Company for any</w:t>
      </w:r>
    </w:p>
    <w:p>
      <w:pPr>
        <w:spacing w:after="0" w:line="1" w:lineRule="exact"/>
        <w:rPr>
          <w:sz w:val="20"/>
          <w:szCs w:val="20"/>
          <w:color w:val="auto"/>
        </w:rPr>
      </w:pPr>
    </w:p>
    <w:p>
      <w:pPr>
        <w:ind w:right="220"/>
        <w:spacing w:after="0" w:line="204" w:lineRule="auto"/>
        <w:rPr>
          <w:sz w:val="20"/>
          <w:szCs w:val="20"/>
          <w:color w:val="auto"/>
        </w:rPr>
      </w:pPr>
      <w:r>
        <w:rPr>
          <w:rFonts w:ascii="Times New Roman" w:cs="Times New Roman" w:eastAsia="Times New Roman" w:hAnsi="Times New Roman"/>
          <w:sz w:val="20"/>
          <w:szCs w:val="20"/>
          <w:color w:val="auto"/>
        </w:rPr>
        <w:t>compensation or damages regarding any provision of the Plan or the benefits derived under the Plan, and the Grantee therefore grants a full and broad release to the Company, its subsidiaries, branches, representation offices, its shareholders, officers, agents or legal</w:t>
      </w:r>
    </w:p>
    <w:p>
      <w:pPr>
        <w:spacing w:after="0" w:line="211" w:lineRule="auto"/>
        <w:rPr>
          <w:sz w:val="20"/>
          <w:szCs w:val="20"/>
          <w:color w:val="auto"/>
        </w:rPr>
      </w:pPr>
      <w:r>
        <w:rPr>
          <w:rFonts w:ascii="Times New Roman" w:cs="Times New Roman" w:eastAsia="Times New Roman" w:hAnsi="Times New Roman"/>
          <w:sz w:val="20"/>
          <w:szCs w:val="20"/>
          <w:color w:val="auto"/>
        </w:rPr>
        <w:t>representatives with respect to any claim that may arise.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Reconocimiento del Contrato. </w:t>
      </w:r>
      <w:r>
        <w:rPr>
          <w:rFonts w:ascii="Times New Roman" w:cs="Times New Roman" w:eastAsia="Times New Roman" w:hAnsi="Times New Roman"/>
          <w:sz w:val="20"/>
          <w:szCs w:val="20"/>
          <w:i w:val="1"/>
          <w:iCs w:val="1"/>
          <w:color w:val="auto"/>
        </w:rPr>
        <w:t>Al participar en el Plan, usted reconoce que ha recibido una copia del Plan, que ha revisado el Plan en 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totalidad, y que entiende y acepta en su totalidad, todas y cada una de las disposiciones del Plan. Asimismo reconoce que ha leído y</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aprueba expresamente los términos y condiciones señalados en la sección titulado Naturaleza de la Oferta en Appendix A, en lo que</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i w:val="1"/>
          <w:iCs w:val="1"/>
          <w:color w:val="auto"/>
        </w:rPr>
        <w:t>claramente se describe y establece lo siguiente: (i) su participación en el Plan no constituye un derecho adquirido; (ii) el Plan y su participación en el Plan son ofrecidos por la Compañía sobre una base completamente discrecional; (iii) su participación en el Plan es</w:t>
      </w:r>
    </w:p>
    <w:p>
      <w:pPr>
        <w:ind w:right="1000"/>
        <w:spacing w:after="0" w:line="204" w:lineRule="auto"/>
        <w:rPr>
          <w:sz w:val="20"/>
          <w:szCs w:val="20"/>
          <w:color w:val="auto"/>
        </w:rPr>
      </w:pPr>
      <w:r>
        <w:rPr>
          <w:rFonts w:ascii="Times New Roman" w:cs="Times New Roman" w:eastAsia="Times New Roman" w:hAnsi="Times New Roman"/>
          <w:sz w:val="20"/>
          <w:szCs w:val="20"/>
          <w:i w:val="1"/>
          <w:iCs w:val="1"/>
          <w:color w:val="auto"/>
        </w:rPr>
        <w:t>voluntaria; y (iv) la Compañía y sus afiliadas no son responsables de ninguna por la disminución en el valor de las Acciones subyacentes.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Política de Legislación Laboral y Reconocimiento. </w:t>
      </w:r>
      <w:r>
        <w:rPr>
          <w:rFonts w:ascii="Times New Roman" w:cs="Times New Roman" w:eastAsia="Times New Roman" w:hAnsi="Times New Roman"/>
          <w:sz w:val="19"/>
          <w:szCs w:val="19"/>
          <w:i w:val="1"/>
          <w:iCs w:val="1"/>
          <w:color w:val="auto"/>
        </w:rPr>
        <w:t>Al participar en el Plan, usted reconoce expresamente que la Compañía, con oficinas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registradas en 1750 Presidents Street, Reston, Virginia 20190, EE.UU, es la única responsable por la administración del Plan, y que su</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participación en el Plan, así como la adquisición de las Acciones, no constituye una relación laboral entre usted y la Compañía, debido a que usted participa en el Plan sobre una base completamente mercantil y el único Empleador de usted es una Subsidiaria Mexicana de la</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Compañía. Con base en lo anterior, usted reconoce expresamente que el Plan y los beneficios que pudiera obtener por su participación</w:t>
      </w:r>
    </w:p>
    <w:p>
      <w:pPr>
        <w:spacing w:after="0" w:line="204" w:lineRule="auto"/>
        <w:rPr>
          <w:sz w:val="20"/>
          <w:szCs w:val="20"/>
          <w:color w:val="auto"/>
        </w:rPr>
      </w:pPr>
      <w:r>
        <w:rPr>
          <w:rFonts w:ascii="Times New Roman" w:cs="Times New Roman" w:eastAsia="Times New Roman" w:hAnsi="Times New Roman"/>
          <w:sz w:val="20"/>
          <w:szCs w:val="20"/>
          <w:i w:val="1"/>
          <w:iCs w:val="1"/>
          <w:color w:val="auto"/>
        </w:rPr>
        <w:t>en el Plan, no establecen derecho alguno entre usted y el Empleador, y no forman parte de las condiciones y/o prestaciones laborales que el Empleador ofrece, y que las modificaciones al Plan o su terminación, no constituirán un cambio ni afectarán los términos y</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condiciones de su relación laboral.</w:t>
      </w:r>
    </w:p>
    <w:p>
      <w:pPr>
        <w:spacing w:after="0" w:line="1" w:lineRule="exact"/>
        <w:rPr>
          <w:sz w:val="20"/>
          <w:szCs w:val="20"/>
          <w:color w:val="auto"/>
        </w:rPr>
      </w:pPr>
    </w:p>
    <w:p>
      <w:pPr>
        <w:ind w:right="60"/>
        <w:spacing w:after="0" w:line="204" w:lineRule="auto"/>
        <w:rPr>
          <w:sz w:val="20"/>
          <w:szCs w:val="20"/>
          <w:color w:val="auto"/>
        </w:rPr>
      </w:pPr>
      <w:r>
        <w:rPr>
          <w:rFonts w:ascii="Times New Roman" w:cs="Times New Roman" w:eastAsia="Times New Roman" w:hAnsi="Times New Roman"/>
          <w:sz w:val="20"/>
          <w:szCs w:val="20"/>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w:t>
      </w:r>
    </w:p>
    <w:p>
      <w:pPr>
        <w:spacing w:after="0" w:line="197" w:lineRule="auto"/>
        <w:rPr>
          <w:sz w:val="20"/>
          <w:szCs w:val="20"/>
          <w:color w:val="auto"/>
        </w:rPr>
      </w:pPr>
      <w:r>
        <w:rPr>
          <w:rFonts w:ascii="Times New Roman" w:cs="Times New Roman" w:eastAsia="Times New Roman" w:hAnsi="Times New Roman"/>
          <w:sz w:val="20"/>
          <w:szCs w:val="20"/>
          <w:i w:val="1"/>
          <w:iCs w:val="1"/>
          <w:color w:val="auto"/>
        </w:rPr>
        <w:t>incurra en responsabilidad alguna.</w:t>
      </w:r>
    </w:p>
    <w:p>
      <w:pPr>
        <w:spacing w:after="0" w:line="1"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9"/>
          <w:szCs w:val="19"/>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w:t>
      </w:r>
    </w:p>
    <w:p>
      <w:pPr>
        <w:spacing w:after="0" w:line="1" w:lineRule="exact"/>
        <w:rPr>
          <w:sz w:val="20"/>
          <w:szCs w:val="20"/>
          <w:color w:val="auto"/>
        </w:rPr>
      </w:pPr>
    </w:p>
    <w:p>
      <w:pPr>
        <w:ind w:right="260"/>
        <w:spacing w:after="0" w:line="233" w:lineRule="auto"/>
        <w:rPr>
          <w:sz w:val="20"/>
          <w:szCs w:val="20"/>
          <w:color w:val="auto"/>
        </w:rPr>
      </w:pPr>
      <w:r>
        <w:rPr>
          <w:rFonts w:ascii="Times New Roman" w:cs="Times New Roman" w:eastAsia="Times New Roman" w:hAnsi="Times New Roman"/>
          <w:sz w:val="19"/>
          <w:szCs w:val="19"/>
          <w:i w:val="1"/>
          <w:iCs w:val="1"/>
          <w:color w:val="auto"/>
        </w:rPr>
        <w:t>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62" w:lineRule="exact"/>
        <w:rPr>
          <w:sz w:val="20"/>
          <w:szCs w:val="20"/>
          <w:color w:val="auto"/>
        </w:rPr>
      </w:pPr>
    </w:p>
    <w:p>
      <w:pPr>
        <w:ind w:right="26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Securities Law Information. </w:t>
      </w:r>
      <w:r>
        <w:rPr>
          <w:rFonts w:ascii="Times New Roman" w:cs="Times New Roman" w:eastAsia="Times New Roman" w:hAnsi="Times New Roman"/>
          <w:sz w:val="19"/>
          <w:szCs w:val="19"/>
          <w:color w:val="auto"/>
        </w:rPr>
        <w:t>The Units granted, and any shares of Stock acquired, under the Plan have not been registered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National Register of Securities maintained by the Mexican National Banking and Securities Commission and cannot be offered or sold</w:t>
      </w:r>
    </w:p>
    <w:p>
      <w:pPr>
        <w:spacing w:after="0" w:line="1" w:lineRule="exact"/>
        <w:rPr>
          <w:sz w:val="20"/>
          <w:szCs w:val="20"/>
          <w:color w:val="auto"/>
        </w:rPr>
      </w:pPr>
    </w:p>
    <w:p>
      <w:pPr>
        <w:ind w:right="420"/>
        <w:spacing w:after="0" w:line="228" w:lineRule="auto"/>
        <w:rPr>
          <w:sz w:val="20"/>
          <w:szCs w:val="20"/>
          <w:color w:val="auto"/>
        </w:rPr>
      </w:pPr>
      <w:r>
        <w:rPr>
          <w:rFonts w:ascii="Times New Roman" w:cs="Times New Roman" w:eastAsia="Times New Roman" w:hAnsi="Times New Roman"/>
          <w:sz w:val="20"/>
          <w:szCs w:val="20"/>
          <w:color w:val="auto"/>
        </w:rPr>
        <w:t>publicly in Mexico. In addition, the Plan, Agreement and any other document relating to the Units may not be publicly distributed in Mexico. These materials are addressed to the Grantee because of the Grantee’s existing relationship with</w:t>
      </w:r>
    </w:p>
    <w:p>
      <w:pPr>
        <w:sectPr>
          <w:pgSz w:w="11900" w:h="16838" w:orient="portrait"/>
          <w:cols w:equalWidth="0" w:num="1">
            <w:col w:w="10920"/>
          </w:cols>
          <w:pgMar w:left="420" w:top="166" w:right="559" w:bottom="1440" w:gutter="0" w:footer="0" w:header="0"/>
        </w:sectPr>
      </w:pPr>
    </w:p>
    <w:bookmarkStart w:id="182" w:name="page183"/>
    <w:bookmarkEnd w:id="182"/>
    <w:p>
      <w:pPr>
        <w:jc w:val="center"/>
        <w:ind w:right="-11"/>
        <w:spacing w:after="0"/>
        <w:rPr>
          <w:sz w:val="20"/>
          <w:szCs w:val="20"/>
          <w:color w:val="auto"/>
        </w:rPr>
      </w:pPr>
      <w:r>
        <w:rPr>
          <w:rFonts w:ascii="Arial" w:cs="Arial" w:eastAsia="Arial" w:hAnsi="Arial"/>
          <w:sz w:val="16"/>
          <w:szCs w:val="16"/>
          <w:color w:val="auto"/>
        </w:rPr>
        <w:t>Leidos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2" w:right="520"/>
        <w:spacing w:after="0" w:line="227" w:lineRule="auto"/>
        <w:rPr>
          <w:sz w:val="20"/>
          <w:szCs w:val="20"/>
          <w:color w:val="auto"/>
        </w:rPr>
      </w:pPr>
      <w:r>
        <w:rPr>
          <w:rFonts w:ascii="Times New Roman" w:cs="Times New Roman" w:eastAsia="Times New Roman" w:hAnsi="Times New Roman"/>
          <w:sz w:val="19"/>
          <w:szCs w:val="19"/>
          <w:color w:val="auto"/>
        </w:rPr>
        <w:t>the Company and these materials should not be reproduced or copied in any form. The offer contained in these materials does not constitute a public offering of securities, but rather a private placement of securities addressed specifically to certain employees of the</w:t>
      </w:r>
    </w:p>
    <w:p>
      <w:pPr>
        <w:ind w:left="92" w:right="420"/>
        <w:spacing w:after="0" w:line="228" w:lineRule="auto"/>
        <w:rPr>
          <w:sz w:val="20"/>
          <w:szCs w:val="20"/>
          <w:color w:val="auto"/>
        </w:rPr>
      </w:pPr>
      <w:r>
        <w:rPr>
          <w:rFonts w:ascii="Times New Roman" w:cs="Times New Roman" w:eastAsia="Times New Roman" w:hAnsi="Times New Roman"/>
          <w:sz w:val="20"/>
          <w:szCs w:val="20"/>
          <w:color w:val="auto"/>
        </w:rPr>
        <w:t>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28"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83"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color w:val="auto"/>
        </w:rPr>
        <w:t xml:space="preserve">Restriction on Sale of Shares of Stock. </w:t>
      </w:r>
      <w:r>
        <w:rPr>
          <w:rFonts w:ascii="Times New Roman" w:cs="Times New Roman" w:eastAsia="Times New Roman" w:hAnsi="Times New Roman"/>
          <w:sz w:val="20"/>
          <w:szCs w:val="20"/>
          <w:color w:val="auto"/>
        </w:rPr>
        <w:t>The Units are subject to section 257 of the SFA and the</w:t>
      </w:r>
    </w:p>
    <w:p>
      <w:pPr>
        <w:ind w:left="92"/>
        <w:spacing w:after="0" w:line="211" w:lineRule="auto"/>
        <w:rPr>
          <w:sz w:val="20"/>
          <w:szCs w:val="20"/>
          <w:color w:val="auto"/>
        </w:rPr>
      </w:pPr>
      <w:r>
        <w:rPr>
          <w:rFonts w:ascii="Times New Roman" w:cs="Times New Roman" w:eastAsia="Times New Roman" w:hAnsi="Times New Roman"/>
          <w:sz w:val="20"/>
          <w:szCs w:val="20"/>
          <w:color w:val="auto"/>
        </w:rPr>
        <w:t>Grantee will not be able to make any subsequent sale of shares of Stock in Singapore or any offer of such subsequent sale of the Stock in</w:t>
      </w:r>
    </w:p>
    <w:p>
      <w:pPr>
        <w:ind w:left="92" w:right="380"/>
        <w:spacing w:after="0" w:line="215" w:lineRule="auto"/>
        <w:rPr>
          <w:sz w:val="20"/>
          <w:szCs w:val="20"/>
          <w:color w:val="auto"/>
        </w:rPr>
      </w:pPr>
      <w:r>
        <w:rPr>
          <w:rFonts w:ascii="Times New Roman" w:cs="Times New Roman" w:eastAsia="Times New Roman" w:hAnsi="Times New Roman"/>
          <w:sz w:val="19"/>
          <w:szCs w:val="19"/>
          <w:color w:val="auto"/>
        </w:rPr>
        <w:t>Singapore, unless such offer or sale is made (i) after six (6) months from the Grant Date, (ii) pursuant to the exemptions under Part XIII Division (1) Subdivision (4) (other than section 280) of the Singapore Securities and Futures Act (Chapter 289, 2006 Ed.) (“</w:t>
      </w:r>
      <w:r>
        <w:rPr>
          <w:rFonts w:ascii="Times New Roman" w:cs="Times New Roman" w:eastAsia="Times New Roman" w:hAnsi="Times New Roman"/>
          <w:sz w:val="19"/>
          <w:szCs w:val="19"/>
          <w:b w:val="1"/>
          <w:bCs w:val="1"/>
          <w:color w:val="auto"/>
        </w:rPr>
        <w:t>SFA</w:t>
      </w:r>
      <w:r>
        <w:rPr>
          <w:rFonts w:ascii="Times New Roman" w:cs="Times New Roman" w:eastAsia="Times New Roman" w:hAnsi="Times New Roman"/>
          <w:sz w:val="19"/>
          <w:szCs w:val="19"/>
          <w:color w:val="auto"/>
        </w:rPr>
        <w:t>”), or</w:t>
      </w:r>
    </w:p>
    <w:p>
      <w:pPr>
        <w:ind w:left="92"/>
        <w:spacing w:after="0"/>
        <w:rPr>
          <w:sz w:val="20"/>
          <w:szCs w:val="20"/>
          <w:color w:val="auto"/>
        </w:rPr>
      </w:pPr>
      <w:r>
        <w:rPr>
          <w:rFonts w:ascii="Times New Roman" w:cs="Times New Roman" w:eastAsia="Times New Roman" w:hAnsi="Times New Roman"/>
          <w:sz w:val="20"/>
          <w:szCs w:val="20"/>
          <w:color w:val="auto"/>
        </w:rPr>
        <w:t>(iii) pursuant to, and in accordance with, any other applicable exemption in the SFA.</w:t>
      </w:r>
    </w:p>
    <w:p>
      <w:pPr>
        <w:spacing w:after="0" w:line="190"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left="92" w:right="34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Units is being made pursuant to the “Qualifying Person” exemption under section 273(1)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 of the SFA. The Plan has not been lodged or registered as a prospectus with the Monetary Authority of Singapore.</w:t>
      </w:r>
    </w:p>
    <w:p>
      <w:pPr>
        <w:spacing w:after="0" w:line="13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9"/>
          <w:szCs w:val="19"/>
          <w:b w:val="1"/>
          <w:bCs w:val="1"/>
          <w:color w:val="auto"/>
        </w:rPr>
        <w:t>Director Notification Information</w:t>
      </w:r>
      <w:r>
        <w:rPr>
          <w:rFonts w:ascii="Arial" w:cs="Arial" w:eastAsia="Arial" w:hAnsi="Arial"/>
          <w:sz w:val="19"/>
          <w:szCs w:val="19"/>
          <w:color w:val="0000FF"/>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the Grantee is the or a director (including an alternate, substitute or shadow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of a Subsidiary</w:t>
      </w:r>
    </w:p>
    <w:p>
      <w:pPr>
        <w:ind w:left="72" w:right="80"/>
        <w:spacing w:after="0" w:line="215" w:lineRule="auto"/>
        <w:rPr>
          <w:sz w:val="20"/>
          <w:szCs w:val="20"/>
          <w:color w:val="auto"/>
        </w:rPr>
      </w:pPr>
      <w:r>
        <w:rPr>
          <w:rFonts w:ascii="Times New Roman" w:cs="Times New Roman" w:eastAsia="Times New Roman" w:hAnsi="Times New Roman"/>
          <w:sz w:val="19"/>
          <w:szCs w:val="19"/>
          <w:color w:val="auto"/>
        </w:rPr>
        <w:t>in Singapore, the Grantee is subject to certain notification requirements under the Singapore Companies Act, regardless of whether the Grantee is a Singapore resident or employed in Singapore. Among these requirements is an obligation to notify the Singapore Subsidiary of</w:t>
      </w:r>
    </w:p>
    <w:p>
      <w:pPr>
        <w:ind w:left="72"/>
        <w:spacing w:after="0" w:line="222" w:lineRule="auto"/>
        <w:rPr>
          <w:sz w:val="20"/>
          <w:szCs w:val="20"/>
          <w:color w:val="auto"/>
        </w:rPr>
      </w:pPr>
      <w:r>
        <w:rPr>
          <w:rFonts w:ascii="Times New Roman" w:cs="Times New Roman" w:eastAsia="Times New Roman" w:hAnsi="Times New Roman"/>
          <w:sz w:val="19"/>
          <w:szCs w:val="19"/>
          <w:color w:val="auto"/>
        </w:rPr>
        <w:t>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Units, shares of Stock) in the Company or a related company within two business days of (i) acquiring or disposing of such</w:t>
      </w:r>
    </w:p>
    <w:p>
      <w:pPr>
        <w:ind w:left="72" w:right="280"/>
        <w:spacing w:after="0" w:line="204" w:lineRule="auto"/>
        <w:rPr>
          <w:sz w:val="20"/>
          <w:szCs w:val="20"/>
          <w:color w:val="auto"/>
        </w:rPr>
      </w:pPr>
      <w:r>
        <w:rPr>
          <w:rFonts w:ascii="Times New Roman" w:cs="Times New Roman" w:eastAsia="Times New Roman" w:hAnsi="Times New Roman"/>
          <w:sz w:val="20"/>
          <w:szCs w:val="20"/>
          <w:color w:val="auto"/>
        </w:rPr>
        <w:t>interest, (ii) any change in a previously 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vesting of Units, sale of shares of Stock), or (iii) becoming or a director if such an interest exists at the time. If the Grantee is the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of a Subsidiary in Singapore and the above</w:t>
      </w:r>
    </w:p>
    <w:p>
      <w:pPr>
        <w:spacing w:after="0" w:line="1" w:lineRule="exact"/>
        <w:rPr>
          <w:sz w:val="20"/>
          <w:szCs w:val="20"/>
          <w:color w:val="auto"/>
        </w:rPr>
      </w:pPr>
    </w:p>
    <w:p>
      <w:pPr>
        <w:ind w:left="72" w:right="40"/>
        <w:spacing w:after="0" w:line="228" w:lineRule="auto"/>
        <w:rPr>
          <w:sz w:val="20"/>
          <w:szCs w:val="20"/>
          <w:color w:val="auto"/>
        </w:rPr>
      </w:pPr>
      <w:r>
        <w:rPr>
          <w:rFonts w:ascii="Times New Roman" w:cs="Times New Roman" w:eastAsia="Times New Roman" w:hAnsi="Times New Roman"/>
          <w:sz w:val="20"/>
          <w:szCs w:val="20"/>
          <w:color w:val="auto"/>
        </w:rPr>
        <w:t>notification requirements are determined to apply to the CEO of a Singapore Subsidiary, the above notification requirements also may apply to the Grantee.</w:t>
      </w:r>
    </w:p>
    <w:p>
      <w:pPr>
        <w:spacing w:after="0" w:line="185"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97"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b w:val="1"/>
          <w:bCs w:val="1"/>
          <w:color w:val="auto"/>
        </w:rPr>
        <w:t xml:space="preserve">Units Payable Only in Stock. </w:t>
      </w:r>
      <w:r>
        <w:rPr>
          <w:rFonts w:ascii="Times New Roman" w:cs="Times New Roman" w:eastAsia="Times New Roman" w:hAnsi="Times New Roman"/>
          <w:sz w:val="20"/>
          <w:szCs w:val="20"/>
          <w:color w:val="auto"/>
        </w:rPr>
        <w:t>Notwithstanding anything to the contrary in the Plan, the Units shall be paid in shares of Stock only and do</w:t>
      </w:r>
    </w:p>
    <w:p>
      <w:pPr>
        <w:ind w:left="72" w:right="200"/>
        <w:spacing w:after="0" w:line="221" w:lineRule="auto"/>
        <w:rPr>
          <w:sz w:val="20"/>
          <w:szCs w:val="20"/>
          <w:color w:val="auto"/>
        </w:rPr>
      </w:pPr>
      <w:r>
        <w:rPr>
          <w:rFonts w:ascii="Times New Roman" w:cs="Times New Roman" w:eastAsia="Times New Roman" w:hAnsi="Times New Roman"/>
          <w:sz w:val="20"/>
          <w:szCs w:val="20"/>
          <w:color w:val="auto"/>
        </w:rPr>
        <w:t>not provide the Grantee with any right to receive a cash payment. This provision is without prejudice to the application of Section 4 of the Terms and Conditions of Restricted Stock Unit Award.</w:t>
      </w:r>
    </w:p>
    <w:p>
      <w:pPr>
        <w:spacing w:after="0" w:line="198"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b w:val="1"/>
          <w:bCs w:val="1"/>
          <w:color w:val="auto"/>
        </w:rPr>
        <w:t>Responsibility for Taxes</w:t>
      </w:r>
      <w:r>
        <w:rPr>
          <w:rFonts w:ascii="Times New Roman" w:cs="Times New Roman" w:eastAsia="Times New Roman" w:hAnsi="Times New Roman"/>
          <w:sz w:val="20"/>
          <w:szCs w:val="20"/>
          <w:color w:val="auto"/>
        </w:rPr>
        <w:t>. The following provision supplements Section 4 of the Terms and Conditions of Restricted Stock Unit Award:</w:t>
      </w:r>
    </w:p>
    <w:p>
      <w:pPr>
        <w:spacing w:after="0" w:line="220" w:lineRule="exact"/>
        <w:rPr>
          <w:sz w:val="20"/>
          <w:szCs w:val="20"/>
          <w:color w:val="auto"/>
        </w:rPr>
      </w:pPr>
    </w:p>
    <w:p>
      <w:pPr>
        <w:ind w:left="72"/>
        <w:spacing w:after="0"/>
        <w:rPr>
          <w:sz w:val="20"/>
          <w:szCs w:val="20"/>
          <w:color w:val="auto"/>
        </w:rPr>
      </w:pPr>
      <w:r>
        <w:rPr>
          <w:rFonts w:ascii="Times New Roman" w:cs="Times New Roman" w:eastAsia="Times New Roman" w:hAnsi="Times New Roman"/>
          <w:sz w:val="19"/>
          <w:szCs w:val="19"/>
          <w:color w:val="auto"/>
        </w:rPr>
        <w:t>Without limitation to Section 4 of the Terms and Conditions of Restricted Stock Unit Award, the Grantee agrees that the Grantee is liable for</w:t>
      </w:r>
    </w:p>
    <w:p>
      <w:pPr>
        <w:spacing w:after="0" w:line="6" w:lineRule="exact"/>
        <w:rPr>
          <w:sz w:val="20"/>
          <w:szCs w:val="20"/>
          <w:color w:val="auto"/>
        </w:rPr>
      </w:pPr>
    </w:p>
    <w:p>
      <w:pPr>
        <w:ind w:left="72" w:right="120"/>
        <w:spacing w:after="0" w:line="215" w:lineRule="auto"/>
        <w:rPr>
          <w:sz w:val="20"/>
          <w:szCs w:val="20"/>
          <w:color w:val="auto"/>
        </w:rPr>
      </w:pPr>
      <w:r>
        <w:rPr>
          <w:rFonts w:ascii="Times New Roman" w:cs="Times New Roman" w:eastAsia="Times New Roman" w:hAnsi="Times New Roman"/>
          <w:sz w:val="19"/>
          <w:szCs w:val="19"/>
          <w:color w:val="auto"/>
        </w:rPr>
        <w:t>all Tax-Related Items and hereby covenants to pay all such Tax- Related Items, as and when requested by the Company or the Employer or by Her Majesty’s Revenue and Customs (“</w:t>
      </w:r>
      <w:r>
        <w:rPr>
          <w:rFonts w:ascii="Times New Roman" w:cs="Times New Roman" w:eastAsia="Times New Roman" w:hAnsi="Times New Roman"/>
          <w:sz w:val="19"/>
          <w:szCs w:val="19"/>
          <w:b w:val="1"/>
          <w:bCs w:val="1"/>
          <w:color w:val="auto"/>
        </w:rPr>
        <w:t>HMRC</w:t>
      </w:r>
      <w:r>
        <w:rPr>
          <w:rFonts w:ascii="Times New Roman" w:cs="Times New Roman" w:eastAsia="Times New Roman" w:hAnsi="Times New Roman"/>
          <w:sz w:val="19"/>
          <w:szCs w:val="19"/>
          <w:color w:val="auto"/>
        </w:rPr>
        <w:t>”) (or any other tax authority or any other relevant authority). The Grantee also agrees to</w:t>
      </w:r>
    </w:p>
    <w:p>
      <w:pPr>
        <w:ind w:left="72" w:right="80"/>
        <w:spacing w:after="0" w:line="228" w:lineRule="auto"/>
        <w:rPr>
          <w:sz w:val="20"/>
          <w:szCs w:val="20"/>
          <w:color w:val="auto"/>
        </w:rPr>
      </w:pPr>
      <w:r>
        <w:rPr>
          <w:rFonts w:ascii="Times New Roman" w:cs="Times New Roman" w:eastAsia="Times New Roman" w:hAnsi="Times New Roman"/>
          <w:sz w:val="20"/>
          <w:szCs w:val="20"/>
          <w:color w:val="auto"/>
        </w:rPr>
        <w:t>indemnify and keep indemnified the Company and the Employer against any Tax-Related Items that they are required to pay or withhold or have paid or will pay to HMRC (or any other tax authority or any other relevant authority) on the Grantee’s behalf.</w:t>
      </w:r>
    </w:p>
    <w:p>
      <w:pPr>
        <w:spacing w:after="0" w:line="184"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0"/>
          <w:szCs w:val="20"/>
          <w:color w:val="auto"/>
        </w:rPr>
        <w:t>Notwithstanding the foregoing, if the Grantee is a director or executive officer of the Company (within the meaning of Section 13(k) of the</w:t>
      </w:r>
    </w:p>
    <w:p>
      <w:pPr>
        <w:ind w:left="72" w:right="580"/>
        <w:spacing w:after="0" w:line="221" w:lineRule="auto"/>
        <w:rPr>
          <w:sz w:val="20"/>
          <w:szCs w:val="20"/>
          <w:color w:val="auto"/>
        </w:rPr>
      </w:pPr>
      <w:r>
        <w:rPr>
          <w:rFonts w:ascii="Times New Roman" w:cs="Times New Roman" w:eastAsia="Times New Roman" w:hAnsi="Times New Roman"/>
          <w:sz w:val="20"/>
          <w:szCs w:val="20"/>
          <w:color w:val="auto"/>
        </w:rPr>
        <w:t>Exchange Act), the Grantee understands that he or she may not be able to indemnify the Company or the Employer for the amount of income tax not collected from or paid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714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4" w:lineRule="exact"/>
        <w:rPr>
          <w:sz w:val="20"/>
          <w:szCs w:val="20"/>
          <w:color w:val="auto"/>
        </w:rPr>
      </w:pPr>
    </w:p>
    <w:p>
      <w:pPr>
        <w:ind w:left="-8" w:right="20" w:firstLine="8"/>
        <w:spacing w:after="0" w:line="215" w:lineRule="auto"/>
        <w:tabs>
          <w:tab w:leader="none" w:pos="95"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shadow director is an individual who is not on the board of the Singapore Subsidiary but who has sufficient control so that the board of directors acts in accordance with the “directions or instructions” of the individual.</w:t>
      </w:r>
    </w:p>
    <w:p>
      <w:pPr>
        <w:sectPr>
          <w:pgSz w:w="11900" w:h="16838" w:orient="portrait"/>
          <w:cols w:equalWidth="0" w:num="1">
            <w:col w:w="11212"/>
          </w:cols>
          <w:pgMar w:left="328" w:top="166" w:right="359" w:bottom="1440" w:gutter="0" w:footer="0" w:header="0"/>
        </w:sectPr>
      </w:pPr>
    </w:p>
    <w:bookmarkStart w:id="183" w:name="page184"/>
    <w:bookmarkEnd w:id="183"/>
    <w:p>
      <w:pPr>
        <w:jc w:val="center"/>
        <w:ind w:right="40"/>
        <w:spacing w:after="0"/>
        <w:rPr>
          <w:sz w:val="20"/>
          <w:szCs w:val="20"/>
          <w:color w:val="auto"/>
        </w:rPr>
      </w:pPr>
      <w:r>
        <w:rPr>
          <w:rFonts w:ascii="Arial" w:cs="Arial" w:eastAsia="Arial" w:hAnsi="Arial"/>
          <w:sz w:val="16"/>
          <w:szCs w:val="16"/>
          <w:color w:val="auto"/>
        </w:rPr>
        <w:t>Leidos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Grantee, as it may be considered a loan. In this case, the amount of any income tax not collected within 90 days of the end of the U.K. tax year in which the event giving rise to the Tax-Related Item(s) occurs may constitute an additional benefit to the Grantee on which additional</w:t>
      </w:r>
    </w:p>
    <w:p>
      <w:pPr>
        <w:spacing w:after="0" w:line="211" w:lineRule="auto"/>
        <w:rPr>
          <w:sz w:val="20"/>
          <w:szCs w:val="20"/>
          <w:color w:val="auto"/>
        </w:rPr>
      </w:pPr>
      <w:r>
        <w:rPr>
          <w:rFonts w:ascii="Times New Roman" w:cs="Times New Roman" w:eastAsia="Times New Roman" w:hAnsi="Times New Roman"/>
          <w:sz w:val="20"/>
          <w:szCs w:val="20"/>
          <w:color w:val="auto"/>
        </w:rPr>
        <w:t>income tax and National Insurance Contributions (“</w:t>
      </w:r>
      <w:r>
        <w:rPr>
          <w:rFonts w:ascii="Times New Roman" w:cs="Times New Roman" w:eastAsia="Times New Roman" w:hAnsi="Times New Roman"/>
          <w:sz w:val="20"/>
          <w:szCs w:val="20"/>
          <w:b w:val="1"/>
          <w:bCs w:val="1"/>
          <w:color w:val="auto"/>
        </w:rPr>
        <w:t>NICs</w:t>
      </w:r>
      <w:r>
        <w:rPr>
          <w:rFonts w:ascii="Times New Roman" w:cs="Times New Roman" w:eastAsia="Times New Roman" w:hAnsi="Times New Roman"/>
          <w:sz w:val="20"/>
          <w:szCs w:val="20"/>
          <w:color w:val="auto"/>
        </w:rPr>
        <w:t>”) may be payable. The Grantee will be responsible for reporting and paying any</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income tax due on this additional benefit directly to HMRC under the self-assessment regime and for paying the Company or the Employer, as applicable, for the amount of any employee NICs due on this additional benefit which may be recovered from the Grantee by the</w:t>
      </w:r>
    </w:p>
    <w:p>
      <w:pPr>
        <w:ind w:right="400"/>
        <w:spacing w:after="0" w:line="228" w:lineRule="auto"/>
        <w:rPr>
          <w:sz w:val="20"/>
          <w:szCs w:val="20"/>
          <w:color w:val="auto"/>
        </w:rPr>
      </w:pPr>
      <w:r>
        <w:rPr>
          <w:rFonts w:ascii="Times New Roman" w:cs="Times New Roman" w:eastAsia="Times New Roman" w:hAnsi="Times New Roman"/>
          <w:sz w:val="20"/>
          <w:szCs w:val="20"/>
          <w:color w:val="auto"/>
        </w:rPr>
        <w:t>Company or the Employer at any time thereafter by any of the means referred to in Section 4 of the Terms and Conditions of Restricted Stock Unit Award.</w:t>
      </w:r>
    </w:p>
    <w:p>
      <w:pPr>
        <w:sectPr>
          <w:pgSz w:w="11900" w:h="16838" w:orient="portrait"/>
          <w:cols w:equalWidth="0" w:num="1">
            <w:col w:w="11120"/>
          </w:cols>
          <w:pgMar w:left="400" w:top="166" w:right="37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160655</wp:posOffset>
            </wp:positionV>
            <wp:extent cx="1482725" cy="3600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14827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44" w:lineRule="exact"/>
        <w:rPr>
          <w:sz w:val="20"/>
          <w:szCs w:val="20"/>
          <w:color w:val="auto"/>
        </w:rPr>
      </w:pPr>
    </w:p>
    <w:p>
      <w:pPr>
        <w:jc w:val="center"/>
        <w:ind w:right="400"/>
        <w:spacing w:after="0" w:line="245" w:lineRule="auto"/>
        <w:rPr>
          <w:sz w:val="20"/>
          <w:szCs w:val="20"/>
          <w:color w:val="auto"/>
        </w:rPr>
      </w:pPr>
      <w:r>
        <w:rPr>
          <w:rFonts w:ascii="Times New Roman" w:cs="Times New Roman" w:eastAsia="Times New Roman" w:hAnsi="Times New Roman"/>
          <w:sz w:val="20"/>
          <w:szCs w:val="20"/>
          <w:b w:val="1"/>
          <w:bCs w:val="1"/>
          <w:color w:val="auto"/>
        </w:rPr>
        <w:t>NOTICE OF GRANT OF RESTRICTED STOCK UNIT AWARD (PERFORMANCE SHARE AWARD) FY24-FY26</w:t>
      </w:r>
    </w:p>
    <w:p>
      <w:pPr>
        <w:spacing w:after="0" w:line="178" w:lineRule="exact"/>
        <w:rPr>
          <w:sz w:val="20"/>
          <w:szCs w:val="20"/>
          <w:color w:val="auto"/>
        </w:rPr>
      </w:pPr>
    </w:p>
    <w:p>
      <w:pPr>
        <w:ind w:right="640" w:firstLine="648"/>
        <w:spacing w:after="0" w:line="229" w:lineRule="auto"/>
        <w:rPr>
          <w:sz w:val="20"/>
          <w:szCs w:val="20"/>
          <w:color w:val="auto"/>
        </w:rPr>
      </w:pPr>
      <w:r>
        <w:rPr>
          <w:rFonts w:ascii="Times New Roman" w:cs="Times New Roman" w:eastAsia="Times New Roman" w:hAnsi="Times New Roman"/>
          <w:sz w:val="19"/>
          <w:szCs w:val="19"/>
          <w:color w:val="auto"/>
        </w:rPr>
        <w:t>Leidos Holdings,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hereby grants this Restricted Stock Unit Award (the “</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of the number of Restricted Stock Units set forth in this Notice of Grant of Restricted Stock Unit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 Grantee designated</w:t>
      </w:r>
    </w:p>
    <w:p>
      <w:pPr>
        <w:spacing w:after="0" w:line="211" w:lineRule="auto"/>
        <w:rPr>
          <w:sz w:val="20"/>
          <w:szCs w:val="20"/>
          <w:color w:val="auto"/>
        </w:rPr>
      </w:pPr>
      <w:r>
        <w:rPr>
          <w:rFonts w:ascii="Times New Roman" w:cs="Times New Roman" w:eastAsia="Times New Roman" w:hAnsi="Times New Roman"/>
          <w:sz w:val="20"/>
          <w:szCs w:val="20"/>
          <w:color w:val="auto"/>
        </w:rPr>
        <w:t>in this Notice, pursuant to the provisions of the Company’s 2017 Omnibus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and subject to certain</w:t>
      </w:r>
    </w:p>
    <w:p>
      <w:pPr>
        <w:spacing w:after="0" w:line="1" w:lineRule="exact"/>
        <w:rPr>
          <w:sz w:val="20"/>
          <w:szCs w:val="20"/>
          <w:color w:val="auto"/>
        </w:rPr>
      </w:pPr>
    </w:p>
    <w:p>
      <w:pPr>
        <w:ind w:right="900"/>
        <w:spacing w:after="0" w:line="215" w:lineRule="auto"/>
        <w:rPr>
          <w:sz w:val="20"/>
          <w:szCs w:val="20"/>
          <w:color w:val="auto"/>
        </w:rPr>
      </w:pPr>
      <w:r>
        <w:rPr>
          <w:rFonts w:ascii="Times New Roman" w:cs="Times New Roman" w:eastAsia="Times New Roman" w:hAnsi="Times New Roman"/>
          <w:sz w:val="19"/>
          <w:szCs w:val="19"/>
          <w:color w:val="auto"/>
        </w:rPr>
        <w:t>restrictions as outlined below in this Notice and the additional provisions set forth in the attached Terms and Conditions of Restricted Stock Units Award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Together, this Notice, the attached Terms and all exhibits and appendices hereto</w:t>
      </w:r>
    </w:p>
    <w:p>
      <w:pPr>
        <w:spacing w:after="0" w:line="211" w:lineRule="auto"/>
        <w:rPr>
          <w:sz w:val="20"/>
          <w:szCs w:val="20"/>
          <w:color w:val="auto"/>
        </w:rPr>
      </w:pPr>
      <w:r>
        <w:rPr>
          <w:rFonts w:ascii="Times New Roman" w:cs="Times New Roman" w:eastAsia="Times New Roman" w:hAnsi="Times New Roman"/>
          <w:sz w:val="20"/>
          <w:szCs w:val="20"/>
          <w:color w:val="auto"/>
        </w:rPr>
        <w:t>constitute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terms and conditions of the Plan are incorporated by reference in their entirety into this</w:t>
      </w:r>
    </w:p>
    <w:p>
      <w:pPr>
        <w:ind w:right="920"/>
        <w:spacing w:after="0" w:line="221" w:lineRule="auto"/>
        <w:rPr>
          <w:sz w:val="20"/>
          <w:szCs w:val="20"/>
          <w:color w:val="auto"/>
        </w:rPr>
      </w:pPr>
      <w:r>
        <w:rPr>
          <w:rFonts w:ascii="Times New Roman" w:cs="Times New Roman" w:eastAsia="Times New Roman" w:hAnsi="Times New Roman"/>
          <w:sz w:val="20"/>
          <w:szCs w:val="20"/>
          <w:color w:val="auto"/>
        </w:rPr>
        <w:t>Agreement. When used in this Agreement, the terms that are defined in the Plan shall have the meanings given to them in the Plan, as modified herein (if applicable).</w:t>
      </w:r>
    </w:p>
    <w:p>
      <w:pPr>
        <w:spacing w:after="0" w:line="198"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Award Details: </w:t>
      </w:r>
      <w:r>
        <w:rPr>
          <w:rFonts w:ascii="Times New Roman" w:cs="Times New Roman" w:eastAsia="Times New Roman" w:hAnsi="Times New Roman"/>
          <w:sz w:val="19"/>
          <w:szCs w:val="19"/>
          <w:color w:val="auto"/>
        </w:rPr>
        <w:t>The Grantee’s name, the number of Restricted Stock Units awarded, and the Grant Date can be found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 Summary located in the electronic stock plan award administration system maintained by the Company or its designee that</w:t>
      </w:r>
    </w:p>
    <w:p>
      <w:pPr>
        <w:spacing w:after="0" w:line="1" w:lineRule="exact"/>
        <w:rPr>
          <w:sz w:val="20"/>
          <w:szCs w:val="20"/>
          <w:color w:val="auto"/>
        </w:rPr>
      </w:pPr>
    </w:p>
    <w:p>
      <w:pPr>
        <w:ind w:right="620"/>
        <w:spacing w:after="0" w:line="228" w:lineRule="auto"/>
        <w:rPr>
          <w:sz w:val="20"/>
          <w:szCs w:val="20"/>
          <w:color w:val="auto"/>
        </w:rPr>
      </w:pPr>
      <w:r>
        <w:rPr>
          <w:rFonts w:ascii="Times New Roman" w:cs="Times New Roman" w:eastAsia="Times New Roman" w:hAnsi="Times New Roman"/>
          <w:sz w:val="20"/>
          <w:szCs w:val="20"/>
          <w:color w:val="auto"/>
        </w:rPr>
        <w:t>contains a link to this Agreement (which summary information is set forth in the appropriate records of the Company authorizing such award).</w:t>
      </w:r>
    </w:p>
    <w:p>
      <w:pPr>
        <w:spacing w:after="0" w:line="172"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Subject to the terms of the Plan and this Agreement, the Restricted Stock Units shall become earned and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follows:</w:t>
      </w:r>
    </w:p>
    <w:p>
      <w:pPr>
        <w:spacing w:after="0" w:line="182" w:lineRule="exact"/>
        <w:rPr>
          <w:sz w:val="20"/>
          <w:szCs w:val="20"/>
          <w:color w:val="auto"/>
        </w:rPr>
      </w:pPr>
    </w:p>
    <w:p>
      <w:pPr>
        <w:ind w:right="860" w:firstLine="652"/>
        <w:spacing w:after="0" w:line="233" w:lineRule="auto"/>
        <w:tabs>
          <w:tab w:leader="none" w:pos="89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Performance-Vesting Condition</w:t>
      </w:r>
      <w:r>
        <w:rPr>
          <w:rFonts w:ascii="Times New Roman" w:cs="Times New Roman" w:eastAsia="Times New Roman" w:hAnsi="Times New Roman"/>
          <w:sz w:val="20"/>
          <w:szCs w:val="20"/>
          <w:color w:val="auto"/>
        </w:rPr>
        <w:t xml:space="preserve">. The number of Restricted Stock Units that become earned and vested (if any) will be determined based on performance during the Performance Period in accordance with the provisions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68" w:lineRule="exact"/>
        <w:rPr>
          <w:rFonts w:ascii="Times New Roman" w:cs="Times New Roman" w:eastAsia="Times New Roman" w:hAnsi="Times New Roman"/>
          <w:sz w:val="20"/>
          <w:szCs w:val="20"/>
          <w:color w:val="auto"/>
        </w:rPr>
      </w:pPr>
    </w:p>
    <w:p>
      <w:pPr>
        <w:ind w:right="720" w:firstLine="652"/>
        <w:spacing w:after="0" w:line="222" w:lineRule="auto"/>
        <w:tabs>
          <w:tab w:leader="none" w:pos="89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Time-Vesting Conditions</w:t>
      </w:r>
      <w:r>
        <w:rPr>
          <w:rFonts w:ascii="Times New Roman" w:cs="Times New Roman" w:eastAsia="Times New Roman" w:hAnsi="Times New Roman"/>
          <w:sz w:val="20"/>
          <w:szCs w:val="20"/>
          <w:color w:val="auto"/>
        </w:rPr>
        <w:t>. In addition to the performance-vesting condition stated above, subject to the terms of the Plan and this Agreement, the Restricted Stock Units shall become earned and vested, and shares of Stock shall be issued in settlement of vested Restricted Stock Units, in accordance with the following schedule, in the event the Grantee does not have a Separation from Service prior to the applicable vesting date(s):</w:t>
      </w:r>
    </w:p>
    <w:p>
      <w:pPr>
        <w:spacing w:after="0" w:line="243" w:lineRule="exact"/>
        <w:rPr>
          <w:sz w:val="20"/>
          <w:szCs w:val="20"/>
          <w:color w:val="auto"/>
        </w:rPr>
      </w:pPr>
    </w:p>
    <w:p>
      <w:pPr>
        <w:ind w:left="880"/>
        <w:spacing w:after="0"/>
        <w:tabs>
          <w:tab w:leader="none" w:pos="4600" w:val="left"/>
        </w:tabs>
        <w:rPr>
          <w:sz w:val="20"/>
          <w:szCs w:val="20"/>
          <w:color w:val="auto"/>
        </w:rPr>
      </w:pPr>
      <w:r>
        <w:rPr>
          <w:rFonts w:ascii="Times New Roman" w:cs="Times New Roman" w:eastAsia="Times New Roman" w:hAnsi="Times New Roman"/>
          <w:sz w:val="20"/>
          <w:szCs w:val="20"/>
          <w:u w:val="single" w:color="auto"/>
          <w:color w:val="auto"/>
        </w:rPr>
        <w:t>Vesting Date</w:t>
      </w:r>
      <w:r>
        <w:rPr>
          <w:sz w:val="20"/>
          <w:szCs w:val="20"/>
          <w:color w:val="auto"/>
        </w:rPr>
        <w:tab/>
      </w:r>
      <w:r>
        <w:rPr>
          <w:rFonts w:ascii="Times New Roman" w:cs="Times New Roman" w:eastAsia="Times New Roman" w:hAnsi="Times New Roman"/>
          <w:sz w:val="19"/>
          <w:szCs w:val="19"/>
          <w:u w:val="single" w:color="auto"/>
          <w:color w:val="auto"/>
        </w:rPr>
        <w:t>% Vesting</w:t>
      </w:r>
    </w:p>
    <w:p>
      <w:pPr>
        <w:spacing w:after="0" w:line="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[add applicable vesting date(s)]</w:t>
      </w:r>
    </w:p>
    <w:p>
      <w:pPr>
        <w:spacing w:after="0" w:line="335" w:lineRule="exact"/>
        <w:rPr>
          <w:sz w:val="20"/>
          <w:szCs w:val="20"/>
          <w:color w:val="auto"/>
        </w:rPr>
      </w:pPr>
    </w:p>
    <w:p>
      <w:pPr>
        <w:ind w:right="600"/>
        <w:spacing w:after="0" w:line="234" w:lineRule="auto"/>
        <w:rPr>
          <w:sz w:val="20"/>
          <w:szCs w:val="20"/>
          <w:color w:val="auto"/>
        </w:rPr>
      </w:pPr>
      <w:r>
        <w:rPr>
          <w:rFonts w:ascii="Times New Roman" w:cs="Times New Roman" w:eastAsia="Times New Roman" w:hAnsi="Times New Roman"/>
          <w:sz w:val="19"/>
          <w:szCs w:val="19"/>
          <w:color w:val="auto"/>
        </w:rPr>
        <w:t>Only a whole number of Restricted Stock Units will become vested as of any given vesting date. If the number of Restricted Stock Units determined as of a vesting date is a fractional number, the number vesting will be rounded down to the nearest whole</w:t>
      </w:r>
    </w:p>
    <w:p>
      <w:pPr>
        <w:spacing w:after="0" w:line="1" w:lineRule="exact"/>
        <w:rPr>
          <w:sz w:val="20"/>
          <w:szCs w:val="20"/>
          <w:color w:val="auto"/>
        </w:rPr>
      </w:pPr>
    </w:p>
    <w:p>
      <w:pPr>
        <w:ind w:right="760"/>
        <w:spacing w:after="0" w:line="215" w:lineRule="auto"/>
        <w:rPr>
          <w:sz w:val="20"/>
          <w:szCs w:val="20"/>
          <w:color w:val="auto"/>
        </w:rPr>
      </w:pPr>
      <w:r>
        <w:rPr>
          <w:rFonts w:ascii="Times New Roman" w:cs="Times New Roman" w:eastAsia="Times New Roman" w:hAnsi="Times New Roman"/>
          <w:sz w:val="19"/>
          <w:szCs w:val="19"/>
          <w:color w:val="auto"/>
        </w:rPr>
        <w:t xml:space="preserve">number with any fractional portion carried forward.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to this Notice sets forth the terms and provisions regarding treatment of the Award upon Separation form Service. No Restricted Stock Units shall become earned and vested following the</w:t>
      </w:r>
    </w:p>
    <w:p>
      <w:pPr>
        <w:ind w:right="820"/>
        <w:spacing w:after="0" w:line="228" w:lineRule="auto"/>
        <w:rPr>
          <w:sz w:val="20"/>
          <w:szCs w:val="20"/>
          <w:color w:val="auto"/>
        </w:rPr>
      </w:pPr>
      <w:r>
        <w:rPr>
          <w:rFonts w:ascii="Times New Roman" w:cs="Times New Roman" w:eastAsia="Times New Roman" w:hAnsi="Times New Roman"/>
          <w:sz w:val="20"/>
          <w:szCs w:val="20"/>
          <w:color w:val="auto"/>
        </w:rPr>
        <w:t xml:space="preserve">Grantee’s Separation from Service except as otherwise expressly provided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Notice or as otherwise provided pursuant to the terms of the Plan.</w:t>
      </w:r>
    </w:p>
    <w:p>
      <w:pPr>
        <w:spacing w:after="0" w:line="200" w:lineRule="exact"/>
        <w:rPr>
          <w:sz w:val="20"/>
          <w:szCs w:val="20"/>
          <w:color w:val="auto"/>
        </w:rPr>
      </w:pPr>
    </w:p>
    <w:p>
      <w:pPr>
        <w:spacing w:after="0" w:line="215" w:lineRule="exact"/>
        <w:rPr>
          <w:sz w:val="20"/>
          <w:szCs w:val="20"/>
          <w:color w:val="auto"/>
        </w:rPr>
      </w:pPr>
    </w:p>
    <w:p>
      <w:pPr>
        <w:ind w:right="1300"/>
        <w:spacing w:after="0" w:line="215" w:lineRule="auto"/>
        <w:rPr>
          <w:sz w:val="20"/>
          <w:szCs w:val="20"/>
          <w:color w:val="auto"/>
        </w:rPr>
      </w:pPr>
      <w:r>
        <w:rPr>
          <w:rFonts w:ascii="Times New Roman" w:cs="Times New Roman" w:eastAsia="Times New Roman" w:hAnsi="Times New Roman"/>
          <w:sz w:val="20"/>
          <w:szCs w:val="20"/>
          <w:b w:val="1"/>
          <w:bCs w:val="1"/>
          <w:color w:val="auto"/>
        </w:rPr>
        <w:t>Award Acceptance</w:t>
      </w:r>
      <w:r>
        <w:rPr>
          <w:rFonts w:ascii="Times New Roman" w:cs="Times New Roman" w:eastAsia="Times New Roman" w:hAnsi="Times New Roman"/>
          <w:sz w:val="20"/>
          <w:szCs w:val="20"/>
          <w:color w:val="auto"/>
        </w:rPr>
        <w:t>: The Grantee must accept the Agreement electronically pursuant to the online acceptance procedure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established by the Company by no later than three months following the Grant Date. If the Grantee does not accept the Agreement through the online acceptance process by that date,</w:t>
      </w:r>
    </w:p>
    <w:p>
      <w:pPr>
        <w:spacing w:after="0" w:line="2" w:lineRule="exact"/>
        <w:rPr>
          <w:sz w:val="20"/>
          <w:szCs w:val="20"/>
          <w:color w:val="auto"/>
        </w:rPr>
      </w:pPr>
    </w:p>
    <w:p>
      <w:pPr>
        <w:ind w:right="460"/>
        <w:spacing w:after="0" w:line="234" w:lineRule="auto"/>
        <w:rPr>
          <w:sz w:val="20"/>
          <w:szCs w:val="20"/>
          <w:color w:val="auto"/>
        </w:rPr>
      </w:pPr>
      <w:r>
        <w:rPr>
          <w:rFonts w:ascii="Times New Roman" w:cs="Times New Roman" w:eastAsia="Times New Roman" w:hAnsi="Times New Roman"/>
          <w:sz w:val="19"/>
          <w:szCs w:val="19"/>
          <w:color w:val="auto"/>
        </w:rPr>
        <w:t>or such other date that may be communicated, the Grantee will be deemed to have accepted the Agreement and the Company will automatically accept the Agreement on the Grantee’s behalf. If the Grantee declines the Agreement, the Award will be canceled, and the Grantee will not be entitled to any benefits from the Award nor any compensation or benefits in lieu of the canceled award.</w:t>
      </w:r>
    </w:p>
    <w:p>
      <w:pPr>
        <w:sectPr>
          <w:pgSz w:w="11900" w:h="16838" w:orient="portrait"/>
          <w:cols w:equalWidth="0" w:num="1">
            <w:col w:w="10840"/>
          </w:cols>
          <w:pgMar w:left="720" w:top="953"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5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Performance-Vesting Condition –Performance Period FY24-FY26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2" w:lineRule="exact"/>
        <w:rPr>
          <w:sz w:val="20"/>
          <w:szCs w:val="20"/>
          <w:color w:val="auto"/>
        </w:rPr>
      </w:pPr>
    </w:p>
    <w:p>
      <w:pPr>
        <w:ind w:left="380" w:right="28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Determination Date</w:t>
      </w:r>
      <w:r>
        <w:rPr>
          <w:rFonts w:ascii="Times New Roman" w:cs="Times New Roman" w:eastAsia="Times New Roman" w:hAnsi="Times New Roman"/>
          <w:sz w:val="19"/>
          <w:szCs w:val="19"/>
          <w:color w:val="auto"/>
        </w:rPr>
        <w:t>” means the date on which the Committee certifies whether and to what extent the Performance Goals have been achieved, which shall be no later than March 15 following the end of the Performance</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Period.</w:t>
      </w:r>
    </w:p>
    <w:p>
      <w:pPr>
        <w:spacing w:after="0" w:line="3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Goals</w:t>
      </w:r>
      <w:r>
        <w:rPr>
          <w:rFonts w:ascii="Times New Roman" w:cs="Times New Roman" w:eastAsia="Times New Roman" w:hAnsi="Times New Roman"/>
          <w:sz w:val="20"/>
          <w:szCs w:val="20"/>
          <w:color w:val="auto"/>
        </w:rPr>
        <w:t>” means the performance goals specified in paragraph (b) below.</w:t>
      </w:r>
    </w:p>
    <w:p>
      <w:pPr>
        <w:spacing w:after="0" w:line="297" w:lineRule="exact"/>
        <w:rPr>
          <w:sz w:val="20"/>
          <w:szCs w:val="20"/>
          <w:color w:val="auto"/>
        </w:rPr>
      </w:pPr>
    </w:p>
    <w:p>
      <w:pPr>
        <w:ind w:left="380" w:right="2480" w:firstLine="648"/>
        <w:spacing w:after="0" w:line="4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Performance Period</w:t>
      </w:r>
      <w:r>
        <w:rPr>
          <w:rFonts w:ascii="Times New Roman" w:cs="Times New Roman" w:eastAsia="Times New Roman" w:hAnsi="Times New Roman"/>
          <w:sz w:val="19"/>
          <w:szCs w:val="19"/>
          <w:color w:val="auto"/>
        </w:rPr>
        <w:t>” means the period of three consecutive fiscal years of the Company, with the first such fiscal year being the year in which the Grant Date occurs.</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color w:val="auto"/>
        </w:rPr>
        <w:t>[add defined terms as needed of the specific performance metrics]</w:t>
      </w:r>
    </w:p>
    <w:p>
      <w:pPr>
        <w:spacing w:after="0" w:line="200" w:lineRule="exact"/>
        <w:rPr>
          <w:sz w:val="20"/>
          <w:szCs w:val="20"/>
          <w:color w:val="auto"/>
        </w:rPr>
      </w:pPr>
    </w:p>
    <w:p>
      <w:pPr>
        <w:spacing w:after="0" w:line="276" w:lineRule="exact"/>
        <w:rPr>
          <w:sz w:val="20"/>
          <w:szCs w:val="20"/>
          <w:color w:val="auto"/>
        </w:rPr>
      </w:pPr>
    </w:p>
    <w:p>
      <w:pPr>
        <w:ind w:left="-280" w:firstLine="652"/>
        <w:spacing w:after="0" w:line="220" w:lineRule="auto"/>
        <w:tabs>
          <w:tab w:leader="none" w:pos="61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xml:space="preserve">. Pursuant to this Award, the number of shares of Stock, if any, that the Grantee may be entitled to receive will be based on the performance level achieved for </w:t>
      </w:r>
      <w:r>
        <w:rPr>
          <w:rFonts w:ascii="Times New Roman" w:cs="Times New Roman" w:eastAsia="Times New Roman" w:hAnsi="Times New Roman"/>
          <w:sz w:val="20"/>
          <w:szCs w:val="20"/>
          <w:b w:val="1"/>
          <w:bCs w:val="1"/>
          <w:color w:val="auto"/>
        </w:rPr>
        <w:t>[insert relevant performance measures]</w:t>
      </w:r>
      <w:r>
        <w:rPr>
          <w:rFonts w:ascii="Times New Roman" w:cs="Times New Roman" w:eastAsia="Times New Roman" w:hAnsi="Times New Roman"/>
          <w:sz w:val="20"/>
          <w:szCs w:val="20"/>
          <w:color w:val="auto"/>
        </w:rPr>
        <w:t xml:space="preserve"> over the Performance Period. Each performance measure is weighted as follows: </w:t>
      </w:r>
      <w:r>
        <w:rPr>
          <w:rFonts w:ascii="Times New Roman" w:cs="Times New Roman" w:eastAsia="Times New Roman" w:hAnsi="Times New Roman"/>
          <w:sz w:val="20"/>
          <w:szCs w:val="20"/>
          <w:b w:val="1"/>
          <w:bCs w:val="1"/>
          <w:color w:val="auto"/>
        </w:rPr>
        <w:t>[insert weighting if multiple]</w:t>
      </w:r>
      <w:r>
        <w:rPr>
          <w:rFonts w:ascii="Times New Roman" w:cs="Times New Roman" w:eastAsia="Times New Roman" w:hAnsi="Times New Roman"/>
          <w:sz w:val="20"/>
          <w:szCs w:val="20"/>
          <w:color w:val="auto"/>
        </w:rPr>
        <w:t>. The payout for each measure will be determined separately based on the performance level achieved for each measure at the end of the Performance Period. The following sets forth the specific performance goals and payout scales: [•].</w:t>
      </w:r>
    </w:p>
    <w:p>
      <w:pPr>
        <w:sectPr>
          <w:pgSz w:w="11900" w:h="16838" w:orient="portrait"/>
          <w:cols w:equalWidth="0" w:num="1">
            <w:col w:w="9880"/>
          </w:cols>
          <w:pgMar w:left="1000" w:top="1004" w:right="1019" w:bottom="1440" w:gutter="0" w:footer="0" w:header="0"/>
        </w:sectPr>
      </w:pPr>
    </w:p>
    <w:bookmarkStart w:id="186" w:name="page187"/>
    <w:bookmarkEnd w:id="186"/>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from Service and Change in Control</w:t>
      </w:r>
    </w:p>
    <w:p>
      <w:pPr>
        <w:spacing w:after="0" w:line="301" w:lineRule="exact"/>
        <w:rPr>
          <w:sz w:val="20"/>
          <w:szCs w:val="20"/>
          <w:color w:val="auto"/>
        </w:rPr>
      </w:pPr>
    </w:p>
    <w:p>
      <w:pPr>
        <w:ind w:right="580" w:firstLine="652"/>
        <w:spacing w:after="0" w:line="226" w:lineRule="auto"/>
        <w:tabs>
          <w:tab w:leader="none" w:pos="89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of Separation from Service; Change in Control</w:t>
      </w:r>
      <w:r>
        <w:rPr>
          <w:rFonts w:ascii="Times New Roman" w:cs="Times New Roman" w:eastAsia="Times New Roman" w:hAnsi="Times New Roman"/>
          <w:sz w:val="20"/>
          <w:szCs w:val="20"/>
          <w:color w:val="auto"/>
        </w:rPr>
        <w:t>. If the Grantee has a Separation from Service before any of the vesting date(s) specified under “Vesting Schedule” in the Notice, then any unvested Restricted Stock Units shall become earned and vested or be canceled depending on the reason for Separation from Service as follows:</w:t>
      </w:r>
    </w:p>
    <w:p>
      <w:pPr>
        <w:spacing w:after="0" w:line="187" w:lineRule="exact"/>
        <w:rPr>
          <w:rFonts w:ascii="Times New Roman" w:cs="Times New Roman" w:eastAsia="Times New Roman" w:hAnsi="Times New Roman"/>
          <w:sz w:val="20"/>
          <w:szCs w:val="20"/>
          <w:color w:val="auto"/>
        </w:rPr>
      </w:pPr>
    </w:p>
    <w:p>
      <w:pPr>
        <w:ind w:right="440" w:firstLine="1300"/>
        <w:spacing w:after="0" w:line="216" w:lineRule="auto"/>
        <w:tabs>
          <w:tab w:leader="none" w:pos="1537"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If the Grantee has a Separation from Service due to the Grantee’s death, any unearned and unvested Restricted Stock Units shall become immediately earned and vested as of the date of such Separation from Service assuming target performance. In addition, in the event of the Grantee’s death after Separation from Service due to Disability, Involuntary Termination without Cause or Special Retirement, any Restricted Stock Units that had not yet become earned and vested in accordance with the schedule set forth under “Vesting Schedule” in the Notice shall become immediately vested as of the date of such death assuming target performance.</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u w:val="single" w:color="auto"/>
          <w:color w:val="auto"/>
        </w:rPr>
        <w:t>Disability, Involuntary Termination without Cause or Special Retirement</w:t>
      </w:r>
      <w:r>
        <w:rPr>
          <w:rFonts w:ascii="Times New Roman" w:cs="Times New Roman" w:eastAsia="Times New Roman" w:hAnsi="Times New Roman"/>
          <w:sz w:val="20"/>
          <w:szCs w:val="20"/>
          <w:color w:val="auto"/>
        </w:rPr>
        <w:t>. If the Grantee has Separation from</w:t>
      </w:r>
    </w:p>
    <w:p>
      <w:pPr>
        <w:spacing w:after="0" w:line="197" w:lineRule="auto"/>
        <w:rPr>
          <w:sz w:val="20"/>
          <w:szCs w:val="20"/>
          <w:color w:val="auto"/>
        </w:rPr>
      </w:pPr>
      <w:r>
        <w:rPr>
          <w:rFonts w:ascii="Times New Roman" w:cs="Times New Roman" w:eastAsia="Times New Roman" w:hAnsi="Times New Roman"/>
          <w:sz w:val="20"/>
          <w:szCs w:val="20"/>
          <w:color w:val="auto"/>
        </w:rPr>
        <w:t>Service due to (A) Disability, (B) Involuntary Termination without Cause that occurs at least six months after the Grant Date, or</w:t>
      </w:r>
    </w:p>
    <w:p>
      <w:pPr>
        <w:ind w:right="440" w:firstLine="4"/>
        <w:spacing w:after="0" w:line="208" w:lineRule="auto"/>
        <w:tabs>
          <w:tab w:leader="none" w:pos="31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Special Retirement, a prorated portion of any unearned Restricted Stock Units shall become earned and vested in accordance with the schedule set forth under “Vesting Schedule” in the Notice (including the performance condition) as if the Grantee had not had a Separation from Service. Any such vested Restricted Stock Units shall not be paid until the Determination Date. Such prorated vesting shall be determined as follows: (A) the total target number of Restricted Stock Units granted shall be multiplied by the Pro Rata Fraction, rounded up to the next whole number, and (B) such prorated target Restricted Stock Units shall be adjusted for performance results as provided under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Any such continued vesting shall be subject to the following additional requirements: (x) the Grantee must execute, deliver and not revoke, no later than sixty (60) days following Separation from Service, a general release of claims if requested by, and in a form satisfactory to, the Company, and (y) the Grantee complies with the requirements of Section 7 of the Terms (regarding compliance with post-employment covenants). Notwithstanding the preceding sentences, if the Company receives an opinion of counsel that there has been a legal judgment and/or legal development in the Grantee’s jurisdiction that likely would result in the favorable Special Retirement treatment that otherwise would apply to the Restricted Stock Units pursuant to this Section (a)(ii) being deemed unlawful and/or discriminatory, then the Company will not apply this favorable Special Retirement treatment at the time of the Grantee’s Separation from Service and the Restricted Stock Units will be treated as they would under the rules that otherwise would have applied if the Grantee’s Separation from Service did not qualify as a Special Retirement.</w:t>
      </w:r>
    </w:p>
    <w:p>
      <w:pPr>
        <w:spacing w:after="0" w:line="201" w:lineRule="exact"/>
        <w:rPr>
          <w:rFonts w:ascii="Times New Roman" w:cs="Times New Roman" w:eastAsia="Times New Roman" w:hAnsi="Times New Roman"/>
          <w:sz w:val="20"/>
          <w:szCs w:val="20"/>
          <w:color w:val="auto"/>
        </w:rPr>
      </w:pPr>
    </w:p>
    <w:p>
      <w:pPr>
        <w:ind w:right="720" w:firstLine="1300"/>
        <w:spacing w:after="0" w:line="216" w:lineRule="auto"/>
        <w:tabs>
          <w:tab w:leader="none" w:pos="2187"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xml:space="preserve">. Notwithstanding anything in this Agreement to the contrary but subject to the provisions of Section 15.3.1(i) of the Plan, if (A) a Change in Control occurs and (B) the Grantee has a Change in Control Termination, then any unearned and unvested Restricted Stock Units then the Restricted Stock Units shall become immediately earned and vested as of the date of such Change in Control Termination at the greater of (y) target or (z) the actual level of performance under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determined as if the Performance Period had ended as of the Company’s fiscal quarter end preceding the Change in Control.</w:t>
      </w:r>
    </w:p>
    <w:p>
      <w:pPr>
        <w:spacing w:after="0" w:line="189" w:lineRule="exact"/>
        <w:rPr>
          <w:rFonts w:ascii="Times New Roman" w:cs="Times New Roman" w:eastAsia="Times New Roman" w:hAnsi="Times New Roman"/>
          <w:sz w:val="20"/>
          <w:szCs w:val="20"/>
          <w:color w:val="auto"/>
        </w:rPr>
      </w:pPr>
    </w:p>
    <w:p>
      <w:pPr>
        <w:ind w:right="580" w:firstLine="1300"/>
        <w:spacing w:after="0" w:line="222" w:lineRule="auto"/>
        <w:tabs>
          <w:tab w:leader="none" w:pos="2189"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Any other Separation from Service</w:t>
      </w:r>
      <w:r>
        <w:rPr>
          <w:rFonts w:ascii="Times New Roman" w:cs="Times New Roman" w:eastAsia="Times New Roman" w:hAnsi="Times New Roman"/>
          <w:sz w:val="20"/>
          <w:szCs w:val="20"/>
          <w:color w:val="auto"/>
        </w:rPr>
        <w:t>. If the Grantee has a Separation from Service for any reason other than as specified in subparagraphs (i) through (iii) above, any Restricted Stock Units that were not already earned and vested pursuant to the schedule specified under “Vesting Schedule” in the Notice as of the date of the Separation from Service shall be immediately canceled as of the date of Separation from Service.</w:t>
      </w:r>
    </w:p>
    <w:p>
      <w:pPr>
        <w:spacing w:after="0" w:line="189" w:lineRule="exact"/>
        <w:rPr>
          <w:sz w:val="20"/>
          <w:szCs w:val="20"/>
          <w:color w:val="auto"/>
        </w:rPr>
      </w:pPr>
    </w:p>
    <w:p>
      <w:pPr>
        <w:ind w:left="1300" w:right="1940" w:hanging="648"/>
        <w:spacing w:after="0" w:line="457" w:lineRule="auto"/>
        <w:tabs>
          <w:tab w:leader="none" w:pos="89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 “</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the termination of Service will be deemed to exist if the Grantee:</w:t>
      </w:r>
    </w:p>
    <w:p>
      <w:pPr>
        <w:spacing w:after="0" w:line="1" w:lineRule="exact"/>
        <w:rPr>
          <w:rFonts w:ascii="Times New Roman" w:cs="Times New Roman" w:eastAsia="Times New Roman" w:hAnsi="Times New Roman"/>
          <w:sz w:val="20"/>
          <w:szCs w:val="20"/>
          <w:color w:val="auto"/>
        </w:rPr>
      </w:pPr>
    </w:p>
    <w:p>
      <w:pPr>
        <w:ind w:left="1940" w:hanging="641"/>
        <w:spacing w:after="0" w:line="226" w:lineRule="auto"/>
        <w:tabs>
          <w:tab w:leader="none" w:pos="1937"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convicted, or entered a plea of nolo contendere, for committing an act of fraud, embezzlement, theft or other act constituting a felony or crime of similar magnitude under applicable law (other than traffic related offenses or as a result of vicarious liability).</w:t>
      </w:r>
    </w:p>
    <w:p>
      <w:pPr>
        <w:sectPr>
          <w:pgSz w:w="11900" w:h="16838" w:orient="portrait"/>
          <w:cols w:equalWidth="0" w:num="1">
            <w:col w:w="10800"/>
          </w:cols>
          <w:pgMar w:left="720" w:top="1004" w:right="379" w:bottom="1440" w:gutter="0" w:footer="0" w:header="0"/>
        </w:sectPr>
      </w:pPr>
    </w:p>
    <w:bookmarkStart w:id="187" w:name="page188"/>
    <w:bookmarkEnd w:id="187"/>
    <w:p>
      <w:pPr>
        <w:ind w:left="1280" w:hanging="641"/>
        <w:spacing w:after="0"/>
        <w:tabs>
          <w:tab w:leader="none" w:pos="12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willfully engages in illegal conduct or gross misconduct that is significantly.</w:t>
      </w:r>
    </w:p>
    <w:p>
      <w:pPr>
        <w:ind w:left="1280" w:right="60"/>
        <w:spacing w:after="0" w:line="21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injurious to the Company or a Subsidiary, including the Grantee’s material breach of his or her obligations under any written Company policy, including any code of ethics or conduct, which is not cured, if curable, within ten (10) days after the Company or a Subsidiary notifies the Grantee of such breach; however, no act or failure to act on the Grantee’s part shall be considered “willful” unless done or omitted to be done by the Grantee not in good faith and without reasonable belief that his or her action or omission was in the best interest of the Company or a Subsidiary; or</w:t>
      </w:r>
    </w:p>
    <w:p>
      <w:pPr>
        <w:spacing w:after="0" w:line="190" w:lineRule="exact"/>
        <w:rPr>
          <w:rFonts w:ascii="Times New Roman" w:cs="Times New Roman" w:eastAsia="Times New Roman" w:hAnsi="Times New Roman"/>
          <w:sz w:val="20"/>
          <w:szCs w:val="20"/>
          <w:color w:val="auto"/>
        </w:rPr>
      </w:pPr>
    </w:p>
    <w:p>
      <w:pPr>
        <w:ind w:left="1280" w:right="420" w:hanging="640"/>
        <w:spacing w:after="0" w:line="222" w:lineRule="auto"/>
        <w:tabs>
          <w:tab w:leader="none" w:pos="128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perform his or her duties in a reasonably satisfactory manner after the receipt of a notice from the Company or a Subsidiary detailing such failure if the failure is incapable of cure, and if the failure is capable of cure, upon the failure to cure such failure within 30 days of such notice or upon its recurrence.</w:t>
      </w:r>
    </w:p>
    <w:p>
      <w:pPr>
        <w:spacing w:after="0" w:line="198" w:lineRule="exact"/>
        <w:rPr>
          <w:sz w:val="20"/>
          <w:szCs w:val="20"/>
          <w:color w:val="auto"/>
        </w:rPr>
      </w:pPr>
    </w:p>
    <w:p>
      <w:pPr>
        <w:ind w:right="28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 Termination</w:t>
      </w:r>
      <w:r>
        <w:rPr>
          <w:rFonts w:ascii="Times New Roman" w:cs="Times New Roman" w:eastAsia="Times New Roman" w:hAnsi="Times New Roman"/>
          <w:sz w:val="19"/>
          <w:szCs w:val="19"/>
          <w:color w:val="auto"/>
        </w:rPr>
        <w:t>” means the Grantee’s Separation from Service on or within two years after a Change in Control if such Separation from Service is either (i) by action of the Company or, if different, the Grantee’s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employing Subsidiary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without Cause or (ii) by action of the Grantee with Good Reason.</w:t>
      </w:r>
    </w:p>
    <w:p>
      <w:pPr>
        <w:spacing w:after="0" w:line="190"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the status of disability determined conclusively by the Company based upon certification of disability by the Social Security Administration or an equivalent authority outside the U.S. or, to the extent compliant with</w:t>
      </w:r>
    </w:p>
    <w:p>
      <w:pPr>
        <w:spacing w:after="0" w:line="1" w:lineRule="exact"/>
        <w:rPr>
          <w:sz w:val="20"/>
          <w:szCs w:val="20"/>
          <w:color w:val="auto"/>
        </w:rPr>
      </w:pPr>
    </w:p>
    <w:p>
      <w:pPr>
        <w:ind w:right="400"/>
        <w:spacing w:after="0" w:line="228" w:lineRule="auto"/>
        <w:rPr>
          <w:sz w:val="20"/>
          <w:szCs w:val="20"/>
          <w:color w:val="auto"/>
        </w:rPr>
      </w:pPr>
      <w:r>
        <w:rPr>
          <w:rFonts w:ascii="Times New Roman" w:cs="Times New Roman" w:eastAsia="Times New Roman" w:hAnsi="Times New Roman"/>
          <w:sz w:val="20"/>
          <w:szCs w:val="20"/>
          <w:color w:val="auto"/>
        </w:rPr>
        <w:t>Section 409A, upon such other proof as the Company may require, effective upon receipt of such certification or other proof by the Company.</w:t>
      </w:r>
    </w:p>
    <w:p>
      <w:pPr>
        <w:spacing w:after="0" w:line="172" w:lineRule="exact"/>
        <w:rPr>
          <w:sz w:val="20"/>
          <w:szCs w:val="20"/>
          <w:color w:val="auto"/>
        </w:rPr>
      </w:pPr>
    </w:p>
    <w:p>
      <w:pPr>
        <w:ind w:right="36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 events or conditions without the Grantee’s prior written consent:</w:t>
      </w:r>
    </w:p>
    <w:p>
      <w:pPr>
        <w:spacing w:after="0" w:line="182" w:lineRule="exact"/>
        <w:rPr>
          <w:sz w:val="20"/>
          <w:szCs w:val="20"/>
          <w:color w:val="auto"/>
        </w:rPr>
      </w:pPr>
    </w:p>
    <w:p>
      <w:pPr>
        <w:ind w:left="1280" w:right="240" w:hanging="640"/>
        <w:spacing w:after="0" w:line="226" w:lineRule="auto"/>
        <w:tabs>
          <w:tab w:leader="none" w:pos="12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change in the Grantee’s authority, duties or responsibilities (including reporting responsibilities) from the Grantee’s authority, duties or responsibilities as in effect at any time within 90 days preceding the date of the Change in Control or at any time thereafter.</w:t>
      </w:r>
    </w:p>
    <w:p>
      <w:pPr>
        <w:spacing w:after="0" w:line="187" w:lineRule="exact"/>
        <w:rPr>
          <w:rFonts w:ascii="Times New Roman" w:cs="Times New Roman" w:eastAsia="Times New Roman" w:hAnsi="Times New Roman"/>
          <w:sz w:val="20"/>
          <w:szCs w:val="20"/>
          <w:color w:val="auto"/>
        </w:rPr>
      </w:pPr>
    </w:p>
    <w:p>
      <w:pPr>
        <w:ind w:left="1280" w:right="240" w:hanging="640"/>
        <w:spacing w:after="0"/>
        <w:tabs>
          <w:tab w:leader="none" w:pos="127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Grantee’s base salary or any failure to pay the Grantee any cash compensation to which the Grantee is entitled within 15 days after the date when due.</w:t>
      </w:r>
    </w:p>
    <w:p>
      <w:pPr>
        <w:spacing w:after="0" w:line="188" w:lineRule="exact"/>
        <w:rPr>
          <w:rFonts w:ascii="Times New Roman" w:cs="Times New Roman" w:eastAsia="Times New Roman" w:hAnsi="Times New Roman"/>
          <w:sz w:val="20"/>
          <w:szCs w:val="20"/>
          <w:color w:val="auto"/>
        </w:rPr>
      </w:pPr>
    </w:p>
    <w:p>
      <w:pPr>
        <w:ind w:left="1280" w:right="160" w:hanging="640"/>
        <w:spacing w:after="0" w:line="220" w:lineRule="auto"/>
        <w:tabs>
          <w:tab w:leader="none" w:pos="12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requirement (other than for reasonably required travel on Company business which is not materially greater in frequency or duration than prior to the Change in Control) that the Grantee be based at any place outside a 50-mile radius from the Grantee’s principal place of employment immediately prior to the Change in Control and which has a material adverse effect on the Grantee’s commuting requirements; or</w:t>
      </w:r>
    </w:p>
    <w:p>
      <w:pPr>
        <w:spacing w:after="0" w:line="187" w:lineRule="exact"/>
        <w:rPr>
          <w:rFonts w:ascii="Times New Roman" w:cs="Times New Roman" w:eastAsia="Times New Roman" w:hAnsi="Times New Roman"/>
          <w:sz w:val="20"/>
          <w:szCs w:val="20"/>
          <w:color w:val="auto"/>
        </w:rPr>
      </w:pPr>
    </w:p>
    <w:p>
      <w:pPr>
        <w:ind w:left="1280" w:right="960" w:hanging="640"/>
        <w:spacing w:after="0"/>
        <w:tabs>
          <w:tab w:leader="none" w:pos="126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 is a participant in the Company’s Executive Severance Plan, any other event that constitutes “Good Reason” under that plan.</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Notwithstanding anything to the contrary in this Agreement, no termination will be deemed to be for Good</w:t>
      </w:r>
    </w:p>
    <w:p>
      <w:pPr>
        <w:ind w:right="400"/>
        <w:spacing w:after="0" w:line="213" w:lineRule="auto"/>
        <w:rPr>
          <w:sz w:val="20"/>
          <w:szCs w:val="20"/>
          <w:color w:val="auto"/>
        </w:rPr>
      </w:pPr>
      <w:r>
        <w:rPr>
          <w:rFonts w:ascii="Times New Roman" w:cs="Times New Roman" w:eastAsia="Times New Roman" w:hAnsi="Times New Roman"/>
          <w:sz w:val="19"/>
          <w:szCs w:val="19"/>
          <w:color w:val="auto"/>
        </w:rPr>
        <w:t>Reason hereunder unless (i) the Grantee provides written notice to the Company identifying the applicable event or condition within 120 days of the occurrence of the event or the initial existence of the condition, (ii) the Company or a</w:t>
      </w:r>
    </w:p>
    <w:p>
      <w:pPr>
        <w:spacing w:after="0" w:line="1"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20"/>
          <w:szCs w:val="20"/>
          <w:color w:val="auto"/>
        </w:rPr>
        <w:t xml:space="preserve">Subsidiary fails to remedy the event or condition within a period of 30 days following such notice, and (iii) </w:t>
      </w:r>
      <w:r>
        <w:rPr>
          <w:rFonts w:ascii="Times New Roman" w:cs="Times New Roman" w:eastAsia="Times New Roman" w:hAnsi="Times New Roman"/>
          <w:sz w:val="21"/>
          <w:szCs w:val="21"/>
          <w:color w:val="auto"/>
        </w:rPr>
        <w:t>t</w:t>
      </w:r>
      <w:r>
        <w:rPr>
          <w:rFonts w:ascii="Times New Roman" w:cs="Times New Roman" w:eastAsia="Times New Roman" w:hAnsi="Times New Roman"/>
          <w:sz w:val="20"/>
          <w:szCs w:val="20"/>
          <w:color w:val="auto"/>
        </w:rPr>
        <w:t>he Grantee’s Separation from Service occurs within 90 days after the date the Company or a Subsidiary fails to remedy the event or condition.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 without Cause</w:t>
      </w:r>
      <w:r>
        <w:rPr>
          <w:rFonts w:ascii="Times New Roman" w:cs="Times New Roman" w:eastAsia="Times New Roman" w:hAnsi="Times New Roman"/>
          <w:sz w:val="20"/>
          <w:szCs w:val="20"/>
          <w:color w:val="auto"/>
        </w:rPr>
        <w:t>” means a Grantee’s Separation from Service by action of the</w:t>
      </w:r>
    </w:p>
    <w:p>
      <w:pPr>
        <w:spacing w:after="0" w:line="221" w:lineRule="auto"/>
        <w:rPr>
          <w:sz w:val="20"/>
          <w:szCs w:val="20"/>
          <w:color w:val="auto"/>
        </w:rPr>
      </w:pPr>
      <w:r>
        <w:rPr>
          <w:rFonts w:ascii="Times New Roman" w:cs="Times New Roman" w:eastAsia="Times New Roman" w:hAnsi="Times New Roman"/>
          <w:sz w:val="20"/>
          <w:szCs w:val="20"/>
          <w:color w:val="auto"/>
        </w:rPr>
        <w:t>Company or the Employer without Cause, including due to divestiture by the Company of the business unit with which the Grantee is employed.</w:t>
      </w:r>
    </w:p>
    <w:p>
      <w:pPr>
        <w:sectPr>
          <w:pgSz w:w="11900" w:h="16838" w:orient="portrait"/>
          <w:cols w:equalWidth="0" w:num="1">
            <w:col w:w="9760"/>
          </w:cols>
          <w:pgMar w:left="1380" w:top="1191" w:right="759" w:bottom="1440" w:gutter="0" w:footer="0" w:header="0"/>
        </w:sectPr>
      </w:pPr>
    </w:p>
    <w:bookmarkStart w:id="188" w:name="page189"/>
    <w:bookmarkEnd w:id="188"/>
    <w:p>
      <w:pPr>
        <w:ind w:right="8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Fraction</w:t>
      </w:r>
      <w:r>
        <w:rPr>
          <w:rFonts w:ascii="Times New Roman" w:cs="Times New Roman" w:eastAsia="Times New Roman" w:hAnsi="Times New Roman"/>
          <w:sz w:val="20"/>
          <w:szCs w:val="20"/>
          <w:color w:val="auto"/>
        </w:rPr>
        <w:t>” means a fraction, the numerator of which is the number of days from the first day of the Performance Period through the date of Involuntary Termination without Cause, and the denominator or which is the total number of days in the Performance Period.</w:t>
      </w:r>
    </w:p>
    <w:p>
      <w:pPr>
        <w:spacing w:after="0" w:line="170"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Retirement</w:t>
      </w:r>
      <w:r>
        <w:rPr>
          <w:rFonts w:ascii="Times New Roman" w:cs="Times New Roman" w:eastAsia="Times New Roman" w:hAnsi="Times New Roman"/>
          <w:sz w:val="19"/>
          <w:szCs w:val="19"/>
          <w:color w:val="auto"/>
        </w:rPr>
        <w:t>” means a Grantee’s Separation from Service on or after the first anniversary of the Grant Date for any reason other than death or by the Company or the Employer for Cause after the Grantee has attained at least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age 59-1/2 and either (i) the Grantee has at least ten years of Service or (ii) the Grantee’s combined age and years of Service equals at least 70. The Company’s determination of years of Service for such purpose shall be final and binding on</w:t>
      </w:r>
    </w:p>
    <w:p>
      <w:pPr>
        <w:spacing w:after="0" w:line="222" w:lineRule="auto"/>
        <w:rPr>
          <w:sz w:val="20"/>
          <w:szCs w:val="20"/>
          <w:color w:val="auto"/>
        </w:rPr>
      </w:pPr>
      <w:r>
        <w:rPr>
          <w:rFonts w:ascii="Times New Roman" w:cs="Times New Roman" w:eastAsia="Times New Roman" w:hAnsi="Times New Roman"/>
          <w:sz w:val="19"/>
          <w:szCs w:val="19"/>
          <w:color w:val="auto"/>
        </w:rPr>
        <w:t>all parties. Notwithstanding the foregoing, if the Grantee’s Separation from Service during the two-year period following a</w:t>
      </w:r>
    </w:p>
    <w:p>
      <w:pPr>
        <w:spacing w:after="0" w:line="221" w:lineRule="auto"/>
        <w:rPr>
          <w:sz w:val="20"/>
          <w:szCs w:val="20"/>
          <w:color w:val="auto"/>
        </w:rPr>
      </w:pPr>
      <w:r>
        <w:rPr>
          <w:rFonts w:ascii="Times New Roman" w:cs="Times New Roman" w:eastAsia="Times New Roman" w:hAnsi="Times New Roman"/>
          <w:sz w:val="20"/>
          <w:szCs w:val="20"/>
          <w:color w:val="auto"/>
        </w:rPr>
        <w:t>Change in Control could be treated as either a Special Retirement or a Change in Control Termination, it shall be treated as a Change in Control Termination to the extent permitted by Section 409A.</w:t>
      </w:r>
    </w:p>
    <w:p>
      <w:pPr>
        <w:sectPr>
          <w:pgSz w:w="11900" w:h="16838" w:orient="portrait"/>
          <w:cols w:equalWidth="0" w:num="1">
            <w:col w:w="9720"/>
          </w:cols>
          <w:pgMar w:left="1380" w:top="936" w:right="79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2008505</wp:posOffset>
            </wp:positionH>
            <wp:positionV relativeFrom="page">
              <wp:posOffset>620395</wp:posOffset>
            </wp:positionV>
            <wp:extent cx="1482725" cy="3600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405"/>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 AWARD</w:t>
      </w:r>
    </w:p>
    <w:p>
      <w:pPr>
        <w:spacing w:after="0" w:line="20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20"/>
          <w:szCs w:val="20"/>
          <w:color w:val="auto"/>
        </w:rPr>
        <w:t>The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granted by 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w:t>
      </w:r>
    </w:p>
    <w:p>
      <w:pPr>
        <w:ind w:left="285" w:right="400"/>
        <w:spacing w:after="0" w:line="211" w:lineRule="auto"/>
        <w:rPr>
          <w:sz w:val="20"/>
          <w:szCs w:val="20"/>
          <w:color w:val="auto"/>
        </w:rPr>
      </w:pPr>
      <w:r>
        <w:rPr>
          <w:rFonts w:ascii="Times New Roman" w:cs="Times New Roman" w:eastAsia="Times New Roman" w:hAnsi="Times New Roman"/>
          <w:sz w:val="20"/>
          <w:szCs w:val="20"/>
          <w:color w:val="auto"/>
        </w:rPr>
        <w:t>the Grantee specified in the Notice of Grant of Restricted Stock Unit Award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to which these Terms and Conditions of Restricted Stock Unit Award, including any additional terms and conditions for Grantees outside the United States set forth in</w:t>
      </w:r>
    </w:p>
    <w:p>
      <w:pPr>
        <w:spacing w:after="0" w:line="1" w:lineRule="exact"/>
        <w:rPr>
          <w:sz w:val="20"/>
          <w:szCs w:val="20"/>
          <w:color w:val="auto"/>
        </w:rPr>
      </w:pPr>
    </w:p>
    <w:p>
      <w:pPr>
        <w:ind w:left="285" w:right="260"/>
        <w:spacing w:after="0" w:line="215" w:lineRule="auto"/>
        <w:rPr>
          <w:sz w:val="20"/>
          <w:szCs w:val="20"/>
          <w:color w:val="auto"/>
        </w:rPr>
      </w:pPr>
      <w:r>
        <w:rPr>
          <w:rFonts w:ascii="Times New Roman" w:cs="Times New Roman" w:eastAsia="Times New Roman" w:hAnsi="Times New Roman"/>
          <w:sz w:val="19"/>
          <w:szCs w:val="19"/>
          <w:color w:val="auto"/>
        </w:rPr>
        <w:t>Appendices A and B (collectively,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are attached, is subject to the terms and conditions of the Plan, the Notice, and these Terms. The terms and conditions of the Plan are incorporated by reference in their entirety into these Terms. The Notice and these</w:t>
      </w:r>
    </w:p>
    <w:p>
      <w:pPr>
        <w:ind w:left="285"/>
        <w:spacing w:after="0" w:line="211" w:lineRule="auto"/>
        <w:rPr>
          <w:sz w:val="20"/>
          <w:szCs w:val="20"/>
          <w:color w:val="auto"/>
        </w:rPr>
      </w:pPr>
      <w:r>
        <w:rPr>
          <w:rFonts w:ascii="Times New Roman" w:cs="Times New Roman" w:eastAsia="Times New Roman" w:hAnsi="Times New Roman"/>
          <w:sz w:val="20"/>
          <w:szCs w:val="20"/>
          <w:color w:val="auto"/>
        </w:rPr>
        <w:t>Terms together constitute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 Prospectus describing the Plan has been delivered to the Grantee. The Plan itself is</w:t>
      </w:r>
    </w:p>
    <w:p>
      <w:pPr>
        <w:ind w:left="285" w:right="80"/>
        <w:spacing w:after="0" w:line="221" w:lineRule="auto"/>
        <w:rPr>
          <w:sz w:val="20"/>
          <w:szCs w:val="20"/>
          <w:color w:val="auto"/>
        </w:rPr>
      </w:pPr>
      <w:r>
        <w:rPr>
          <w:rFonts w:ascii="Times New Roman" w:cs="Times New Roman" w:eastAsia="Times New Roman" w:hAnsi="Times New Roman"/>
          <w:sz w:val="20"/>
          <w:szCs w:val="20"/>
          <w:color w:val="auto"/>
        </w:rPr>
        <w:t>available upon request. When used in this Agreement, the terms which are defined in the Plan shall have the meanings given to them in the Plan, as modified herein (if applicable).</w:t>
      </w:r>
    </w:p>
    <w:p>
      <w:pPr>
        <w:spacing w:after="0" w:line="189" w:lineRule="exact"/>
        <w:rPr>
          <w:sz w:val="20"/>
          <w:szCs w:val="20"/>
          <w:color w:val="auto"/>
        </w:rPr>
      </w:pPr>
    </w:p>
    <w:p>
      <w:pPr>
        <w:ind w:left="925" w:hanging="637"/>
        <w:spacing w:after="0"/>
        <w:tabs>
          <w:tab w:leader="none" w:pos="925"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Units</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5" w:right="280" w:firstLine="652"/>
        <w:spacing w:after="0" w:line="226" w:lineRule="auto"/>
        <w:tabs>
          <w:tab w:leader="none" w:pos="1823"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Grant Date set forth in the Notice, the Company grants to the Grantee the number of Restricted Stock Units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set forth in the Notice. Each Unit represents the right to receive one share of Stock at a future date after the Unit has become earned and vested, subject to the terms and conditions of this Agreement.</w:t>
      </w:r>
    </w:p>
    <w:p>
      <w:pPr>
        <w:spacing w:after="0" w:line="187" w:lineRule="exact"/>
        <w:rPr>
          <w:rFonts w:ascii="Times New Roman" w:cs="Times New Roman" w:eastAsia="Times New Roman" w:hAnsi="Times New Roman"/>
          <w:sz w:val="20"/>
          <w:szCs w:val="20"/>
          <w:color w:val="auto"/>
        </w:rPr>
      </w:pPr>
    </w:p>
    <w:p>
      <w:pPr>
        <w:ind w:left="645" w:right="140" w:firstLine="652"/>
        <w:spacing w:after="0" w:line="222" w:lineRule="auto"/>
        <w:tabs>
          <w:tab w:leader="none" w:pos="182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covered by this Award shall become earned and vested in accordance with the schedule set forth in the Notice. Each earned and vested Unit shall be settled on the date(s) specified in the Notice by issuance of one share of Stock on or as soon as administratively practicable (but no more than 75 days) after the applicable vesting date specified in the Notice, subject to the requirements of the Plan and this Agreement.</w:t>
      </w:r>
    </w:p>
    <w:p>
      <w:pPr>
        <w:spacing w:after="0" w:line="188" w:lineRule="exact"/>
        <w:rPr>
          <w:rFonts w:ascii="Times New Roman" w:cs="Times New Roman" w:eastAsia="Times New Roman" w:hAnsi="Times New Roman"/>
          <w:sz w:val="20"/>
          <w:szCs w:val="20"/>
          <w:color w:val="auto"/>
        </w:rPr>
      </w:pPr>
    </w:p>
    <w:p>
      <w:pPr>
        <w:ind w:left="645" w:right="120" w:firstLine="652"/>
        <w:spacing w:after="0" w:line="217" w:lineRule="auto"/>
        <w:tabs>
          <w:tab w:leader="none" w:pos="1823"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constitute an unfunded and unsecured obligation of the Company. The Grantee shall not have any rights of a stockholder of the Company with respect to the shares of Stock underlying the Units unless and until the Units become earned and vested and are settled by the issuance of shares of Stock. Upon issuance of shares of Stock in connection with the settlement of vested Units, the Grantee shall be the record owner of the shares of Stock unless and until such shares are sold or otherwise disposed of, and as record owner shall be entitled to all rights of a stockholder of the Company (including voting rights).</w:t>
      </w:r>
    </w:p>
    <w:p>
      <w:pPr>
        <w:spacing w:after="0" w:line="202" w:lineRule="exact"/>
        <w:rPr>
          <w:rFonts w:ascii="Times New Roman" w:cs="Times New Roman" w:eastAsia="Times New Roman" w:hAnsi="Times New Roman"/>
          <w:sz w:val="20"/>
          <w:szCs w:val="20"/>
          <w:color w:val="auto"/>
        </w:rPr>
      </w:pPr>
    </w:p>
    <w:p>
      <w:pPr>
        <w:jc w:val="both"/>
        <w:ind w:left="645" w:right="140" w:firstLine="652"/>
        <w:spacing w:after="0" w:line="222" w:lineRule="auto"/>
        <w:tabs>
          <w:tab w:leader="none" w:pos="1820"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earned will receive dividend equivalents paid in cash (without interest) based on the dividend rates in effect during the vesting period applied to the number of Units in which the Grantee vests, subject to the vesting provisions set forth in the Notice. Cash dividend equivalents accrued on the earned Units will be paid in cash on or about the same time the earned Units are settled and paid.</w:t>
      </w:r>
    </w:p>
    <w:p>
      <w:pPr>
        <w:spacing w:after="0" w:line="175" w:lineRule="exact"/>
        <w:rPr>
          <w:rFonts w:ascii="Times New Roman" w:cs="Times New Roman" w:eastAsia="Times New Roman" w:hAnsi="Times New Roman"/>
          <w:sz w:val="20"/>
          <w:szCs w:val="20"/>
          <w:color w:val="auto"/>
        </w:rPr>
      </w:pPr>
    </w:p>
    <w:p>
      <w:pPr>
        <w:ind w:left="645" w:firstLine="652"/>
        <w:spacing w:after="0" w:line="220" w:lineRule="auto"/>
        <w:tabs>
          <w:tab w:leader="none" w:pos="1823"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Grantee is a U.S. taxpayer, payment of Units that become earned and vested under this Agreement may be deferred under the terms of the Company’s Key Executive Stock Deferral Plan (or any similar plan or program) in which the Grantee is eligible to participate, subject to the terms and conditions of such plan and the requirements of Section 409A. Any Units deferred under any such plan shall be administered in accordance with the terms and provisions of such plan.</w:t>
      </w:r>
    </w:p>
    <w:p>
      <w:pPr>
        <w:spacing w:after="0" w:line="255" w:lineRule="exact"/>
        <w:rPr>
          <w:rFonts w:ascii="Times New Roman" w:cs="Times New Roman" w:eastAsia="Times New Roman" w:hAnsi="Times New Roman"/>
          <w:sz w:val="20"/>
          <w:szCs w:val="20"/>
          <w:color w:val="auto"/>
        </w:rPr>
      </w:pPr>
    </w:p>
    <w:p>
      <w:pPr>
        <w:ind w:left="645" w:right="240" w:hanging="645"/>
        <w:spacing w:after="0" w:line="220" w:lineRule="auto"/>
        <w:tabs>
          <w:tab w:leader="none" w:pos="6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Subject to any exceptions set forth in this Agreement, until such time as the Units become earned and vested and are settled in shares of Stock in accordance with Section 1, the Units or the rights relating thereto may not be assigned, alienated, pledged, attached, sold or otherwise transferred or encumbered by the Grantee. Any attempt to assign, alienate, pledge, attach, sell or otherwise transfer or encumber the Units or the rights relating thereto shall be wholly ineffective and, if any such attempt is made, the Units will be forfeited by the Grantee</w:t>
      </w:r>
    </w:p>
    <w:p>
      <w:pPr>
        <w:sectPr>
          <w:pgSz w:w="11900" w:h="16838" w:orient="portrait"/>
          <w:cols w:equalWidth="0" w:num="1">
            <w:col w:w="11085"/>
          </w:cols>
          <w:pgMar w:left="435" w:top="1440" w:right="379" w:bottom="36" w:gutter="0" w:footer="0" w:header="0"/>
        </w:sectPr>
      </w:pPr>
    </w:p>
    <w:bookmarkStart w:id="190" w:name="page191"/>
    <w:bookmarkEnd w:id="190"/>
    <w:p>
      <w:pPr>
        <w:spacing w:after="0" w:line="220" w:lineRule="auto"/>
        <w:tabs>
          <w:tab w:leader="none" w:pos="644" w:val="left"/>
        </w:tabs>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ind w:left="645"/>
        <w:spacing w:after="0"/>
        <w:rPr>
          <w:sz w:val="20"/>
          <w:szCs w:val="20"/>
          <w:color w:val="auto"/>
        </w:rPr>
      </w:pPr>
      <w:r>
        <w:rPr>
          <w:rFonts w:ascii="Times New Roman" w:cs="Times New Roman" w:eastAsia="Times New Roman" w:hAnsi="Times New Roman"/>
          <w:sz w:val="20"/>
          <w:szCs w:val="20"/>
          <w:color w:val="auto"/>
        </w:rPr>
        <w:t>and all of the Grantee’s rights to such Units shall immediately terminate without any payment of consideration by the Company.</w:t>
      </w:r>
    </w:p>
    <w:p>
      <w:pPr>
        <w:spacing w:after="0" w:line="202" w:lineRule="exact"/>
        <w:rPr>
          <w:sz w:val="20"/>
          <w:szCs w:val="20"/>
          <w:color w:val="auto"/>
        </w:rPr>
      </w:pPr>
    </w:p>
    <w:p>
      <w:pPr>
        <w:ind w:left="645" w:hanging="645"/>
        <w:spacing w:after="0" w:line="222" w:lineRule="auto"/>
        <w:tabs>
          <w:tab w:leader="none" w:pos="6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of Rights</w:t>
      </w:r>
      <w:r>
        <w:rPr>
          <w:rFonts w:ascii="Times New Roman" w:cs="Times New Roman" w:eastAsia="Times New Roman" w:hAnsi="Times New Roman"/>
          <w:sz w:val="20"/>
          <w:szCs w:val="20"/>
          <w:color w:val="auto"/>
        </w:rPr>
        <w:t>. If any portion of the Units fail to become earned and vested (for example, because the Grantee fails to satisfy the vesting conditions specified in the Notice prior to a Separation from Service), then such Units shall be immediately forfeited as of the date of such failure and all of the Grantee’s rights to such Units shall immediately terminate without any payment of consideration by the Company.</w:t>
      </w:r>
    </w:p>
    <w:p>
      <w:pPr>
        <w:spacing w:after="0" w:line="188" w:lineRule="exact"/>
        <w:rPr>
          <w:rFonts w:ascii="Times New Roman" w:cs="Times New Roman" w:eastAsia="Times New Roman" w:hAnsi="Times New Roman"/>
          <w:sz w:val="20"/>
          <w:szCs w:val="20"/>
          <w:color w:val="auto"/>
        </w:rPr>
      </w:pPr>
    </w:p>
    <w:p>
      <w:pPr>
        <w:ind w:left="625" w:hanging="625"/>
        <w:spacing w:after="0"/>
        <w:tabs>
          <w:tab w:leader="none" w:pos="6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pacing w:after="0" w:line="292" w:lineRule="exact"/>
        <w:rPr>
          <w:rFonts w:ascii="Times New Roman" w:cs="Times New Roman" w:eastAsia="Times New Roman" w:hAnsi="Times New Roman"/>
          <w:sz w:val="20"/>
          <w:szCs w:val="20"/>
          <w:color w:val="auto"/>
        </w:rPr>
      </w:pPr>
    </w:p>
    <w:p>
      <w:pPr>
        <w:ind w:left="645" w:right="60" w:firstLine="652"/>
        <w:spacing w:after="0" w:line="224" w:lineRule="auto"/>
        <w:tabs>
          <w:tab w:leader="none" w:pos="1823" w:val="left"/>
        </w:tabs>
        <w:numPr>
          <w:ilvl w:val="2"/>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or, if different, the Subsidiary which employs the Grantee (the “</w:t>
      </w:r>
      <w:r>
        <w:rPr>
          <w:rFonts w:ascii="Times New Roman" w:cs="Times New Roman" w:eastAsia="Times New Roman" w:hAnsi="Times New Roman"/>
          <w:sz w:val="19"/>
          <w:szCs w:val="19"/>
          <w:b w:val="1"/>
          <w:bCs w:val="1"/>
          <w:color w:val="auto"/>
        </w:rPr>
        <w:t>Employer</w:t>
      </w:r>
      <w:r>
        <w:rPr>
          <w:rFonts w:ascii="Times New Roman" w:cs="Times New Roman" w:eastAsia="Times New Roman" w:hAnsi="Times New Roman"/>
          <w:sz w:val="19"/>
          <w:szCs w:val="19"/>
          <w:color w:val="auto"/>
        </w:rPr>
        <w:t>”) takes with respect to any or all income tax, social insurance, payroll tax, fringe benefit tax, payment on account or other tax-related items related to the Grantee’s participation in the Plan and legally applicable or deemed legally applicable to the Grantee (“</w:t>
      </w:r>
      <w:r>
        <w:rPr>
          <w:rFonts w:ascii="Times New Roman" w:cs="Times New Roman" w:eastAsia="Times New Roman" w:hAnsi="Times New Roman"/>
          <w:sz w:val="19"/>
          <w:szCs w:val="19"/>
          <w:b w:val="1"/>
          <w:bCs w:val="1"/>
          <w:color w:val="auto"/>
        </w:rPr>
        <w:t>Tax-Related Items</w:t>
      </w:r>
      <w:r>
        <w:rPr>
          <w:rFonts w:ascii="Times New Roman" w:cs="Times New Roman" w:eastAsia="Times New Roman" w:hAnsi="Times New Roman"/>
          <w:sz w:val="19"/>
          <w:szCs w:val="19"/>
          <w:color w:val="auto"/>
        </w:rPr>
        <w:t>”), the Grantee acknowledges that the ultimate liability for all Tax-Related Items is and remains the Grantee’s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responsibility and may exceed the amount, if any, actually withheld by the Company or the Employer. The Grantee further acknowledges that the Company and the Employer (i) make no representations or undertakings regarding the treatment of any Tax-Related Items in connection with any aspect of the Award, including, but not limited to, the grant or vesting of the Units, the subsequent sale of shares of Stock acquired upon vesting, the payment of any dividend equivalents on the Units or the payment of any dividends on the shares of Stock; and (ii) do not commit to and are under no obligation to structure the terms of the grant or any aspect of the Award to reduce or eliminate the Grantee’s liability for Tax-Related Items or achieve any particular tax result.</w:t>
      </w:r>
    </w:p>
    <w:p>
      <w:pPr>
        <w:spacing w:after="0" w:line="273" w:lineRule="exact"/>
        <w:rPr>
          <w:rFonts w:ascii="Times New Roman" w:cs="Times New Roman" w:eastAsia="Times New Roman" w:hAnsi="Times New Roman"/>
          <w:sz w:val="19"/>
          <w:szCs w:val="19"/>
          <w:color w:val="auto"/>
        </w:rPr>
      </w:pPr>
    </w:p>
    <w:p>
      <w:pPr>
        <w:ind w:left="645" w:right="220" w:firstLine="647"/>
        <w:spacing w:after="0" w:line="222" w:lineRule="auto"/>
        <w:tabs>
          <w:tab w:leader="none" w:pos="1834"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Grantee shall pay or make adequate arrangements satisfactory to the Company and/or the Employer to satisfy all Tax-Related Items. In this regard, the Grantee authorizes the Company and/or the Employer, or their respective agents, in their sole discretion, to satisfy any applicable withholding obligations with regard to all Tax-Related Items by one or a combination of the following methods:</w:t>
      </w:r>
    </w:p>
    <w:p>
      <w:pPr>
        <w:spacing w:after="0" w:line="188" w:lineRule="exact"/>
        <w:rPr>
          <w:rFonts w:ascii="Times New Roman" w:cs="Times New Roman" w:eastAsia="Times New Roman" w:hAnsi="Times New Roman"/>
          <w:sz w:val="20"/>
          <w:szCs w:val="20"/>
          <w:color w:val="auto"/>
        </w:rPr>
      </w:pPr>
    </w:p>
    <w:p>
      <w:pPr>
        <w:ind w:left="1925" w:right="400" w:hanging="655"/>
        <w:spacing w:after="0" w:line="233" w:lineRule="auto"/>
        <w:tabs>
          <w:tab w:leader="none" w:pos="192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Grantee’s wages or other cash compensation payable to the Grantee by the Company, the Employer, or any other Subsidiary.</w:t>
      </w:r>
    </w:p>
    <w:p>
      <w:pPr>
        <w:spacing w:after="0" w:line="187" w:lineRule="exact"/>
        <w:rPr>
          <w:rFonts w:ascii="Times New Roman" w:cs="Times New Roman" w:eastAsia="Times New Roman" w:hAnsi="Times New Roman"/>
          <w:sz w:val="20"/>
          <w:szCs w:val="20"/>
          <w:color w:val="auto"/>
        </w:rPr>
      </w:pPr>
    </w:p>
    <w:p>
      <w:pPr>
        <w:ind w:left="1925" w:right="80" w:hanging="655"/>
        <w:spacing w:after="0" w:line="226" w:lineRule="auto"/>
        <w:tabs>
          <w:tab w:leader="none" w:pos="192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of Stock acquired at vesting either through a voluntary sale or through a mandatory sale arranged by the Company (on the Grantee’s behalf pursuant to this authorization without further consent).</w:t>
      </w:r>
    </w:p>
    <w:p>
      <w:pPr>
        <w:spacing w:after="0" w:line="187" w:lineRule="exact"/>
        <w:rPr>
          <w:rFonts w:ascii="Times New Roman" w:cs="Times New Roman" w:eastAsia="Times New Roman" w:hAnsi="Times New Roman"/>
          <w:sz w:val="20"/>
          <w:szCs w:val="20"/>
          <w:color w:val="auto"/>
        </w:rPr>
      </w:pPr>
    </w:p>
    <w:p>
      <w:pPr>
        <w:ind w:left="1925" w:hanging="655"/>
        <w:spacing w:after="0"/>
        <w:tabs>
          <w:tab w:leader="none" w:pos="1925"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of Stock otherwise issuable to the Grantee upon vesting of the Units; or</w:t>
      </w:r>
    </w:p>
    <w:p>
      <w:pPr>
        <w:spacing w:after="0" w:line="215" w:lineRule="exact"/>
        <w:rPr>
          <w:rFonts w:ascii="Times New Roman" w:cs="Times New Roman" w:eastAsia="Times New Roman" w:hAnsi="Times New Roman"/>
          <w:sz w:val="20"/>
          <w:szCs w:val="20"/>
          <w:color w:val="auto"/>
        </w:rPr>
      </w:pPr>
    </w:p>
    <w:p>
      <w:pPr>
        <w:ind w:left="1925" w:right="20" w:hanging="655"/>
        <w:spacing w:after="0" w:line="233" w:lineRule="auto"/>
        <w:tabs>
          <w:tab w:leader="none" w:pos="1913"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the extent permitted under the Plan and applicable laws.</w:t>
      </w:r>
    </w:p>
    <w:p>
      <w:pPr>
        <w:spacing w:after="0" w:line="182" w:lineRule="exact"/>
        <w:rPr>
          <w:sz w:val="20"/>
          <w:szCs w:val="20"/>
          <w:color w:val="auto"/>
        </w:rPr>
      </w:pPr>
    </w:p>
    <w:p>
      <w:pPr>
        <w:ind w:left="1265"/>
        <w:spacing w:after="0"/>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w:t>
      </w:r>
    </w:p>
    <w:p>
      <w:pPr>
        <w:ind w:left="625" w:right="200"/>
        <w:spacing w:after="0" w:line="215" w:lineRule="auto"/>
        <w:rPr>
          <w:sz w:val="20"/>
          <w:szCs w:val="20"/>
          <w:color w:val="auto"/>
        </w:rPr>
      </w:pPr>
      <w:r>
        <w:rPr>
          <w:rFonts w:ascii="Times New Roman" w:cs="Times New Roman" w:eastAsia="Times New Roman" w:hAnsi="Times New Roman"/>
          <w:sz w:val="19"/>
          <w:szCs w:val="19"/>
          <w:color w:val="auto"/>
        </w:rPr>
        <w:t>applicable withholding rates, including maximum rates applicable in the Grantee’s jurisdiction(s), in which case the Grantee may receive a refund of any over-withheld amount in cash and will have no entitlement to the equivalent amount in shares of Stock. In</w:t>
      </w:r>
    </w:p>
    <w:p>
      <w:pPr>
        <w:ind w:left="625"/>
        <w:spacing w:after="0" w:line="211" w:lineRule="auto"/>
        <w:rPr>
          <w:sz w:val="20"/>
          <w:szCs w:val="20"/>
          <w:color w:val="auto"/>
        </w:rPr>
      </w:pPr>
      <w:r>
        <w:rPr>
          <w:rFonts w:ascii="Times New Roman" w:cs="Times New Roman" w:eastAsia="Times New Roman" w:hAnsi="Times New Roman"/>
          <w:sz w:val="20"/>
          <w:szCs w:val="20"/>
          <w:color w:val="auto"/>
        </w:rPr>
        <w:t>the event of over-withholding, the Grantee may receive a refund of any over-withheld amount in cash (with no entitlement to the</w:t>
      </w:r>
    </w:p>
    <w:p>
      <w:pPr>
        <w:ind w:left="625" w:right="340"/>
        <w:spacing w:after="0" w:line="215" w:lineRule="auto"/>
        <w:rPr>
          <w:sz w:val="20"/>
          <w:szCs w:val="20"/>
          <w:color w:val="auto"/>
        </w:rPr>
      </w:pPr>
      <w:r>
        <w:rPr>
          <w:rFonts w:ascii="Times New Roman" w:cs="Times New Roman" w:eastAsia="Times New Roman" w:hAnsi="Times New Roman"/>
          <w:sz w:val="19"/>
          <w:szCs w:val="19"/>
          <w:color w:val="auto"/>
        </w:rPr>
        <w:t>equivalent amount in shares of Stock), from the Company or the Employer; otherwise, the Grantee may be able to seek a refund from the local tax authorities. In the event of under-withholding, the Grantee may be required to pay any additional Tax-Related</w:t>
      </w:r>
    </w:p>
    <w:p>
      <w:pPr>
        <w:ind w:left="625"/>
        <w:spacing w:after="0" w:line="211" w:lineRule="auto"/>
        <w:rPr>
          <w:sz w:val="20"/>
          <w:szCs w:val="20"/>
          <w:color w:val="auto"/>
        </w:rPr>
      </w:pPr>
      <w:r>
        <w:rPr>
          <w:rFonts w:ascii="Times New Roman" w:cs="Times New Roman" w:eastAsia="Times New Roman" w:hAnsi="Times New Roman"/>
          <w:sz w:val="20"/>
          <w:szCs w:val="20"/>
          <w:color w:val="auto"/>
        </w:rPr>
        <w:t>Items directly to the applicable tax authority or to the Company and/or the Employer. If the obligation for Tax-Related Items is</w:t>
      </w:r>
    </w:p>
    <w:p>
      <w:pPr>
        <w:ind w:left="625" w:right="40"/>
        <w:spacing w:after="0" w:line="215" w:lineRule="auto"/>
        <w:rPr>
          <w:sz w:val="20"/>
          <w:szCs w:val="20"/>
          <w:color w:val="auto"/>
        </w:rPr>
      </w:pPr>
      <w:r>
        <w:rPr>
          <w:rFonts w:ascii="Times New Roman" w:cs="Times New Roman" w:eastAsia="Times New Roman" w:hAnsi="Times New Roman"/>
          <w:sz w:val="19"/>
          <w:szCs w:val="19"/>
          <w:color w:val="auto"/>
        </w:rPr>
        <w:t>satisfied by withholding shares of Stock, for tax purposes, the Grantee is deemed to have been issued the full number of shares of Stock subject to the vested Units, notwithstanding that a number of the shares is held back solely for the purpose of paying the Tax-</w:t>
      </w:r>
    </w:p>
    <w:p>
      <w:pPr>
        <w:ind w:left="625"/>
        <w:spacing w:after="0"/>
        <w:rPr>
          <w:sz w:val="20"/>
          <w:szCs w:val="20"/>
          <w:color w:val="auto"/>
        </w:rPr>
      </w:pPr>
      <w:r>
        <w:rPr>
          <w:rFonts w:ascii="Times New Roman" w:cs="Times New Roman" w:eastAsia="Times New Roman" w:hAnsi="Times New Roman"/>
          <w:sz w:val="20"/>
          <w:szCs w:val="20"/>
          <w:color w:val="auto"/>
        </w:rPr>
        <w:t>Related Items.</w:t>
      </w:r>
    </w:p>
    <w:p>
      <w:pPr>
        <w:spacing w:after="0" w:line="180" w:lineRule="exact"/>
        <w:rPr>
          <w:sz w:val="20"/>
          <w:szCs w:val="20"/>
          <w:color w:val="auto"/>
        </w:rPr>
      </w:pPr>
    </w:p>
    <w:p>
      <w:pPr>
        <w:ind w:left="625" w:right="140" w:firstLine="648"/>
        <w:spacing w:after="0"/>
        <w:rPr>
          <w:sz w:val="20"/>
          <w:szCs w:val="20"/>
          <w:color w:val="auto"/>
        </w:rPr>
      </w:pPr>
      <w:r>
        <w:rPr>
          <w:rFonts w:ascii="Times New Roman" w:cs="Times New Roman" w:eastAsia="Times New Roman" w:hAnsi="Times New Roman"/>
          <w:sz w:val="20"/>
          <w:szCs w:val="20"/>
          <w:color w:val="auto"/>
        </w:rPr>
        <w:t>Finally, the Grantee agrees to pay to the Company or the Employer any amount of Tax-Related Items that the Company or the Employer may be required to withhold or account for as a</w:t>
      </w:r>
    </w:p>
    <w:p>
      <w:pPr>
        <w:sectPr>
          <w:pgSz w:w="11900" w:h="16838" w:orient="portrait"/>
          <w:cols w:equalWidth="0" w:num="1">
            <w:col w:w="11085"/>
          </w:cols>
          <w:pgMar w:left="435" w:top="1021" w:right="379" w:bottom="1440" w:gutter="0" w:footer="0" w:header="0"/>
        </w:sectPr>
      </w:pPr>
    </w:p>
    <w:bookmarkStart w:id="192" w:name="page193"/>
    <w:bookmarkEnd w:id="192"/>
    <w:p>
      <w:pPr>
        <w:ind w:left="625"/>
        <w:spacing w:after="0" w:line="244" w:lineRule="auto"/>
        <w:rPr>
          <w:sz w:val="20"/>
          <w:szCs w:val="20"/>
          <w:color w:val="auto"/>
        </w:rPr>
      </w:pPr>
      <w:r>
        <w:rPr>
          <w:rFonts w:ascii="Times New Roman" w:cs="Times New Roman" w:eastAsia="Times New Roman" w:hAnsi="Times New Roman"/>
          <w:sz w:val="19"/>
          <w:szCs w:val="19"/>
          <w:color w:val="auto"/>
        </w:rPr>
        <w:t>result of the Grantee’s participation in the Plan that cannot be satisfied by the means previously described. The Company may refuse to issue and deliver shares of Stock in payment of any earned and vested Units, or the proceeds from the sale of shares of Stock, if the Grantee fails to comply with the Grantee’s obligations in connection with the Tax-Related Items as described in this Section 4.</w:t>
      </w:r>
    </w:p>
    <w:p>
      <w:pPr>
        <w:spacing w:after="0" w:line="184" w:lineRule="exact"/>
        <w:rPr>
          <w:sz w:val="20"/>
          <w:szCs w:val="20"/>
          <w:color w:val="auto"/>
        </w:rPr>
      </w:pPr>
    </w:p>
    <w:p>
      <w:pPr>
        <w:ind w:left="645" w:right="220" w:hanging="645"/>
        <w:spacing w:after="0" w:line="222" w:lineRule="auto"/>
        <w:tabs>
          <w:tab w:leader="none" w:pos="6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Grantee Representations</w:t>
      </w:r>
      <w:r>
        <w:rPr>
          <w:rFonts w:ascii="Times New Roman" w:cs="Times New Roman" w:eastAsia="Times New Roman" w:hAnsi="Times New Roman"/>
          <w:sz w:val="20"/>
          <w:szCs w:val="20"/>
          <w:color w:val="auto"/>
        </w:rPr>
        <w:t>. The Grantee hereby represents that the Grantee has read and fully understands the provisions of this Agreement, the Prospectus and the Plan, and the Grantee’s decision to participate in the Plan is completely voluntary. Further, the Grantee acknowledges that the Grantee is relying solely on his or her own advisors with respect to the tax consequences of this Award.</w:t>
      </w:r>
    </w:p>
    <w:p>
      <w:pPr>
        <w:spacing w:after="0" w:line="188" w:lineRule="exact"/>
        <w:rPr>
          <w:rFonts w:ascii="Times New Roman" w:cs="Times New Roman" w:eastAsia="Times New Roman" w:hAnsi="Times New Roman"/>
          <w:sz w:val="20"/>
          <w:szCs w:val="20"/>
          <w:color w:val="auto"/>
        </w:rPr>
      </w:pPr>
    </w:p>
    <w:p>
      <w:pPr>
        <w:ind w:left="645" w:right="220" w:hanging="645"/>
        <w:spacing w:after="0" w:line="218" w:lineRule="auto"/>
        <w:tabs>
          <w:tab w:leader="none" w:pos="63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Restrictions on the Shares Issued Upon Settlement</w:t>
      </w:r>
      <w:r>
        <w:rPr>
          <w:rFonts w:ascii="Times New Roman" w:cs="Times New Roman" w:eastAsia="Times New Roman" w:hAnsi="Times New Roman"/>
          <w:sz w:val="20"/>
          <w:szCs w:val="20"/>
          <w:color w:val="auto"/>
        </w:rPr>
        <w:t>. Notwithstanding the other provisions of this Agreement, the Committee shall have the sole discretion to impose such conditions, restrictions and limitations on the issuance of shares of Stock with respect to this Award unless and until the Committee determines that such issuance complies with (i) any applicable registration requirements under the Securities Act or the Committee has determined that an exemption therefrom is available, (ii) any applicable listing requirement of any stock exchange on which the Stock is listed, (iii) any applicable Company policy or administrative rules, and (iv) any other applicable provision of U.S. or non-U.S. federal, state or local law.</w:t>
      </w:r>
    </w:p>
    <w:p>
      <w:pPr>
        <w:spacing w:after="0" w:line="177" w:lineRule="exact"/>
        <w:rPr>
          <w:rFonts w:ascii="Times New Roman" w:cs="Times New Roman" w:eastAsia="Times New Roman" w:hAnsi="Times New Roman"/>
          <w:sz w:val="20"/>
          <w:szCs w:val="20"/>
          <w:color w:val="auto"/>
        </w:rPr>
      </w:pPr>
    </w:p>
    <w:p>
      <w:pPr>
        <w:ind w:left="625" w:hanging="625"/>
        <w:spacing w:after="0"/>
        <w:tabs>
          <w:tab w:leader="none" w:pos="6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and Non-Competition</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5" w:right="200" w:firstLine="652"/>
        <w:spacing w:after="0" w:line="224" w:lineRule="auto"/>
        <w:tabs>
          <w:tab w:leader="none" w:pos="1823" w:val="left"/>
        </w:tabs>
        <w:numPr>
          <w:ilvl w:val="3"/>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 The provisions of this Section 7 apply to Awards made to employees of the Company and its Subsidiaries, and not Awards made to Non-Employee Directors. The Grantee acknowledges that the Company conducts business throughout the United States and that the Company has a legitimate business interest in protecting this business, including but not limited its interest in its employees, programs, and projects below, against unfair competition through the promises in this Section</w:t>
      </w:r>
    </w:p>
    <w:p>
      <w:pPr>
        <w:spacing w:after="0" w:line="2" w:lineRule="exact"/>
        <w:rPr>
          <w:rFonts w:ascii="Times New Roman" w:cs="Times New Roman" w:eastAsia="Times New Roman" w:hAnsi="Times New Roman"/>
          <w:sz w:val="19"/>
          <w:szCs w:val="19"/>
          <w:color w:val="auto"/>
        </w:rPr>
      </w:pPr>
    </w:p>
    <w:p>
      <w:pPr>
        <w:ind w:left="845" w:hanging="196"/>
        <w:spacing w:after="0"/>
        <w:tabs>
          <w:tab w:leader="none" w:pos="845"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Sections 7 (b), (c) and (e) do not apply in California.</w:t>
      </w:r>
    </w:p>
    <w:p>
      <w:pPr>
        <w:spacing w:after="0" w:line="193" w:lineRule="exact"/>
        <w:rPr>
          <w:rFonts w:ascii="Times New Roman" w:cs="Times New Roman" w:eastAsia="Times New Roman" w:hAnsi="Times New Roman"/>
          <w:sz w:val="20"/>
          <w:szCs w:val="20"/>
          <w:color w:val="auto"/>
        </w:rPr>
      </w:pPr>
    </w:p>
    <w:p>
      <w:pPr>
        <w:ind w:left="645" w:right="160" w:firstLine="652"/>
        <w:spacing w:after="0" w:line="216" w:lineRule="auto"/>
        <w:tabs>
          <w:tab w:leader="none" w:pos="1820" w:val="left"/>
        </w:tabs>
        <w:numPr>
          <w:ilvl w:val="3"/>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Employees</w:t>
      </w:r>
      <w:r>
        <w:rPr>
          <w:rFonts w:ascii="Times New Roman" w:cs="Times New Roman" w:eastAsia="Times New Roman" w:hAnsi="Times New Roman"/>
          <w:sz w:val="20"/>
          <w:szCs w:val="20"/>
          <w:color w:val="auto"/>
        </w:rPr>
        <w:t>. The Grantee agrees that, both while in Service and for one year after Separation from Service, the Grantee will not solicit or attempt to solicit any employee of the Company or any Subsidiary with whom the Grantee has worked on a program or project during the 12 months prior to Separation from Service to leave his or her employment or to violate the terms of any agreement or understanding that employee may have with the Company or any Subsidiary. The foregoing obligations apply to both the Grantee’s direct and indirect actions and apply to actions intended to benefit the Grantee or any other person, business or entity.</w:t>
      </w:r>
    </w:p>
    <w:p>
      <w:pPr>
        <w:spacing w:after="0" w:line="189" w:lineRule="exact"/>
        <w:rPr>
          <w:rFonts w:ascii="Times New Roman" w:cs="Times New Roman" w:eastAsia="Times New Roman" w:hAnsi="Times New Roman"/>
          <w:sz w:val="20"/>
          <w:szCs w:val="20"/>
          <w:color w:val="auto"/>
        </w:rPr>
      </w:pPr>
    </w:p>
    <w:p>
      <w:pPr>
        <w:jc w:val="both"/>
        <w:ind w:left="645" w:right="140" w:firstLine="652"/>
        <w:spacing w:after="0" w:line="226" w:lineRule="auto"/>
        <w:tabs>
          <w:tab w:leader="none" w:pos="1823" w:val="left"/>
        </w:tabs>
        <w:numPr>
          <w:ilvl w:val="3"/>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Customers</w:t>
      </w:r>
      <w:r>
        <w:rPr>
          <w:rFonts w:ascii="Times New Roman" w:cs="Times New Roman" w:eastAsia="Times New Roman" w:hAnsi="Times New Roman"/>
          <w:sz w:val="20"/>
          <w:szCs w:val="20"/>
          <w:color w:val="auto"/>
        </w:rPr>
        <w:t>. The Grantee agrees that, for one year after Separation from Service, the Grantee will not participate in any solicitation of any customer or prospective customer of the Company or any Subsidiary concerning any business that:</w:t>
      </w:r>
    </w:p>
    <w:p>
      <w:pPr>
        <w:spacing w:after="0" w:line="187" w:lineRule="exact"/>
        <w:rPr>
          <w:rFonts w:ascii="Times New Roman" w:cs="Times New Roman" w:eastAsia="Times New Roman" w:hAnsi="Times New Roman"/>
          <w:sz w:val="20"/>
          <w:szCs w:val="20"/>
          <w:color w:val="auto"/>
        </w:rPr>
      </w:pPr>
    </w:p>
    <w:p>
      <w:pPr>
        <w:ind w:left="1925" w:right="160" w:hanging="655"/>
        <w:spacing w:after="0"/>
        <w:tabs>
          <w:tab w:leader="none" w:pos="1922" w:val="left"/>
        </w:tabs>
        <w:numPr>
          <w:ilvl w:val="2"/>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the same programs or projects for that customer in which the Grantee was personally and/or substantially involved during the 12 months prior to Separation from Service; or</w:t>
      </w:r>
    </w:p>
    <w:p>
      <w:pPr>
        <w:spacing w:after="0" w:line="188" w:lineRule="exact"/>
        <w:rPr>
          <w:rFonts w:ascii="Times New Roman" w:cs="Times New Roman" w:eastAsia="Times New Roman" w:hAnsi="Times New Roman"/>
          <w:sz w:val="20"/>
          <w:szCs w:val="20"/>
          <w:color w:val="auto"/>
        </w:rPr>
      </w:pPr>
    </w:p>
    <w:p>
      <w:pPr>
        <w:ind w:left="1925" w:right="80" w:hanging="655"/>
        <w:spacing w:after="0" w:line="234" w:lineRule="auto"/>
        <w:tabs>
          <w:tab w:leader="none" w:pos="1923" w:val="left"/>
        </w:tabs>
        <w:numPr>
          <w:ilvl w:val="2"/>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at any time during the 12 months prior to Separation from Service, the subject of any capture effort, bid, offer or proposal activity by the Company or any Subsidiary in respect of that customer or prospective customer, or any negotiations or discussions about the possible performance of services by the Company or any Subsidiary to that customer or potential customer, in which the Grantee was personally and/or substantially involved.</w:t>
      </w:r>
    </w:p>
    <w:p>
      <w:pPr>
        <w:spacing w:after="0" w:line="106" w:lineRule="exact"/>
        <w:rPr>
          <w:sz w:val="20"/>
          <w:szCs w:val="20"/>
          <w:color w:val="auto"/>
        </w:rPr>
      </w:pPr>
    </w:p>
    <w:p>
      <w:pPr>
        <w:ind w:left="645" w:right="160" w:firstLine="625"/>
        <w:spacing w:after="0" w:line="227" w:lineRule="auto"/>
        <w:rPr>
          <w:sz w:val="20"/>
          <w:szCs w:val="20"/>
          <w:color w:val="auto"/>
        </w:rPr>
      </w:pPr>
      <w:r>
        <w:rPr>
          <w:rFonts w:ascii="Times New Roman" w:cs="Times New Roman" w:eastAsia="Times New Roman" w:hAnsi="Times New Roman"/>
          <w:sz w:val="19"/>
          <w:szCs w:val="19"/>
          <w:color w:val="auto"/>
        </w:rPr>
        <w:t>For purposes of (c)(i) and (ii), in the case of a governmental, regulatory or administrative agency, commission, department or other governmental authority, the customer or prospective customer will be determined by reference to the specific program</w:t>
      </w:r>
    </w:p>
    <w:p>
      <w:pPr>
        <w:ind w:left="645"/>
        <w:spacing w:after="0"/>
        <w:rPr>
          <w:sz w:val="20"/>
          <w:szCs w:val="20"/>
          <w:color w:val="auto"/>
        </w:rPr>
      </w:pPr>
      <w:r>
        <w:rPr>
          <w:rFonts w:ascii="Times New Roman" w:cs="Times New Roman" w:eastAsia="Times New Roman" w:hAnsi="Times New Roman"/>
          <w:sz w:val="20"/>
          <w:szCs w:val="20"/>
          <w:color w:val="auto"/>
        </w:rPr>
        <w:t>offices or activities for which the Company or any Subsidiary provides (or may reasonably provide) goods or services.</w:t>
      </w:r>
    </w:p>
    <w:p>
      <w:pPr>
        <w:spacing w:after="0" w:line="194" w:lineRule="exact"/>
        <w:rPr>
          <w:sz w:val="20"/>
          <w:szCs w:val="20"/>
          <w:color w:val="auto"/>
        </w:rPr>
      </w:pPr>
    </w:p>
    <w:p>
      <w:pPr>
        <w:ind w:left="645" w:right="120" w:firstLine="625"/>
        <w:spacing w:after="0" w:line="226" w:lineRule="auto"/>
        <w:tabs>
          <w:tab w:leader="none" w:pos="182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and Non-Use of Proprietary Information</w:t>
      </w:r>
      <w:r>
        <w:rPr>
          <w:rFonts w:ascii="Times New Roman" w:cs="Times New Roman" w:eastAsia="Times New Roman" w:hAnsi="Times New Roman"/>
          <w:sz w:val="20"/>
          <w:szCs w:val="20"/>
          <w:color w:val="auto"/>
        </w:rPr>
        <w:t>. During the term of the Grantee's employment and following the voluntary or involuntary termination of that employment for any reason, and with or without cause, Grantee will not, except as authorized and required to</w:t>
      </w:r>
    </w:p>
    <w:p>
      <w:pPr>
        <w:sectPr>
          <w:pgSz w:w="11900" w:h="16838" w:orient="portrait"/>
          <w:cols w:equalWidth="0" w:num="1">
            <w:col w:w="11125"/>
          </w:cols>
          <w:pgMar w:left="435" w:top="940" w:right="339" w:bottom="1440" w:gutter="0" w:footer="0" w:header="0"/>
        </w:sectPr>
      </w:pPr>
    </w:p>
    <w:bookmarkStart w:id="193" w:name="page194"/>
    <w:bookmarkEnd w:id="193"/>
    <w:p>
      <w:pPr>
        <w:ind w:right="420"/>
        <w:spacing w:after="0" w:line="234" w:lineRule="auto"/>
        <w:rPr>
          <w:sz w:val="20"/>
          <w:szCs w:val="20"/>
          <w:color w:val="auto"/>
        </w:rPr>
      </w:pPr>
      <w:r>
        <w:rPr>
          <w:rFonts w:ascii="Times New Roman" w:cs="Times New Roman" w:eastAsia="Times New Roman" w:hAnsi="Times New Roman"/>
          <w:sz w:val="19"/>
          <w:szCs w:val="19"/>
          <w:color w:val="auto"/>
        </w:rPr>
        <w:t>perform the Grantee's duties for the Company or any Subsidiary, directly or indirectly: use, disclose, reproduce, distribute, or otherwise disseminate the Company or any Subsidiary's Proprietary Information, or take any action causing, or fail to take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action necessary, to prevent any such information to lose its character or cease to qualify as Proprietary Information. Grantee agrees to ask the Company or any Subsidiary, both during and after employment, if Grantee has any questions about whether particular</w:t>
      </w:r>
    </w:p>
    <w:p>
      <w:pPr>
        <w:spacing w:after="0"/>
        <w:rPr>
          <w:sz w:val="20"/>
          <w:szCs w:val="20"/>
          <w:color w:val="auto"/>
        </w:rPr>
      </w:pPr>
      <w:r>
        <w:rPr>
          <w:rFonts w:ascii="Times New Roman" w:cs="Times New Roman" w:eastAsia="Times New Roman" w:hAnsi="Times New Roman"/>
          <w:sz w:val="20"/>
          <w:szCs w:val="20"/>
          <w:color w:val="auto"/>
        </w:rPr>
        <w:t>information is Proprietary Information before using or disclosing such information.</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will mean any and all confidential knowledge, data or information of the Company,</w:t>
      </w:r>
    </w:p>
    <w:p>
      <w:pPr>
        <w:spacing w:after="0" w:line="215" w:lineRule="auto"/>
        <w:rPr>
          <w:sz w:val="20"/>
          <w:szCs w:val="20"/>
          <w:color w:val="auto"/>
        </w:rPr>
      </w:pPr>
      <w:r>
        <w:rPr>
          <w:rFonts w:ascii="Times New Roman" w:cs="Times New Roman" w:eastAsia="Times New Roman" w:hAnsi="Times New Roman"/>
          <w:sz w:val="19"/>
          <w:szCs w:val="19"/>
          <w:color w:val="auto"/>
        </w:rPr>
        <w:t>its affiliates, parents and subsidiaries, which has economic value as a result of its remaining confidential, whether having existed, now existing, or to be developed during Grantee’s employment, including information developed by Grantee. By way of illustration</w:t>
      </w:r>
    </w:p>
    <w:p>
      <w:pPr>
        <w:spacing w:after="0" w:line="215" w:lineRule="auto"/>
        <w:rPr>
          <w:sz w:val="20"/>
          <w:szCs w:val="20"/>
          <w:color w:val="auto"/>
        </w:rPr>
      </w:pPr>
      <w:r>
        <w:rPr>
          <w:rFonts w:ascii="Times New Roman" w:cs="Times New Roman" w:eastAsia="Times New Roman" w:hAnsi="Times New Roman"/>
          <w:sz w:val="19"/>
          <w:szCs w:val="19"/>
          <w:color w:val="auto"/>
        </w:rPr>
        <w:t>but not limitation, “Proprietary Information” includes (1) trade secrets, inventions, mask works, ideas, processes, formulas, source and object codes, data, programs, other works of authorship, know-how, algorithms, software programs, schematics, improvements,</w:t>
      </w:r>
    </w:p>
    <w:p>
      <w:pPr>
        <w:spacing w:after="0" w:line="211" w:lineRule="auto"/>
        <w:rPr>
          <w:sz w:val="20"/>
          <w:szCs w:val="20"/>
          <w:color w:val="auto"/>
        </w:rPr>
      </w:pPr>
      <w:r>
        <w:rPr>
          <w:rFonts w:ascii="Times New Roman" w:cs="Times New Roman" w:eastAsia="Times New Roman" w:hAnsi="Times New Roman"/>
          <w:sz w:val="20"/>
          <w:szCs w:val="20"/>
          <w:color w:val="auto"/>
        </w:rPr>
        <w:t>discoveries, developments, designs and techniques and any other proprietary technology and all Proprietary Rights therein</w:t>
      </w:r>
    </w:p>
    <w:p>
      <w:pPr>
        <w:ind w:right="20"/>
        <w:spacing w:after="0" w:line="215" w:lineRule="auto"/>
        <w:rPr>
          <w:sz w:val="20"/>
          <w:szCs w:val="20"/>
          <w:color w:val="auto"/>
        </w:rPr>
      </w:pPr>
      <w:r>
        <w:rPr>
          <w:rFonts w:ascii="Times New Roman" w:cs="Times New Roman" w:eastAsia="Times New Roman" w:hAnsi="Times New Roman"/>
          <w:sz w:val="19"/>
          <w:szCs w:val="19"/>
          <w:color w:val="auto"/>
        </w:rPr>
        <w:t>(collectively, “</w:t>
      </w:r>
      <w:r>
        <w:rPr>
          <w:rFonts w:ascii="Times New Roman" w:cs="Times New Roman" w:eastAsia="Times New Roman" w:hAnsi="Times New Roman"/>
          <w:sz w:val="19"/>
          <w:szCs w:val="19"/>
          <w:b w:val="1"/>
          <w:bCs w:val="1"/>
          <w:color w:val="auto"/>
        </w:rPr>
        <w:t>Inventions</w:t>
      </w:r>
      <w:r>
        <w:rPr>
          <w:rFonts w:ascii="Times New Roman" w:cs="Times New Roman" w:eastAsia="Times New Roman" w:hAnsi="Times New Roman"/>
          <w:sz w:val="19"/>
          <w:szCs w:val="19"/>
          <w:color w:val="auto"/>
        </w:rPr>
        <w:t>”); (2) information regarding research, development, new products, marketing and selling, business plans, budgets and unpublished financial statements, licenses, prices and costs, margins, discounts, credit terms, pricing and billing</w:t>
      </w:r>
    </w:p>
    <w:p>
      <w:pPr>
        <w:spacing w:after="0" w:line="211" w:lineRule="auto"/>
        <w:rPr>
          <w:sz w:val="20"/>
          <w:szCs w:val="20"/>
          <w:color w:val="auto"/>
        </w:rPr>
      </w:pPr>
      <w:r>
        <w:rPr>
          <w:rFonts w:ascii="Times New Roman" w:cs="Times New Roman" w:eastAsia="Times New Roman" w:hAnsi="Times New Roman"/>
          <w:sz w:val="20"/>
          <w:szCs w:val="20"/>
          <w:color w:val="auto"/>
        </w:rPr>
        <w:t>policies, quoting procedures, methods of obtaining business, forecasts, future plans and potential strategies, financial projections</w:t>
      </w:r>
    </w:p>
    <w:p>
      <w:pPr>
        <w:ind w:right="480"/>
        <w:spacing w:after="0" w:line="204" w:lineRule="auto"/>
        <w:rPr>
          <w:sz w:val="20"/>
          <w:szCs w:val="20"/>
          <w:color w:val="auto"/>
        </w:rPr>
      </w:pPr>
      <w:r>
        <w:rPr>
          <w:rFonts w:ascii="Times New Roman" w:cs="Times New Roman" w:eastAsia="Times New Roman" w:hAnsi="Times New Roman"/>
          <w:sz w:val="20"/>
          <w:szCs w:val="20"/>
          <w:color w:val="auto"/>
        </w:rPr>
        <w:t>and business strategies, operational plans, financing and capital- raising plans, activities and agreements, internal services and operational manuals, methods of conducting Company business, suppliers and supplier information, and purchasing; (3)</w:t>
      </w:r>
    </w:p>
    <w:p>
      <w:pPr>
        <w:spacing w:after="0" w:line="211" w:lineRule="auto"/>
        <w:rPr>
          <w:sz w:val="20"/>
          <w:szCs w:val="20"/>
          <w:color w:val="auto"/>
        </w:rPr>
      </w:pPr>
      <w:r>
        <w:rPr>
          <w:rFonts w:ascii="Times New Roman" w:cs="Times New Roman" w:eastAsia="Times New Roman" w:hAnsi="Times New Roman"/>
          <w:sz w:val="20"/>
          <w:szCs w:val="20"/>
          <w:color w:val="auto"/>
        </w:rPr>
        <w:t>information regarding Customers and potential Customers of the Company and its Subsidiaries, including customer lists, names,</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representatives, their needs or desires with respect to the types of products or services offered by the Company, proposals, bids, contracts and their contents and parties, the type and quantity of products and services provided or sought to be provided to</w:t>
      </w:r>
    </w:p>
    <w:p>
      <w:pPr>
        <w:spacing w:after="0" w:line="211" w:lineRule="auto"/>
        <w:rPr>
          <w:sz w:val="20"/>
          <w:szCs w:val="20"/>
          <w:color w:val="auto"/>
        </w:rPr>
      </w:pPr>
      <w:r>
        <w:rPr>
          <w:rFonts w:ascii="Times New Roman" w:cs="Times New Roman" w:eastAsia="Times New Roman" w:hAnsi="Times New Roman"/>
          <w:sz w:val="20"/>
          <w:szCs w:val="20"/>
          <w:color w:val="auto"/>
        </w:rPr>
        <w:t>Customers and potential Customers of the Company and other non-public information relating to Customers and potential</w:t>
      </w:r>
    </w:p>
    <w:p>
      <w:pPr>
        <w:ind w:right="100"/>
        <w:spacing w:after="0" w:line="215" w:lineRule="auto"/>
        <w:rPr>
          <w:sz w:val="20"/>
          <w:szCs w:val="20"/>
          <w:color w:val="auto"/>
        </w:rPr>
      </w:pPr>
      <w:r>
        <w:rPr>
          <w:rFonts w:ascii="Times New Roman" w:cs="Times New Roman" w:eastAsia="Times New Roman" w:hAnsi="Times New Roman"/>
          <w:sz w:val="19"/>
          <w:szCs w:val="19"/>
          <w:color w:val="auto"/>
        </w:rPr>
        <w:t>Customers; (4) information regarding any of the Company’s business partners and their services, including names, representatives, proposals, bids, contracts and their contents and parties, the type and quantity of products and services received by the Company,</w:t>
      </w:r>
    </w:p>
    <w:p>
      <w:pPr>
        <w:spacing w:after="0" w:line="211" w:lineRule="auto"/>
        <w:rPr>
          <w:sz w:val="20"/>
          <w:szCs w:val="20"/>
          <w:color w:val="auto"/>
        </w:rPr>
      </w:pPr>
      <w:r>
        <w:rPr>
          <w:rFonts w:ascii="Times New Roman" w:cs="Times New Roman" w:eastAsia="Times New Roman" w:hAnsi="Times New Roman"/>
          <w:sz w:val="20"/>
          <w:szCs w:val="20"/>
          <w:color w:val="auto"/>
        </w:rPr>
        <w:t>and other non- public information relating to business partners that Grantee acquires as a result of their employment; (5)</w:t>
      </w:r>
    </w:p>
    <w:p>
      <w:pPr>
        <w:ind w:right="420"/>
        <w:spacing w:after="0" w:line="221" w:lineRule="auto"/>
        <w:rPr>
          <w:sz w:val="20"/>
          <w:szCs w:val="20"/>
          <w:color w:val="auto"/>
        </w:rPr>
      </w:pPr>
      <w:r>
        <w:rPr>
          <w:rFonts w:ascii="Times New Roman" w:cs="Times New Roman" w:eastAsia="Times New Roman" w:hAnsi="Times New Roman"/>
          <w:sz w:val="20"/>
          <w:szCs w:val="20"/>
          <w:color w:val="auto"/>
        </w:rPr>
        <w:t>information regarding personnel, employee lists, compensation, and employee skills; and (6) any other non-public information which a competitor of the Company could use to the competitive disadvantage of the Company.</w:t>
      </w:r>
    </w:p>
    <w:p>
      <w:pPr>
        <w:spacing w:after="0" w:line="189" w:lineRule="exact"/>
        <w:rPr>
          <w:sz w:val="20"/>
          <w:szCs w:val="20"/>
          <w:color w:val="auto"/>
        </w:rPr>
      </w:pPr>
    </w:p>
    <w:p>
      <w:pPr>
        <w:ind w:right="40" w:firstLine="647"/>
        <w:spacing w:after="0" w:line="222" w:lineRule="auto"/>
        <w:tabs>
          <w:tab w:leader="none" w:pos="119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To the extent allowed by and consistent with applicable law, the Grantee agrees that, for one year after Separation from Service, the Grantee will not, directly or indirectly, on behalf of the Grantee or any other person or entity other than the Company, perform on or support any program, or provide oversight on any program, product, or service in which the Grantee was personally and/or substantially involved during the 12 months prior to Separation from Service:</w:t>
      </w:r>
    </w:p>
    <w:p>
      <w:pPr>
        <w:spacing w:after="0" w:line="188" w:lineRule="exact"/>
        <w:rPr>
          <w:rFonts w:ascii="Times New Roman" w:cs="Times New Roman" w:eastAsia="Times New Roman" w:hAnsi="Times New Roman"/>
          <w:sz w:val="20"/>
          <w:szCs w:val="20"/>
          <w:color w:val="auto"/>
        </w:rPr>
      </w:pPr>
    </w:p>
    <w:p>
      <w:pPr>
        <w:ind w:left="1920" w:right="20" w:hanging="647"/>
        <w:spacing w:after="0"/>
        <w:tabs>
          <w:tab w:leader="none" w:pos="1918"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more likely than not cause the Grantee to use, disclose, or access Proprietary Information of any such program, product, or service; or</w:t>
      </w:r>
    </w:p>
    <w:p>
      <w:pPr>
        <w:spacing w:after="0" w:line="80" w:lineRule="exact"/>
        <w:rPr>
          <w:rFonts w:ascii="Times New Roman" w:cs="Times New Roman" w:eastAsia="Times New Roman" w:hAnsi="Times New Roman"/>
          <w:sz w:val="20"/>
          <w:szCs w:val="20"/>
          <w:color w:val="auto"/>
        </w:rPr>
      </w:pPr>
    </w:p>
    <w:p>
      <w:pPr>
        <w:ind w:left="1920" w:right="20" w:hanging="647"/>
        <w:spacing w:after="0" w:line="266" w:lineRule="auto"/>
        <w:tabs>
          <w:tab w:leader="none" w:pos="1919" w:val="left"/>
        </w:tabs>
        <w:numPr>
          <w:ilvl w:val="2"/>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competitive with any such program, product, or service and where the Grantee’s new responsibilities and duties will be similar to those previously held with the Company or any Subsidiary; or</w:t>
      </w:r>
    </w:p>
    <w:p>
      <w:pPr>
        <w:spacing w:after="0" w:line="55" w:lineRule="exact"/>
        <w:rPr>
          <w:rFonts w:ascii="Times New Roman" w:cs="Times New Roman" w:eastAsia="Times New Roman" w:hAnsi="Times New Roman"/>
          <w:sz w:val="19"/>
          <w:szCs w:val="19"/>
          <w:color w:val="auto"/>
        </w:rPr>
      </w:pPr>
    </w:p>
    <w:p>
      <w:pPr>
        <w:ind w:left="1920" w:right="100" w:hanging="647"/>
        <w:spacing w:after="0" w:line="222" w:lineRule="auto"/>
        <w:tabs>
          <w:tab w:leader="none" w:pos="1920" w:val="left"/>
        </w:tabs>
        <w:numPr>
          <w:ilvl w:val="2"/>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associated with any program, product or service that was the subject of any capture effort, bid, offer or proposal activity by the Company or any Subsidiary in which the Grantee was personally and substantially involved during the 12 months prior to Separation from Service and of which the Grantee possesses Proprietary Information.</w:t>
      </w:r>
    </w:p>
    <w:p>
      <w:pPr>
        <w:spacing w:after="0" w:line="175" w:lineRule="exact"/>
        <w:rPr>
          <w:rFonts w:ascii="Times New Roman" w:cs="Times New Roman" w:eastAsia="Times New Roman" w:hAnsi="Times New Roman"/>
          <w:sz w:val="20"/>
          <w:szCs w:val="20"/>
          <w:color w:val="auto"/>
        </w:rPr>
      </w:pPr>
    </w:p>
    <w:p>
      <w:pPr>
        <w:ind w:left="-20" w:right="20" w:firstLine="645"/>
        <w:spacing w:after="0" w:line="222" w:lineRule="auto"/>
        <w:tabs>
          <w:tab w:leader="none" w:pos="119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Grantee acknowledges and agrees that a breach of any of the promises or agreements contained in this Section 7 will result in immediate, irreparable and continuing damage to the Company and its Subsidiaries for which there is no adequate remedy at law, and the Company and its Subsidiaries will be entitled to injunctive relief, a decree for specific performance, and other relief as may be proper, including money damages such as, but not limited</w:t>
      </w:r>
    </w:p>
    <w:p>
      <w:pPr>
        <w:sectPr>
          <w:pgSz w:w="11900" w:h="16838" w:orient="portrait"/>
          <w:cols w:equalWidth="0" w:num="1">
            <w:col w:w="10440"/>
          </w:cols>
          <w:pgMar w:left="1080" w:top="940" w:right="379" w:bottom="1440" w:gutter="0" w:footer="0" w:header="0"/>
        </w:sectPr>
      </w:pPr>
    </w:p>
    <w:bookmarkStart w:id="194" w:name="page195"/>
    <w:bookmarkEnd w:id="194"/>
    <w:p>
      <w:pPr>
        <w:ind w:left="651"/>
        <w:spacing w:after="0" w:line="222" w:lineRule="auto"/>
        <w:rPr>
          <w:sz w:val="20"/>
          <w:szCs w:val="20"/>
          <w:color w:val="auto"/>
        </w:rPr>
      </w:pPr>
      <w:r>
        <w:rPr>
          <w:rFonts w:ascii="Times New Roman" w:cs="Times New Roman" w:eastAsia="Times New Roman" w:hAnsi="Times New Roman"/>
          <w:sz w:val="20"/>
          <w:szCs w:val="20"/>
          <w:color w:val="auto"/>
        </w:rPr>
        <w:t>to, the disgorgement of any profits, commissions, or fees realized by the Grantee, any subsequent employers, any business owned or operated by the Grantee, or any of Grantee’s agents, heirs, or assigns because of any such breach. Furthermore, to the extent</w:t>
      </w:r>
    </w:p>
    <w:p>
      <w:pPr>
        <w:spacing w:after="0" w:line="2" w:lineRule="exact"/>
        <w:rPr>
          <w:sz w:val="20"/>
          <w:szCs w:val="20"/>
          <w:color w:val="auto"/>
        </w:rPr>
      </w:pPr>
    </w:p>
    <w:p>
      <w:pPr>
        <w:ind w:left="651" w:right="40"/>
        <w:spacing w:after="0" w:line="215" w:lineRule="auto"/>
        <w:rPr>
          <w:sz w:val="20"/>
          <w:szCs w:val="20"/>
          <w:color w:val="auto"/>
        </w:rPr>
      </w:pPr>
      <w:r>
        <w:rPr>
          <w:rFonts w:ascii="Times New Roman" w:cs="Times New Roman" w:eastAsia="Times New Roman" w:hAnsi="Times New Roman"/>
          <w:sz w:val="19"/>
          <w:szCs w:val="19"/>
          <w:color w:val="auto"/>
        </w:rPr>
        <w:t>allowed by and consistent with applicable law and any applicable limitations period, if it is determined at any time by the Company or any Subsidiary that the Grantee has materially breached any employment-related covenants, including the covenants in this</w:t>
      </w:r>
    </w:p>
    <w:p>
      <w:pPr>
        <w:ind w:left="651"/>
        <w:spacing w:after="0" w:line="211" w:lineRule="auto"/>
        <w:rPr>
          <w:sz w:val="20"/>
          <w:szCs w:val="20"/>
          <w:color w:val="auto"/>
        </w:rPr>
      </w:pPr>
      <w:r>
        <w:rPr>
          <w:rFonts w:ascii="Times New Roman" w:cs="Times New Roman" w:eastAsia="Times New Roman" w:hAnsi="Times New Roman"/>
          <w:sz w:val="20"/>
          <w:szCs w:val="20"/>
          <w:color w:val="auto"/>
        </w:rPr>
        <w:t>Section 7, the Company will be entitled to (i) cause any unvested portion of the Award to be immediately canceled without any</w:t>
      </w:r>
    </w:p>
    <w:p>
      <w:pPr>
        <w:jc w:val="both"/>
        <w:ind w:left="651" w:right="80"/>
        <w:spacing w:after="0" w:line="215" w:lineRule="auto"/>
        <w:rPr>
          <w:sz w:val="20"/>
          <w:szCs w:val="20"/>
          <w:color w:val="auto"/>
        </w:rPr>
      </w:pPr>
      <w:r>
        <w:rPr>
          <w:rFonts w:ascii="Times New Roman" w:cs="Times New Roman" w:eastAsia="Times New Roman" w:hAnsi="Times New Roman"/>
          <w:sz w:val="19"/>
          <w:szCs w:val="19"/>
          <w:color w:val="auto"/>
        </w:rPr>
        <w:t>payment of consideration by the Company and/or (ii) cause, upon written demand by the Company to the Grantee, that the Grantee promptly return to the Company some or all of the shares of Stock (or proceeds received by the Grantee from such shares of Stock)</w:t>
      </w:r>
    </w:p>
    <w:p>
      <w:pPr>
        <w:ind w:left="651" w:right="180"/>
        <w:spacing w:after="0" w:line="228" w:lineRule="auto"/>
        <w:rPr>
          <w:sz w:val="20"/>
          <w:szCs w:val="20"/>
          <w:color w:val="auto"/>
        </w:rPr>
      </w:pPr>
      <w:r>
        <w:rPr>
          <w:rFonts w:ascii="Times New Roman" w:cs="Times New Roman" w:eastAsia="Times New Roman" w:hAnsi="Times New Roman"/>
          <w:sz w:val="20"/>
          <w:szCs w:val="20"/>
          <w:color w:val="auto"/>
        </w:rPr>
        <w:t>paid to the Grantee pursuant to this Agreement. If the Company must resort to litigation to enforce the Grantee’s obligation in (ii), the Company will be entitled to an award of reasonable attorneys' fees and costs should it prevail in the litigation.</w:t>
      </w:r>
    </w:p>
    <w:p>
      <w:pPr>
        <w:spacing w:after="0" w:line="108" w:lineRule="exact"/>
        <w:rPr>
          <w:sz w:val="20"/>
          <w:szCs w:val="20"/>
          <w:color w:val="auto"/>
        </w:rPr>
      </w:pPr>
    </w:p>
    <w:p>
      <w:pPr>
        <w:ind w:left="651" w:right="40" w:hanging="651"/>
        <w:spacing w:after="0" w:line="215" w:lineRule="auto"/>
        <w:tabs>
          <w:tab w:leader="none" w:pos="65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Interference with Rights</w:t>
      </w:r>
      <w:r>
        <w:rPr>
          <w:rFonts w:ascii="Times New Roman" w:cs="Times New Roman" w:eastAsia="Times New Roman" w:hAnsi="Times New Roman"/>
          <w:sz w:val="20"/>
          <w:szCs w:val="20"/>
          <w:color w:val="auto"/>
        </w:rPr>
        <w:t>. Grantee understands that Grantee shall not be held criminally or civilly liable under any U.S. or non-U.S. federal or state trade secret law for the disclosure of a trade secret that: (1) is made in confidence to a U.S. or non-U.S.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The Grantee also understands that disclosure of trade secrets to attorneys, made under seal, or pursuant to court order is also protected under 18 U.S. Code § 1833 in a retaliation lawsuit based on the reporting of a suspected violation of law.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ind w:left="651" w:hanging="625"/>
        <w:spacing w:after="0"/>
        <w:tabs>
          <w:tab w:leader="none" w:pos="651"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671" w:right="60" w:firstLine="652"/>
        <w:spacing w:after="0" w:line="218" w:lineRule="auto"/>
        <w:tabs>
          <w:tab w:leader="none" w:pos="1849"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which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191" w:lineRule="exact"/>
        <w:rPr>
          <w:rFonts w:ascii="Times New Roman" w:cs="Times New Roman" w:eastAsia="Times New Roman" w:hAnsi="Times New Roman"/>
          <w:sz w:val="20"/>
          <w:szCs w:val="20"/>
          <w:color w:val="auto"/>
        </w:rPr>
      </w:pPr>
    </w:p>
    <w:p>
      <w:pPr>
        <w:ind w:left="671" w:right="560" w:firstLine="652"/>
        <w:spacing w:after="0"/>
        <w:tabs>
          <w:tab w:leader="none" w:pos="1847"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hereto of a breach of any provision of this Agreement shall not operate or be construed as a waiver of any other or subsequent breach.</w:t>
      </w:r>
    </w:p>
    <w:p>
      <w:pPr>
        <w:spacing w:after="0" w:line="174" w:lineRule="exact"/>
        <w:rPr>
          <w:rFonts w:ascii="Times New Roman" w:cs="Times New Roman" w:eastAsia="Times New Roman" w:hAnsi="Times New Roman"/>
          <w:sz w:val="20"/>
          <w:szCs w:val="20"/>
          <w:color w:val="auto"/>
        </w:rPr>
      </w:pPr>
    </w:p>
    <w:p>
      <w:pPr>
        <w:ind w:left="671" w:right="160" w:firstLine="652"/>
        <w:spacing w:after="0"/>
        <w:tabs>
          <w:tab w:leader="none" w:pos="1849"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constitute the entire agreement between the parties with respect to the subject matter hereof. Any prior agreements, commitments or negotiations concerning the Award are superseded.</w:t>
      </w:r>
    </w:p>
    <w:p>
      <w:pPr>
        <w:spacing w:after="0" w:line="188" w:lineRule="exact"/>
        <w:rPr>
          <w:rFonts w:ascii="Times New Roman" w:cs="Times New Roman" w:eastAsia="Times New Roman" w:hAnsi="Times New Roman"/>
          <w:sz w:val="20"/>
          <w:szCs w:val="20"/>
          <w:color w:val="auto"/>
        </w:rPr>
      </w:pPr>
    </w:p>
    <w:p>
      <w:pPr>
        <w:ind w:left="671" w:right="140" w:firstLine="652"/>
        <w:spacing w:after="0" w:line="222" w:lineRule="auto"/>
        <w:tabs>
          <w:tab w:leader="none" w:pos="1847"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This Agreement shall inure to the benefit of and be binding upon the parties hereto and to the extent not prohibited herein, their respective heirs, successors, assigns and representatives. Nothing in this Agreement, express or implied, is intended to confer on any person other than the parties hereto and as provided above, their respective heirs, successors, assigns and representatives any rights, remedies, obligations or liabilities.</w:t>
      </w:r>
    </w:p>
    <w:p>
      <w:pPr>
        <w:spacing w:after="0" w:line="188" w:lineRule="exact"/>
        <w:rPr>
          <w:rFonts w:ascii="Times New Roman" w:cs="Times New Roman" w:eastAsia="Times New Roman" w:hAnsi="Times New Roman"/>
          <w:sz w:val="20"/>
          <w:szCs w:val="20"/>
          <w:color w:val="auto"/>
        </w:rPr>
      </w:pPr>
    </w:p>
    <w:p>
      <w:pPr>
        <w:ind w:left="671" w:right="380" w:firstLine="652"/>
        <w:spacing w:after="0"/>
        <w:tabs>
          <w:tab w:leader="none" w:pos="1849"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without giving effect to the principles of conflicts of law, and applicable U.S. federal law.</w:t>
      </w:r>
    </w:p>
    <w:p>
      <w:pPr>
        <w:spacing w:after="0" w:line="269" w:lineRule="exact"/>
        <w:rPr>
          <w:rFonts w:ascii="Times New Roman" w:cs="Times New Roman" w:eastAsia="Times New Roman" w:hAnsi="Times New Roman"/>
          <w:sz w:val="20"/>
          <w:szCs w:val="20"/>
          <w:color w:val="auto"/>
        </w:rPr>
      </w:pPr>
    </w:p>
    <w:p>
      <w:pPr>
        <w:ind w:left="671" w:right="80" w:firstLine="647"/>
        <w:spacing w:after="0" w:line="244" w:lineRule="auto"/>
        <w:tabs>
          <w:tab w:leader="none" w:pos="1854"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Any legal or equitable action or any proceeding arising directly, indirectly, or otherwise in connection with, out of, related to or from the Agreement, or any provision hereof, shall exclusively be filed and adjudicated in the Circuit Court for Fairfax County, Virginia, or the United States District Court for the Eastern District of Virginia, Alexandria Division, and no other venue. Any arbitration will be conducted according to the terms of the applicable arbitration agreement.</w:t>
      </w:r>
    </w:p>
    <w:p>
      <w:pPr>
        <w:sectPr>
          <w:pgSz w:w="11900" w:h="16838" w:orient="portrait"/>
          <w:cols w:equalWidth="0" w:num="1">
            <w:col w:w="11111"/>
          </w:cols>
          <w:pgMar w:left="409" w:top="940" w:right="379" w:bottom="1440" w:gutter="0" w:footer="0" w:header="0"/>
        </w:sectPr>
      </w:pPr>
    </w:p>
    <w:bookmarkStart w:id="195" w:name="page196"/>
    <w:bookmarkEnd w:id="195"/>
    <w:p>
      <w:pPr>
        <w:ind w:left="645" w:right="260" w:firstLine="652"/>
        <w:spacing w:after="0"/>
        <w:tabs>
          <w:tab w:leader="none" w:pos="182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herein are for the sole purpose of convenience of reference and shall not in any way limit or affect the meaning or interpretation of any of the terms or provisions of this Agreement.</w:t>
      </w:r>
    </w:p>
    <w:p>
      <w:pPr>
        <w:spacing w:after="0" w:line="188" w:lineRule="exact"/>
        <w:rPr>
          <w:rFonts w:ascii="Times New Roman" w:cs="Times New Roman" w:eastAsia="Times New Roman" w:hAnsi="Times New Roman"/>
          <w:sz w:val="20"/>
          <w:szCs w:val="20"/>
          <w:color w:val="auto"/>
        </w:rPr>
      </w:pPr>
    </w:p>
    <w:p>
      <w:pPr>
        <w:ind w:left="645" w:firstLine="652"/>
        <w:spacing w:after="0" w:line="215" w:lineRule="auto"/>
        <w:tabs>
          <w:tab w:leader="none" w:pos="182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 Amendment</w:t>
      </w:r>
      <w:r>
        <w:rPr>
          <w:rFonts w:ascii="Times New Roman" w:cs="Times New Roman" w:eastAsia="Times New Roman" w:hAnsi="Times New Roman"/>
          <w:sz w:val="20"/>
          <w:szCs w:val="20"/>
          <w:color w:val="auto"/>
        </w:rPr>
        <w:t>. The provisions of the Plan are incorporated in this Agreement in their entirety. In the event of any conflict between the provisions of this Agreement and the Plan, the provisions of the Plan shall control. This Agreement may be amended at any time by the Committee, provided that no amendment may, without the consent of the Grantee, materially impair the Grantee’s rights with respect to the Award, except as otherwise required pursuant to Section 9(l) below. The Committee shall have full authority and discretion, subject only to the terms of the Plan, to decide all matters relating to the administration or interpretation of the Plan, the Award, and the Agreement, and all such action by the Committee shall be final, conclusive, and binding upon the Company and the Grantee.</w:t>
      </w:r>
    </w:p>
    <w:p>
      <w:pPr>
        <w:spacing w:after="0" w:line="177" w:lineRule="exact"/>
        <w:rPr>
          <w:rFonts w:ascii="Times New Roman" w:cs="Times New Roman" w:eastAsia="Times New Roman" w:hAnsi="Times New Roman"/>
          <w:sz w:val="20"/>
          <w:szCs w:val="20"/>
          <w:color w:val="auto"/>
        </w:rPr>
      </w:pPr>
    </w:p>
    <w:p>
      <w:pPr>
        <w:ind w:left="645" w:right="100" w:firstLine="652"/>
        <w:spacing w:after="0" w:line="230" w:lineRule="auto"/>
        <w:tabs>
          <w:tab w:leader="none" w:pos="183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this Agreement shall confer upon the Grantee any right to continue in the Service of the Company or any Subsidiary or affect the right of the Company or any Subsidiary to terminate the Grantee’s Service at any time.</w:t>
      </w:r>
    </w:p>
    <w:p>
      <w:pPr>
        <w:spacing w:after="0" w:line="175" w:lineRule="exact"/>
        <w:rPr>
          <w:rFonts w:ascii="Times New Roman" w:cs="Times New Roman" w:eastAsia="Times New Roman" w:hAnsi="Times New Roman"/>
          <w:sz w:val="20"/>
          <w:szCs w:val="20"/>
          <w:color w:val="auto"/>
        </w:rPr>
      </w:pPr>
    </w:p>
    <w:p>
      <w:pPr>
        <w:ind w:left="645" w:right="20" w:firstLine="652"/>
        <w:spacing w:after="0" w:line="230" w:lineRule="auto"/>
        <w:tabs>
          <w:tab w:leader="none" w:pos="183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Grantee agrees, upon demand of the Company or the Committee, to do all acts and execute, deliver and perform all additional documents, instruments and agreements which may be reasonably required by the Company or the Committee, as the case may be, to implement the provisions and purposes of this Agreement and the Plan.</w:t>
      </w:r>
    </w:p>
    <w:p>
      <w:pPr>
        <w:spacing w:after="0" w:line="175" w:lineRule="exact"/>
        <w:rPr>
          <w:rFonts w:ascii="Times New Roman" w:cs="Times New Roman" w:eastAsia="Times New Roman" w:hAnsi="Times New Roman"/>
          <w:sz w:val="20"/>
          <w:szCs w:val="20"/>
          <w:color w:val="auto"/>
        </w:rPr>
      </w:pPr>
    </w:p>
    <w:p>
      <w:pPr>
        <w:ind w:left="645" w:right="20" w:firstLine="652"/>
        <w:spacing w:after="0" w:line="222" w:lineRule="auto"/>
        <w:tabs>
          <w:tab w:leader="none" w:pos="182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Appendices</w:t>
      </w:r>
      <w:r>
        <w:rPr>
          <w:rFonts w:ascii="Times New Roman" w:cs="Times New Roman" w:eastAsia="Times New Roman" w:hAnsi="Times New Roman"/>
          <w:sz w:val="20"/>
          <w:szCs w:val="20"/>
          <w:color w:val="auto"/>
        </w:rPr>
        <w:t>. By accepting this Award, the Grantee acknowledges and agrees that, should the Grantee reside and/or work in a country outside the United States at any time during the life of the Award, this Award is subject to the additional terms set forth in the Appendices A and B hereto. Appendices A and B constitute part of this Agreement. Please review the provisions of Appendices A and B carefully, as this Award will be null and void absent the Grantee’s acceptance of such provisions.</w:t>
      </w:r>
    </w:p>
    <w:p>
      <w:pPr>
        <w:spacing w:after="0" w:line="188" w:lineRule="exact"/>
        <w:rPr>
          <w:rFonts w:ascii="Times New Roman" w:cs="Times New Roman" w:eastAsia="Times New Roman" w:hAnsi="Times New Roman"/>
          <w:sz w:val="20"/>
          <w:szCs w:val="20"/>
          <w:color w:val="auto"/>
        </w:rPr>
      </w:pPr>
    </w:p>
    <w:p>
      <w:pPr>
        <w:ind w:left="645" w:right="20" w:firstLine="652"/>
        <w:spacing w:after="0" w:line="222" w:lineRule="auto"/>
        <w:tabs>
          <w:tab w:leader="none" w:pos="1830"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Award to the extent that the Company determines it is necessary or advisable in order to comply with local law or facilitate the administration of the Award and to require the Grantee to sign any additional agreements or undertakings that may be necessary to accomplish the foregoing.</w:t>
      </w:r>
    </w:p>
    <w:p>
      <w:pPr>
        <w:spacing w:after="0" w:line="169" w:lineRule="exact"/>
        <w:rPr>
          <w:rFonts w:ascii="Times New Roman" w:cs="Times New Roman" w:eastAsia="Times New Roman" w:hAnsi="Times New Roman"/>
          <w:sz w:val="20"/>
          <w:szCs w:val="20"/>
          <w:color w:val="auto"/>
        </w:rPr>
      </w:pPr>
    </w:p>
    <w:p>
      <w:pPr>
        <w:ind w:left="1825" w:hanging="528"/>
        <w:spacing w:after="0"/>
        <w:tabs>
          <w:tab w:leader="none" w:pos="1825"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Recovery of Compensation</w:t>
      </w:r>
      <w:r>
        <w:rPr>
          <w:rFonts w:ascii="Times New Roman" w:cs="Times New Roman" w:eastAsia="Times New Roman" w:hAnsi="Times New Roman"/>
          <w:sz w:val="20"/>
          <w:szCs w:val="20"/>
          <w:color w:val="auto"/>
        </w:rPr>
        <w:t>. In accordance with Section 3.3 of the Plan, the Award is subject to the requirements of</w:t>
      </w:r>
    </w:p>
    <w:p>
      <w:pPr>
        <w:ind w:left="645" w:right="40" w:firstLine="4"/>
        <w:spacing w:after="0" w:line="215" w:lineRule="auto"/>
        <w:tabs>
          <w:tab w:leader="none" w:pos="881"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954 of the U.S. Dodd-Frank Wall Street Reform and Consumer Protection Act (regarding recovery of erroneously awarded compensation) and any implementing rules and regulations thereunder, (ii) any policies adopted by the Company to implement such requirements, and (iii) the Company’s compensation recoupment policy as amended and restated on June 26, 2023, as in effect from time to time (the “</w:t>
      </w:r>
      <w:r>
        <w:rPr>
          <w:rFonts w:ascii="Times New Roman" w:cs="Times New Roman" w:eastAsia="Times New Roman" w:hAnsi="Times New Roman"/>
          <w:sz w:val="20"/>
          <w:szCs w:val="20"/>
          <w:b w:val="1"/>
          <w:bCs w:val="1"/>
          <w:color w:val="auto"/>
        </w:rPr>
        <w:t>Compensation Recoupment Policy</w:t>
      </w:r>
      <w:r>
        <w:rPr>
          <w:rFonts w:ascii="Times New Roman" w:cs="Times New Roman" w:eastAsia="Times New Roman" w:hAnsi="Times New Roman"/>
          <w:sz w:val="20"/>
          <w:szCs w:val="20"/>
          <w:color w:val="auto"/>
        </w:rPr>
        <w:t>”), all to the extent determined by the Committee to be applicable to the Grantee.</w:t>
      </w:r>
    </w:p>
    <w:p>
      <w:pPr>
        <w:spacing w:after="0" w:line="176" w:lineRule="exact"/>
        <w:rPr>
          <w:rFonts w:ascii="Times New Roman" w:cs="Times New Roman" w:eastAsia="Times New Roman" w:hAnsi="Times New Roman"/>
          <w:sz w:val="20"/>
          <w:szCs w:val="20"/>
          <w:color w:val="auto"/>
        </w:rPr>
      </w:pPr>
    </w:p>
    <w:p>
      <w:pPr>
        <w:ind w:left="645" w:right="100" w:firstLine="652"/>
        <w:spacing w:after="0" w:line="266" w:lineRule="auto"/>
        <w:tabs>
          <w:tab w:leader="none" w:pos="1820" w:val="left"/>
        </w:tabs>
        <w:numPr>
          <w:ilvl w:val="2"/>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w:t>
      </w:r>
      <w:r>
        <w:rPr>
          <w:rFonts w:ascii="Times New Roman" w:cs="Times New Roman" w:eastAsia="Times New Roman" w:hAnsi="Times New Roman"/>
          <w:sz w:val="19"/>
          <w:szCs w:val="19"/>
          <w:color w:val="auto"/>
        </w:rPr>
        <w:t>ity. The provisions of this Agreement are severable and if any one or more provisions are determined to be illegal or otherwise unenforceable, in whole or in part, the remaining provisions shall nevertheless be binding and enforceable.</w:t>
      </w:r>
    </w:p>
    <w:p>
      <w:pPr>
        <w:spacing w:after="0" w:line="163" w:lineRule="exact"/>
        <w:rPr>
          <w:rFonts w:ascii="Times New Roman" w:cs="Times New Roman" w:eastAsia="Times New Roman" w:hAnsi="Times New Roman"/>
          <w:sz w:val="19"/>
          <w:szCs w:val="19"/>
          <w:color w:val="auto"/>
        </w:rPr>
      </w:pPr>
    </w:p>
    <w:p>
      <w:pPr>
        <w:ind w:left="645" w:firstLine="652"/>
        <w:spacing w:after="0" w:line="222" w:lineRule="auto"/>
        <w:tabs>
          <w:tab w:leader="none" w:pos="1820" w:val="left"/>
        </w:tabs>
        <w:numPr>
          <w:ilvl w:val="2"/>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Grantee hereby consents to receive such documents by electronic delivery and agrees to participate in the Plan through an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20"/>
          <w:szCs w:val="20"/>
          <w:color w:val="auto"/>
        </w:rPr>
      </w:pPr>
    </w:p>
    <w:p>
      <w:pPr>
        <w:jc w:val="both"/>
        <w:ind w:left="645" w:right="360" w:hanging="645"/>
        <w:spacing w:after="0" w:line="222" w:lineRule="auto"/>
        <w:tabs>
          <w:tab w:leader="none" w:pos="63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Grantee’s participation in the Plan or the Grantee’s acquisition of any shares of Stock under the Plan or subsequent sale of such shares of Stock. The Grantee should consult with the Grantee’s personal tax, legal and financial advisors regarding the Grantee’s participation in the Plan before taking any action in relation thereto.</w:t>
      </w:r>
    </w:p>
    <w:p>
      <w:pPr>
        <w:sectPr>
          <w:pgSz w:w="11900" w:h="16838" w:orient="portrait"/>
          <w:cols w:equalWidth="0" w:num="1">
            <w:col w:w="11105"/>
          </w:cols>
          <w:pgMar w:left="435" w:top="940" w:right="359" w:bottom="1440" w:gutter="0" w:footer="0" w:header="0"/>
        </w:sectPr>
      </w:pPr>
    </w:p>
    <w:bookmarkStart w:id="196" w:name="page197"/>
    <w:bookmarkEnd w:id="196"/>
    <w:p>
      <w:pPr>
        <w:ind w:left="645" w:hanging="645"/>
        <w:spacing w:after="0" w:line="212" w:lineRule="auto"/>
        <w:tabs>
          <w:tab w:leader="none" w:pos="62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Grantee acknowledges that he or she may be subject to insider trading restrictions and/or market abuse laws which may affect the Grantee’s ability to accept, acquire, sell or otherwise dispose of shares of Stock, rights to shares of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Award) or rights linked to the value of Stock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Grantee acknowledges that it is the Grantee’s responsibility to comply with any applicable insider trading restrictions and/or market abuse laws, and the Grantee should speak to his or her personal advisor on this matter.</w:t>
      </w:r>
    </w:p>
    <w:p>
      <w:pPr>
        <w:sectPr>
          <w:pgSz w:w="11900" w:h="16838" w:orient="portrait"/>
          <w:cols w:equalWidth="0" w:num="1">
            <w:col w:w="11025"/>
          </w:cols>
          <w:pgMar w:left="435" w:top="940" w:right="439" w:bottom="1440" w:gutter="0" w:footer="0" w:header="0"/>
        </w:sectPr>
      </w:pPr>
    </w:p>
    <w:bookmarkStart w:id="197" w:name="page198"/>
    <w:bookmarkEnd w:id="197"/>
    <w:p>
      <w:pPr>
        <w:jc w:val="center"/>
        <w:ind w:right="75"/>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ind w:left="2005"/>
        <w:spacing w:after="0"/>
        <w:rPr>
          <w:sz w:val="20"/>
          <w:szCs w:val="20"/>
          <w:color w:val="auto"/>
        </w:rPr>
      </w:pPr>
      <w:r>
        <w:rPr>
          <w:rFonts w:ascii="Times New Roman" w:cs="Times New Roman" w:eastAsia="Times New Roman" w:hAnsi="Times New Roman"/>
          <w:sz w:val="20"/>
          <w:szCs w:val="20"/>
          <w:b w:val="1"/>
          <w:bCs w:val="1"/>
          <w:color w:val="auto"/>
        </w:rPr>
        <w:t>TO THE TERMS AND CONDITIONS OF RESTRICTED STOCK UNIT AWARD</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0"/>
          <w:szCs w:val="20"/>
          <w:b w:val="1"/>
          <w:bCs w:val="1"/>
          <w:u w:val="single" w:color="auto"/>
          <w:color w:val="auto"/>
        </w:rPr>
        <w:t>General Additional Terms Applicable to Awards Held by Grantees Outside the U.S.</w:t>
      </w:r>
    </w:p>
    <w:p>
      <w:pPr>
        <w:spacing w:after="0" w:line="297" w:lineRule="exact"/>
        <w:rPr>
          <w:sz w:val="20"/>
          <w:szCs w:val="20"/>
          <w:color w:val="auto"/>
        </w:rPr>
      </w:pPr>
    </w:p>
    <w:p>
      <w:pPr>
        <w:ind w:left="645" w:hanging="645"/>
        <w:spacing w:after="0"/>
        <w:tabs>
          <w:tab w:leader="none" w:pos="64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color w:val="auto"/>
        </w:rPr>
      </w:pPr>
    </w:p>
    <w:p>
      <w:pPr>
        <w:ind w:left="645" w:right="20" w:firstLine="652"/>
        <w:spacing w:after="0" w:line="209" w:lineRule="auto"/>
        <w:tabs>
          <w:tab w:leader="none" w:pos="1823"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and the Employer collect, process and use certain personal information about the Grantee, including, but not limited to, the Grantee’s name, home address and telephone number, email address, date of birth, social insurance, passport or other identification number, salary, nationality, job title, any shares of Stock or directorships held in the Company, details of all Awards under the Plan or any other entitlement to shares of Stock or equivalent benefits awarded, canceled, exercised, vested, unvested or outstanding in the Grantee favor (“Data”), for the legitimate purpose of implementing, administering and managing the Grantee’s participation in the Plan. The legal basis, where required, for the processing of Data by the Company and the third-party service providers described below is the Grantee’s consent.</w:t>
      </w:r>
    </w:p>
    <w:p>
      <w:pPr>
        <w:spacing w:after="0" w:line="3" w:lineRule="exact"/>
        <w:rPr>
          <w:rFonts w:ascii="Times New Roman" w:cs="Times New Roman" w:eastAsia="Times New Roman" w:hAnsi="Times New Roman"/>
          <w:sz w:val="20"/>
          <w:szCs w:val="20"/>
          <w:color w:val="auto"/>
        </w:rPr>
      </w:pPr>
    </w:p>
    <w:p>
      <w:pPr>
        <w:ind w:left="645" w:firstLine="652"/>
        <w:spacing w:after="0" w:line="212" w:lineRule="auto"/>
        <w:tabs>
          <w:tab w:leader="none" w:pos="18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Computershare and certain of its affiliated companies (collectively, “Computershare”), an independent service provider based in the United States, which assists the Company with the implementation, administration and management of the Plan. The Grantee acknowledges and understands that Computershare will open an account for the Grantee to receive and trade shares of Stock acquired under the Plan and that the Grantee will be asked to agree on separate terms and data processing practices with Computershare, with such agreement being a condition to the ability to participate in the Plan. The legal basis, where required, for the transfer of Data by the Company to Computershare is the Grantee’s consent.</w:t>
      </w:r>
    </w:p>
    <w:p>
      <w:pPr>
        <w:spacing w:after="0" w:line="185" w:lineRule="exact"/>
        <w:rPr>
          <w:rFonts w:ascii="Times New Roman" w:cs="Times New Roman" w:eastAsia="Times New Roman" w:hAnsi="Times New Roman"/>
          <w:sz w:val="20"/>
          <w:szCs w:val="20"/>
          <w:color w:val="auto"/>
        </w:rPr>
      </w:pPr>
    </w:p>
    <w:p>
      <w:pPr>
        <w:ind w:left="645" w:right="180" w:firstLine="652"/>
        <w:spacing w:after="0" w:line="217" w:lineRule="auto"/>
        <w:tabs>
          <w:tab w:leader="none" w:pos="1823"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is based in the United States. The Grantee’s country or jurisdiction may have different data privacy laws and protections than the United States. As a result, in the absence of appropriate safeguards such as standard data protection clauses, the processing of the Grantee’s Data in the United States or, as the case may be, other countries might not be subject to substantive data processing principles or supervision by data protection authorities. In addition, the Grantee might not have enforceable rights regarding the processing of the Grantee’s Data in such countries. The Company’s legal basis, where required, for the transfer of Data is the Grantee’s consent.</w:t>
      </w:r>
    </w:p>
    <w:p>
      <w:pPr>
        <w:spacing w:after="0" w:line="183" w:lineRule="exact"/>
        <w:rPr>
          <w:rFonts w:ascii="Times New Roman" w:cs="Times New Roman" w:eastAsia="Times New Roman" w:hAnsi="Times New Roman"/>
          <w:sz w:val="20"/>
          <w:szCs w:val="20"/>
          <w:color w:val="auto"/>
        </w:rPr>
      </w:pPr>
    </w:p>
    <w:p>
      <w:pPr>
        <w:ind w:left="645" w:right="60" w:firstLine="652"/>
        <w:spacing w:after="0" w:line="223" w:lineRule="auto"/>
        <w:tabs>
          <w:tab w:leader="none" w:pos="182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the Grantee’s participation in the Plan, or as required to comply with applicable law, exercise or defense of legal rights, and archiving, back-up and deletion processes. This means Data may be held even after the Grantee’s employment or service is terminated.</w:t>
      </w:r>
    </w:p>
    <w:p>
      <w:pPr>
        <w:spacing w:after="0" w:line="184" w:lineRule="exact"/>
        <w:rPr>
          <w:rFonts w:ascii="Times New Roman" w:cs="Times New Roman" w:eastAsia="Times New Roman" w:hAnsi="Times New Roman"/>
          <w:sz w:val="20"/>
          <w:szCs w:val="20"/>
          <w:color w:val="auto"/>
        </w:rPr>
      </w:pPr>
    </w:p>
    <w:p>
      <w:pPr>
        <w:ind w:left="645" w:firstLine="652"/>
        <w:spacing w:after="0" w:line="217" w:lineRule="auto"/>
        <w:tabs>
          <w:tab w:leader="none" w:pos="1823"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the Grantee is providing any consents herein on a purely voluntary basis. The Grantee understands that the Grantee may withdraw his or her consent at any time with future effect for any or no reason. If the Grantee does not consent, or if the Grantee later seeks to revoke his or her consent, the Grantee’s Service with the Employer will not be affected; the only consequence of refusing or withdrawing the Grantee’s consent is that the Company would not be able to grant the Awards under the Plan or other equity awards to the Grantee or administer or maintain the Grantee’s participation in the Plan.</w:t>
      </w:r>
    </w:p>
    <w:p>
      <w:pPr>
        <w:spacing w:after="0" w:line="183" w:lineRule="exact"/>
        <w:rPr>
          <w:rFonts w:ascii="Times New Roman" w:cs="Times New Roman" w:eastAsia="Times New Roman" w:hAnsi="Times New Roman"/>
          <w:sz w:val="20"/>
          <w:szCs w:val="20"/>
          <w:color w:val="auto"/>
        </w:rPr>
      </w:pPr>
    </w:p>
    <w:p>
      <w:pPr>
        <w:ind w:left="645" w:right="120" w:firstLine="652"/>
        <w:spacing w:after="0" w:line="217" w:lineRule="auto"/>
        <w:tabs>
          <w:tab w:leader="none" w:pos="1828"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Grantee may have a number of rights under data privacy laws in the Grantee’s jurisdiction. Depending on where the Grantee is based, such rights may include the right to (i) request access or copies of Data the Company processes, (ii) rectification of incorrect Data, (iii) deletion of Data, (iv) restrictions on processing of Data, (v) portability of Data, (vi) lodge complaints with competent authorities in the Grantee’s jurisdiction, and/or (vii) receive a list with the names and addresses of any potential recipients of Data. To receive clarification regarding these rights or to exercise these rights, the Grantee can contact his or her local human resources representative.</w:t>
      </w:r>
    </w:p>
    <w:p>
      <w:pPr>
        <w:sectPr>
          <w:pgSz w:w="11900" w:h="16838" w:orient="portrait"/>
          <w:cols w:equalWidth="0" w:num="1">
            <w:col w:w="11105"/>
          </w:cols>
          <w:pgMar w:left="435" w:top="1004" w:right="359" w:bottom="1440" w:gutter="0" w:footer="0" w:header="0"/>
        </w:sectPr>
      </w:pPr>
    </w:p>
    <w:bookmarkStart w:id="198" w:name="page199"/>
    <w:bookmarkEnd w:id="198"/>
    <w:p>
      <w:pPr>
        <w:ind w:left="645" w:right="320" w:hanging="645"/>
        <w:spacing w:after="0"/>
        <w:tabs>
          <w:tab w:leader="none" w:pos="6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entering into this Agreement and accepting the grant of Units evidenced hereby, the Grantee acknowledges, understands and agrees that:</w:t>
      </w:r>
    </w:p>
    <w:p>
      <w:pPr>
        <w:spacing w:after="0" w:line="188" w:lineRule="exact"/>
        <w:rPr>
          <w:rFonts w:ascii="Times New Roman" w:cs="Times New Roman" w:eastAsia="Times New Roman" w:hAnsi="Times New Roman"/>
          <w:sz w:val="20"/>
          <w:szCs w:val="20"/>
          <w:color w:val="auto"/>
        </w:rPr>
      </w:pPr>
    </w:p>
    <w:p>
      <w:pPr>
        <w:ind w:left="625" w:firstLine="613"/>
        <w:spacing w:after="0" w:line="233" w:lineRule="auto"/>
        <w:tabs>
          <w:tab w:leader="none" w:pos="1838"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terminated, suspended or amended by the Company at any time, to the extent permitted by the Plan.</w:t>
      </w:r>
    </w:p>
    <w:p>
      <w:pPr>
        <w:spacing w:after="0" w:line="187" w:lineRule="exact"/>
        <w:rPr>
          <w:rFonts w:ascii="Times New Roman" w:cs="Times New Roman" w:eastAsia="Times New Roman" w:hAnsi="Times New Roman"/>
          <w:sz w:val="20"/>
          <w:szCs w:val="20"/>
          <w:color w:val="auto"/>
        </w:rPr>
      </w:pPr>
    </w:p>
    <w:p>
      <w:pPr>
        <w:ind w:left="625" w:right="540" w:firstLine="613"/>
        <w:spacing w:after="0"/>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is exceptional, voluntary and occasional and does not create any contractual or other right to receive future awards of Units or benefits in lieu of Units, even if such awards have been awarded in the past.</w:t>
      </w:r>
    </w:p>
    <w:p>
      <w:pPr>
        <w:spacing w:after="0" w:line="174" w:lineRule="exact"/>
        <w:rPr>
          <w:rFonts w:ascii="Times New Roman" w:cs="Times New Roman" w:eastAsia="Times New Roman" w:hAnsi="Times New Roman"/>
          <w:sz w:val="20"/>
          <w:szCs w:val="20"/>
          <w:color w:val="auto"/>
        </w:rPr>
      </w:pPr>
    </w:p>
    <w:p>
      <w:pPr>
        <w:ind w:left="1845" w:hanging="607"/>
        <w:spacing w:after="0"/>
        <w:tabs>
          <w:tab w:leader="none" w:pos="184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awards,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625" w:right="20" w:firstLine="613"/>
        <w:spacing w:after="0" w:line="226" w:lineRule="auto"/>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shall not create a right to Service or be interpreted as forming an employment or service contract with the Company or any other Subsidiary and shall not interfere with the ability of the Employer to terminate the Grantee’s Service relationship (if any) at any time.</w:t>
      </w:r>
    </w:p>
    <w:p>
      <w:pPr>
        <w:spacing w:after="0" w:line="187" w:lineRule="exact"/>
        <w:rPr>
          <w:rFonts w:ascii="Times New Roman" w:cs="Times New Roman" w:eastAsia="Times New Roman" w:hAnsi="Times New Roman"/>
          <w:sz w:val="20"/>
          <w:szCs w:val="20"/>
          <w:color w:val="auto"/>
        </w:rPr>
      </w:pPr>
    </w:p>
    <w:p>
      <w:pPr>
        <w:ind w:left="1845" w:hanging="607"/>
        <w:spacing w:after="0"/>
        <w:tabs>
          <w:tab w:leader="none" w:pos="184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voluntarily participating in the Plan.</w:t>
      </w:r>
    </w:p>
    <w:p>
      <w:pPr>
        <w:spacing w:after="0" w:line="215" w:lineRule="exact"/>
        <w:rPr>
          <w:rFonts w:ascii="Times New Roman" w:cs="Times New Roman" w:eastAsia="Times New Roman" w:hAnsi="Times New Roman"/>
          <w:sz w:val="20"/>
          <w:szCs w:val="20"/>
          <w:color w:val="auto"/>
        </w:rPr>
      </w:pPr>
    </w:p>
    <w:p>
      <w:pPr>
        <w:ind w:left="625" w:right="240" w:firstLine="613"/>
        <w:spacing w:after="0" w:line="222" w:lineRule="auto"/>
        <w:tabs>
          <w:tab w:leader="none" w:pos="1829"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and any payment made pursuant to the Units, and the income from and value of same, are not part of normal or expected compensation or salary for any purposes, including, but not limited to, calculating any severance, resignation, termination, redundancy, dismissal, end-of-service payments, bonuses, holiday pay, long-service awards, leave-related payments, pension or retirement benefits or welfare benefits or similar payments;</w:t>
      </w:r>
    </w:p>
    <w:p>
      <w:pPr>
        <w:spacing w:after="0" w:line="188" w:lineRule="exact"/>
        <w:rPr>
          <w:rFonts w:ascii="Times New Roman" w:cs="Times New Roman" w:eastAsia="Times New Roman" w:hAnsi="Times New Roman"/>
          <w:sz w:val="20"/>
          <w:szCs w:val="20"/>
          <w:color w:val="auto"/>
        </w:rPr>
      </w:pPr>
    </w:p>
    <w:p>
      <w:pPr>
        <w:ind w:left="625" w:right="360" w:firstLine="613"/>
        <w:spacing w:after="0" w:line="226" w:lineRule="auto"/>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Award and any shares of Stock subject to the Award, and income from and value of same, are not granted as consideration for, or in connection with, any service the Grantee may provide as a director of any Subsidiary.</w:t>
      </w:r>
    </w:p>
    <w:p>
      <w:pPr>
        <w:spacing w:after="0" w:line="187" w:lineRule="exact"/>
        <w:rPr>
          <w:rFonts w:ascii="Times New Roman" w:cs="Times New Roman" w:eastAsia="Times New Roman" w:hAnsi="Times New Roman"/>
          <w:sz w:val="20"/>
          <w:szCs w:val="20"/>
          <w:color w:val="auto"/>
        </w:rPr>
      </w:pPr>
    </w:p>
    <w:p>
      <w:pPr>
        <w:ind w:left="625" w:right="1000" w:firstLine="613"/>
        <w:spacing w:after="0"/>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of Stock which may be delivered in settlement of vested Units is unknown, indeterminable and cannot be predicted with certainty.</w:t>
      </w:r>
    </w:p>
    <w:p>
      <w:pPr>
        <w:spacing w:after="0" w:line="188" w:lineRule="exact"/>
        <w:rPr>
          <w:rFonts w:ascii="Times New Roman" w:cs="Times New Roman" w:eastAsia="Times New Roman" w:hAnsi="Times New Roman"/>
          <w:sz w:val="20"/>
          <w:szCs w:val="20"/>
          <w:color w:val="auto"/>
        </w:rPr>
      </w:pPr>
    </w:p>
    <w:p>
      <w:pPr>
        <w:ind w:left="625" w:right="300" w:firstLine="613"/>
        <w:spacing w:after="0" w:line="220" w:lineRule="auto"/>
        <w:tabs>
          <w:tab w:leader="none" w:pos="183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Units resulting from the Grantee’s Separation from Service (for any reason whatsoever, whether or not such termination is later found to be invalid or in breach of applicable laws in the jurisdiction where the Grantee is employed or the terms of the Grantee’s employment or service agreement, if any) or recoupment of all or any portion of any payment made pursuant to the Units as provided by the Company’s Compensation Recoupment Policy;</w:t>
      </w:r>
    </w:p>
    <w:p>
      <w:pPr>
        <w:spacing w:after="0" w:line="174" w:lineRule="exact"/>
        <w:rPr>
          <w:rFonts w:ascii="Times New Roman" w:cs="Times New Roman" w:eastAsia="Times New Roman" w:hAnsi="Times New Roman"/>
          <w:sz w:val="20"/>
          <w:szCs w:val="20"/>
          <w:color w:val="auto"/>
        </w:rPr>
      </w:pPr>
    </w:p>
    <w:p>
      <w:pPr>
        <w:ind w:left="625" w:firstLine="613"/>
        <w:spacing w:after="0" w:line="211" w:lineRule="auto"/>
        <w:tabs>
          <w:tab w:leader="none" w:pos="183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Units, the date of the Grantee’s Separation from Service (for any reason whatsoever, whether or not such termination is later found to be invalid or in breach of applicable laws in the jurisdiction where the Grantee is employed or the terms of the Grantee’s employment or service agreement, if any) will be deemed to occur as of the date the Grantee is no longer actively providing Service to the Company or any of its Subsidiaries, and unless otherwise expressly provided in this Agreement or otherwise determined by the Company, the Grantee’s right to vest in any portion of the Units (and any related dividend equivalents)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Grantee’s active employment or period of service would not include any contractual notice period or any period of “garden leave” or similar period mandated under applicable laws in the jurisdiction where the Grantee is employed or the terms of the Grantee’s employment or service agreement, if any). For the avoidance of doubt, actively providing Service during only a portion of the vesting period prior to a vesting date shall not entitle the Grantee to vest in a pro-rata portion of the unvested Units that would have vested as of such vesting date, nor will it entitle the Grantee to any compensation for lost vesting. The Company, in its sole discretion, shall determine when the Grantee is no longer actively providing Service for purposes of the Units (including whether the Grantee may still be considered to be actively providing Service while on an approved leave of absence).</w:t>
      </w:r>
    </w:p>
    <w:p>
      <w:pPr>
        <w:spacing w:after="0" w:line="193" w:lineRule="exact"/>
        <w:rPr>
          <w:rFonts w:ascii="Times New Roman" w:cs="Times New Roman" w:eastAsia="Times New Roman" w:hAnsi="Times New Roman"/>
          <w:sz w:val="20"/>
          <w:szCs w:val="20"/>
          <w:color w:val="auto"/>
        </w:rPr>
      </w:pPr>
    </w:p>
    <w:p>
      <w:pPr>
        <w:ind w:left="625" w:right="80" w:firstLine="613"/>
        <w:spacing w:after="0" w:line="226" w:lineRule="auto"/>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Stock; and</w:t>
      </w:r>
    </w:p>
    <w:p>
      <w:pPr>
        <w:sectPr>
          <w:pgSz w:w="11900" w:h="16838" w:orient="portrait"/>
          <w:cols w:equalWidth="0" w:num="1">
            <w:col w:w="11105"/>
          </w:cols>
          <w:pgMar w:left="435" w:top="940" w:right="359" w:bottom="1440" w:gutter="0" w:footer="0" w:header="0"/>
        </w:sectPr>
      </w:pPr>
    </w:p>
    <w:bookmarkStart w:id="199" w:name="page200"/>
    <w:bookmarkEnd w:id="199"/>
    <w:p>
      <w:pPr>
        <w:ind w:left="625" w:right="280" w:firstLine="613"/>
        <w:spacing w:after="0" w:line="230" w:lineRule="auto"/>
        <w:tabs>
          <w:tab w:leader="none" w:pos="183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shall be liable for any foreign exchange rate fluctuation between the Grantee’s local currency and the United States Dollar that may affect the value of the Units, any payment made pursuant to the Units or the subsequent sale of any shares of Stock acquired under the Plan.</w:t>
      </w:r>
    </w:p>
    <w:p>
      <w:pPr>
        <w:spacing w:after="0" w:line="175" w:lineRule="exact"/>
        <w:rPr>
          <w:rFonts w:ascii="Times New Roman" w:cs="Times New Roman" w:eastAsia="Times New Roman" w:hAnsi="Times New Roman"/>
          <w:sz w:val="20"/>
          <w:szCs w:val="20"/>
          <w:color w:val="auto"/>
        </w:rPr>
      </w:pPr>
    </w:p>
    <w:p>
      <w:pPr>
        <w:ind w:left="645" w:hanging="645"/>
        <w:spacing w:after="0" w:line="220" w:lineRule="auto"/>
        <w:tabs>
          <w:tab w:leader="none" w:pos="6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Grantee acknowledges and represents that the Grantee is proficient in the English language or has consulted with an advisor who is sufficiently proficient in English, as to allow the Grantee to understand the terms of this Agreement and any other documents related to the Plan. If the Grantee has received this Agreement or any other document related to the Plan translated into a language other than English and if the meaning of the translated version differs from the English version, the English version shall control.</w:t>
      </w:r>
    </w:p>
    <w:p>
      <w:pPr>
        <w:spacing w:after="0" w:line="187" w:lineRule="exact"/>
        <w:rPr>
          <w:rFonts w:ascii="Times New Roman" w:cs="Times New Roman" w:eastAsia="Times New Roman" w:hAnsi="Times New Roman"/>
          <w:sz w:val="20"/>
          <w:szCs w:val="20"/>
          <w:color w:val="auto"/>
        </w:rPr>
      </w:pPr>
    </w:p>
    <w:p>
      <w:pPr>
        <w:ind w:left="645" w:right="80" w:hanging="645"/>
        <w:spacing w:after="0" w:line="213" w:lineRule="auto"/>
        <w:tabs>
          <w:tab w:leader="none" w:pos="64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Grantee may be subject to certain foreign asset and/or account reporting requirements and/or exchange controls which may affect the Grantee’s ability to acquire or hold shares of Stock acquired under the Plan or cash received from participating in the Plan (including from any dividend equivalents or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further acknowledges that it is the Grantee’s responsibility to comply with such regulations and that the Grantee should consult the Grantee’s personal legal advisor for any details.</w:t>
      </w:r>
    </w:p>
    <w:p>
      <w:pPr>
        <w:sectPr>
          <w:pgSz w:w="11900" w:h="16838" w:orient="portrait"/>
          <w:cols w:equalWidth="0" w:num="1">
            <w:col w:w="11125"/>
          </w:cols>
          <w:pgMar w:left="435" w:top="1183" w:right="339" w:bottom="1440" w:gutter="0" w:footer="0" w:header="0"/>
        </w:sectPr>
      </w:pPr>
    </w:p>
    <w:bookmarkStart w:id="200" w:name="page201"/>
    <w:bookmarkEnd w:id="200"/>
    <w:p>
      <w:pPr>
        <w:spacing w:after="0" w:line="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16" w:lineRule="exact"/>
        <w:rPr>
          <w:sz w:val="20"/>
          <w:szCs w:val="20"/>
          <w:color w:val="auto"/>
        </w:rPr>
      </w:pPr>
    </w:p>
    <w:p>
      <w:pPr>
        <w:ind w:right="2100" w:firstLine="2023"/>
        <w:spacing w:after="0" w:line="467" w:lineRule="auto"/>
        <w:rPr>
          <w:sz w:val="20"/>
          <w:szCs w:val="20"/>
          <w:color w:val="auto"/>
        </w:rPr>
      </w:pPr>
      <w:r>
        <w:rPr>
          <w:rFonts w:ascii="Times New Roman" w:cs="Times New Roman" w:eastAsia="Times New Roman" w:hAnsi="Times New Roman"/>
          <w:sz w:val="20"/>
          <w:szCs w:val="20"/>
          <w:b w:val="1"/>
          <w:bCs w:val="1"/>
          <w:color w:val="auto"/>
        </w:rPr>
        <w:t xml:space="preserve">TO THE TERMS AND CONDITIONS OF RESTRICTED STOCK UNIT AWARD </w:t>
      </w:r>
      <w:r>
        <w:rPr>
          <w:rFonts w:ascii="Times New Roman" w:cs="Times New Roman" w:eastAsia="Times New Roman" w:hAnsi="Times New Roman"/>
          <w:sz w:val="20"/>
          <w:szCs w:val="20"/>
          <w:b w:val="1"/>
          <w:bCs w:val="1"/>
          <w:u w:val="single" w:color="auto"/>
          <w:color w:val="auto"/>
        </w:rPr>
        <w:t>Country-Specific Additional Terms Applicable to Awards Held by Grantees Outside the U.S.</w:t>
      </w:r>
    </w:p>
    <w:p>
      <w:pPr>
        <w:spacing w:after="0"/>
        <w:rPr>
          <w:sz w:val="20"/>
          <w:szCs w:val="20"/>
          <w:color w:val="auto"/>
        </w:rPr>
      </w:pPr>
      <w:r>
        <w:rPr>
          <w:rFonts w:ascii="Times New Roman" w:cs="Times New Roman" w:eastAsia="Times New Roman" w:hAnsi="Times New Roman"/>
          <w:sz w:val="20"/>
          <w:szCs w:val="20"/>
          <w:color w:val="auto"/>
        </w:rPr>
        <w:t>Capitalized terms used but not otherwise defined herein shall have the meaning given to such terms in the Plan and/or this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Appendix B includes additional terms and conditions that govern the Grantee’s participation in the Plan if the Grantee resides and/or</w:t>
      </w:r>
    </w:p>
    <w:p>
      <w:pPr>
        <w:ind w:right="580"/>
        <w:spacing w:after="0" w:line="215" w:lineRule="auto"/>
        <w:rPr>
          <w:sz w:val="20"/>
          <w:szCs w:val="20"/>
          <w:color w:val="auto"/>
        </w:rPr>
      </w:pPr>
      <w:r>
        <w:rPr>
          <w:rFonts w:ascii="Times New Roman" w:cs="Times New Roman" w:eastAsia="Times New Roman" w:hAnsi="Times New Roman"/>
          <w:sz w:val="19"/>
          <w:szCs w:val="19"/>
          <w:color w:val="auto"/>
        </w:rPr>
        <w:t>works in one of the countries listed below. If the Grantee is a citizen or resident of a country other than the one in which he or she is currently residing and/or working (or if the Grantee is considered as such for local law purposes), or if the Grantee moves or transfers</w:t>
      </w:r>
    </w:p>
    <w:p>
      <w:pPr>
        <w:ind w:right="660"/>
        <w:spacing w:after="0" w:line="228" w:lineRule="auto"/>
        <w:rPr>
          <w:sz w:val="20"/>
          <w:szCs w:val="20"/>
          <w:color w:val="auto"/>
        </w:rPr>
      </w:pPr>
      <w:r>
        <w:rPr>
          <w:rFonts w:ascii="Times New Roman" w:cs="Times New Roman" w:eastAsia="Times New Roman" w:hAnsi="Times New Roman"/>
          <w:sz w:val="20"/>
          <w:szCs w:val="20"/>
          <w:color w:val="auto"/>
        </w:rPr>
        <w:t>Service to another country after the Grant Date, the Company will, in its sole discretion, determine the extent to which the terms and conditions herein will be applicable to the Grantee.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ind w:right="400"/>
        <w:spacing w:after="0" w:line="234" w:lineRule="auto"/>
        <w:rPr>
          <w:sz w:val="20"/>
          <w:szCs w:val="20"/>
          <w:color w:val="auto"/>
        </w:rPr>
      </w:pPr>
      <w:r>
        <w:rPr>
          <w:rFonts w:ascii="Times New Roman" w:cs="Times New Roman" w:eastAsia="Times New Roman" w:hAnsi="Times New Roman"/>
          <w:sz w:val="19"/>
          <w:szCs w:val="19"/>
          <w:color w:val="auto"/>
        </w:rPr>
        <w:t>This Appendix B also includes information regarding securities laws, exchange controls and certain other issues of which the Grantee should be aware with respect to the Grantee’s participation in the Plan. The information is based on the securities, exchange control and</w:t>
      </w:r>
    </w:p>
    <w:p>
      <w:pPr>
        <w:spacing w:after="0" w:line="1" w:lineRule="exact"/>
        <w:rPr>
          <w:sz w:val="20"/>
          <w:szCs w:val="20"/>
          <w:color w:val="auto"/>
        </w:rPr>
      </w:pPr>
    </w:p>
    <w:p>
      <w:pPr>
        <w:ind w:right="460"/>
        <w:spacing w:after="0" w:line="215" w:lineRule="auto"/>
        <w:rPr>
          <w:sz w:val="20"/>
          <w:szCs w:val="20"/>
          <w:color w:val="auto"/>
        </w:rPr>
      </w:pPr>
      <w:r>
        <w:rPr>
          <w:rFonts w:ascii="Times New Roman" w:cs="Times New Roman" w:eastAsia="Times New Roman" w:hAnsi="Times New Roman"/>
          <w:sz w:val="19"/>
          <w:szCs w:val="19"/>
          <w:color w:val="auto"/>
        </w:rPr>
        <w:t>other laws in effect in the respective countries as of January 2022. Such laws are often complex and change frequently. As a result, the Company recommends that the Grantee not rely on the information in this Appendix B as the only source of information relating to the</w:t>
      </w:r>
    </w:p>
    <w:p>
      <w:pPr>
        <w:ind w:right="60"/>
        <w:spacing w:after="0" w:line="228" w:lineRule="auto"/>
        <w:rPr>
          <w:sz w:val="20"/>
          <w:szCs w:val="20"/>
          <w:color w:val="auto"/>
        </w:rPr>
      </w:pPr>
      <w:r>
        <w:rPr>
          <w:rFonts w:ascii="Times New Roman" w:cs="Times New Roman" w:eastAsia="Times New Roman" w:hAnsi="Times New Roman"/>
          <w:sz w:val="20"/>
          <w:szCs w:val="20"/>
          <w:color w:val="auto"/>
        </w:rPr>
        <w:t>consequences of the Grantee’s participation in the Plan because the information included herein may be out of date at the time that the Units vest or the Grantee subsequently sells the shares of Stock acquired at vesting.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the Grantee understands that the information contained herein is general in nature and may not apply to the Grantee’s particular</w:t>
      </w:r>
    </w:p>
    <w:p>
      <w:pPr>
        <w:spacing w:after="0" w:line="6" w:lineRule="exact"/>
        <w:rPr>
          <w:sz w:val="20"/>
          <w:szCs w:val="20"/>
          <w:color w:val="auto"/>
        </w:rPr>
      </w:pPr>
    </w:p>
    <w:p>
      <w:pPr>
        <w:jc w:val="both"/>
        <w:ind w:right="40"/>
        <w:spacing w:after="0" w:line="233" w:lineRule="auto"/>
        <w:rPr>
          <w:sz w:val="20"/>
          <w:szCs w:val="20"/>
          <w:color w:val="auto"/>
        </w:rPr>
      </w:pPr>
      <w:r>
        <w:rPr>
          <w:rFonts w:ascii="Times New Roman" w:cs="Times New Roman" w:eastAsia="Times New Roman" w:hAnsi="Times New Roman"/>
          <w:sz w:val="19"/>
          <w:szCs w:val="19"/>
          <w:color w:val="auto"/>
        </w:rPr>
        <w:t>situation and the Company is not in a position to assure the Grantee of any particular result. Accordingly, the Grantee acknowledges that he or she should seek appropriate professional advice as to how the relevant laws in the Grantee’s country may apply to the Grantee’s situation.</w:t>
      </w:r>
    </w:p>
    <w:p>
      <w:pPr>
        <w:spacing w:after="0" w:line="202"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9"/>
          <w:szCs w:val="19"/>
          <w:color w:val="auto"/>
        </w:rPr>
        <w:t>If the Grantee is a citizen or resident of a country other than the one in which the Grantee is currently residing and/or working (or if the Grantee is considered as such for local law purposes), or if the Grantee moves or transfers Service to another country after the Units are</w:t>
      </w:r>
    </w:p>
    <w:p>
      <w:pPr>
        <w:spacing w:after="0"/>
        <w:rPr>
          <w:sz w:val="20"/>
          <w:szCs w:val="20"/>
          <w:color w:val="auto"/>
        </w:rPr>
      </w:pPr>
      <w:r>
        <w:rPr>
          <w:rFonts w:ascii="Times New Roman" w:cs="Times New Roman" w:eastAsia="Times New Roman" w:hAnsi="Times New Roman"/>
          <w:sz w:val="20"/>
          <w:szCs w:val="20"/>
          <w:color w:val="auto"/>
        </w:rPr>
        <w:t>granted, the Grantee understands that the information contained herein may not be applicable to the Grantee in the same manner.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9"/>
          <w:szCs w:val="19"/>
          <w:b w:val="1"/>
          <w:bCs w:val="1"/>
          <w:color w:val="auto"/>
        </w:rPr>
        <w:t>Securities Law Information</w:t>
      </w:r>
      <w:r>
        <w:rPr>
          <w:rFonts w:ascii="Times New Roman" w:cs="Times New Roman" w:eastAsia="Times New Roman" w:hAnsi="Times New Roman"/>
          <w:sz w:val="19"/>
          <w:szCs w:val="19"/>
          <w:color w:val="auto"/>
        </w:rPr>
        <w:t>. This offer of Units is being made under Division 1A, Part 7.12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Corporations Act 2001 (Cth)</w:t>
      </w:r>
      <w:r>
        <w:rPr>
          <w:rFonts w:ascii="Times New Roman" w:cs="Times New Roman" w:eastAsia="Times New Roman" w:hAnsi="Times New Roman"/>
          <w:sz w:val="19"/>
          <w:szCs w:val="19"/>
          <w:color w:val="auto"/>
        </w:rPr>
        <w:t>. Please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note that if the Grantee offers shares of Stock for sale to a person or entity resident in Australia, the offer may be subject to disclosure</w:t>
      </w:r>
    </w:p>
    <w:p>
      <w:pPr>
        <w:spacing w:after="0" w:line="1"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requirements under Australian law. The Grantee should obtain legal advice on applicable disclosure obligations prior to making any such offer.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A$10,000 and international fund</w:t>
      </w:r>
    </w:p>
    <w:p>
      <w:pPr>
        <w:spacing w:after="0" w:line="215" w:lineRule="auto"/>
        <w:rPr>
          <w:sz w:val="20"/>
          <w:szCs w:val="20"/>
          <w:color w:val="auto"/>
        </w:rPr>
      </w:pPr>
      <w:r>
        <w:rPr>
          <w:rFonts w:ascii="Times New Roman" w:cs="Times New Roman" w:eastAsia="Times New Roman" w:hAnsi="Times New Roman"/>
          <w:sz w:val="19"/>
          <w:szCs w:val="19"/>
          <w:color w:val="auto"/>
        </w:rPr>
        <w:t>transfers. The Australian bank assisting with the transaction may file the report for the Grantee. If there is no Australian bank involved in the transfer, the Grantee will have to file the report. The Grantee should consult with his or her personal advisor to ensure that the Grantee is</w:t>
      </w:r>
    </w:p>
    <w:p>
      <w:pPr>
        <w:spacing w:after="0"/>
        <w:rPr>
          <w:sz w:val="20"/>
          <w:szCs w:val="20"/>
          <w:color w:val="auto"/>
        </w:rPr>
      </w:pPr>
      <w:r>
        <w:rPr>
          <w:rFonts w:ascii="Times New Roman" w:cs="Times New Roman" w:eastAsia="Times New Roman" w:hAnsi="Times New Roman"/>
          <w:sz w:val="20"/>
          <w:szCs w:val="20"/>
          <w:color w:val="auto"/>
        </w:rPr>
        <w:t>properly complying with applicable reporting requirements in Australia.</w:t>
      </w:r>
    </w:p>
    <w:p>
      <w:pPr>
        <w:spacing w:after="0" w:line="200" w:lineRule="exact"/>
        <w:rPr>
          <w:sz w:val="20"/>
          <w:szCs w:val="20"/>
          <w:color w:val="auto"/>
        </w:rPr>
      </w:pPr>
    </w:p>
    <w:p>
      <w:pPr>
        <w:spacing w:after="0" w:line="233"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0"/>
          <w:szCs w:val="20"/>
          <w:b w:val="1"/>
          <w:bCs w:val="1"/>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the Act).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BELGIUM</w:t>
      </w:r>
    </w:p>
    <w:p>
      <w:pPr>
        <w:sectPr>
          <w:pgSz w:w="11900" w:h="16838" w:orient="portrait"/>
          <w:cols w:equalWidth="0" w:num="1">
            <w:col w:w="11160"/>
          </w:cols>
          <w:pgMar w:left="400" w:top="1440" w:right="339" w:bottom="1440" w:gutter="0" w:footer="0" w:header="0"/>
        </w:sectPr>
      </w:pPr>
    </w:p>
    <w:bookmarkStart w:id="201" w:name="page202"/>
    <w:bookmarkEnd w:id="201"/>
    <w:p>
      <w:pPr>
        <w:spacing w:after="0" w:line="3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Foreign Asset/Account Reporting Information</w:t>
      </w:r>
      <w:r>
        <w:rPr>
          <w:rFonts w:ascii="Times New Roman" w:cs="Times New Roman" w:eastAsia="Times New Roman" w:hAnsi="Times New Roman"/>
          <w:sz w:val="20"/>
          <w:szCs w:val="20"/>
          <w:color w:val="auto"/>
        </w:rPr>
        <w:t>. Belgian residents are required to report any securities accounts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those related to</w:t>
      </w:r>
    </w:p>
    <w:p>
      <w:pPr>
        <w:ind w:left="80" w:right="80"/>
        <w:spacing w:after="0" w:line="215" w:lineRule="auto"/>
        <w:rPr>
          <w:sz w:val="20"/>
          <w:szCs w:val="20"/>
          <w:color w:val="auto"/>
        </w:rPr>
      </w:pPr>
      <w:r>
        <w:rPr>
          <w:rFonts w:ascii="Times New Roman" w:cs="Times New Roman" w:eastAsia="Times New Roman" w:hAnsi="Times New Roman"/>
          <w:sz w:val="19"/>
          <w:szCs w:val="19"/>
          <w:color w:val="auto"/>
        </w:rPr>
        <w:t>shares of Stock acquired under the Plan) or bank accounts (including brokerage accounts) maintained outside Belgium on their annual tax return. In a separate report, they must provide the National Bank of Belgium with certain details regarding such foreign accounts (including</w:t>
      </w:r>
    </w:p>
    <w:p>
      <w:pPr>
        <w:ind w:left="80"/>
        <w:spacing w:after="0" w:line="211" w:lineRule="auto"/>
        <w:rPr>
          <w:sz w:val="20"/>
          <w:szCs w:val="20"/>
          <w:color w:val="auto"/>
        </w:rPr>
      </w:pPr>
      <w:r>
        <w:rPr>
          <w:rFonts w:ascii="Times New Roman" w:cs="Times New Roman" w:eastAsia="Times New Roman" w:hAnsi="Times New Roman"/>
          <w:sz w:val="20"/>
          <w:szCs w:val="20"/>
          <w:color w:val="auto"/>
        </w:rPr>
        <w:t>the account number, bank name and country in which any such account was opened). The forms to complete this report are available at the</w:t>
      </w:r>
    </w:p>
    <w:p>
      <w:pPr>
        <w:ind w:left="80" w:right="440"/>
        <w:spacing w:after="0" w:line="221" w:lineRule="auto"/>
        <w:rPr>
          <w:sz w:val="20"/>
          <w:szCs w:val="20"/>
          <w:color w:val="auto"/>
        </w:rPr>
      </w:pPr>
      <w:r>
        <w:rPr>
          <w:rFonts w:ascii="Times New Roman" w:cs="Times New Roman" w:eastAsia="Times New Roman" w:hAnsi="Times New Roman"/>
          <w:sz w:val="20"/>
          <w:szCs w:val="20"/>
          <w:color w:val="auto"/>
        </w:rPr>
        <w:t>website of the National Bank of Belgium. Belgian residents should consult with their personal tax advisors to determine their reporting obligations.</w:t>
      </w:r>
    </w:p>
    <w:p>
      <w:pPr>
        <w:spacing w:after="0" w:line="198" w:lineRule="exact"/>
        <w:rPr>
          <w:sz w:val="20"/>
          <w:szCs w:val="20"/>
          <w:color w:val="auto"/>
        </w:rPr>
      </w:pPr>
    </w:p>
    <w:p>
      <w:pPr>
        <w:ind w:left="80" w:right="48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Stock Exchange Tax. </w:t>
      </w:r>
      <w:r>
        <w:rPr>
          <w:rFonts w:ascii="Times New Roman" w:cs="Times New Roman" w:eastAsia="Times New Roman" w:hAnsi="Times New Roman"/>
          <w:sz w:val="19"/>
          <w:szCs w:val="19"/>
          <w:color w:val="auto"/>
        </w:rPr>
        <w:t>A stock exchange tax applies to transactions executed by a Belgian resident through a non-Belgian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intermediary, such as a U.S. broker. The stock exchange tax may apply when shares of Stock acquired under the Plan are sold. Belgian</w:t>
      </w:r>
    </w:p>
    <w:p>
      <w:pPr>
        <w:spacing w:after="0" w:line="1" w:lineRule="exact"/>
        <w:rPr>
          <w:sz w:val="20"/>
          <w:szCs w:val="20"/>
          <w:color w:val="auto"/>
        </w:rPr>
      </w:pPr>
    </w:p>
    <w:p>
      <w:pPr>
        <w:ind w:left="80" w:right="40"/>
        <w:spacing w:after="0" w:line="228" w:lineRule="auto"/>
        <w:rPr>
          <w:sz w:val="20"/>
          <w:szCs w:val="20"/>
          <w:color w:val="auto"/>
        </w:rPr>
      </w:pPr>
      <w:r>
        <w:rPr>
          <w:rFonts w:ascii="Times New Roman" w:cs="Times New Roman" w:eastAsia="Times New Roman" w:hAnsi="Times New Roman"/>
          <w:sz w:val="20"/>
          <w:szCs w:val="20"/>
          <w:color w:val="auto"/>
        </w:rPr>
        <w:t>residents should consult with a personal tax or financial advisor for additional details on their obligations with respect to the stock exchange tax.</w:t>
      </w:r>
    </w:p>
    <w:p>
      <w:pPr>
        <w:spacing w:after="0" w:line="172"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Annual Securities Accounts Tax. </w:t>
      </w:r>
      <w:r>
        <w:rPr>
          <w:rFonts w:ascii="Times New Roman" w:cs="Times New Roman" w:eastAsia="Times New Roman" w:hAnsi="Times New Roman"/>
          <w:sz w:val="19"/>
          <w:szCs w:val="19"/>
          <w:color w:val="auto"/>
        </w:rPr>
        <w:t>An annual securities accounts tax may be payable if the total value of securities held in a Belgian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foreign securities account (e.g., shares of Stock) exceeds a certain threshold on four reference dates within the relevant reporting period (i.e.,</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December 31, March 31, June 30 and September 30). Different payment obligations may apply, depending on whether the securities account is held with a Belgian or foreign financial institution. The Grantee should consult with his or her personal tax or financial advisor for</w:t>
      </w:r>
    </w:p>
    <w:p>
      <w:pPr>
        <w:ind w:left="80"/>
        <w:spacing w:after="0"/>
        <w:rPr>
          <w:sz w:val="20"/>
          <w:szCs w:val="20"/>
          <w:color w:val="auto"/>
        </w:rPr>
      </w:pPr>
      <w:r>
        <w:rPr>
          <w:rFonts w:ascii="Times New Roman" w:cs="Times New Roman" w:eastAsia="Times New Roman" w:hAnsi="Times New Roman"/>
          <w:sz w:val="20"/>
          <w:szCs w:val="20"/>
          <w:color w:val="auto"/>
        </w:rPr>
        <w:t>additional details.</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ISRAEL</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80" w:right="60"/>
        <w:spacing w:after="0" w:line="236" w:lineRule="auto"/>
        <w:rPr>
          <w:sz w:val="20"/>
          <w:szCs w:val="20"/>
          <w:color w:val="auto"/>
        </w:rPr>
      </w:pPr>
      <w:r>
        <w:rPr>
          <w:rFonts w:ascii="Times New Roman" w:cs="Times New Roman" w:eastAsia="Times New Roman" w:hAnsi="Times New Roman"/>
          <w:sz w:val="19"/>
          <w:szCs w:val="19"/>
          <w:b w:val="1"/>
          <w:bCs w:val="1"/>
          <w:color w:val="auto"/>
        </w:rPr>
        <w:t>Tax Consent</w:t>
      </w:r>
      <w:r>
        <w:rPr>
          <w:rFonts w:ascii="Times New Roman" w:cs="Times New Roman" w:eastAsia="Times New Roman" w:hAnsi="Times New Roman"/>
          <w:sz w:val="19"/>
          <w:szCs w:val="19"/>
          <w:color w:val="auto"/>
        </w:rPr>
        <w:t>. On January 20, 2020, the Israeli Tax Authority issued a tax ruling to the Company in connection with the non-trustee track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102 of the Income Tax Ordinance [New Version], 1961 (the “</w:t>
      </w:r>
      <w:r>
        <w:rPr>
          <w:rFonts w:ascii="Times New Roman" w:cs="Times New Roman" w:eastAsia="Times New Roman" w:hAnsi="Times New Roman"/>
          <w:sz w:val="19"/>
          <w:szCs w:val="19"/>
          <w:b w:val="1"/>
          <w:bCs w:val="1"/>
          <w:color w:val="auto"/>
        </w:rPr>
        <w:t>Tax Ruling</w:t>
      </w:r>
      <w:r>
        <w:rPr>
          <w:rFonts w:ascii="Times New Roman" w:cs="Times New Roman" w:eastAsia="Times New Roman" w:hAnsi="Times New Roman"/>
          <w:sz w:val="19"/>
          <w:szCs w:val="19"/>
          <w:color w:val="auto"/>
        </w:rPr>
        <w:t>”) regarding the taxation of Units granted under the Plan.</w:t>
      </w:r>
    </w:p>
    <w:p>
      <w:pPr>
        <w:spacing w:after="0" w:line="1" w:lineRule="exact"/>
        <w:rPr>
          <w:sz w:val="20"/>
          <w:szCs w:val="20"/>
          <w:color w:val="auto"/>
        </w:rPr>
      </w:pPr>
    </w:p>
    <w:p>
      <w:pPr>
        <w:ind w:left="80" w:right="220"/>
        <w:spacing w:after="0" w:line="215" w:lineRule="auto"/>
        <w:rPr>
          <w:sz w:val="20"/>
          <w:szCs w:val="20"/>
          <w:color w:val="auto"/>
        </w:rPr>
      </w:pPr>
      <w:r>
        <w:rPr>
          <w:rFonts w:ascii="Times New Roman" w:cs="Times New Roman" w:eastAsia="Times New Roman" w:hAnsi="Times New Roman"/>
          <w:sz w:val="19"/>
          <w:szCs w:val="19"/>
          <w:color w:val="auto"/>
        </w:rPr>
        <w:t>The Grantee may review a copy of the Tax Ruling by contacting stockprograms@leidos.com. In accordance with the Tax Ruling and by accepting the Units granted under the Plan, the Grantee hereby declares that the Grantee understands the provisions of the Tax Ruling and</w:t>
      </w:r>
    </w:p>
    <w:p>
      <w:pPr>
        <w:ind w:left="80" w:right="460"/>
        <w:spacing w:after="0" w:line="228" w:lineRule="auto"/>
        <w:rPr>
          <w:sz w:val="20"/>
          <w:szCs w:val="20"/>
          <w:color w:val="auto"/>
        </w:rPr>
      </w:pPr>
      <w:r>
        <w:rPr>
          <w:rFonts w:ascii="Times New Roman" w:cs="Times New Roman" w:eastAsia="Times New Roman" w:hAnsi="Times New Roman"/>
          <w:sz w:val="20"/>
          <w:szCs w:val="20"/>
          <w:color w:val="auto"/>
        </w:rPr>
        <w:t>the obligation to report and pay any capital gains tax due upon the sale of the shares of Stock issued under the Plan (including filing an annual tax return).</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Further, the Grantee agrees to act in accordance with the Tax Ruling and will not request to amend, cancel, and/or replace it with a different ruling and/or demand any additional tax benefit beyond the provisions of the Tax Ruling.</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left="100" w:right="420" w:hanging="8"/>
        <w:spacing w:after="0" w:line="457" w:lineRule="auto"/>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This offer of Awards under the Plan does not constitute a public offering under the Securities Law, 1968.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MEXICO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100" w:right="26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Acknowledgment of the Agreement. </w:t>
      </w:r>
      <w:r>
        <w:rPr>
          <w:rFonts w:ascii="Times New Roman" w:cs="Times New Roman" w:eastAsia="Times New Roman" w:hAnsi="Times New Roman"/>
          <w:sz w:val="19"/>
          <w:szCs w:val="19"/>
          <w:color w:val="auto"/>
        </w:rPr>
        <w:t>By participating in the Plan, the Grantee acknowledges that the Grantee has received a copy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has reviewed the Plan in its entirety and fully understands and accepts all provisions of the Plan. The Grantee further acknowledges</w:t>
      </w:r>
    </w:p>
    <w:p>
      <w:pPr>
        <w:spacing w:after="0" w:line="1" w:lineRule="exact"/>
        <w:rPr>
          <w:sz w:val="20"/>
          <w:szCs w:val="20"/>
          <w:color w:val="auto"/>
        </w:rPr>
      </w:pPr>
    </w:p>
    <w:p>
      <w:pPr>
        <w:ind w:left="100" w:right="380"/>
        <w:spacing w:after="0" w:line="215" w:lineRule="auto"/>
        <w:rPr>
          <w:sz w:val="20"/>
          <w:szCs w:val="20"/>
          <w:color w:val="auto"/>
        </w:rPr>
      </w:pPr>
      <w:r>
        <w:rPr>
          <w:rFonts w:ascii="Times New Roman" w:cs="Times New Roman" w:eastAsia="Times New Roman" w:hAnsi="Times New Roman"/>
          <w:sz w:val="19"/>
          <w:szCs w:val="19"/>
          <w:color w:val="auto"/>
        </w:rPr>
        <w:t>that the Grantee has read and expressly approves the terms and conditions set forth in the Nature of Grant section of Appendix A, in which the following is clearly described and established: (i) the Grantee’s participation in the Plan does not constitute an acquired right;</w:t>
      </w:r>
    </w:p>
    <w:p>
      <w:pPr>
        <w:ind w:left="100" w:right="440" w:hanging="1"/>
        <w:spacing w:after="0" w:line="206" w:lineRule="auto"/>
        <w:tabs>
          <w:tab w:leader="none" w:pos="39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the Grantee’s participation in the Plan are offered by the Company on a wholly discretionary basis; (iii) the Grantee’s participation in the Plan is voluntary; and (iv) the Company and its Subsidiaries are not responsible for any decrease in the value of the underlying Shares.</w:t>
      </w:r>
    </w:p>
    <w:p>
      <w:pPr>
        <w:spacing w:after="0" w:line="1" w:lineRule="exact"/>
        <w:rPr>
          <w:rFonts w:ascii="Times New Roman" w:cs="Times New Roman" w:eastAsia="Times New Roman" w:hAnsi="Times New Roman"/>
          <w:sz w:val="20"/>
          <w:szCs w:val="20"/>
          <w:color w:val="auto"/>
        </w:rPr>
      </w:pPr>
    </w:p>
    <w:p>
      <w:pPr>
        <w:ind w:left="100" w:right="460"/>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Labor Law Policy and Acknowledgment. </w:t>
      </w:r>
      <w:r>
        <w:rPr>
          <w:rFonts w:ascii="Times New Roman" w:cs="Times New Roman" w:eastAsia="Times New Roman" w:hAnsi="Times New Roman"/>
          <w:sz w:val="20"/>
          <w:szCs w:val="20"/>
          <w:color w:val="auto"/>
        </w:rPr>
        <w:t>By participating in the Plan, the Grantee expressly recognizes that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offices at 1750 Presidents Street, Reston, Virginia 20190, U.S.A., is solely responsible for the administration of the Plan and that the Grantee’s participation in the</w:t>
      </w:r>
    </w:p>
    <w:p>
      <w:pPr>
        <w:sectPr>
          <w:pgSz w:w="11900" w:h="16838" w:orient="portrait"/>
          <w:cols w:equalWidth="0" w:num="1">
            <w:col w:w="11220"/>
          </w:cols>
          <w:pgMar w:left="320" w:top="1440" w:right="359" w:bottom="1440" w:gutter="0" w:footer="0" w:header="0"/>
        </w:sectPr>
      </w:pPr>
    </w:p>
    <w:bookmarkStart w:id="202" w:name="page203"/>
    <w:bookmarkEnd w:id="202"/>
    <w:p>
      <w:pPr>
        <w:spacing w:after="0" w:line="14"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Plan and acquisition of Shares does not constitute an employment relationship between the Grantee and the Company since the Grantee is participating in the Plan on a wholly commercial basis and the Participant’s Employer is a Mexican Subsidiary of the Company. Based on</w:t>
      </w:r>
    </w:p>
    <w:p>
      <w:pPr>
        <w:spacing w:after="0" w:line="211" w:lineRule="auto"/>
        <w:rPr>
          <w:sz w:val="20"/>
          <w:szCs w:val="20"/>
          <w:color w:val="auto"/>
        </w:rPr>
      </w:pPr>
      <w:r>
        <w:rPr>
          <w:rFonts w:ascii="Times New Roman" w:cs="Times New Roman" w:eastAsia="Times New Roman" w:hAnsi="Times New Roman"/>
          <w:sz w:val="20"/>
          <w:szCs w:val="20"/>
          <w:color w:val="auto"/>
        </w:rPr>
        <w:t>the foregoing, the Grantee expressly recognizes that the Plan and the benefits that the Grantee may derive from participation in the Plan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 not establish any rights between the Grantee and the Employer and do not form part of the employment conditions and/or benefits provided by the Employer and any modification of the Plan or its termination shall not constitute a change or impairment of the terms and</w:t>
      </w:r>
    </w:p>
    <w:p>
      <w:pPr>
        <w:spacing w:after="0"/>
        <w:rPr>
          <w:sz w:val="20"/>
          <w:szCs w:val="20"/>
          <w:color w:val="auto"/>
        </w:rPr>
      </w:pPr>
      <w:r>
        <w:rPr>
          <w:rFonts w:ascii="Times New Roman" w:cs="Times New Roman" w:eastAsia="Times New Roman" w:hAnsi="Times New Roman"/>
          <w:sz w:val="20"/>
          <w:szCs w:val="20"/>
          <w:color w:val="auto"/>
        </w:rPr>
        <w:t>conditions of the Grantee's employment.</w:t>
      </w:r>
    </w:p>
    <w:p>
      <w:pPr>
        <w:spacing w:after="0" w:line="140"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rPr>
        <w:t>The Grantee further understands that the Grantee’s participation in the Plan is as a result of a unilateral and discretionary decision of the Company; therefore, the Company reserves the absolute right to amend and/or discontinue the Grantee's participation at any time without</w:t>
      </w:r>
    </w:p>
    <w:p>
      <w:pPr>
        <w:spacing w:after="0" w:line="211" w:lineRule="auto"/>
        <w:rPr>
          <w:sz w:val="20"/>
          <w:szCs w:val="20"/>
          <w:color w:val="auto"/>
        </w:rPr>
      </w:pPr>
      <w:r>
        <w:rPr>
          <w:rFonts w:ascii="Times New Roman" w:cs="Times New Roman" w:eastAsia="Times New Roman" w:hAnsi="Times New Roman"/>
          <w:sz w:val="20"/>
          <w:szCs w:val="20"/>
          <w:color w:val="auto"/>
        </w:rPr>
        <w:t>any liability to the Grantee.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Finally, the Grantee hereby declares that Grantee does not reserve any action or right to bring any claim against the Company for any compensation or damages regarding any provision of the Plan or the benefits derived under the Plan, and the Grantee therefore grants a</w:t>
      </w:r>
    </w:p>
    <w:p>
      <w:pPr>
        <w:ind w:right="740"/>
        <w:spacing w:after="0" w:line="204" w:lineRule="auto"/>
        <w:rPr>
          <w:sz w:val="20"/>
          <w:szCs w:val="20"/>
          <w:color w:val="auto"/>
        </w:rPr>
      </w:pPr>
      <w:r>
        <w:rPr>
          <w:rFonts w:ascii="Times New Roman" w:cs="Times New Roman" w:eastAsia="Times New Roman" w:hAnsi="Times New Roman"/>
          <w:sz w:val="20"/>
          <w:szCs w:val="20"/>
          <w:color w:val="auto"/>
        </w:rPr>
        <w:t>full and broad release to the Company, its subsidiaries, branches, representation offices, its shareholders, officers, agents or legal representatives with respect to any claim that may arise.</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Reconocimiento del Contrato. </w:t>
      </w:r>
      <w:r>
        <w:rPr>
          <w:rFonts w:ascii="Times New Roman" w:cs="Times New Roman" w:eastAsia="Times New Roman" w:hAnsi="Times New Roman"/>
          <w:sz w:val="20"/>
          <w:szCs w:val="20"/>
          <w:i w:val="1"/>
          <w:iCs w:val="1"/>
          <w:color w:val="auto"/>
        </w:rPr>
        <w:t>Al participar en el Plan, usted reconoce que ha recibido una copia del Plan, que ha revisado el Plan en 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totalidad, y que entiende y acepta en su totalidad, todas y cada una de las disposiciones del Plan. Asimismo reconoce que ha leído y</w:t>
      </w:r>
    </w:p>
    <w:p>
      <w:pPr>
        <w:spacing w:after="0" w:line="1" w:lineRule="exact"/>
        <w:rPr>
          <w:sz w:val="20"/>
          <w:szCs w:val="20"/>
          <w:color w:val="auto"/>
        </w:rPr>
      </w:pPr>
    </w:p>
    <w:p>
      <w:pPr>
        <w:ind w:right="420"/>
        <w:spacing w:after="0" w:line="215" w:lineRule="auto"/>
        <w:rPr>
          <w:sz w:val="20"/>
          <w:szCs w:val="20"/>
          <w:color w:val="auto"/>
        </w:rPr>
      </w:pPr>
      <w:r>
        <w:rPr>
          <w:rFonts w:ascii="Times New Roman" w:cs="Times New Roman" w:eastAsia="Times New Roman" w:hAnsi="Times New Roman"/>
          <w:sz w:val="19"/>
          <w:szCs w:val="19"/>
          <w:i w:val="1"/>
          <w:iCs w:val="1"/>
          <w:color w:val="auto"/>
        </w:rPr>
        <w:t>aprueba expresamente los términos y condiciones señalados en la sección titulado Naturaleza de la Oferta en Appendix A, en lo que claramente se describe y establece lo siguiente: (i) su participación en el Plan no constituye un derecho adquirido; (ii) el Plan y su</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participación en el Plan son ofrecidos por la Compañía sobre una base completamente discrecional; (iii) su participación en el Plan es</w:t>
      </w:r>
    </w:p>
    <w:p>
      <w:pPr>
        <w:ind w:right="1000"/>
        <w:spacing w:after="0" w:line="204" w:lineRule="auto"/>
        <w:rPr>
          <w:sz w:val="20"/>
          <w:szCs w:val="20"/>
          <w:color w:val="auto"/>
        </w:rPr>
      </w:pPr>
      <w:r>
        <w:rPr>
          <w:rFonts w:ascii="Times New Roman" w:cs="Times New Roman" w:eastAsia="Times New Roman" w:hAnsi="Times New Roman"/>
          <w:sz w:val="20"/>
          <w:szCs w:val="20"/>
          <w:i w:val="1"/>
          <w:iCs w:val="1"/>
          <w:color w:val="auto"/>
        </w:rPr>
        <w:t>voluntaria; y (iv) la Compañía y sus afiliadas no son responsables de ninguna por la disminución en el valor de las Acciones subyacentes.</w:t>
      </w:r>
    </w:p>
    <w:p>
      <w:pPr>
        <w:spacing w:after="0" w:line="223"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Política de Legislación Laboral y Reconocimiento. </w:t>
      </w:r>
      <w:r>
        <w:rPr>
          <w:rFonts w:ascii="Times New Roman" w:cs="Times New Roman" w:eastAsia="Times New Roman" w:hAnsi="Times New Roman"/>
          <w:sz w:val="19"/>
          <w:szCs w:val="19"/>
          <w:i w:val="1"/>
          <w:iCs w:val="1"/>
          <w:color w:val="auto"/>
        </w:rPr>
        <w:t>Al participar en el Plan, usted reconoce expresamente que la Compañía, con oficinas</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registradas en 1750 Presidents Street, Reston, Virginia 20190, EE.UU, es la única responsable por la administración del Plan, y que su participación en el Plan, así como la adquisición de las Acciones, no constituye una relación laboral entre usted y la Compañía, debido a</w:t>
      </w:r>
    </w:p>
    <w:p>
      <w:pPr>
        <w:spacing w:after="0" w:line="222" w:lineRule="auto"/>
        <w:rPr>
          <w:sz w:val="20"/>
          <w:szCs w:val="20"/>
          <w:color w:val="auto"/>
        </w:rPr>
      </w:pPr>
      <w:r>
        <w:rPr>
          <w:rFonts w:ascii="Times New Roman" w:cs="Times New Roman" w:eastAsia="Times New Roman" w:hAnsi="Times New Roman"/>
          <w:sz w:val="19"/>
          <w:szCs w:val="19"/>
          <w:i w:val="1"/>
          <w:iCs w:val="1"/>
          <w:color w:val="auto"/>
        </w:rPr>
        <w:t>que usted participa en el Plan sobre una base completamente mercantil y el único Empleador de usted es una Subsidiaria Mexicana de la</w:t>
      </w:r>
    </w:p>
    <w:p>
      <w:pPr>
        <w:spacing w:after="0" w:line="215" w:lineRule="auto"/>
        <w:rPr>
          <w:sz w:val="20"/>
          <w:szCs w:val="20"/>
          <w:color w:val="auto"/>
        </w:rPr>
      </w:pPr>
      <w:r>
        <w:rPr>
          <w:rFonts w:ascii="Times New Roman" w:cs="Times New Roman" w:eastAsia="Times New Roman" w:hAnsi="Times New Roman"/>
          <w:sz w:val="19"/>
          <w:szCs w:val="19"/>
          <w:i w:val="1"/>
          <w:iCs w:val="1"/>
          <w:color w:val="auto"/>
        </w:rPr>
        <w:t>Compañía. Con base en lo anterior, usted reconoce expresamente que el Plan y los beneficios que pudiera obtener por su participación en el Plan, no establecen derecho alguno entre usted y el Empleador, y no forman parte de las condiciones y/o prestaciones laborales que</w:t>
      </w:r>
    </w:p>
    <w:p>
      <w:pPr>
        <w:ind w:right="900"/>
        <w:spacing w:after="0" w:line="204" w:lineRule="auto"/>
        <w:rPr>
          <w:sz w:val="20"/>
          <w:szCs w:val="20"/>
          <w:color w:val="auto"/>
        </w:rPr>
      </w:pPr>
      <w:r>
        <w:rPr>
          <w:rFonts w:ascii="Times New Roman" w:cs="Times New Roman" w:eastAsia="Times New Roman" w:hAnsi="Times New Roman"/>
          <w:sz w:val="20"/>
          <w:szCs w:val="20"/>
          <w:i w:val="1"/>
          <w:iCs w:val="1"/>
          <w:color w:val="auto"/>
        </w:rPr>
        <w:t>el Empleador ofrece, y que las modificaciones al Plan o su terminación, no constituirán un cambio ni afectarán los términos y condiciones de su relación laboral.</w:t>
      </w:r>
    </w:p>
    <w:p>
      <w:pPr>
        <w:spacing w:after="0" w:line="1" w:lineRule="exact"/>
        <w:rPr>
          <w:sz w:val="20"/>
          <w:szCs w:val="20"/>
          <w:color w:val="auto"/>
        </w:rPr>
      </w:pPr>
    </w:p>
    <w:p>
      <w:pPr>
        <w:ind w:right="60"/>
        <w:spacing w:after="0" w:line="206" w:lineRule="auto"/>
        <w:rPr>
          <w:sz w:val="20"/>
          <w:szCs w:val="20"/>
          <w:color w:val="auto"/>
        </w:rPr>
      </w:pPr>
      <w:r>
        <w:rPr>
          <w:rFonts w:ascii="Times New Roman" w:cs="Times New Roman" w:eastAsia="Times New Roman" w:hAnsi="Times New Roman"/>
          <w:sz w:val="20"/>
          <w:szCs w:val="20"/>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213" w:lineRule="auto"/>
        <w:rPr>
          <w:sz w:val="20"/>
          <w:szCs w:val="20"/>
          <w:color w:val="auto"/>
        </w:rPr>
      </w:pPr>
      <w:r>
        <w:rPr>
          <w:rFonts w:ascii="Times New Roman" w:cs="Times New Roman" w:eastAsia="Times New Roman" w:hAnsi="Times New Roman"/>
          <w:sz w:val="20"/>
          <w:szCs w:val="20"/>
          <w:i w:val="1"/>
          <w:iCs w:val="1"/>
          <w:color w:val="auto"/>
        </w:rPr>
        <w:t>Finalmente, usted declara que no se reserva acción o derecho alguno para interponer reclamación alguna en contra de la Compañía,</w:t>
      </w:r>
    </w:p>
    <w:p>
      <w:pPr>
        <w:ind w:right="140"/>
        <w:spacing w:after="0" w:line="215" w:lineRule="auto"/>
        <w:rPr>
          <w:sz w:val="20"/>
          <w:szCs w:val="20"/>
          <w:color w:val="auto"/>
        </w:rPr>
      </w:pPr>
      <w:r>
        <w:rPr>
          <w:rFonts w:ascii="Times New Roman" w:cs="Times New Roman" w:eastAsia="Times New Roman" w:hAnsi="Times New Roman"/>
          <w:sz w:val="19"/>
          <w:szCs w:val="19"/>
          <w:i w:val="1"/>
          <w:iCs w:val="1"/>
          <w:color w:val="auto"/>
        </w:rPr>
        <w:t>por concepto de compensación o daños relacionados con cualquier disposición del Plan o de los beneficios derivados del Plan, y por lo tanto, usted libera total y ampliamente de toda responsabilidad a la Compañía, a sus afiliadas, sucursales, oficinas de representación,</w:t>
      </w:r>
    </w:p>
    <w:p>
      <w:pPr>
        <w:spacing w:after="0"/>
        <w:rPr>
          <w:sz w:val="20"/>
          <w:szCs w:val="20"/>
          <w:color w:val="auto"/>
        </w:rPr>
      </w:pPr>
      <w:r>
        <w:rPr>
          <w:rFonts w:ascii="Times New Roman" w:cs="Times New Roman" w:eastAsia="Times New Roman" w:hAnsi="Times New Roman"/>
          <w:sz w:val="20"/>
          <w:szCs w:val="20"/>
          <w:i w:val="1"/>
          <w:iCs w:val="1"/>
          <w:color w:val="auto"/>
        </w:rPr>
        <w:t>sus accionistas, funcionarios, agentes o representantes legales, con respecto a cualquier reclamación que pudiera surgir.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48"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Securities Law Information. </w:t>
      </w:r>
      <w:r>
        <w:rPr>
          <w:rFonts w:ascii="Times New Roman" w:cs="Times New Roman" w:eastAsia="Times New Roman" w:hAnsi="Times New Roman"/>
          <w:sz w:val="19"/>
          <w:szCs w:val="19"/>
          <w:color w:val="auto"/>
        </w:rPr>
        <w:t>The Units granted, and any shares of Stock acquired, under the Plan have not been registered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National Register of Securities maintained by the Mexican National Banking and Securities Commission and cannot be offered or sold</w:t>
      </w:r>
    </w:p>
    <w:p>
      <w:pPr>
        <w:spacing w:after="0" w:line="1" w:lineRule="exact"/>
        <w:rPr>
          <w:sz w:val="20"/>
          <w:szCs w:val="20"/>
          <w:color w:val="auto"/>
        </w:rPr>
      </w:pPr>
    </w:p>
    <w:p>
      <w:pPr>
        <w:ind w:right="420"/>
        <w:spacing w:after="0" w:line="215" w:lineRule="auto"/>
        <w:rPr>
          <w:sz w:val="20"/>
          <w:szCs w:val="20"/>
          <w:color w:val="auto"/>
        </w:rPr>
      </w:pPr>
      <w:r>
        <w:rPr>
          <w:rFonts w:ascii="Times New Roman" w:cs="Times New Roman" w:eastAsia="Times New Roman" w:hAnsi="Times New Roman"/>
          <w:sz w:val="19"/>
          <w:szCs w:val="19"/>
          <w:color w:val="auto"/>
        </w:rPr>
        <w:t>publicly in Mexico. In addition, the Plan, Agreement and any other document relating to the Units may not be publicly distributed in Mexico. These materials are addressed to the Grantee because of the Grantee’s existing relationship with the Company and these</w:t>
      </w:r>
    </w:p>
    <w:p>
      <w:pPr>
        <w:spacing w:after="0" w:line="211" w:lineRule="auto"/>
        <w:rPr>
          <w:sz w:val="20"/>
          <w:szCs w:val="20"/>
          <w:color w:val="auto"/>
        </w:rPr>
      </w:pPr>
      <w:r>
        <w:rPr>
          <w:rFonts w:ascii="Times New Roman" w:cs="Times New Roman" w:eastAsia="Times New Roman" w:hAnsi="Times New Roman"/>
          <w:sz w:val="20"/>
          <w:szCs w:val="20"/>
          <w:color w:val="auto"/>
        </w:rPr>
        <w:t>materials should not be reproduced or copied in any form. The offer contained in these materials does not constitute a public offering of</w:t>
      </w:r>
    </w:p>
    <w:p>
      <w:pPr>
        <w:ind w:right="320"/>
        <w:spacing w:after="0" w:line="221" w:lineRule="auto"/>
        <w:rPr>
          <w:sz w:val="20"/>
          <w:szCs w:val="20"/>
          <w:color w:val="auto"/>
        </w:rPr>
      </w:pPr>
      <w:r>
        <w:rPr>
          <w:rFonts w:ascii="Times New Roman" w:cs="Times New Roman" w:eastAsia="Times New Roman" w:hAnsi="Times New Roman"/>
          <w:sz w:val="20"/>
          <w:szCs w:val="20"/>
          <w:color w:val="auto"/>
        </w:rPr>
        <w:t>securities, but rather a private placement of securities addressed specifically to certain employees of the Company and its Subsidiaries and are made</w:t>
      </w:r>
    </w:p>
    <w:p>
      <w:pPr>
        <w:sectPr>
          <w:pgSz w:w="11900" w:h="16838" w:orient="portrait"/>
          <w:cols w:equalWidth="0" w:num="1">
            <w:col w:w="10920"/>
          </w:cols>
          <w:pgMar w:left="420" w:top="1440" w:right="559" w:bottom="1440" w:gutter="0" w:footer="0" w:header="0"/>
        </w:sectPr>
      </w:pPr>
    </w:p>
    <w:bookmarkStart w:id="203" w:name="page204"/>
    <w:bookmarkEnd w:id="203"/>
    <w:p>
      <w:pPr>
        <w:spacing w:after="0" w:line="14" w:lineRule="exact"/>
        <w:rPr>
          <w:sz w:val="20"/>
          <w:szCs w:val="20"/>
          <w:color w:val="auto"/>
        </w:rPr>
      </w:pPr>
    </w:p>
    <w:p>
      <w:pPr>
        <w:ind w:left="100" w:right="940"/>
        <w:spacing w:after="0" w:line="233" w:lineRule="auto"/>
        <w:rPr>
          <w:sz w:val="20"/>
          <w:szCs w:val="20"/>
          <w:color w:val="auto"/>
        </w:rPr>
      </w:pPr>
      <w:r>
        <w:rPr>
          <w:rFonts w:ascii="Times New Roman" w:cs="Times New Roman" w:eastAsia="Times New Roman" w:hAnsi="Times New Roman"/>
          <w:sz w:val="20"/>
          <w:szCs w:val="20"/>
          <w:color w:val="auto"/>
        </w:rPr>
        <w:t>in accordance with the provisions of the Mexican Securities Market Law. Any rights under such offering shall not be assigned or transferred.</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Restriction on Sale of Shares of Stock. </w:t>
      </w:r>
      <w:r>
        <w:rPr>
          <w:rFonts w:ascii="Times New Roman" w:cs="Times New Roman" w:eastAsia="Times New Roman" w:hAnsi="Times New Roman"/>
          <w:sz w:val="20"/>
          <w:szCs w:val="20"/>
          <w:color w:val="auto"/>
        </w:rPr>
        <w:t>The Units are subject to section 257 of the SFA and the</w:t>
      </w:r>
    </w:p>
    <w:p>
      <w:pPr>
        <w:ind w:left="80" w:right="300"/>
        <w:spacing w:after="0" w:line="215" w:lineRule="auto"/>
        <w:rPr>
          <w:sz w:val="20"/>
          <w:szCs w:val="20"/>
          <w:color w:val="auto"/>
        </w:rPr>
      </w:pPr>
      <w:r>
        <w:rPr>
          <w:rFonts w:ascii="Times New Roman" w:cs="Times New Roman" w:eastAsia="Times New Roman" w:hAnsi="Times New Roman"/>
          <w:sz w:val="19"/>
          <w:szCs w:val="19"/>
          <w:color w:val="auto"/>
        </w:rPr>
        <w:t>Grantee will not be able to make any subsequent sale of shares of Stock in Singapore or any offer of such subsequent sale of the Stock in Singapore, unless such offer or sale is made (i) after six (6) months from the Grant Date, (ii) pursuant to the exemptions under Part XIII</w:t>
      </w:r>
    </w:p>
    <w:p>
      <w:pPr>
        <w:ind w:left="80" w:right="520"/>
        <w:spacing w:after="0" w:line="228" w:lineRule="auto"/>
        <w:rPr>
          <w:sz w:val="20"/>
          <w:szCs w:val="20"/>
          <w:color w:val="auto"/>
        </w:rPr>
      </w:pPr>
      <w:r>
        <w:rPr>
          <w:rFonts w:ascii="Times New Roman" w:cs="Times New Roman" w:eastAsia="Times New Roman" w:hAnsi="Times New Roman"/>
          <w:sz w:val="20"/>
          <w:szCs w:val="20"/>
          <w:color w:val="auto"/>
        </w:rPr>
        <w:t>Division (1) Subdivision (4) (other than section 280) of the Singapore Securities and Futures Act (Chapter 289, 2006 Ed.) (“</w:t>
      </w:r>
      <w:r>
        <w:rPr>
          <w:rFonts w:ascii="Times New Roman" w:cs="Times New Roman" w:eastAsia="Times New Roman" w:hAnsi="Times New Roman"/>
          <w:sz w:val="20"/>
          <w:szCs w:val="20"/>
          <w:b w:val="1"/>
          <w:bCs w:val="1"/>
          <w:color w:val="auto"/>
        </w:rPr>
        <w:t>SFA</w:t>
      </w:r>
      <w:r>
        <w:rPr>
          <w:rFonts w:ascii="Times New Roman" w:cs="Times New Roman" w:eastAsia="Times New Roman" w:hAnsi="Times New Roman"/>
          <w:sz w:val="20"/>
          <w:szCs w:val="20"/>
          <w:color w:val="auto"/>
        </w:rPr>
        <w:t>”), or (iii) pursuant to, and in accordance with, any other applicable exemption in the SFA.</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left="80" w:right="34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Units is being made pursuant to the “Qualifying Person” exemption under section 273(1)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 of the SFA. The Plan has not been lodged or registered as a prospectus with the Monetary Authority of Singapore.</w:t>
      </w:r>
    </w:p>
    <w:p>
      <w:pPr>
        <w:spacing w:after="0" w:line="184" w:lineRule="exact"/>
        <w:rPr>
          <w:sz w:val="20"/>
          <w:szCs w:val="20"/>
          <w:color w:val="auto"/>
        </w:rPr>
      </w:pPr>
    </w:p>
    <w:p>
      <w:pPr>
        <w:ind w:left="80"/>
        <w:spacing w:after="0" w:line="202" w:lineRule="auto"/>
        <w:rPr>
          <w:sz w:val="20"/>
          <w:szCs w:val="20"/>
          <w:color w:val="auto"/>
        </w:rPr>
      </w:pPr>
      <w:r>
        <w:rPr>
          <w:rFonts w:ascii="Times New Roman" w:cs="Times New Roman" w:eastAsia="Times New Roman" w:hAnsi="Times New Roman"/>
          <w:sz w:val="19"/>
          <w:szCs w:val="19"/>
          <w:b w:val="1"/>
          <w:bCs w:val="1"/>
          <w:color w:val="auto"/>
        </w:rPr>
        <w:t>Director Notification Information</w:t>
      </w:r>
      <w:r>
        <w:rPr>
          <w:rFonts w:ascii="Arial" w:cs="Arial" w:eastAsia="Arial" w:hAnsi="Arial"/>
          <w:sz w:val="19"/>
          <w:szCs w:val="19"/>
          <w:color w:val="0000FF"/>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the Grantee is the or a director (including an alternate, substitute or shadow director</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of a Subsidiary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Singapore, the Grantee is subject to certain notification requirements under the Singapore Companies Act, regardless of whether the</w:t>
      </w:r>
    </w:p>
    <w:p>
      <w:pPr>
        <w:jc w:val="center"/>
        <w:spacing w:after="0" w:line="212" w:lineRule="auto"/>
        <w:rPr>
          <w:sz w:val="20"/>
          <w:szCs w:val="20"/>
          <w:color w:val="auto"/>
        </w:rPr>
      </w:pPr>
      <w:r>
        <w:rPr>
          <w:rFonts w:ascii="Times New Roman" w:cs="Times New Roman" w:eastAsia="Times New Roman" w:hAnsi="Times New Roman"/>
          <w:sz w:val="20"/>
          <w:szCs w:val="20"/>
          <w:color w:val="auto"/>
        </w:rPr>
        <w:t>Grantee is a Singapore resident or employed in Singapore. Among these requirements is an obligation to notify the Singapore Subsidiary of</w:t>
      </w:r>
    </w:p>
    <w:p>
      <w:pPr>
        <w:spacing w:after="0" w:line="1" w:lineRule="exact"/>
        <w:rPr>
          <w:sz w:val="20"/>
          <w:szCs w:val="20"/>
          <w:color w:val="auto"/>
        </w:rPr>
      </w:pPr>
    </w:p>
    <w:p>
      <w:pPr>
        <w:ind w:left="80" w:right="60"/>
        <w:spacing w:after="0" w:line="215" w:lineRule="auto"/>
        <w:rPr>
          <w:sz w:val="20"/>
          <w:szCs w:val="20"/>
          <w:color w:val="auto"/>
        </w:rPr>
      </w:pPr>
      <w:r>
        <w:rPr>
          <w:rFonts w:ascii="Times New Roman" w:cs="Times New Roman" w:eastAsia="Times New Roman" w:hAnsi="Times New Roman"/>
          <w:sz w:val="19"/>
          <w:szCs w:val="19"/>
          <w:color w:val="auto"/>
        </w:rPr>
        <w:t>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Units, shares of Stock) in the Company or a related company within two business days of (i) acquiring or disposing of such interest, (ii) any change in a previously disclosed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vesting of Units, sale of shares of Stock), or (iii) becoming or a director if</w:t>
      </w:r>
    </w:p>
    <w:p>
      <w:pPr>
        <w:ind w:left="80"/>
        <w:spacing w:after="0" w:line="211" w:lineRule="auto"/>
        <w:rPr>
          <w:sz w:val="20"/>
          <w:szCs w:val="20"/>
          <w:color w:val="auto"/>
        </w:rPr>
      </w:pPr>
      <w:r>
        <w:rPr>
          <w:rFonts w:ascii="Times New Roman" w:cs="Times New Roman" w:eastAsia="Times New Roman" w:hAnsi="Times New Roman"/>
          <w:sz w:val="20"/>
          <w:szCs w:val="20"/>
          <w:color w:val="auto"/>
        </w:rPr>
        <w:t>such an interest exists at the time. If the Grantee is the chief executive officer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of a Subsidiary in Singapore and the above</w:t>
      </w:r>
    </w:p>
    <w:p>
      <w:pPr>
        <w:ind w:left="80" w:right="40"/>
        <w:spacing w:after="0" w:line="221" w:lineRule="auto"/>
        <w:rPr>
          <w:sz w:val="20"/>
          <w:szCs w:val="20"/>
          <w:color w:val="auto"/>
        </w:rPr>
      </w:pPr>
      <w:r>
        <w:rPr>
          <w:rFonts w:ascii="Times New Roman" w:cs="Times New Roman" w:eastAsia="Times New Roman" w:hAnsi="Times New Roman"/>
          <w:sz w:val="20"/>
          <w:szCs w:val="20"/>
          <w:color w:val="auto"/>
        </w:rPr>
        <w:t>notification requirements are determined to apply to the CEO of a Singapore Subsidiary, the above notification requirements also may apply to the Grantee.</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 xml:space="preserve">Units Payable Only in Stock. </w:t>
      </w:r>
      <w:r>
        <w:rPr>
          <w:rFonts w:ascii="Times New Roman" w:cs="Times New Roman" w:eastAsia="Times New Roman" w:hAnsi="Times New Roman"/>
          <w:sz w:val="20"/>
          <w:szCs w:val="20"/>
          <w:color w:val="auto"/>
        </w:rPr>
        <w:t>Notwithstanding anything to the contrary in the Plan, the Units shall be paid in shares of Stock only and do</w:t>
      </w:r>
    </w:p>
    <w:p>
      <w:pPr>
        <w:ind w:left="80" w:right="200"/>
        <w:spacing w:after="0" w:line="221" w:lineRule="auto"/>
        <w:rPr>
          <w:sz w:val="20"/>
          <w:szCs w:val="20"/>
          <w:color w:val="auto"/>
        </w:rPr>
      </w:pPr>
      <w:r>
        <w:rPr>
          <w:rFonts w:ascii="Times New Roman" w:cs="Times New Roman" w:eastAsia="Times New Roman" w:hAnsi="Times New Roman"/>
          <w:sz w:val="20"/>
          <w:szCs w:val="20"/>
          <w:color w:val="auto"/>
        </w:rPr>
        <w:t>not provide the Grantee with any right to receive a cash payment. This provision is without prejudice to the application of Section 4 of the Terms and Conditions of Restricted Stock Unit Award.</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Responsibility for Taxes</w:t>
      </w:r>
      <w:r>
        <w:rPr>
          <w:rFonts w:ascii="Times New Roman" w:cs="Times New Roman" w:eastAsia="Times New Roman" w:hAnsi="Times New Roman"/>
          <w:sz w:val="20"/>
          <w:szCs w:val="20"/>
          <w:color w:val="auto"/>
        </w:rPr>
        <w:t>. The following provision supplements Section 4 of the Terms and Conditions of Restricted Stock Unit Award:</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Without limitation to Section 4 of the Terms and Conditions of Restricted Stock Unit Award, the Grantee agrees that the Grantee is liable for</w:t>
      </w:r>
    </w:p>
    <w:p>
      <w:pPr>
        <w:spacing w:after="0" w:line="6" w:lineRule="exact"/>
        <w:rPr>
          <w:sz w:val="20"/>
          <w:szCs w:val="20"/>
          <w:color w:val="auto"/>
        </w:rPr>
      </w:pPr>
    </w:p>
    <w:p>
      <w:pPr>
        <w:ind w:left="80" w:right="100"/>
        <w:spacing w:after="0" w:line="215" w:lineRule="auto"/>
        <w:rPr>
          <w:sz w:val="20"/>
          <w:szCs w:val="20"/>
          <w:color w:val="auto"/>
        </w:rPr>
      </w:pPr>
      <w:r>
        <w:rPr>
          <w:rFonts w:ascii="Times New Roman" w:cs="Times New Roman" w:eastAsia="Times New Roman" w:hAnsi="Times New Roman"/>
          <w:sz w:val="19"/>
          <w:szCs w:val="19"/>
          <w:color w:val="auto"/>
        </w:rPr>
        <w:t>all Tax-Related Items and hereby covenants to pay all such Tax- Related Items, as and when requested by the Company or the Employer or by Her Majesty’s Revenue and Customs (“</w:t>
      </w:r>
      <w:r>
        <w:rPr>
          <w:rFonts w:ascii="Times New Roman" w:cs="Times New Roman" w:eastAsia="Times New Roman" w:hAnsi="Times New Roman"/>
          <w:sz w:val="19"/>
          <w:szCs w:val="19"/>
          <w:b w:val="1"/>
          <w:bCs w:val="1"/>
          <w:color w:val="auto"/>
        </w:rPr>
        <w:t>HMRC</w:t>
      </w:r>
      <w:r>
        <w:rPr>
          <w:rFonts w:ascii="Times New Roman" w:cs="Times New Roman" w:eastAsia="Times New Roman" w:hAnsi="Times New Roman"/>
          <w:sz w:val="19"/>
          <w:szCs w:val="19"/>
          <w:color w:val="auto"/>
        </w:rPr>
        <w:t>”) (or any other tax authority or any other relevant authority). The Grantee also agrees to</w:t>
      </w:r>
    </w:p>
    <w:p>
      <w:pPr>
        <w:ind w:left="80" w:right="80"/>
        <w:spacing w:after="0" w:line="228" w:lineRule="auto"/>
        <w:rPr>
          <w:sz w:val="20"/>
          <w:szCs w:val="20"/>
          <w:color w:val="auto"/>
        </w:rPr>
      </w:pPr>
      <w:r>
        <w:rPr>
          <w:rFonts w:ascii="Times New Roman" w:cs="Times New Roman" w:eastAsia="Times New Roman" w:hAnsi="Times New Roman"/>
          <w:sz w:val="20"/>
          <w:szCs w:val="20"/>
          <w:color w:val="auto"/>
        </w:rPr>
        <w:t>indemnify and keep indemnified the Company and the Employer against any Tax-Related Items that they are required to pay or withhold or have paid or will pay to HMRC (or any other tax authority or any other relevant authority) on the Grantee’s behalf.</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Notwithstanding the foregoing, if the Grantee is a director or executive officer of the Company (within the meaning of Section 13(k) of the</w:t>
      </w:r>
    </w:p>
    <w:p>
      <w:pPr>
        <w:ind w:left="80" w:right="580"/>
        <w:spacing w:after="0" w:line="215" w:lineRule="auto"/>
        <w:rPr>
          <w:sz w:val="20"/>
          <w:szCs w:val="20"/>
          <w:color w:val="auto"/>
        </w:rPr>
      </w:pPr>
      <w:r>
        <w:rPr>
          <w:rFonts w:ascii="Times New Roman" w:cs="Times New Roman" w:eastAsia="Times New Roman" w:hAnsi="Times New Roman"/>
          <w:sz w:val="19"/>
          <w:szCs w:val="19"/>
          <w:color w:val="auto"/>
        </w:rPr>
        <w:t>Exchange Act), the Grantee understands that he or she may not be able to indemnify the Company or the Employer for the amount of income tax not collected from or paid by the Grantee, as it may be considered a loan. In this case, the amount of any income tax not</w:t>
      </w:r>
    </w:p>
    <w:p>
      <w:pPr>
        <w:ind w:left="80" w:right="200"/>
        <w:spacing w:after="0" w:line="228" w:lineRule="auto"/>
        <w:rPr>
          <w:sz w:val="20"/>
          <w:szCs w:val="20"/>
          <w:color w:val="auto"/>
        </w:rPr>
      </w:pPr>
      <w:r>
        <w:rPr>
          <w:rFonts w:ascii="Times New Roman" w:cs="Times New Roman" w:eastAsia="Times New Roman" w:hAnsi="Times New Roman"/>
          <w:sz w:val="20"/>
          <w:szCs w:val="20"/>
          <w:color w:val="auto"/>
        </w:rPr>
        <w:t>collected within 90 days of the end of the U.K. tax year in which the event giving rise to the Tax-Related Item(s) occurs may constitute an additional benefit to the Grantee on which additional income tax and National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4" w:lineRule="exact"/>
        <w:rPr>
          <w:sz w:val="20"/>
          <w:szCs w:val="20"/>
          <w:color w:val="auto"/>
        </w:rPr>
      </w:pPr>
    </w:p>
    <w:p>
      <w:pPr>
        <w:ind w:right="20" w:firstLine="8"/>
        <w:spacing w:after="0" w:line="208" w:lineRule="auto"/>
        <w:tabs>
          <w:tab w:leader="none" w:pos="103"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shadow director is an individual who is not on the board of the Singapore Subsidiary but who has sufficient control so that the board of directors acts in accordance with the “directions or instructions” of the individual.</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Contributions (“</w:t>
      </w:r>
      <w:r>
        <w:rPr>
          <w:rFonts w:ascii="Times New Roman" w:cs="Times New Roman" w:eastAsia="Times New Roman" w:hAnsi="Times New Roman"/>
          <w:sz w:val="19"/>
          <w:szCs w:val="19"/>
          <w:b w:val="1"/>
          <w:bCs w:val="1"/>
          <w:color w:val="auto"/>
        </w:rPr>
        <w:t>NICs</w:t>
      </w:r>
      <w:r>
        <w:rPr>
          <w:rFonts w:ascii="Times New Roman" w:cs="Times New Roman" w:eastAsia="Times New Roman" w:hAnsi="Times New Roman"/>
          <w:sz w:val="19"/>
          <w:szCs w:val="19"/>
          <w:color w:val="auto"/>
        </w:rPr>
        <w:t>”) may be payable. The Grantee will be responsible for reporting and paying any income tax due on this additional benefit directly to HMRC under the self-assessment regime and for paying the Company or the Employer, as applicable, for the amount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any employee NICs due on this additional benefit which may be recovered from the Grantee by the Company or the Employer at any time thereafter by any of the means referred to in Section 4 of the Terms and Conditions of Restricted Stock Unit Award.</w:t>
      </w:r>
    </w:p>
    <w:p>
      <w:pPr>
        <w:sectPr>
          <w:pgSz w:w="11900" w:h="16838" w:orient="portrait"/>
          <w:cols w:equalWidth="0" w:num="1">
            <w:col w:w="10960"/>
          </w:cols>
          <w:pgMar w:left="400" w:top="1440" w:right="5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160655</wp:posOffset>
            </wp:positionV>
            <wp:extent cx="1200150" cy="283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120015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GRANT OF RESTRICTED STOCK UNIT AWARD</w:t>
      </w:r>
    </w:p>
    <w:p>
      <w:pPr>
        <w:jc w:val="center"/>
        <w:spacing w:after="0"/>
        <w:rPr>
          <w:sz w:val="20"/>
          <w:szCs w:val="20"/>
          <w:color w:val="auto"/>
        </w:rPr>
      </w:pPr>
      <w:r>
        <w:rPr>
          <w:rFonts w:ascii="Times New Roman" w:cs="Times New Roman" w:eastAsia="Times New Roman" w:hAnsi="Times New Roman"/>
          <w:sz w:val="20"/>
          <w:szCs w:val="20"/>
          <w:b w:val="1"/>
          <w:bCs w:val="1"/>
          <w:color w:val="auto"/>
        </w:rPr>
        <w:t>(TIME-VESTING)</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hereby grants this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of the number of Restricted</w:t>
      </w:r>
    </w:p>
    <w:p>
      <w:pPr>
        <w:ind w:right="80"/>
        <w:spacing w:after="0" w:line="215" w:lineRule="auto"/>
        <w:rPr>
          <w:sz w:val="20"/>
          <w:szCs w:val="20"/>
          <w:color w:val="auto"/>
        </w:rPr>
      </w:pPr>
      <w:r>
        <w:rPr>
          <w:rFonts w:ascii="Times New Roman" w:cs="Times New Roman" w:eastAsia="Times New Roman" w:hAnsi="Times New Roman"/>
          <w:sz w:val="19"/>
          <w:szCs w:val="19"/>
          <w:color w:val="auto"/>
        </w:rPr>
        <w:t>Stock Units set forth in this Notice of Grant of Restricted Stock Unit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the Grantee designated in this Notice, pursuant to the provisions of the Company’s 2017 Omnibus Incentive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and subject to certain restrictions as outlined below in this</w:t>
      </w:r>
    </w:p>
    <w:p>
      <w:pPr>
        <w:spacing w:after="0" w:line="222" w:lineRule="auto"/>
        <w:rPr>
          <w:sz w:val="20"/>
          <w:szCs w:val="20"/>
          <w:color w:val="auto"/>
        </w:rPr>
      </w:pPr>
      <w:r>
        <w:rPr>
          <w:rFonts w:ascii="Times New Roman" w:cs="Times New Roman" w:eastAsia="Times New Roman" w:hAnsi="Times New Roman"/>
          <w:sz w:val="19"/>
          <w:szCs w:val="19"/>
          <w:color w:val="auto"/>
        </w:rPr>
        <w:t>Notice and the additional provisions set forth in the attached Terms and Conditions of Restricted Stock Units Award (the “</w:t>
      </w:r>
      <w:r>
        <w:rPr>
          <w:rFonts w:ascii="Times New Roman" w:cs="Times New Roman" w:eastAsia="Times New Roman" w:hAnsi="Times New Roman"/>
          <w:sz w:val="19"/>
          <w:szCs w:val="19"/>
          <w:b w:val="1"/>
          <w:bCs w:val="1"/>
          <w:color w:val="auto"/>
        </w:rPr>
        <w:t>Terms</w:t>
      </w:r>
      <w:r>
        <w:rPr>
          <w:rFonts w:ascii="Times New Roman" w:cs="Times New Roman" w:eastAsia="Times New Roman" w:hAnsi="Times New Roman"/>
          <w:sz w:val="19"/>
          <w:szCs w:val="19"/>
          <w:color w:val="auto"/>
        </w:rPr>
        <w:t>”). Together,</w:t>
      </w:r>
    </w:p>
    <w:p>
      <w:pPr>
        <w:ind w:right="320"/>
        <w:spacing w:after="0" w:line="215" w:lineRule="auto"/>
        <w:rPr>
          <w:sz w:val="20"/>
          <w:szCs w:val="20"/>
          <w:color w:val="auto"/>
        </w:rPr>
      </w:pPr>
      <w:r>
        <w:rPr>
          <w:rFonts w:ascii="Times New Roman" w:cs="Times New Roman" w:eastAsia="Times New Roman" w:hAnsi="Times New Roman"/>
          <w:sz w:val="19"/>
          <w:szCs w:val="19"/>
          <w:color w:val="auto"/>
        </w:rPr>
        <w:t>this Notice, the attached Terms and all exhibits and appendices hereto and to the Terms constitute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The terms and conditions of the Plan are incorporated by reference in their entirety into this Agreement. When used in this Agreement, the terms that are</w:t>
      </w:r>
    </w:p>
    <w:p>
      <w:pPr>
        <w:spacing w:after="0"/>
        <w:rPr>
          <w:sz w:val="20"/>
          <w:szCs w:val="20"/>
          <w:color w:val="auto"/>
        </w:rPr>
      </w:pPr>
      <w:r>
        <w:rPr>
          <w:rFonts w:ascii="Times New Roman" w:cs="Times New Roman" w:eastAsia="Times New Roman" w:hAnsi="Times New Roman"/>
          <w:sz w:val="20"/>
          <w:szCs w:val="20"/>
          <w:color w:val="auto"/>
        </w:rPr>
        <w:t>defined in the Plan shall have the meanings given to them in the Plan, as modified herein (if applicable).</w:t>
      </w:r>
    </w:p>
    <w:p>
      <w:pPr>
        <w:spacing w:after="0" w:line="190"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Award Details: </w:t>
      </w:r>
      <w:r>
        <w:rPr>
          <w:rFonts w:ascii="Times New Roman" w:cs="Times New Roman" w:eastAsia="Times New Roman" w:hAnsi="Times New Roman"/>
          <w:sz w:val="19"/>
          <w:szCs w:val="19"/>
          <w:color w:val="auto"/>
        </w:rPr>
        <w:t>The Grantee’s name, the number of Restricted Stock Units awarded and the Grant Date can be found in the Grant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Summary located in the electronic stock plan award administration system maintained by the Company or its designee that contains a link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 (which summary information is set forth in the appropriate records of the Company authorizing such award).</w:t>
      </w:r>
    </w:p>
    <w:p>
      <w:pPr>
        <w:spacing w:after="0" w:line="190"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Vesting Schedule: </w:t>
      </w:r>
      <w:r>
        <w:rPr>
          <w:rFonts w:ascii="Times New Roman" w:cs="Times New Roman" w:eastAsia="Times New Roman" w:hAnsi="Times New Roman"/>
          <w:sz w:val="19"/>
          <w:szCs w:val="19"/>
          <w:color w:val="auto"/>
        </w:rPr>
        <w:t>Subject to the terms of the Plan and this Agreement, the Restricted Stock Units shall become vested, and shares of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issued in settlement of vested Restricted Stock Units, in accordance with the following schedule, in the event the Grantee does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a Separation from Service prior to the applicable vesting date(s):</w:t>
      </w:r>
    </w:p>
    <w:p>
      <w:pPr>
        <w:spacing w:after="0" w:line="229"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1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 Vesting of Granted</w:t>
            </w:r>
          </w:p>
        </w:tc>
      </w:tr>
      <w:tr>
        <w:trPr>
          <w:trHeight w:val="20"/>
        </w:trPr>
        <w:tc>
          <w:tcPr>
            <w:tcW w:w="1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83"/>
        </w:trPr>
        <w:tc>
          <w:tcPr>
            <w:tcW w:w="57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[add applicable vesting date(s)]</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9"/>
          <w:szCs w:val="19"/>
          <w:color w:val="auto"/>
        </w:rPr>
        <w:t>Only a whole number of Restricted Stock Units will become vested as of any given vesting date. If the number of Restricted Stock Units determined as of a vesting date is a fractional number, the number vesting will be rounded down to the nearest whole number with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fractional portion carried forward.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Notice sets forth the terms and provisions regarding treatment of the Award upon Separation form Service. No Restricted Stock Units shall become vested following the Grantee’s Separation from Service except as otherwise</w:t>
      </w:r>
    </w:p>
    <w:p>
      <w:pPr>
        <w:spacing w:after="0"/>
        <w:rPr>
          <w:sz w:val="20"/>
          <w:szCs w:val="20"/>
          <w:color w:val="auto"/>
        </w:rPr>
      </w:pPr>
      <w:r>
        <w:rPr>
          <w:rFonts w:ascii="Times New Roman" w:cs="Times New Roman" w:eastAsia="Times New Roman" w:hAnsi="Times New Roman"/>
          <w:sz w:val="20"/>
          <w:szCs w:val="20"/>
          <w:color w:val="auto"/>
        </w:rPr>
        <w:t xml:space="preserve">expressly provided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Notice or as otherwise provided pursuant to the terms of the Plan.</w:t>
      </w:r>
    </w:p>
    <w:p>
      <w:pPr>
        <w:spacing w:after="0" w:line="190"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20"/>
          <w:szCs w:val="20"/>
          <w:b w:val="1"/>
          <w:bCs w:val="1"/>
          <w:color w:val="auto"/>
        </w:rPr>
        <w:t>Award Acceptance</w:t>
      </w:r>
      <w:r>
        <w:rPr>
          <w:rFonts w:ascii="Times New Roman" w:cs="Times New Roman" w:eastAsia="Times New Roman" w:hAnsi="Times New Roman"/>
          <w:sz w:val="20"/>
          <w:szCs w:val="20"/>
          <w:color w:val="auto"/>
        </w:rPr>
        <w:t>: The Grantee must accept the Agreement electronically pursuant to the online acceptance procedure established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by no later than three months following the Grant Date. If the Grantee does not accept the Agreement through the online</w:t>
      </w:r>
    </w:p>
    <w:p>
      <w:pPr>
        <w:spacing w:after="0" w:line="213" w:lineRule="auto"/>
        <w:rPr>
          <w:sz w:val="20"/>
          <w:szCs w:val="20"/>
          <w:color w:val="auto"/>
        </w:rPr>
      </w:pPr>
      <w:r>
        <w:rPr>
          <w:rFonts w:ascii="Times New Roman" w:cs="Times New Roman" w:eastAsia="Times New Roman" w:hAnsi="Times New Roman"/>
          <w:sz w:val="20"/>
          <w:szCs w:val="20"/>
          <w:color w:val="auto"/>
        </w:rPr>
        <w:t>acceptance process by that date, or such other date that may be communicated, the Grantee will be deemed to have accepted the Agreement</w:t>
      </w:r>
    </w:p>
    <w:p>
      <w:pPr>
        <w:jc w:val="both"/>
        <w:ind w:right="60"/>
        <w:spacing w:after="0" w:line="233" w:lineRule="auto"/>
        <w:rPr>
          <w:sz w:val="20"/>
          <w:szCs w:val="20"/>
          <w:color w:val="auto"/>
        </w:rPr>
      </w:pPr>
      <w:r>
        <w:rPr>
          <w:rFonts w:ascii="Times New Roman" w:cs="Times New Roman" w:eastAsia="Times New Roman" w:hAnsi="Times New Roman"/>
          <w:sz w:val="19"/>
          <w:szCs w:val="19"/>
          <w:color w:val="auto"/>
        </w:rPr>
        <w:t>and the Company will automatically accept the Agreement on the Grantee’s behalf. If the Grantee declines the Agreement, the Award will be canceled and the Grantee will not be entitled to any benefits from the Award nor any compensation or benefits in lieu of the canceled award.</w:t>
      </w:r>
    </w:p>
    <w:p>
      <w:pPr>
        <w:sectPr>
          <w:pgSz w:w="11900" w:h="16838" w:orient="portrait"/>
          <w:cols w:equalWidth="0" w:num="1">
            <w:col w:w="11240"/>
          </w:cols>
          <w:pgMar w:left="320" w:top="1007" w:right="339"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from Service and Change in Control</w:t>
      </w:r>
    </w:p>
    <w:p>
      <w:pPr>
        <w:spacing w:after="0" w:line="220" w:lineRule="exact"/>
        <w:rPr>
          <w:sz w:val="20"/>
          <w:szCs w:val="20"/>
          <w:color w:val="auto"/>
        </w:rPr>
      </w:pPr>
    </w:p>
    <w:p>
      <w:pPr>
        <w:jc w:val="both"/>
        <w:ind w:right="20" w:firstLine="206"/>
        <w:spacing w:after="0" w:line="226" w:lineRule="auto"/>
        <w:tabs>
          <w:tab w:leader="none" w:pos="61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Impact of Separation from Service; Change in Control</w:t>
      </w:r>
      <w:r>
        <w:rPr>
          <w:rFonts w:ascii="Times New Roman" w:cs="Times New Roman" w:eastAsia="Times New Roman" w:hAnsi="Times New Roman"/>
          <w:sz w:val="20"/>
          <w:szCs w:val="20"/>
          <w:color w:val="auto"/>
        </w:rPr>
        <w:t>. If the Grantee has a Separation from Service before any of the vesting date(s) specified under “Vesting Schedule” in the Notice, then any unvested Restricted Stock Units shall become vested or be canceled depending on the reason for Separation from Service as follows:</w:t>
      </w:r>
    </w:p>
    <w:p>
      <w:pPr>
        <w:spacing w:after="0" w:line="146" w:lineRule="exact"/>
        <w:rPr>
          <w:rFonts w:ascii="Times New Roman" w:cs="Times New Roman" w:eastAsia="Times New Roman" w:hAnsi="Times New Roman"/>
          <w:sz w:val="20"/>
          <w:szCs w:val="20"/>
          <w:color w:val="auto"/>
        </w:rPr>
      </w:pPr>
    </w:p>
    <w:p>
      <w:pPr>
        <w:ind w:right="60" w:firstLine="404"/>
        <w:spacing w:after="0" w:line="234" w:lineRule="auto"/>
        <w:tabs>
          <w:tab w:leader="none" w:pos="780"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Death or Disability</w:t>
      </w:r>
      <w:r>
        <w:rPr>
          <w:rFonts w:ascii="Times New Roman" w:cs="Times New Roman" w:eastAsia="Times New Roman" w:hAnsi="Times New Roman"/>
          <w:sz w:val="19"/>
          <w:szCs w:val="19"/>
          <w:color w:val="auto"/>
        </w:rPr>
        <w:t xml:space="preserve">. If the Grantee has a Separation from Service due to the Grantee’s death or Disability, any unvested Restricted Stock Units shall become immediately vested as of the date of such Separation from Service. [In addition, in the event of the Grantee’s death after Separation from Service due to Special Retirement, any Restricted Stock Units that had not yet become vested in accordance with the schedule set forth under “Vesting Schedule” in the Notice shall become immediately vested as of the date of such death.] </w:t>
      </w:r>
      <w:r>
        <w:rPr>
          <w:rFonts w:ascii="Times New Roman" w:cs="Times New Roman" w:eastAsia="Times New Roman" w:hAnsi="Times New Roman"/>
          <w:sz w:val="19"/>
          <w:szCs w:val="19"/>
          <w:b w:val="1"/>
          <w:bCs w:val="1"/>
          <w:color w:val="auto"/>
        </w:rPr>
        <w:t>[add if applicable]</w:t>
      </w:r>
    </w:p>
    <w:p>
      <w:pPr>
        <w:spacing w:after="0" w:line="133" w:lineRule="exact"/>
        <w:rPr>
          <w:rFonts w:ascii="Times New Roman" w:cs="Times New Roman" w:eastAsia="Times New Roman" w:hAnsi="Times New Roman"/>
          <w:sz w:val="19"/>
          <w:szCs w:val="19"/>
          <w:color w:val="auto"/>
        </w:rPr>
      </w:pPr>
    </w:p>
    <w:p>
      <w:pPr>
        <w:ind w:right="120" w:firstLine="404"/>
        <w:spacing w:after="0" w:line="215" w:lineRule="auto"/>
        <w:tabs>
          <w:tab w:leader="none" w:pos="835"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Termination without Cause</w:t>
      </w:r>
      <w:r>
        <w:rPr>
          <w:rFonts w:ascii="Times New Roman" w:cs="Times New Roman" w:eastAsia="Times New Roman" w:hAnsi="Times New Roman"/>
          <w:sz w:val="20"/>
          <w:szCs w:val="20"/>
          <w:color w:val="auto"/>
        </w:rPr>
        <w:t>. If the Grantee has an Involuntary Termination without Cause at least six months after the Grant Date, a prorated portion of any unvested Restricted Stock Units shall become immediately vested as of the date of such Involuntary Termination without Cause. Such prorated vesting shall be determined as follows: (A) the total number of Restricted Stock Units granted shall be multiplied by the Pro Rata Fraction, rounded up to the next whole number, and (B) such resulting amount shall be reduced by the number of Restricted Stock Units (if any) that previously vested in accordance with the schedule set forth under “Vesting Schedule” in the Notice. In addition, the Grantee must execute, deliver and not revoke, no later than sixty (60) days following Separation from Service, a general release of claims if requested by, and in a form satisfactory to, the Company.</w:t>
      </w:r>
    </w:p>
    <w:p>
      <w:pPr>
        <w:spacing w:after="0" w:line="178" w:lineRule="exact"/>
        <w:rPr>
          <w:sz w:val="20"/>
          <w:szCs w:val="20"/>
          <w:color w:val="auto"/>
        </w:rPr>
      </w:pPr>
    </w:p>
    <w:p>
      <w:pPr>
        <w:ind w:right="200" w:firstLine="396"/>
        <w:spacing w:after="0" w:line="234" w:lineRule="auto"/>
        <w:rPr>
          <w:sz w:val="20"/>
          <w:szCs w:val="20"/>
          <w:color w:val="auto"/>
        </w:rPr>
      </w:pPr>
      <w:r>
        <w:rPr>
          <w:rFonts w:ascii="Times New Roman" w:cs="Times New Roman" w:eastAsia="Times New Roman" w:hAnsi="Times New Roman"/>
          <w:sz w:val="19"/>
          <w:szCs w:val="19"/>
          <w:color w:val="auto"/>
        </w:rPr>
        <w:t xml:space="preserve">[(iii) </w:t>
      </w:r>
      <w:r>
        <w:rPr>
          <w:rFonts w:ascii="Times New Roman" w:cs="Times New Roman" w:eastAsia="Times New Roman" w:hAnsi="Times New Roman"/>
          <w:sz w:val="19"/>
          <w:szCs w:val="19"/>
          <w:u w:val="single" w:color="auto"/>
          <w:color w:val="auto"/>
        </w:rPr>
        <w:t>Special Retirement</w:t>
      </w:r>
      <w:r>
        <w:rPr>
          <w:rFonts w:ascii="Times New Roman" w:cs="Times New Roman" w:eastAsia="Times New Roman" w:hAnsi="Times New Roman"/>
          <w:sz w:val="19"/>
          <w:szCs w:val="19"/>
          <w:color w:val="auto"/>
        </w:rPr>
        <w:t>. If the Grantee has a Separation from Service due to Special Retirement, the Restricted Stock Units shall continue to become vested in accordance with the schedule set forth under “Vesting Schedule” in the Notice as if the Grantee had not had a</w:t>
      </w:r>
    </w:p>
    <w:p>
      <w:pPr>
        <w:spacing w:after="0" w:line="1" w:lineRule="exact"/>
        <w:rPr>
          <w:sz w:val="20"/>
          <w:szCs w:val="20"/>
          <w:color w:val="auto"/>
        </w:rPr>
      </w:pPr>
    </w:p>
    <w:p>
      <w:pPr>
        <w:ind w:right="40"/>
        <w:spacing w:after="0" w:line="204" w:lineRule="auto"/>
        <w:rPr>
          <w:sz w:val="20"/>
          <w:szCs w:val="20"/>
          <w:color w:val="auto"/>
        </w:rPr>
      </w:pPr>
      <w:r>
        <w:rPr>
          <w:rFonts w:ascii="Times New Roman" w:cs="Times New Roman" w:eastAsia="Times New Roman" w:hAnsi="Times New Roman"/>
          <w:sz w:val="20"/>
          <w:szCs w:val="20"/>
          <w:color w:val="auto"/>
        </w:rPr>
        <w:t>Separation from Service, but provided that the Grantee complies with the requirements of Section 7 of the Terms (regarding compliance with post-employment covenants). In addition, the Grantee must execute, deliver and not revoke, no later than sixty (60) days following</w:t>
      </w:r>
    </w:p>
    <w:p>
      <w:pPr>
        <w:spacing w:after="0" w:line="211" w:lineRule="auto"/>
        <w:rPr>
          <w:sz w:val="20"/>
          <w:szCs w:val="20"/>
          <w:color w:val="auto"/>
        </w:rPr>
      </w:pPr>
      <w:r>
        <w:rPr>
          <w:rFonts w:ascii="Times New Roman" w:cs="Times New Roman" w:eastAsia="Times New Roman" w:hAnsi="Times New Roman"/>
          <w:sz w:val="20"/>
          <w:szCs w:val="20"/>
          <w:color w:val="auto"/>
        </w:rPr>
        <w:t>Separation from Service, a general release of claims if requested by, and in a form satisfactory to, the Company. Notwithstanding the</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preceding sentences, if the Company receives an opinion of counsel that there has been a legal judgment and/or legal development in the Grantee’s jurisdiction that likely would result in the favorable Special Retirement treatment that otherwise would apply to the Restricted</w:t>
      </w:r>
    </w:p>
    <w:p>
      <w:pPr>
        <w:spacing w:after="0" w:line="211" w:lineRule="auto"/>
        <w:rPr>
          <w:sz w:val="20"/>
          <w:szCs w:val="20"/>
          <w:color w:val="auto"/>
        </w:rPr>
      </w:pPr>
      <w:r>
        <w:rPr>
          <w:rFonts w:ascii="Times New Roman" w:cs="Times New Roman" w:eastAsia="Times New Roman" w:hAnsi="Times New Roman"/>
          <w:sz w:val="20"/>
          <w:szCs w:val="20"/>
          <w:color w:val="auto"/>
        </w:rPr>
        <w:t>Stock Units pursuant to this Section (a)(iii) being deemed unlawful and/or discriminatory, then the Company will not apply this favorable</w:t>
      </w:r>
    </w:p>
    <w:p>
      <w:pPr>
        <w:ind w:right="240"/>
        <w:spacing w:after="0" w:line="215" w:lineRule="auto"/>
        <w:rPr>
          <w:sz w:val="20"/>
          <w:szCs w:val="20"/>
          <w:color w:val="auto"/>
        </w:rPr>
      </w:pPr>
      <w:r>
        <w:rPr>
          <w:rFonts w:ascii="Times New Roman" w:cs="Times New Roman" w:eastAsia="Times New Roman" w:hAnsi="Times New Roman"/>
          <w:sz w:val="19"/>
          <w:szCs w:val="19"/>
          <w:color w:val="auto"/>
        </w:rPr>
        <w:t>Special Retirement treatment at the time of the Grantee’s Separation from Service and the Restricted Stock Units will be treated as they would under the rules that otherwise would have applied if the Grantee’s Separation from Service did not qualify as a Special Retirement.]</w:t>
      </w:r>
    </w:p>
    <w:p>
      <w:pPr>
        <w:spacing w:after="0"/>
        <w:rPr>
          <w:sz w:val="20"/>
          <w:szCs w:val="20"/>
          <w:color w:val="auto"/>
        </w:rPr>
      </w:pPr>
      <w:r>
        <w:rPr>
          <w:rFonts w:ascii="Times New Roman" w:cs="Times New Roman" w:eastAsia="Times New Roman" w:hAnsi="Times New Roman"/>
          <w:sz w:val="20"/>
          <w:szCs w:val="20"/>
          <w:b w:val="1"/>
          <w:bCs w:val="1"/>
          <w:color w:val="auto"/>
        </w:rPr>
        <w:t>[add if applicable]</w:t>
      </w:r>
    </w:p>
    <w:p>
      <w:pPr>
        <w:spacing w:after="0" w:line="194" w:lineRule="exact"/>
        <w:rPr>
          <w:sz w:val="20"/>
          <w:szCs w:val="20"/>
          <w:color w:val="auto"/>
        </w:rPr>
      </w:pPr>
    </w:p>
    <w:p>
      <w:pPr>
        <w:jc w:val="both"/>
        <w:ind w:right="120" w:firstLine="404"/>
        <w:spacing w:after="0" w:line="226" w:lineRule="auto"/>
        <w:tabs>
          <w:tab w:leader="none" w:pos="879"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Notwithstanding anything in this Agreement to the contrary but subject to the provisions of Section 15.3.1(i) of the Plan, if (A) a Change in Control occurs and (B) the Grantee has a Change in Control Termination, then any unvested Restricted Stock Units shall become immediately vested as of the date of such Change in Control Termination.</w:t>
      </w:r>
    </w:p>
    <w:p>
      <w:pPr>
        <w:spacing w:after="0" w:line="187" w:lineRule="exact"/>
        <w:rPr>
          <w:rFonts w:ascii="Times New Roman" w:cs="Times New Roman" w:eastAsia="Times New Roman" w:hAnsi="Times New Roman"/>
          <w:sz w:val="20"/>
          <w:szCs w:val="20"/>
          <w:color w:val="auto"/>
        </w:rPr>
      </w:pPr>
    </w:p>
    <w:p>
      <w:pPr>
        <w:ind w:firstLine="1304"/>
        <w:spacing w:after="0" w:line="222" w:lineRule="auto"/>
        <w:tabs>
          <w:tab w:leader="none" w:pos="1823"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Any other Separation from Service</w:t>
      </w:r>
      <w:r>
        <w:rPr>
          <w:rFonts w:ascii="Times New Roman" w:cs="Times New Roman" w:eastAsia="Times New Roman" w:hAnsi="Times New Roman"/>
          <w:sz w:val="20"/>
          <w:szCs w:val="20"/>
          <w:color w:val="auto"/>
        </w:rPr>
        <w:t>. If the Grantee has a Separation from Service for any reason other than as specified in subparagraphs (i) through (iv) above, any Restricted Stock Units that were not already vested pursuant to the schedule specified under “Vesting Schedule” in the Notice as of the date of the Separation from Service shall be immediately canceled as of the date of Separation from Service.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1" w:lineRule="exact"/>
        <w:rPr>
          <w:rFonts w:ascii="Times New Roman" w:cs="Times New Roman" w:eastAsia="Times New Roman" w:hAnsi="Times New Roman"/>
          <w:sz w:val="20"/>
          <w:szCs w:val="20"/>
          <w:color w:val="auto"/>
        </w:rPr>
      </w:pPr>
    </w:p>
    <w:p>
      <w:pPr>
        <w:ind w:left="640" w:hanging="434"/>
        <w:spacing w:after="0"/>
        <w:tabs>
          <w:tab w:leader="none" w:pos="64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for the termination of Service will be deemed to exist if the Grantee:</w:t>
      </w:r>
    </w:p>
    <w:p>
      <w:pPr>
        <w:spacing w:after="0" w:line="179" w:lineRule="exact"/>
        <w:rPr>
          <w:sz w:val="20"/>
          <w:szCs w:val="20"/>
          <w:color w:val="auto"/>
        </w:rPr>
      </w:pPr>
    </w:p>
    <w:p>
      <w:pPr>
        <w:ind w:left="1960" w:right="220" w:hanging="656"/>
        <w:spacing w:after="0"/>
        <w:tabs>
          <w:tab w:leader="none" w:pos="169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convicted, or entered a plea of nolo contendere, for committing an act of fraud, embezzlement, theft or other act constituting a felony or crime of similar</w:t>
      </w:r>
    </w:p>
    <w:p>
      <w:pPr>
        <w:sectPr>
          <w:pgSz w:w="11900" w:h="16838" w:orient="portrait"/>
          <w:cols w:equalWidth="0" w:num="1">
            <w:col w:w="11220"/>
          </w:cols>
          <w:pgMar w:left="320" w:top="882" w:right="359" w:bottom="1440" w:gutter="0" w:footer="0" w:header="0"/>
        </w:sectPr>
      </w:pPr>
    </w:p>
    <w:bookmarkStart w:id="207" w:name="page208"/>
    <w:bookmarkEnd w:id="207"/>
    <w:p>
      <w:pPr>
        <w:jc w:val="center"/>
        <w:ind w:right="-99"/>
        <w:spacing w:after="0"/>
        <w:rPr>
          <w:sz w:val="20"/>
          <w:szCs w:val="20"/>
          <w:color w:val="auto"/>
        </w:rPr>
      </w:pPr>
      <w:r>
        <w:rPr>
          <w:rFonts w:ascii="Times New Roman" w:cs="Times New Roman" w:eastAsia="Times New Roman" w:hAnsi="Times New Roman"/>
          <w:sz w:val="20"/>
          <w:szCs w:val="20"/>
          <w:color w:val="auto"/>
        </w:rPr>
        <w:t>magnitude under applicable law (other than traffic related offenses or as a result of vicarious liability);</w:t>
      </w:r>
    </w:p>
    <w:p>
      <w:pPr>
        <w:spacing w:after="0" w:line="175" w:lineRule="exact"/>
        <w:rPr>
          <w:sz w:val="20"/>
          <w:szCs w:val="20"/>
          <w:color w:val="auto"/>
        </w:rPr>
      </w:pPr>
    </w:p>
    <w:p>
      <w:pPr>
        <w:ind w:left="1300" w:right="60" w:hanging="656"/>
        <w:spacing w:after="0" w:line="218" w:lineRule="auto"/>
        <w:tabs>
          <w:tab w:leader="none" w:pos="114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willfully engages in illegal conduct or gross misconduct that is significantly injurious to the Company or a Subsidiary, including the Grantee’s material breach of his or her obligations under any written Company policy, including any code of ethics or conduct, which is not cured, if curable, within ten (10) days after the Company or a Subsidiary notifies the Grantee of such breach; however, no act or failure to act on the Grantee’s part shall be considered “willful” unless done or omitted to be done by the Grantee not in good faith and without reasonable belief that his or her action or omission was in the best interest of the Company or a Subsidiary; or</w:t>
      </w:r>
    </w:p>
    <w:p>
      <w:pPr>
        <w:spacing w:after="0" w:line="150" w:lineRule="exact"/>
        <w:rPr>
          <w:rFonts w:ascii="Times New Roman" w:cs="Times New Roman" w:eastAsia="Times New Roman" w:hAnsi="Times New Roman"/>
          <w:sz w:val="20"/>
          <w:szCs w:val="20"/>
          <w:color w:val="auto"/>
        </w:rPr>
      </w:pPr>
    </w:p>
    <w:p>
      <w:pPr>
        <w:ind w:left="1300" w:hanging="656"/>
        <w:spacing w:after="0" w:line="230" w:lineRule="auto"/>
        <w:tabs>
          <w:tab w:leader="none" w:pos="12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perform his or her duties in a reasonably satisfactory manner after the receipt of a notice from the Company or a Subsidiary detailing such failure if the failure is incapable of cure, and if the failure is capable of cure, upon the failure to cure such failure within 30 days of such notice or upon its recurrence.</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 Termination</w:t>
      </w:r>
      <w:r>
        <w:rPr>
          <w:rFonts w:ascii="Times New Roman" w:cs="Times New Roman" w:eastAsia="Times New Roman" w:hAnsi="Times New Roman"/>
          <w:sz w:val="19"/>
          <w:szCs w:val="19"/>
          <w:color w:val="auto"/>
        </w:rPr>
        <w:t>” means the Grantee’s Separation from Service on or within two years after a Change in Control</w:t>
      </w:r>
    </w:p>
    <w:p>
      <w:pPr>
        <w:spacing w:after="0" w:line="10"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20"/>
          <w:szCs w:val="20"/>
          <w:color w:val="auto"/>
        </w:rPr>
        <w:t>if such Separation from Service is either (i) by action of the Company or, if different, the Grantee’s employing Subsidiary (the "</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without Cause or (ii) by action of the Grantee with Good Reason.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Disability</w:t>
      </w:r>
      <w:r>
        <w:rPr>
          <w:rFonts w:ascii="Times New Roman" w:cs="Times New Roman" w:eastAsia="Times New Roman" w:hAnsi="Times New Roman"/>
          <w:sz w:val="19"/>
          <w:szCs w:val="19"/>
          <w:color w:val="auto"/>
        </w:rPr>
        <w:t>” means the status of disability determined conclusively by the Company based upon certification of disability by</w:t>
      </w:r>
    </w:p>
    <w:p>
      <w:pPr>
        <w:spacing w:after="0" w:line="10" w:lineRule="exact"/>
        <w:rPr>
          <w:sz w:val="20"/>
          <w:szCs w:val="20"/>
          <w:color w:val="auto"/>
        </w:rPr>
      </w:pPr>
    </w:p>
    <w:p>
      <w:pPr>
        <w:ind w:right="280"/>
        <w:spacing w:after="0" w:line="204" w:lineRule="auto"/>
        <w:rPr>
          <w:sz w:val="20"/>
          <w:szCs w:val="20"/>
          <w:color w:val="auto"/>
        </w:rPr>
      </w:pPr>
      <w:r>
        <w:rPr>
          <w:rFonts w:ascii="Times New Roman" w:cs="Times New Roman" w:eastAsia="Times New Roman" w:hAnsi="Times New Roman"/>
          <w:sz w:val="20"/>
          <w:szCs w:val="20"/>
          <w:color w:val="auto"/>
        </w:rPr>
        <w:t>the Social Security Administration or an equivalent authority outside the U.S. or, to the extent compliant with Section 409A, upon such other proof as the Company may require, effective upon receipt of such certification or other proof by the Company.</w:t>
      </w:r>
    </w:p>
    <w:p>
      <w:pPr>
        <w:spacing w:after="0" w:line="211" w:lineRule="auto"/>
        <w:rPr>
          <w:sz w:val="20"/>
          <w:szCs w:val="20"/>
          <w:color w:val="auto"/>
        </w:rPr>
      </w:pPr>
      <w:r>
        <w:rPr>
          <w:rFonts w:ascii="Times New Roman" w:cs="Times New Roman" w:eastAsia="Times New Roman" w:hAnsi="Times New Roman"/>
          <w:sz w:val="20"/>
          <w:szCs w:val="20"/>
          <w:color w:val="auto"/>
        </w:rPr>
        <w:t>[Notwithstanding the foregoing, if the Grantee is eligible for Special Retirement as of the date of a Separation from Service due to</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 xml:space="preserve">Disability, the Separation from Service will be treated as Special Retirement and not Separation from Service due to Disability.] </w:t>
      </w:r>
      <w:r>
        <w:rPr>
          <w:rFonts w:ascii="Times New Roman" w:cs="Times New Roman" w:eastAsia="Times New Roman" w:hAnsi="Times New Roman"/>
          <w:sz w:val="20"/>
          <w:szCs w:val="20"/>
          <w:b w:val="1"/>
          <w:bCs w:val="1"/>
          <w:color w:val="auto"/>
        </w:rPr>
        <w:t>[add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if applicable]</w:t>
      </w:r>
    </w:p>
    <w:p>
      <w:pPr>
        <w:spacing w:after="0" w:line="144" w:lineRule="exact"/>
        <w:rPr>
          <w:sz w:val="20"/>
          <w:szCs w:val="20"/>
          <w:color w:val="auto"/>
        </w:rPr>
      </w:pPr>
    </w:p>
    <w:p>
      <w:pPr>
        <w:ind w:right="56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means the occurrence of any of the following events or conditions without the Grantee’s prior written consent:</w:t>
      </w:r>
    </w:p>
    <w:p>
      <w:pPr>
        <w:spacing w:after="0" w:line="188" w:lineRule="exact"/>
        <w:rPr>
          <w:sz w:val="20"/>
          <w:szCs w:val="20"/>
          <w:color w:val="auto"/>
        </w:rPr>
      </w:pPr>
    </w:p>
    <w:p>
      <w:pPr>
        <w:ind w:left="1300" w:right="240" w:hanging="656"/>
        <w:spacing w:after="0" w:line="226" w:lineRule="auto"/>
        <w:tabs>
          <w:tab w:leader="none" w:pos="103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change in the Grantee’s authority, duties or responsibilities (including reporting responsibilities) from the Grantee’s authority, duties or responsibilities as in effect at any time within 90 days preceding the date of the Change in Control or at any time thereafter;</w:t>
      </w:r>
    </w:p>
    <w:p>
      <w:pPr>
        <w:spacing w:after="0" w:line="160" w:lineRule="exact"/>
        <w:rPr>
          <w:rFonts w:ascii="Times New Roman" w:cs="Times New Roman" w:eastAsia="Times New Roman" w:hAnsi="Times New Roman"/>
          <w:sz w:val="20"/>
          <w:szCs w:val="20"/>
          <w:color w:val="auto"/>
        </w:rPr>
      </w:pPr>
    </w:p>
    <w:p>
      <w:pPr>
        <w:ind w:left="1300" w:right="440" w:hanging="656"/>
        <w:spacing w:after="0"/>
        <w:tabs>
          <w:tab w:leader="none" w:pos="109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reduction in Grantee’s base salary or any failure to pay the Grantee any cash compensation to which the Grantee is entitled within 15 days after the date when due;</w:t>
      </w:r>
    </w:p>
    <w:p>
      <w:pPr>
        <w:spacing w:after="0" w:line="147" w:lineRule="exact"/>
        <w:rPr>
          <w:rFonts w:ascii="Times New Roman" w:cs="Times New Roman" w:eastAsia="Times New Roman" w:hAnsi="Times New Roman"/>
          <w:sz w:val="20"/>
          <w:szCs w:val="20"/>
          <w:color w:val="auto"/>
        </w:rPr>
      </w:pPr>
    </w:p>
    <w:p>
      <w:pPr>
        <w:ind w:left="1300" w:right="80" w:hanging="656"/>
        <w:spacing w:after="0" w:line="222" w:lineRule="auto"/>
        <w:tabs>
          <w:tab w:leader="none" w:pos="114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 requirement (other than for reasonably required travel on Company business which is not materially greater in frequency or duration than prior to the Change in Control) that the Grantee be based at any place outside a 50-mile radius from the Grantee’s principal place of employment immediately prior to the Change in Control and which has a material adverse effect on the Grantee’s commuting requirements;</w:t>
      </w:r>
    </w:p>
    <w:p>
      <w:pPr>
        <w:spacing w:after="0" w:line="161" w:lineRule="exact"/>
        <w:rPr>
          <w:rFonts w:ascii="Times New Roman" w:cs="Times New Roman" w:eastAsia="Times New Roman" w:hAnsi="Times New Roman"/>
          <w:sz w:val="20"/>
          <w:szCs w:val="20"/>
          <w:color w:val="auto"/>
        </w:rPr>
      </w:pPr>
    </w:p>
    <w:p>
      <w:pPr>
        <w:ind w:left="1300" w:right="460" w:hanging="656"/>
        <w:spacing w:after="0"/>
        <w:tabs>
          <w:tab w:leader="none" w:pos="113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Grantee is a participant in the Company’s Executive Severance Plan, any other event that constitutes “Good Reason” under that plan.</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Notwithstanding anything to the contrary in this Agreement, no termination will be deemed to be for Good Reason hereunder unless (i) the Grantee provides written notice to the Company identifying the applicable event or condition within 120 days of the</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occurrence of the event or the initial existence of the condition, (ii) the Company or a Subsidiary fails to remedy the event or condition within a period of 30 days following such notice, and (iii) the Grantee’s Separation from Service occurs within 90 days</w:t>
      </w:r>
    </w:p>
    <w:p>
      <w:pPr>
        <w:spacing w:after="0"/>
        <w:rPr>
          <w:sz w:val="20"/>
          <w:szCs w:val="20"/>
          <w:color w:val="auto"/>
        </w:rPr>
      </w:pPr>
      <w:r>
        <w:rPr>
          <w:rFonts w:ascii="Times New Roman" w:cs="Times New Roman" w:eastAsia="Times New Roman" w:hAnsi="Times New Roman"/>
          <w:sz w:val="20"/>
          <w:szCs w:val="20"/>
          <w:color w:val="auto"/>
        </w:rPr>
        <w:t>after the date the Company or a Subsidiary fails to remedy the event or condition.</w:t>
      </w:r>
    </w:p>
    <w:p>
      <w:pPr>
        <w:sectPr>
          <w:pgSz w:w="11900" w:h="16838" w:orient="portrait"/>
          <w:cols w:equalWidth="0" w:num="1">
            <w:col w:w="10580"/>
          </w:cols>
          <w:pgMar w:left="980" w:top="886" w:right="339" w:bottom="1440" w:gutter="0" w:footer="0" w:header="0"/>
        </w:sectPr>
      </w:pPr>
    </w:p>
    <w:bookmarkStart w:id="208" w:name="page209"/>
    <w:bookmarkEnd w:id="208"/>
    <w:p>
      <w:pPr>
        <w:ind w:right="340" w:firstLine="19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Involuntary Termination without Cause</w:t>
      </w:r>
      <w:r>
        <w:rPr>
          <w:rFonts w:ascii="Times New Roman" w:cs="Times New Roman" w:eastAsia="Times New Roman" w:hAnsi="Times New Roman"/>
          <w:sz w:val="19"/>
          <w:szCs w:val="19"/>
          <w:color w:val="auto"/>
        </w:rPr>
        <w:t>” means a Grantee’s Separation from Service by action of the Company or the Employer without Cause, including due to divestiture by the Company of the business unit with which the Grantee is employed.</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[Notwithstanding the foregoing, if the Grantee is eligible for Special Retirement as of the date of such Involuntary Termination without Cause, the Separation from Service will be treated as Special Retirement and not Involuntary Termination without Cause.]</w:t>
      </w:r>
    </w:p>
    <w:p>
      <w:pPr>
        <w:spacing w:after="0"/>
        <w:rPr>
          <w:sz w:val="20"/>
          <w:szCs w:val="20"/>
          <w:color w:val="auto"/>
        </w:rPr>
      </w:pPr>
      <w:r>
        <w:rPr>
          <w:rFonts w:ascii="Times New Roman" w:cs="Times New Roman" w:eastAsia="Times New Roman" w:hAnsi="Times New Roman"/>
          <w:sz w:val="20"/>
          <w:szCs w:val="20"/>
          <w:b w:val="1"/>
          <w:bCs w:val="1"/>
          <w:color w:val="auto"/>
        </w:rPr>
        <w:t>[add if applicable]</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Fraction</w:t>
      </w:r>
      <w:r>
        <w:rPr>
          <w:rFonts w:ascii="Times New Roman" w:cs="Times New Roman" w:eastAsia="Times New Roman" w:hAnsi="Times New Roman"/>
          <w:sz w:val="19"/>
          <w:szCs w:val="19"/>
          <w:color w:val="auto"/>
        </w:rPr>
        <w:t>” means a fraction, the numerator of which is the number of days from the Grant Date of the Restricted Stock</w:t>
      </w:r>
    </w:p>
    <w:p>
      <w:pPr>
        <w:spacing w:after="0" w:line="10"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color w:val="auto"/>
        </w:rPr>
        <w:t>Units through the date of Involuntary Termination without Cause, and the denominator or which is the number of days from the Grant Date of the Restricted Stock Units through the last vesting date set forth under “Vesting Schedule” in the Notice.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Retirement”</w:t>
      </w:r>
      <w:r>
        <w:rPr>
          <w:rFonts w:ascii="Times New Roman" w:cs="Times New Roman" w:eastAsia="Times New Roman" w:hAnsi="Times New Roman"/>
          <w:sz w:val="20"/>
          <w:szCs w:val="20"/>
          <w:color w:val="auto"/>
        </w:rPr>
        <w:t xml:space="preserve"> means a Grantee’s Separation from Service on or after the first anniversary of the Grant Date for any</w:t>
      </w:r>
    </w:p>
    <w:p>
      <w:pPr>
        <w:spacing w:after="0" w:line="204" w:lineRule="auto"/>
        <w:rPr>
          <w:sz w:val="20"/>
          <w:szCs w:val="20"/>
          <w:color w:val="auto"/>
        </w:rPr>
      </w:pPr>
      <w:r>
        <w:rPr>
          <w:rFonts w:ascii="Times New Roman" w:cs="Times New Roman" w:eastAsia="Times New Roman" w:hAnsi="Times New Roman"/>
          <w:sz w:val="20"/>
          <w:szCs w:val="20"/>
          <w:color w:val="auto"/>
        </w:rPr>
        <w:t>reason other than death or by the Company or the Employer for Cause after the Grantee has attained at least age 59-1/2 and either (i) the Grantee has at least ten years of Service or (ii) the Grantee’s combined age and years of Service equals at least 70. The</w:t>
      </w:r>
    </w:p>
    <w:p>
      <w:pPr>
        <w:spacing w:after="0" w:line="1" w:lineRule="exact"/>
        <w:rPr>
          <w:sz w:val="20"/>
          <w:szCs w:val="20"/>
          <w:color w:val="auto"/>
        </w:rPr>
      </w:pPr>
    </w:p>
    <w:p>
      <w:pPr>
        <w:ind w:right="260"/>
        <w:spacing w:after="0" w:line="215" w:lineRule="auto"/>
        <w:rPr>
          <w:sz w:val="20"/>
          <w:szCs w:val="20"/>
          <w:color w:val="auto"/>
        </w:rPr>
      </w:pPr>
      <w:r>
        <w:rPr>
          <w:rFonts w:ascii="Times New Roman" w:cs="Times New Roman" w:eastAsia="Times New Roman" w:hAnsi="Times New Roman"/>
          <w:sz w:val="19"/>
          <w:szCs w:val="19"/>
          <w:color w:val="auto"/>
        </w:rPr>
        <w:t>Company’s determination of years of Service for such purpose shall be final and binding on all parties. Notwithstanding the foregoing, if the Grantee’s Separation from Service during the two-year period following a Change in Control could be treated as</w:t>
      </w:r>
    </w:p>
    <w:p>
      <w:pPr>
        <w:ind w:right="100"/>
        <w:spacing w:after="0" w:line="228" w:lineRule="auto"/>
        <w:rPr>
          <w:sz w:val="20"/>
          <w:szCs w:val="20"/>
          <w:color w:val="auto"/>
        </w:rPr>
      </w:pPr>
      <w:r>
        <w:rPr>
          <w:rFonts w:ascii="Times New Roman" w:cs="Times New Roman" w:eastAsia="Times New Roman" w:hAnsi="Times New Roman"/>
          <w:sz w:val="20"/>
          <w:szCs w:val="20"/>
          <w:color w:val="auto"/>
        </w:rPr>
        <w:t xml:space="preserve">either a Special Retirement or a Change in Control Termination, it shall be treated as a Change in Control Termination to the extent permitted by Section 409A.] </w:t>
      </w:r>
      <w:r>
        <w:rPr>
          <w:rFonts w:ascii="Times New Roman" w:cs="Times New Roman" w:eastAsia="Times New Roman" w:hAnsi="Times New Roman"/>
          <w:sz w:val="20"/>
          <w:szCs w:val="20"/>
          <w:b w:val="1"/>
          <w:bCs w:val="1"/>
          <w:color w:val="auto"/>
        </w:rPr>
        <w:t>[add if applicable]</w:t>
      </w:r>
    </w:p>
    <w:p>
      <w:pPr>
        <w:sectPr>
          <w:pgSz w:w="11900" w:h="16838" w:orient="portrait"/>
          <w:cols w:equalWidth="0" w:num="1">
            <w:col w:w="10480"/>
          </w:cols>
          <w:pgMar w:left="980" w:top="882" w:right="439" w:bottom="1440" w:gutter="0" w:footer="0" w:header="0"/>
        </w:sectPr>
      </w:pPr>
    </w:p>
    <w:bookmarkStart w:id="209" w:name="page210"/>
    <w:bookmarkEnd w:id="209"/>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2197100</wp:posOffset>
            </wp:positionH>
            <wp:positionV relativeFrom="page">
              <wp:posOffset>586105</wp:posOffset>
            </wp:positionV>
            <wp:extent cx="1491615" cy="3600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60045"/>
                    </a:xfrm>
                    <a:prstGeom prst="rect">
                      <a:avLst/>
                    </a:prstGeom>
                    <a:noFill/>
                  </pic:spPr>
                </pic:pic>
              </a:graphicData>
            </a:graphic>
          </wp:anchor>
        </w:drawing>
      </w:r>
    </w:p>
    <w:p>
      <w:pPr>
        <w:jc w:val="center"/>
        <w:ind w:right="-142"/>
        <w:spacing w:after="0"/>
        <w:rPr>
          <w:sz w:val="20"/>
          <w:szCs w:val="20"/>
          <w:color w:val="auto"/>
        </w:rPr>
      </w:pPr>
      <w:r>
        <w:rPr>
          <w:rFonts w:ascii="Times New Roman" w:cs="Times New Roman" w:eastAsia="Times New Roman" w:hAnsi="Times New Roman"/>
          <w:sz w:val="20"/>
          <w:szCs w:val="20"/>
          <w:b w:val="1"/>
          <w:bCs w:val="1"/>
          <w:color w:val="auto"/>
        </w:rPr>
        <w:t>LEIDOS HOLDINGS, INC.</w:t>
      </w:r>
    </w:p>
    <w:p>
      <w:pPr>
        <w:jc w:val="center"/>
        <w:ind w:right="-142"/>
        <w:spacing w:after="0"/>
        <w:rPr>
          <w:sz w:val="20"/>
          <w:szCs w:val="20"/>
          <w:color w:val="auto"/>
        </w:rPr>
      </w:pPr>
      <w:r>
        <w:rPr>
          <w:rFonts w:ascii="Times New Roman" w:cs="Times New Roman" w:eastAsia="Times New Roman" w:hAnsi="Times New Roman"/>
          <w:sz w:val="20"/>
          <w:szCs w:val="20"/>
          <w:b w:val="1"/>
          <w:bCs w:val="1"/>
          <w:color w:val="auto"/>
        </w:rPr>
        <w:t>2017 OMNIBUS INCENTIVE PLAN</w:t>
      </w:r>
    </w:p>
    <w:p>
      <w:pPr>
        <w:spacing w:after="0" w:line="176" w:lineRule="exact"/>
        <w:rPr>
          <w:sz w:val="20"/>
          <w:szCs w:val="20"/>
          <w:color w:val="auto"/>
        </w:rPr>
      </w:pPr>
    </w:p>
    <w:p>
      <w:pPr>
        <w:jc w:val="center"/>
        <w:ind w:right="-142"/>
        <w:spacing w:after="0"/>
        <w:rPr>
          <w:sz w:val="20"/>
          <w:szCs w:val="20"/>
          <w:color w:val="auto"/>
        </w:rPr>
      </w:pPr>
      <w:r>
        <w:rPr>
          <w:rFonts w:ascii="Times New Roman" w:cs="Times New Roman" w:eastAsia="Times New Roman" w:hAnsi="Times New Roman"/>
          <w:sz w:val="20"/>
          <w:szCs w:val="20"/>
          <w:b w:val="1"/>
          <w:bCs w:val="1"/>
          <w:color w:val="auto"/>
        </w:rPr>
        <w:t>TERMS AND CONDITIONS OF RESTRICTED STOCK UNIT AWARD</w:t>
      </w:r>
    </w:p>
    <w:p>
      <w:pPr>
        <w:spacing w:after="0" w:line="2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The Restricted Stock Unit Award (the “</w:t>
      </w:r>
      <w:r>
        <w:rPr>
          <w:rFonts w:ascii="Times New Roman" w:cs="Times New Roman" w:eastAsia="Times New Roman" w:hAnsi="Times New Roman"/>
          <w:sz w:val="20"/>
          <w:szCs w:val="20"/>
          <w:b w:val="1"/>
          <w:bCs w:val="1"/>
          <w:color w:val="auto"/>
        </w:rPr>
        <w:t>Award</w:t>
      </w:r>
      <w:r>
        <w:rPr>
          <w:rFonts w:ascii="Times New Roman" w:cs="Times New Roman" w:eastAsia="Times New Roman" w:hAnsi="Times New Roman"/>
          <w:sz w:val="20"/>
          <w:szCs w:val="20"/>
          <w:color w:val="auto"/>
        </w:rPr>
        <w:t>”) granted by Leidos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the Grantee specified in the</w:t>
      </w:r>
    </w:p>
    <w:p>
      <w:pPr>
        <w:ind w:left="3" w:right="260"/>
        <w:spacing w:after="0" w:line="215" w:lineRule="auto"/>
        <w:rPr>
          <w:sz w:val="20"/>
          <w:szCs w:val="20"/>
          <w:color w:val="auto"/>
        </w:rPr>
      </w:pPr>
      <w:r>
        <w:rPr>
          <w:rFonts w:ascii="Times New Roman" w:cs="Times New Roman" w:eastAsia="Times New Roman" w:hAnsi="Times New Roman"/>
          <w:sz w:val="19"/>
          <w:szCs w:val="19"/>
          <w:color w:val="auto"/>
        </w:rPr>
        <w:t>Notice of Grant of Restricted Stock Unit Award (the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to which these Terms and Conditions of Restricted Stock Unit Award, including any additional terms and conditions for Grantees outside the United States set forth in Appendices A and B (collectively, the</w:t>
      </w:r>
    </w:p>
    <w:p>
      <w:pPr>
        <w:ind w:left="3"/>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Terms</w:t>
      </w:r>
      <w:r>
        <w:rPr>
          <w:rFonts w:ascii="Times New Roman" w:cs="Times New Roman" w:eastAsia="Times New Roman" w:hAnsi="Times New Roman"/>
          <w:sz w:val="20"/>
          <w:szCs w:val="20"/>
          <w:color w:val="auto"/>
        </w:rPr>
        <w:t>”) are attached, is subject to the terms and conditions of the Plan, the Notice, and these Terms. The terms and conditions of the</w:t>
      </w:r>
    </w:p>
    <w:p>
      <w:pPr>
        <w:jc w:val="both"/>
        <w:ind w:left="3" w:right="20"/>
        <w:spacing w:after="0" w:line="215" w:lineRule="auto"/>
        <w:rPr>
          <w:sz w:val="20"/>
          <w:szCs w:val="20"/>
          <w:color w:val="auto"/>
        </w:rPr>
      </w:pPr>
      <w:r>
        <w:rPr>
          <w:rFonts w:ascii="Times New Roman" w:cs="Times New Roman" w:eastAsia="Times New Roman" w:hAnsi="Times New Roman"/>
          <w:sz w:val="19"/>
          <w:szCs w:val="19"/>
          <w:color w:val="auto"/>
        </w:rPr>
        <w:t>Plan are incorporated by reference in their entirety into these Terms. The Notice and these Terms together constitute the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A Prospectus describing the Plan has been delivered to the Grantee. The Plan itself is available upon request. When used in this Agreement,</w:t>
      </w:r>
    </w:p>
    <w:p>
      <w:pPr>
        <w:ind w:left="3"/>
        <w:spacing w:after="0"/>
        <w:rPr>
          <w:sz w:val="20"/>
          <w:szCs w:val="20"/>
          <w:color w:val="auto"/>
        </w:rPr>
      </w:pPr>
      <w:r>
        <w:rPr>
          <w:rFonts w:ascii="Times New Roman" w:cs="Times New Roman" w:eastAsia="Times New Roman" w:hAnsi="Times New Roman"/>
          <w:sz w:val="20"/>
          <w:szCs w:val="20"/>
          <w:color w:val="auto"/>
        </w:rPr>
        <w:t>the terms which are defined in the Plan shall have the meanings given to them in the Plan, as modified herein (if applicable).</w:t>
      </w:r>
    </w:p>
    <w:p>
      <w:pPr>
        <w:spacing w:after="0" w:line="194" w:lineRule="exact"/>
        <w:rPr>
          <w:sz w:val="20"/>
          <w:szCs w:val="20"/>
          <w:color w:val="auto"/>
        </w:rPr>
      </w:pPr>
    </w:p>
    <w:p>
      <w:pPr>
        <w:ind w:left="643" w:hanging="643"/>
        <w:spacing w:after="0"/>
        <w:tabs>
          <w:tab w:leader="none" w:pos="64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Units</w:t>
      </w:r>
      <w:r>
        <w:rPr>
          <w:rFonts w:ascii="Times New Roman" w:cs="Times New Roman" w:eastAsia="Times New Roman" w:hAnsi="Times New Roman"/>
          <w:sz w:val="20"/>
          <w:szCs w:val="20"/>
          <w:color w:val="auto"/>
        </w:rPr>
        <w:t>.</w:t>
      </w:r>
    </w:p>
    <w:p>
      <w:pPr>
        <w:spacing w:after="0" w:line="310" w:lineRule="exact"/>
        <w:rPr>
          <w:rFonts w:ascii="Times New Roman" w:cs="Times New Roman" w:eastAsia="Times New Roman" w:hAnsi="Times New Roman"/>
          <w:sz w:val="20"/>
          <w:szCs w:val="20"/>
          <w:color w:val="auto"/>
        </w:rPr>
      </w:pPr>
    </w:p>
    <w:p>
      <w:pPr>
        <w:ind w:left="643" w:right="100" w:firstLine="654"/>
        <w:spacing w:after="0" w:line="226" w:lineRule="auto"/>
        <w:tabs>
          <w:tab w:leader="none" w:pos="18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Grant Date set forth in the Notice, the Company grants to the Grantee the number of Restricted Stock Units (“</w:t>
      </w:r>
      <w:r>
        <w:rPr>
          <w:rFonts w:ascii="Times New Roman" w:cs="Times New Roman" w:eastAsia="Times New Roman" w:hAnsi="Times New Roman"/>
          <w:sz w:val="20"/>
          <w:szCs w:val="20"/>
          <w:b w:val="1"/>
          <w:bCs w:val="1"/>
          <w:color w:val="auto"/>
        </w:rPr>
        <w:t>Units</w:t>
      </w:r>
      <w:r>
        <w:rPr>
          <w:rFonts w:ascii="Times New Roman" w:cs="Times New Roman" w:eastAsia="Times New Roman" w:hAnsi="Times New Roman"/>
          <w:sz w:val="20"/>
          <w:szCs w:val="20"/>
          <w:color w:val="auto"/>
        </w:rPr>
        <w:t>”) set forth in the Notice. Each Unit represents the right to receive one share of Stock at a future date after the Unit has become vested, subject to the terms and conditions of this Agreement.</w:t>
      </w:r>
    </w:p>
    <w:p>
      <w:pPr>
        <w:spacing w:after="0" w:line="187" w:lineRule="exact"/>
        <w:rPr>
          <w:rFonts w:ascii="Times New Roman" w:cs="Times New Roman" w:eastAsia="Times New Roman" w:hAnsi="Times New Roman"/>
          <w:sz w:val="20"/>
          <w:szCs w:val="20"/>
          <w:color w:val="auto"/>
        </w:rPr>
      </w:pPr>
    </w:p>
    <w:p>
      <w:pPr>
        <w:ind w:left="643" w:right="300" w:firstLine="654"/>
        <w:spacing w:after="0" w:line="222" w:lineRule="auto"/>
        <w:tabs>
          <w:tab w:leader="none" w:pos="1846"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covered by this Award shall become vested in accordance with the schedule set forth in the Notice. Each vested Unit shall be settled on the date(s) specified in the Notice by issuance of one share of Stock on or as soon as administratively practicable (but no more than 75 days) after the applicable vesting date specified in the Notice, subject to the requirements of the Plan and this Agreement.</w:t>
      </w:r>
    </w:p>
    <w:p>
      <w:pPr>
        <w:spacing w:after="0" w:line="188" w:lineRule="exact"/>
        <w:rPr>
          <w:rFonts w:ascii="Times New Roman" w:cs="Times New Roman" w:eastAsia="Times New Roman" w:hAnsi="Times New Roman"/>
          <w:sz w:val="20"/>
          <w:szCs w:val="20"/>
          <w:color w:val="auto"/>
        </w:rPr>
      </w:pPr>
    </w:p>
    <w:p>
      <w:pPr>
        <w:ind w:left="643" w:firstLine="654"/>
        <w:spacing w:after="0" w:line="220" w:lineRule="auto"/>
        <w:tabs>
          <w:tab w:leader="none" w:pos="18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constitute an unfunded and unsecured obligation of the Company. The Grantee shall not have any rights of a stockholder of the Company with respect to the shares of Stock underlying the Units unless and until the Units become vested and are settled by the issuance of shares of Stock. Upon issuance of shares of Stock in connection with the settlement of vested Units, the Grantee shall be the record owner of the shares of Stock unless and until such shares are sold or otherwise disposed of, and as record owner shall be entitled to all rights of a stockholder of the Company (including voting rights).</w:t>
      </w:r>
    </w:p>
    <w:p>
      <w:pPr>
        <w:spacing w:after="0" w:line="174" w:lineRule="exact"/>
        <w:rPr>
          <w:rFonts w:ascii="Times New Roman" w:cs="Times New Roman" w:eastAsia="Times New Roman" w:hAnsi="Times New Roman"/>
          <w:sz w:val="20"/>
          <w:szCs w:val="20"/>
          <w:color w:val="auto"/>
        </w:rPr>
      </w:pPr>
    </w:p>
    <w:p>
      <w:pPr>
        <w:jc w:val="both"/>
        <w:ind w:left="643" w:right="80" w:firstLine="654"/>
        <w:spacing w:after="0" w:line="222" w:lineRule="auto"/>
        <w:tabs>
          <w:tab w:leader="none" w:pos="1846"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Units vested will receive dividend equivalents paid in cash (without interest) based on the dividend rates in effect during the vesting period applied to the number of Units in which the Grantee vests, subject to the vesting provisions set forth in the Notice. Cash dividend equivalents accrued on the vested Units will be paid in cash on or about the same time the vested Units are settled and paid.</w:t>
      </w:r>
    </w:p>
    <w:p>
      <w:pPr>
        <w:spacing w:after="0" w:line="188" w:lineRule="exact"/>
        <w:rPr>
          <w:rFonts w:ascii="Times New Roman" w:cs="Times New Roman" w:eastAsia="Times New Roman" w:hAnsi="Times New Roman"/>
          <w:sz w:val="20"/>
          <w:szCs w:val="20"/>
          <w:color w:val="auto"/>
        </w:rPr>
      </w:pPr>
    </w:p>
    <w:p>
      <w:pPr>
        <w:ind w:left="643" w:right="140" w:firstLine="654"/>
        <w:spacing w:after="0" w:line="220" w:lineRule="auto"/>
        <w:tabs>
          <w:tab w:leader="none" w:pos="1848"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Grantee is a U.S. taxpayer, payment of Units that become vested under this Agreement may be deferred under the terms of the Company’s Key Executive Stock Deferral Plan (or any similar plan or program) in which the Grantee is eligible to participate, subject to the terms and conditions of such plan and the requirements of Section 409A. Any Units deferred under any such plan shall be administered in accordance with the terms and provisions of such plan.</w:t>
      </w:r>
    </w:p>
    <w:p>
      <w:pPr>
        <w:spacing w:after="0" w:line="187" w:lineRule="exact"/>
        <w:rPr>
          <w:rFonts w:ascii="Times New Roman" w:cs="Times New Roman" w:eastAsia="Times New Roman" w:hAnsi="Times New Roman"/>
          <w:sz w:val="20"/>
          <w:szCs w:val="20"/>
          <w:color w:val="auto"/>
        </w:rPr>
      </w:pPr>
    </w:p>
    <w:p>
      <w:pPr>
        <w:ind w:left="643" w:right="140" w:hanging="642"/>
        <w:spacing w:after="0" w:line="217" w:lineRule="auto"/>
        <w:tabs>
          <w:tab w:leader="none" w:pos="64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 Subject to any exceptions set forth in this Agreement, until such time as the Units become vested and are settled in shares of Stock in accordance with Section 1, the Units or the rights relating thereto may not be assigned, alienated, pledged, attached, sold or otherwise transferred or encumbered by the Grantee. Any attempt to assign, alienate, pledge, attach, sell or otherwise transfer or encumber the Units or the rights relating thereto shall be wholly ineffective and, if any such attempt is made, the Units will be forfeited by the Grantee and all of the</w:t>
      </w:r>
    </w:p>
    <w:p>
      <w:pPr>
        <w:sectPr>
          <w:pgSz w:w="11900" w:h="16838" w:orient="portrait"/>
          <w:cols w:equalWidth="0" w:num="1">
            <w:col w:w="10903"/>
          </w:cols>
          <w:pgMar w:left="417" w:top="1440" w:right="579" w:bottom="1440" w:gutter="0" w:footer="0" w:header="0"/>
        </w:sectPr>
      </w:pPr>
    </w:p>
    <w:bookmarkStart w:id="210" w:name="page211"/>
    <w:bookmarkEnd w:id="210"/>
    <w:p>
      <w:pPr>
        <w:ind w:left="643"/>
        <w:spacing w:after="0"/>
        <w:rPr>
          <w:sz w:val="20"/>
          <w:szCs w:val="20"/>
          <w:color w:val="auto"/>
        </w:rPr>
      </w:pPr>
      <w:r>
        <w:rPr>
          <w:rFonts w:ascii="Times New Roman" w:cs="Times New Roman" w:eastAsia="Times New Roman" w:hAnsi="Times New Roman"/>
          <w:sz w:val="20"/>
          <w:szCs w:val="20"/>
          <w:color w:val="auto"/>
        </w:rPr>
        <w:t>Grantee’s rights to such Units shall immediately terminate without any payment of consideration by the Company.</w:t>
      </w:r>
    </w:p>
    <w:p>
      <w:pPr>
        <w:spacing w:after="0" w:line="202" w:lineRule="exact"/>
        <w:rPr>
          <w:sz w:val="20"/>
          <w:szCs w:val="20"/>
          <w:color w:val="auto"/>
        </w:rPr>
      </w:pPr>
    </w:p>
    <w:p>
      <w:pPr>
        <w:ind w:left="643" w:right="180" w:hanging="642"/>
        <w:spacing w:after="0" w:line="214" w:lineRule="auto"/>
        <w:tabs>
          <w:tab w:leader="none" w:pos="64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of Rights</w:t>
      </w:r>
      <w:r>
        <w:rPr>
          <w:rFonts w:ascii="Times New Roman" w:cs="Times New Roman" w:eastAsia="Times New Roman" w:hAnsi="Times New Roman"/>
          <w:sz w:val="20"/>
          <w:szCs w:val="20"/>
          <w:color w:val="auto"/>
        </w:rPr>
        <w:t>. If any portion of the Units fail to become vested (for example, because the Grantee fails to satisfy the vesting conditions specified in the Notice prior to a Separation from Service), then such Units shall be immediately forfeited as of the date of such</w:t>
      </w:r>
    </w:p>
    <w:p>
      <w:pPr>
        <w:ind w:left="643" w:right="70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and all of the Grantee’s rights to such Units shall immediately terminate without any payment of consideration by the Company.</w:t>
      </w:r>
    </w:p>
    <w:p>
      <w:pPr>
        <w:spacing w:after="0" w:line="189"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pacing w:after="0" w:line="291" w:lineRule="exact"/>
        <w:rPr>
          <w:sz w:val="20"/>
          <w:szCs w:val="20"/>
          <w:color w:val="auto"/>
        </w:rPr>
      </w:pPr>
    </w:p>
    <w:p>
      <w:pPr>
        <w:ind w:left="1863" w:hanging="566"/>
        <w:spacing w:after="0"/>
        <w:tabs>
          <w:tab w:leader="none" w:pos="1863"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Company or, if different, the Subsidiary which employs the Grantee (the</w:t>
      </w:r>
    </w:p>
    <w:p>
      <w:pPr>
        <w:ind w:left="643"/>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takes with respect to any or all income tax, social insurance, payroll tax, fringe benefit tax, payment on account</w:t>
      </w:r>
    </w:p>
    <w:p>
      <w:pPr>
        <w:ind w:left="643" w:right="320"/>
        <w:spacing w:after="0" w:line="215" w:lineRule="auto"/>
        <w:rPr>
          <w:sz w:val="20"/>
          <w:szCs w:val="20"/>
          <w:color w:val="auto"/>
        </w:rPr>
      </w:pPr>
      <w:r>
        <w:rPr>
          <w:rFonts w:ascii="Times New Roman" w:cs="Times New Roman" w:eastAsia="Times New Roman" w:hAnsi="Times New Roman"/>
          <w:sz w:val="19"/>
          <w:szCs w:val="19"/>
          <w:color w:val="auto"/>
        </w:rPr>
        <w:t>or other tax-related items related to the Grantee’s participation in the Plan and legally applicable or deemed legally applicable to the Grantee (“</w:t>
      </w:r>
      <w:r>
        <w:rPr>
          <w:rFonts w:ascii="Times New Roman" w:cs="Times New Roman" w:eastAsia="Times New Roman" w:hAnsi="Times New Roman"/>
          <w:sz w:val="19"/>
          <w:szCs w:val="19"/>
          <w:b w:val="1"/>
          <w:bCs w:val="1"/>
          <w:color w:val="auto"/>
        </w:rPr>
        <w:t>Tax-Related Items</w:t>
      </w:r>
      <w:r>
        <w:rPr>
          <w:rFonts w:ascii="Times New Roman" w:cs="Times New Roman" w:eastAsia="Times New Roman" w:hAnsi="Times New Roman"/>
          <w:sz w:val="19"/>
          <w:szCs w:val="19"/>
          <w:color w:val="auto"/>
        </w:rPr>
        <w:t>”), the Grantee acknowledges that the ultimate liability for all Tax-Related Items is and</w:t>
      </w:r>
    </w:p>
    <w:p>
      <w:pPr>
        <w:ind w:left="643"/>
        <w:spacing w:after="0" w:line="211" w:lineRule="auto"/>
        <w:rPr>
          <w:sz w:val="20"/>
          <w:szCs w:val="20"/>
          <w:color w:val="auto"/>
        </w:rPr>
      </w:pPr>
      <w:r>
        <w:rPr>
          <w:rFonts w:ascii="Times New Roman" w:cs="Times New Roman" w:eastAsia="Times New Roman" w:hAnsi="Times New Roman"/>
          <w:sz w:val="20"/>
          <w:szCs w:val="20"/>
          <w:color w:val="auto"/>
        </w:rPr>
        <w:t>remains the Grantee’s responsibility and may exceed the amount, if any, actually withheld by the Company or the Employer.</w:t>
      </w:r>
    </w:p>
    <w:p>
      <w:pPr>
        <w:ind w:left="643" w:right="300"/>
        <w:spacing w:after="0" w:line="215" w:lineRule="auto"/>
        <w:rPr>
          <w:sz w:val="20"/>
          <w:szCs w:val="20"/>
          <w:color w:val="auto"/>
        </w:rPr>
      </w:pPr>
      <w:r>
        <w:rPr>
          <w:rFonts w:ascii="Times New Roman" w:cs="Times New Roman" w:eastAsia="Times New Roman" w:hAnsi="Times New Roman"/>
          <w:sz w:val="19"/>
          <w:szCs w:val="19"/>
          <w:color w:val="auto"/>
        </w:rPr>
        <w:t>The Grantee further acknowledges that the Company and the Employer (i) make no representations or undertakings regarding the treatment of any Tax-Related Items in connection with any aspect of the Award, including, but not limited to, the grant or</w:t>
      </w:r>
    </w:p>
    <w:p>
      <w:pPr>
        <w:ind w:left="643" w:right="240"/>
        <w:spacing w:after="0" w:line="204" w:lineRule="auto"/>
        <w:rPr>
          <w:sz w:val="20"/>
          <w:szCs w:val="20"/>
          <w:color w:val="auto"/>
        </w:rPr>
      </w:pPr>
      <w:r>
        <w:rPr>
          <w:rFonts w:ascii="Times New Roman" w:cs="Times New Roman" w:eastAsia="Times New Roman" w:hAnsi="Times New Roman"/>
          <w:sz w:val="20"/>
          <w:szCs w:val="20"/>
          <w:color w:val="auto"/>
        </w:rPr>
        <w:t>vesting of the Units, the subsequent sale of shares of Stock acquired upon vesting, the payment of any dividend equivalents on the Units or the payment of any dividends on the shares of Stock; and (ii) do not commit to and are under no obligation to</w:t>
      </w:r>
    </w:p>
    <w:p>
      <w:pPr>
        <w:spacing w:after="0" w:line="1" w:lineRule="exact"/>
        <w:rPr>
          <w:sz w:val="20"/>
          <w:szCs w:val="20"/>
          <w:color w:val="auto"/>
        </w:rPr>
      </w:pPr>
    </w:p>
    <w:p>
      <w:pPr>
        <w:ind w:left="643" w:right="320"/>
        <w:spacing w:after="0" w:line="228" w:lineRule="auto"/>
        <w:rPr>
          <w:sz w:val="20"/>
          <w:szCs w:val="20"/>
          <w:color w:val="auto"/>
        </w:rPr>
      </w:pPr>
      <w:r>
        <w:rPr>
          <w:rFonts w:ascii="Times New Roman" w:cs="Times New Roman" w:eastAsia="Times New Roman" w:hAnsi="Times New Roman"/>
          <w:sz w:val="20"/>
          <w:szCs w:val="20"/>
          <w:color w:val="auto"/>
        </w:rPr>
        <w:t>structure the terms of the grant or any aspect of the Award to reduce or eliminate the Grantee’s liability for Tax-Related Items or achieve any particular tax result.</w:t>
      </w:r>
    </w:p>
    <w:p>
      <w:pPr>
        <w:spacing w:after="0" w:line="189" w:lineRule="exact"/>
        <w:rPr>
          <w:sz w:val="20"/>
          <w:szCs w:val="20"/>
          <w:color w:val="auto"/>
        </w:rPr>
      </w:pPr>
    </w:p>
    <w:p>
      <w:pPr>
        <w:ind w:left="643" w:right="340" w:firstLine="654"/>
        <w:spacing w:after="0" w:line="230" w:lineRule="auto"/>
        <w:tabs>
          <w:tab w:leader="none" w:pos="1846"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relevant taxable or tax withholding event, as applicable, the Grantee shall pay or make adequate arrangements satisfactory to the Company and/or the Employer to satisfy all Tax-Related Items. In this regard, the Grantee authorizes the Company and/or the Employer, or their respective agents, in their sole discretion, to satisfy any applicable withholding obligations with regard to all Tax-Related Items by one or a combination of the following methods:</w:t>
      </w:r>
    </w:p>
    <w:p>
      <w:pPr>
        <w:spacing w:after="0" w:line="188" w:lineRule="exact"/>
        <w:rPr>
          <w:rFonts w:ascii="Times New Roman" w:cs="Times New Roman" w:eastAsia="Times New Roman" w:hAnsi="Times New Roman"/>
          <w:sz w:val="19"/>
          <w:szCs w:val="19"/>
          <w:color w:val="auto"/>
        </w:rPr>
      </w:pPr>
    </w:p>
    <w:p>
      <w:pPr>
        <w:ind w:left="1303" w:right="780" w:firstLine="643"/>
        <w:spacing w:after="0"/>
        <w:tabs>
          <w:tab w:leader="none" w:pos="2502"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Grantee’s wages or other cash compensation payable to the Grantee by the Company, the Employer, or any other Subsidiary;</w:t>
      </w:r>
    </w:p>
    <w:p>
      <w:pPr>
        <w:spacing w:after="0" w:line="174" w:lineRule="exact"/>
        <w:rPr>
          <w:rFonts w:ascii="Times New Roman" w:cs="Times New Roman" w:eastAsia="Times New Roman" w:hAnsi="Times New Roman"/>
          <w:sz w:val="20"/>
          <w:szCs w:val="20"/>
          <w:color w:val="auto"/>
        </w:rPr>
      </w:pPr>
    </w:p>
    <w:p>
      <w:pPr>
        <w:ind w:left="1303" w:right="280" w:firstLine="643"/>
        <w:spacing w:after="0" w:line="230" w:lineRule="auto"/>
        <w:tabs>
          <w:tab w:leader="none" w:pos="2503"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of Stock acquired at vesting either through a voluntary sale or through a mandatory sale arranged by the Company (on the Grantee’s behalf pursuant to this authorization without further consent);</w:t>
      </w:r>
    </w:p>
    <w:p>
      <w:pPr>
        <w:spacing w:after="0" w:line="175" w:lineRule="exact"/>
        <w:rPr>
          <w:rFonts w:ascii="Times New Roman" w:cs="Times New Roman" w:eastAsia="Times New Roman" w:hAnsi="Times New Roman"/>
          <w:sz w:val="20"/>
          <w:szCs w:val="20"/>
          <w:color w:val="auto"/>
        </w:rPr>
      </w:pPr>
    </w:p>
    <w:p>
      <w:pPr>
        <w:ind w:left="2503" w:hanging="557"/>
        <w:spacing w:after="0"/>
        <w:tabs>
          <w:tab w:leader="none" w:pos="2503"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of Stock otherwise issuable to the Grantee upon vesting of the Units; or</w:t>
      </w:r>
    </w:p>
    <w:p>
      <w:pPr>
        <w:spacing w:after="0" w:line="215" w:lineRule="exact"/>
        <w:rPr>
          <w:rFonts w:ascii="Times New Roman" w:cs="Times New Roman" w:eastAsia="Times New Roman" w:hAnsi="Times New Roman"/>
          <w:sz w:val="20"/>
          <w:szCs w:val="20"/>
          <w:color w:val="auto"/>
        </w:rPr>
      </w:pPr>
    </w:p>
    <w:p>
      <w:pPr>
        <w:ind w:left="1303" w:right="100" w:firstLine="643"/>
        <w:spacing w:after="0"/>
        <w:tabs>
          <w:tab w:leader="none" w:pos="2507"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of withholding determined by the Company, to the extent permitted under the Plan and applicable laws.</w:t>
      </w:r>
    </w:p>
    <w:p>
      <w:pPr>
        <w:spacing w:after="0" w:line="175" w:lineRule="exact"/>
        <w:rPr>
          <w:sz w:val="20"/>
          <w:szCs w:val="20"/>
          <w:color w:val="auto"/>
        </w:rPr>
      </w:pPr>
    </w:p>
    <w:p>
      <w:pPr>
        <w:ind w:left="643" w:right="40" w:firstLine="648"/>
        <w:spacing w:after="0" w:line="234" w:lineRule="auto"/>
        <w:rPr>
          <w:sz w:val="20"/>
          <w:szCs w:val="20"/>
          <w:color w:val="auto"/>
        </w:rPr>
      </w:pPr>
      <w:r>
        <w:rPr>
          <w:rFonts w:ascii="Times New Roman" w:cs="Times New Roman" w:eastAsia="Times New Roman" w:hAnsi="Times New Roman"/>
          <w:sz w:val="19"/>
          <w:szCs w:val="19"/>
          <w:color w:val="auto"/>
        </w:rPr>
        <w:t>The Company may withhold or account for Tax-Related Items by considering statutory withholding amounts or other applicable withholding rates, including maximum rates applicable in the Grantee’s jurisdiction(s), in which case the Grantee may</w:t>
      </w:r>
    </w:p>
    <w:p>
      <w:pPr>
        <w:spacing w:after="0" w:line="1" w:lineRule="exact"/>
        <w:rPr>
          <w:sz w:val="20"/>
          <w:szCs w:val="20"/>
          <w:color w:val="auto"/>
        </w:rPr>
      </w:pPr>
    </w:p>
    <w:p>
      <w:pPr>
        <w:ind w:left="643"/>
        <w:spacing w:after="0" w:line="215" w:lineRule="auto"/>
        <w:rPr>
          <w:sz w:val="20"/>
          <w:szCs w:val="20"/>
          <w:color w:val="auto"/>
        </w:rPr>
      </w:pPr>
      <w:r>
        <w:rPr>
          <w:rFonts w:ascii="Times New Roman" w:cs="Times New Roman" w:eastAsia="Times New Roman" w:hAnsi="Times New Roman"/>
          <w:sz w:val="19"/>
          <w:szCs w:val="19"/>
          <w:color w:val="auto"/>
        </w:rPr>
        <w:t>receive a refund of any over-withheld amount in cash and will have no entitlement to the equivalent amount in shares of Stock. In the event of over-withholding, the Grantee may receive a refund of any over-withheld amount in cash (with no entitlement to the</w:t>
      </w:r>
    </w:p>
    <w:p>
      <w:pPr>
        <w:ind w:left="643"/>
        <w:spacing w:after="0" w:line="211" w:lineRule="auto"/>
        <w:rPr>
          <w:sz w:val="20"/>
          <w:szCs w:val="20"/>
          <w:color w:val="auto"/>
        </w:rPr>
      </w:pPr>
      <w:r>
        <w:rPr>
          <w:rFonts w:ascii="Times New Roman" w:cs="Times New Roman" w:eastAsia="Times New Roman" w:hAnsi="Times New Roman"/>
          <w:sz w:val="20"/>
          <w:szCs w:val="20"/>
          <w:color w:val="auto"/>
        </w:rPr>
        <w:t>equivalent amount in shares of Stock), from the Company or the Employer; otherwise, the Grantee may be able to seek a refund</w:t>
      </w:r>
    </w:p>
    <w:p>
      <w:pPr>
        <w:ind w:left="643" w:right="140"/>
        <w:spacing w:after="0" w:line="215" w:lineRule="auto"/>
        <w:rPr>
          <w:sz w:val="20"/>
          <w:szCs w:val="20"/>
          <w:color w:val="auto"/>
        </w:rPr>
      </w:pPr>
      <w:r>
        <w:rPr>
          <w:rFonts w:ascii="Times New Roman" w:cs="Times New Roman" w:eastAsia="Times New Roman" w:hAnsi="Times New Roman"/>
          <w:sz w:val="19"/>
          <w:szCs w:val="19"/>
          <w:color w:val="auto"/>
        </w:rPr>
        <w:t>from the local tax authorities. In the event of under-withholding, the Grantee may be required to pay any additional Tax-Related Items directly to the applicable tax authority or to the Company and/or the Employer. If the obligation for Tax-Related Items is</w:t>
      </w:r>
    </w:p>
    <w:p>
      <w:pPr>
        <w:ind w:left="643" w:right="20"/>
        <w:spacing w:after="0" w:line="228" w:lineRule="auto"/>
        <w:rPr>
          <w:sz w:val="20"/>
          <w:szCs w:val="20"/>
          <w:color w:val="auto"/>
        </w:rPr>
      </w:pPr>
      <w:r>
        <w:rPr>
          <w:rFonts w:ascii="Times New Roman" w:cs="Times New Roman" w:eastAsia="Times New Roman" w:hAnsi="Times New Roman"/>
          <w:sz w:val="20"/>
          <w:szCs w:val="20"/>
          <w:color w:val="auto"/>
        </w:rPr>
        <w:t>satisfied by withholding shares of Stock, for tax purposes, the Grantee is deemed to have been issued the full number of shares of Stock subject to the vested Units,</w:t>
      </w:r>
    </w:p>
    <w:p>
      <w:pPr>
        <w:sectPr>
          <w:pgSz w:w="11900" w:h="16838" w:orient="portrait"/>
          <w:cols w:equalWidth="0" w:num="1">
            <w:col w:w="10903"/>
          </w:cols>
          <w:pgMar w:left="417" w:top="886" w:right="579" w:bottom="1440" w:gutter="0" w:footer="0" w:header="0"/>
        </w:sectPr>
      </w:pPr>
    </w:p>
    <w:bookmarkStart w:id="211" w:name="page212"/>
    <w:bookmarkEnd w:id="211"/>
    <w:p>
      <w:pPr>
        <w:ind w:left="643"/>
        <w:spacing w:after="0"/>
        <w:rPr>
          <w:sz w:val="20"/>
          <w:szCs w:val="20"/>
          <w:color w:val="auto"/>
        </w:rPr>
      </w:pPr>
      <w:r>
        <w:rPr>
          <w:rFonts w:ascii="Times New Roman" w:cs="Times New Roman" w:eastAsia="Times New Roman" w:hAnsi="Times New Roman"/>
          <w:sz w:val="20"/>
          <w:szCs w:val="20"/>
          <w:color w:val="auto"/>
        </w:rPr>
        <w:t>notwithstanding that a number of the shares is held back solely for the purpose of paying the Tax-Related Items.</w:t>
      </w:r>
    </w:p>
    <w:p>
      <w:pPr>
        <w:spacing w:after="0" w:line="202" w:lineRule="exact"/>
        <w:rPr>
          <w:sz w:val="20"/>
          <w:szCs w:val="20"/>
          <w:color w:val="auto"/>
        </w:rPr>
      </w:pPr>
    </w:p>
    <w:p>
      <w:pPr>
        <w:ind w:left="643" w:firstLine="648"/>
        <w:spacing w:after="0" w:line="234" w:lineRule="auto"/>
        <w:rPr>
          <w:sz w:val="20"/>
          <w:szCs w:val="20"/>
          <w:color w:val="auto"/>
        </w:rPr>
      </w:pPr>
      <w:r>
        <w:rPr>
          <w:rFonts w:ascii="Times New Roman" w:cs="Times New Roman" w:eastAsia="Times New Roman" w:hAnsi="Times New Roman"/>
          <w:sz w:val="19"/>
          <w:szCs w:val="19"/>
          <w:color w:val="auto"/>
        </w:rPr>
        <w:t>Finally, the Grantee agrees to pay to the Company or the Employer any amount of Tax-Related Items that the Company or the Employer may be required to withhold or account for as a result of the Grantee’s participation in the Plan that cannot be satisfied</w:t>
      </w:r>
    </w:p>
    <w:p>
      <w:pPr>
        <w:spacing w:after="0" w:line="1" w:lineRule="exact"/>
        <w:rPr>
          <w:sz w:val="20"/>
          <w:szCs w:val="20"/>
          <w:color w:val="auto"/>
        </w:rPr>
      </w:pPr>
    </w:p>
    <w:p>
      <w:pPr>
        <w:ind w:left="643" w:right="60"/>
        <w:spacing w:after="0" w:line="215" w:lineRule="auto"/>
        <w:rPr>
          <w:sz w:val="20"/>
          <w:szCs w:val="20"/>
          <w:color w:val="auto"/>
        </w:rPr>
      </w:pPr>
      <w:r>
        <w:rPr>
          <w:rFonts w:ascii="Times New Roman" w:cs="Times New Roman" w:eastAsia="Times New Roman" w:hAnsi="Times New Roman"/>
          <w:sz w:val="19"/>
          <w:szCs w:val="19"/>
          <w:color w:val="auto"/>
        </w:rPr>
        <w:t>by the means previously described. The Company may refuse to issue and deliver shares of Stock in payment of any vested Units, or the proceeds from the sale of shares of Stock, if the Grantee fails to comply with the Grantee’s obligations in connection with the</w:t>
      </w:r>
    </w:p>
    <w:p>
      <w:pPr>
        <w:ind w:left="643"/>
        <w:spacing w:after="0"/>
        <w:rPr>
          <w:sz w:val="20"/>
          <w:szCs w:val="20"/>
          <w:color w:val="auto"/>
        </w:rPr>
      </w:pPr>
      <w:r>
        <w:rPr>
          <w:rFonts w:ascii="Times New Roman" w:cs="Times New Roman" w:eastAsia="Times New Roman" w:hAnsi="Times New Roman"/>
          <w:sz w:val="20"/>
          <w:szCs w:val="20"/>
          <w:color w:val="auto"/>
        </w:rPr>
        <w:t>Tax-Related Items as described in this Section 4.</w:t>
      </w:r>
    </w:p>
    <w:p>
      <w:pPr>
        <w:spacing w:after="0" w:line="194" w:lineRule="exact"/>
        <w:rPr>
          <w:sz w:val="20"/>
          <w:szCs w:val="20"/>
          <w:color w:val="auto"/>
        </w:rPr>
      </w:pPr>
    </w:p>
    <w:p>
      <w:pPr>
        <w:jc w:val="both"/>
        <w:ind w:left="643" w:right="460" w:hanging="642"/>
        <w:spacing w:after="0" w:line="222" w:lineRule="auto"/>
        <w:tabs>
          <w:tab w:leader="none" w:pos="64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Grantee Representations</w:t>
      </w:r>
      <w:r>
        <w:rPr>
          <w:rFonts w:ascii="Times New Roman" w:cs="Times New Roman" w:eastAsia="Times New Roman" w:hAnsi="Times New Roman"/>
          <w:sz w:val="20"/>
          <w:szCs w:val="20"/>
          <w:color w:val="auto"/>
        </w:rPr>
        <w:t>. The Grantee hereby represents that the Grantee has read and fully understands the provisions of this Agreement, the Prospectus and the Plan, and the Grantee’s decision to participate in the Plan is completely voluntary. Further, the Grantee acknowledges that the Grantee is relying solely on his or her own advisors with respect to the tax consequences of this Award.</w:t>
      </w:r>
    </w:p>
    <w:p>
      <w:pPr>
        <w:spacing w:after="0" w:line="256" w:lineRule="exact"/>
        <w:rPr>
          <w:rFonts w:ascii="Times New Roman" w:cs="Times New Roman" w:eastAsia="Times New Roman" w:hAnsi="Times New Roman"/>
          <w:sz w:val="20"/>
          <w:szCs w:val="20"/>
          <w:color w:val="auto"/>
        </w:rPr>
      </w:pPr>
    </w:p>
    <w:p>
      <w:pPr>
        <w:ind w:left="643" w:right="220" w:hanging="643"/>
        <w:spacing w:after="0" w:line="216" w:lineRule="auto"/>
        <w:tabs>
          <w:tab w:leader="none" w:pos="63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Regulatory Restrictions on the Shares Issued Upon Settlement</w:t>
      </w:r>
      <w:r>
        <w:rPr>
          <w:rFonts w:ascii="Times New Roman" w:cs="Times New Roman" w:eastAsia="Times New Roman" w:hAnsi="Times New Roman"/>
          <w:sz w:val="20"/>
          <w:szCs w:val="20"/>
          <w:color w:val="auto"/>
        </w:rPr>
        <w:t>. Notwithstanding the other provisions of this Agreement, the Committee shall have the sole discretion to impose such conditions, restrictions and limitations on the issuance of shares of Stock with respect to this Award unless and until the Committee determines that such issuance complies with (i) any applicable registration requirements under the Securities Act or the Committee has determined that an exemption therefrom is available, (ii) any applicable listing requirement of any stock exchange on which the Stock is listed, (iii) any applicable Company policy or administrative rules, and (iv) any other applicable provision of U.S. or non-U.S. federal, state or local law.</w:t>
      </w:r>
    </w:p>
    <w:p>
      <w:pPr>
        <w:spacing w:after="0" w:line="189"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Non-Solicitation and Non-Competition</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643" w:right="200" w:firstLine="654"/>
        <w:spacing w:after="0" w:line="224" w:lineRule="auto"/>
        <w:tabs>
          <w:tab w:leader="none" w:pos="1848" w:val="left"/>
        </w:tabs>
        <w:numPr>
          <w:ilvl w:val="2"/>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 The provisions of this Section 7 apply to Awards made to employees of the Company and its Subsidiaries, and not Awards made to Non-Employee Directors. The Grantee acknowledges that the Company conducts business throughout the United States and that the Company has a legitimate business interest in protecting this business, including but not limited its interest in its employees, programs, and projects below, against unfair competition through the promises in this Section</w:t>
      </w:r>
    </w:p>
    <w:p>
      <w:pPr>
        <w:spacing w:after="0" w:line="2" w:lineRule="exact"/>
        <w:rPr>
          <w:rFonts w:ascii="Times New Roman" w:cs="Times New Roman" w:eastAsia="Times New Roman" w:hAnsi="Times New Roman"/>
          <w:sz w:val="19"/>
          <w:szCs w:val="19"/>
          <w:color w:val="auto"/>
        </w:rPr>
      </w:pPr>
    </w:p>
    <w:p>
      <w:pPr>
        <w:ind w:left="843" w:hanging="194"/>
        <w:spacing w:after="0"/>
        <w:tabs>
          <w:tab w:leader="none" w:pos="843"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Sections 7 (b), (c) and (e) do not apply in California.</w:t>
      </w:r>
    </w:p>
    <w:p>
      <w:pPr>
        <w:spacing w:after="0" w:line="193" w:lineRule="exact"/>
        <w:rPr>
          <w:rFonts w:ascii="Times New Roman" w:cs="Times New Roman" w:eastAsia="Times New Roman" w:hAnsi="Times New Roman"/>
          <w:sz w:val="20"/>
          <w:szCs w:val="20"/>
          <w:color w:val="auto"/>
        </w:rPr>
      </w:pPr>
    </w:p>
    <w:p>
      <w:pPr>
        <w:ind w:left="643" w:right="360" w:firstLine="654"/>
        <w:spacing w:after="0" w:line="216" w:lineRule="auto"/>
        <w:tabs>
          <w:tab w:leader="none" w:pos="1846" w:val="left"/>
        </w:tabs>
        <w:numPr>
          <w:ilvl w:val="2"/>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Employees</w:t>
      </w:r>
      <w:r>
        <w:rPr>
          <w:rFonts w:ascii="Times New Roman" w:cs="Times New Roman" w:eastAsia="Times New Roman" w:hAnsi="Times New Roman"/>
          <w:sz w:val="20"/>
          <w:szCs w:val="20"/>
          <w:color w:val="auto"/>
        </w:rPr>
        <w:t>. The Grantee agrees that, both while in Service and for one year after Separation from Service, the Grantee will not solicit or attempt to solicit any employee of the Company or any Subsidiary with whom the Grantee has worked on a program or project during the 12 months prior to Separation from Service to leave his or her employment or to violate the terms of any agreement or understanding that employee may have with the Company or any Subsidiary. The foregoing obligations apply to both the Grantee’s direct and indirect actions, and apply to actions intended to benefit the Grantee or any other person, business or entity.</w:t>
      </w:r>
    </w:p>
    <w:p>
      <w:pPr>
        <w:spacing w:after="0" w:line="189" w:lineRule="exact"/>
        <w:rPr>
          <w:rFonts w:ascii="Times New Roman" w:cs="Times New Roman" w:eastAsia="Times New Roman" w:hAnsi="Times New Roman"/>
          <w:sz w:val="20"/>
          <w:szCs w:val="20"/>
          <w:color w:val="auto"/>
        </w:rPr>
      </w:pPr>
    </w:p>
    <w:p>
      <w:pPr>
        <w:ind w:left="643" w:right="460" w:firstLine="654"/>
        <w:spacing w:after="0" w:line="226" w:lineRule="auto"/>
        <w:tabs>
          <w:tab w:leader="none" w:pos="1848" w:val="left"/>
        </w:tabs>
        <w:numPr>
          <w:ilvl w:val="2"/>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Solicitation of Customers</w:t>
      </w:r>
      <w:r>
        <w:rPr>
          <w:rFonts w:ascii="Times New Roman" w:cs="Times New Roman" w:eastAsia="Times New Roman" w:hAnsi="Times New Roman"/>
          <w:sz w:val="20"/>
          <w:szCs w:val="20"/>
          <w:color w:val="auto"/>
        </w:rPr>
        <w:t>. The Grantee agrees that, for one year after Separation from Service, the Grantee will not participate in any solicitation of any customer or prospective customer of the Company or any Subsidiary concerning any business that:</w:t>
      </w:r>
    </w:p>
    <w:p>
      <w:pPr>
        <w:spacing w:after="0" w:line="200" w:lineRule="exact"/>
        <w:rPr>
          <w:rFonts w:ascii="Times New Roman" w:cs="Times New Roman" w:eastAsia="Times New Roman" w:hAnsi="Times New Roman"/>
          <w:sz w:val="20"/>
          <w:szCs w:val="20"/>
          <w:color w:val="auto"/>
        </w:rPr>
      </w:pPr>
    </w:p>
    <w:p>
      <w:pPr>
        <w:ind w:left="1303" w:right="640" w:firstLine="643"/>
        <w:spacing w:after="0" w:line="233" w:lineRule="auto"/>
        <w:tabs>
          <w:tab w:leader="none" w:pos="2502" w:val="left"/>
        </w:tabs>
        <w:numPr>
          <w:ilvl w:val="3"/>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involves the same programs or projects for that customer in which the Grantee was personally and/or substantially involved during the 12 months prior to Separation from Service; or</w:t>
      </w:r>
    </w:p>
    <w:p>
      <w:pPr>
        <w:spacing w:after="0" w:line="187" w:lineRule="exact"/>
        <w:rPr>
          <w:rFonts w:ascii="Times New Roman" w:cs="Times New Roman" w:eastAsia="Times New Roman" w:hAnsi="Times New Roman"/>
          <w:sz w:val="20"/>
          <w:szCs w:val="20"/>
          <w:color w:val="auto"/>
        </w:rPr>
      </w:pPr>
    </w:p>
    <w:p>
      <w:pPr>
        <w:ind w:left="1303" w:right="480" w:firstLine="642"/>
        <w:spacing w:after="0" w:line="234" w:lineRule="auto"/>
        <w:tabs>
          <w:tab w:leader="none" w:pos="2503" w:val="left"/>
        </w:tabs>
        <w:numPr>
          <w:ilvl w:val="3"/>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been, at any time during the 12 months prior to Separation from Service, the subject of any capture effort, bid, offer or proposal activity by the Company or any Subsidiary in respect of that customer or prospective customer, or any negotiations or discussions about the possible performance of services by the Company or any Subsidiary to that customer or potential customer, in which the Grantee was personally and/or substantially involved.</w:t>
      </w:r>
    </w:p>
    <w:p>
      <w:pPr>
        <w:spacing w:after="0" w:line="106" w:lineRule="exact"/>
        <w:rPr>
          <w:sz w:val="20"/>
          <w:szCs w:val="20"/>
          <w:color w:val="auto"/>
        </w:rPr>
      </w:pPr>
    </w:p>
    <w:p>
      <w:pPr>
        <w:ind w:left="643" w:right="1080" w:firstLine="643"/>
        <w:spacing w:after="0"/>
        <w:rPr>
          <w:sz w:val="20"/>
          <w:szCs w:val="20"/>
          <w:color w:val="auto"/>
        </w:rPr>
      </w:pPr>
      <w:r>
        <w:rPr>
          <w:rFonts w:ascii="Times New Roman" w:cs="Times New Roman" w:eastAsia="Times New Roman" w:hAnsi="Times New Roman"/>
          <w:sz w:val="20"/>
          <w:szCs w:val="20"/>
          <w:color w:val="auto"/>
        </w:rPr>
        <w:t>For purposes of (c)(i) and (ii), in the case of a governmental, regulatory or administrative agency, commission, department or other governmental authority, the customer or prospective</w:t>
      </w:r>
    </w:p>
    <w:p>
      <w:pPr>
        <w:sectPr>
          <w:pgSz w:w="11900" w:h="16838" w:orient="portrait"/>
          <w:cols w:equalWidth="0" w:num="1">
            <w:col w:w="11123"/>
          </w:cols>
          <w:pgMar w:left="417" w:top="886" w:right="359" w:bottom="1440" w:gutter="0" w:footer="0" w:header="0"/>
        </w:sectPr>
      </w:pPr>
    </w:p>
    <w:bookmarkStart w:id="212" w:name="page213"/>
    <w:bookmarkEnd w:id="212"/>
    <w:p>
      <w:pPr>
        <w:ind w:right="40"/>
        <w:spacing w:after="0"/>
        <w:rPr>
          <w:sz w:val="20"/>
          <w:szCs w:val="20"/>
          <w:color w:val="auto"/>
        </w:rPr>
      </w:pPr>
      <w:r>
        <w:rPr>
          <w:rFonts w:ascii="Times New Roman" w:cs="Times New Roman" w:eastAsia="Times New Roman" w:hAnsi="Times New Roman"/>
          <w:sz w:val="20"/>
          <w:szCs w:val="20"/>
          <w:color w:val="auto"/>
        </w:rPr>
        <w:t>customer will be determined by reference to the specific program offices or activities for which the Company or any Subsidiary provides (or may reasonably provide) goods or services.</w:t>
      </w:r>
    </w:p>
    <w:p>
      <w:pPr>
        <w:spacing w:after="0" w:line="175" w:lineRule="exact"/>
        <w:rPr>
          <w:sz w:val="20"/>
          <w:szCs w:val="20"/>
          <w:color w:val="auto"/>
        </w:rPr>
      </w:pPr>
    </w:p>
    <w:p>
      <w:pPr>
        <w:ind w:firstLine="550"/>
        <w:spacing w:after="0" w:line="226" w:lineRule="auto"/>
        <w:tabs>
          <w:tab w:leader="none" w:pos="1193"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Non-Disclosure and Non-Use of Proprietary Information</w:t>
      </w:r>
      <w:r>
        <w:rPr>
          <w:rFonts w:ascii="Times New Roman" w:cs="Times New Roman" w:eastAsia="Times New Roman" w:hAnsi="Times New Roman"/>
          <w:sz w:val="19"/>
          <w:szCs w:val="19"/>
          <w:color w:val="auto"/>
        </w:rPr>
        <w:t>. During the term of the Grantee's employment and following the voluntary or involuntary termination of that employment for any reason, and with or without cause, Grantee will not, except as authorized and required to perform the Grantee's duties for the Company or any Subsidiary, directly or indirectly: use, disclose, reproduce, distribute, or otherwise disseminate the Company or any Subsidiary’s Proprietary Information, or take any action causing, or fail to take any action necessary, to prevent any such information to lose its character or cease to qualify as Proprietary Information. Grantee agrees to ask the Company or any Subsidiary, both during and after employment, if Grantee has any questions about whether particular information is Proprietary Information before using or disclosing such information.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Proprietary Information</w:t>
      </w:r>
      <w:r>
        <w:rPr>
          <w:rFonts w:ascii="Times New Roman" w:cs="Times New Roman" w:eastAsia="Times New Roman" w:hAnsi="Times New Roman"/>
          <w:sz w:val="19"/>
          <w:szCs w:val="19"/>
          <w:color w:val="auto"/>
        </w:rPr>
        <w:t>” will mean any and all confidential knowledge, data or information of the Company, its</w:t>
      </w:r>
    </w:p>
    <w:p>
      <w:pPr>
        <w:spacing w:after="0" w:line="10"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affiliates, parents and subsidiaries, which has economic value as a result of its remaining confidential, whether having existed, now existing, or to be developed during Grantee’s employment, including information developed by Grantee. By way of</w:t>
      </w:r>
    </w:p>
    <w:p>
      <w:pPr>
        <w:spacing w:after="0" w:line="211" w:lineRule="auto"/>
        <w:rPr>
          <w:sz w:val="20"/>
          <w:szCs w:val="20"/>
          <w:color w:val="auto"/>
        </w:rPr>
      </w:pPr>
      <w:r>
        <w:rPr>
          <w:rFonts w:ascii="Times New Roman" w:cs="Times New Roman" w:eastAsia="Times New Roman" w:hAnsi="Times New Roman"/>
          <w:sz w:val="20"/>
          <w:szCs w:val="20"/>
          <w:color w:val="auto"/>
        </w:rPr>
        <w:t>illustration but not limitation, “Proprietary Information” includes (1) trade secrets, inventions, mask works, ideas, processes,</w:t>
      </w:r>
    </w:p>
    <w:p>
      <w:pPr>
        <w:ind w:right="360"/>
        <w:spacing w:after="0" w:line="215" w:lineRule="auto"/>
        <w:rPr>
          <w:sz w:val="20"/>
          <w:szCs w:val="20"/>
          <w:color w:val="auto"/>
        </w:rPr>
      </w:pPr>
      <w:r>
        <w:rPr>
          <w:rFonts w:ascii="Times New Roman" w:cs="Times New Roman" w:eastAsia="Times New Roman" w:hAnsi="Times New Roman"/>
          <w:sz w:val="19"/>
          <w:szCs w:val="19"/>
          <w:color w:val="auto"/>
        </w:rPr>
        <w:t>formulas, source and object codes, data, programs, other works of authorship, know-how, algorithms, software programs, schematics, improvements, discoveries, developments, designs and techniques and any other proprietary technology and all</w:t>
      </w:r>
    </w:p>
    <w:p>
      <w:pPr>
        <w:spacing w:after="0" w:line="211" w:lineRule="auto"/>
        <w:rPr>
          <w:sz w:val="20"/>
          <w:szCs w:val="20"/>
          <w:color w:val="auto"/>
        </w:rPr>
      </w:pPr>
      <w:r>
        <w:rPr>
          <w:rFonts w:ascii="Times New Roman" w:cs="Times New Roman" w:eastAsia="Times New Roman" w:hAnsi="Times New Roman"/>
          <w:sz w:val="20"/>
          <w:szCs w:val="20"/>
          <w:color w:val="auto"/>
        </w:rPr>
        <w:t>Proprietary Rights therein (collectively, “</w:t>
      </w:r>
      <w:r>
        <w:rPr>
          <w:rFonts w:ascii="Times New Roman" w:cs="Times New Roman" w:eastAsia="Times New Roman" w:hAnsi="Times New Roman"/>
          <w:sz w:val="20"/>
          <w:szCs w:val="20"/>
          <w:b w:val="1"/>
          <w:bCs w:val="1"/>
          <w:color w:val="auto"/>
        </w:rPr>
        <w:t>Inventions</w:t>
      </w:r>
      <w:r>
        <w:rPr>
          <w:rFonts w:ascii="Times New Roman" w:cs="Times New Roman" w:eastAsia="Times New Roman" w:hAnsi="Times New Roman"/>
          <w:sz w:val="20"/>
          <w:szCs w:val="20"/>
          <w:color w:val="auto"/>
        </w:rPr>
        <w:t>”); (2) information regarding research, development, new products,</w:t>
      </w:r>
    </w:p>
    <w:p>
      <w:pPr>
        <w:ind w:right="160"/>
        <w:spacing w:after="0" w:line="215" w:lineRule="auto"/>
        <w:rPr>
          <w:sz w:val="20"/>
          <w:szCs w:val="20"/>
          <w:color w:val="auto"/>
        </w:rPr>
      </w:pPr>
      <w:r>
        <w:rPr>
          <w:rFonts w:ascii="Times New Roman" w:cs="Times New Roman" w:eastAsia="Times New Roman" w:hAnsi="Times New Roman"/>
          <w:sz w:val="19"/>
          <w:szCs w:val="19"/>
          <w:color w:val="auto"/>
        </w:rPr>
        <w:t>marketing and selling, business plans, budgets and unpublished financial statements, licenses, prices and costs, margins, discounts, credit terms, pricing and billing policies, quoting procedures, methods of obtaining business, forecasts, future plans</w:t>
      </w:r>
    </w:p>
    <w:p>
      <w:pPr>
        <w:spacing w:after="0" w:line="211" w:lineRule="auto"/>
        <w:rPr>
          <w:sz w:val="20"/>
          <w:szCs w:val="20"/>
          <w:color w:val="auto"/>
        </w:rPr>
      </w:pPr>
      <w:r>
        <w:rPr>
          <w:rFonts w:ascii="Times New Roman" w:cs="Times New Roman" w:eastAsia="Times New Roman" w:hAnsi="Times New Roman"/>
          <w:sz w:val="20"/>
          <w:szCs w:val="20"/>
          <w:color w:val="auto"/>
        </w:rPr>
        <w:t>and potential strategies, financial projections and business strategies, operational plans, financing and capital- raising plans,</w:t>
      </w:r>
    </w:p>
    <w:p>
      <w:pPr>
        <w:ind w:right="160"/>
        <w:spacing w:after="0" w:line="215" w:lineRule="auto"/>
        <w:rPr>
          <w:sz w:val="20"/>
          <w:szCs w:val="20"/>
          <w:color w:val="auto"/>
        </w:rPr>
      </w:pPr>
      <w:r>
        <w:rPr>
          <w:rFonts w:ascii="Times New Roman" w:cs="Times New Roman" w:eastAsia="Times New Roman" w:hAnsi="Times New Roman"/>
          <w:sz w:val="19"/>
          <w:szCs w:val="19"/>
          <w:color w:val="auto"/>
        </w:rPr>
        <w:t>activities and agreements, internal services and operational manuals, methods of conducting Company business, suppliers and supplier information, and purchasing; (3) information regarding Customers and potential Customers of the Company and its</w:t>
      </w:r>
    </w:p>
    <w:p>
      <w:pPr>
        <w:ind w:right="20"/>
        <w:spacing w:after="0" w:line="215" w:lineRule="auto"/>
        <w:rPr>
          <w:sz w:val="20"/>
          <w:szCs w:val="20"/>
          <w:color w:val="auto"/>
        </w:rPr>
      </w:pPr>
      <w:r>
        <w:rPr>
          <w:rFonts w:ascii="Times New Roman" w:cs="Times New Roman" w:eastAsia="Times New Roman" w:hAnsi="Times New Roman"/>
          <w:sz w:val="19"/>
          <w:szCs w:val="19"/>
          <w:color w:val="auto"/>
        </w:rPr>
        <w:t>Subsidiaries, including customer lists, names, representatives, their needs or desires with respect to the types of products or services offered by the Company, proposals, bids, contracts and their contents and parties, the type and quantity of products and</w:t>
      </w:r>
    </w:p>
    <w:p>
      <w:pPr>
        <w:spacing w:after="0" w:line="211" w:lineRule="auto"/>
        <w:rPr>
          <w:sz w:val="20"/>
          <w:szCs w:val="20"/>
          <w:color w:val="auto"/>
        </w:rPr>
      </w:pPr>
      <w:r>
        <w:rPr>
          <w:rFonts w:ascii="Times New Roman" w:cs="Times New Roman" w:eastAsia="Times New Roman" w:hAnsi="Times New Roman"/>
          <w:sz w:val="20"/>
          <w:szCs w:val="20"/>
          <w:color w:val="auto"/>
        </w:rPr>
        <w:t>services provided or sought to be provided to Customers and potential Customers of the Company and other non-public</w:t>
      </w:r>
    </w:p>
    <w:p>
      <w:pPr>
        <w:ind w:right="140"/>
        <w:spacing w:after="0" w:line="215" w:lineRule="auto"/>
        <w:rPr>
          <w:sz w:val="20"/>
          <w:szCs w:val="20"/>
          <w:color w:val="auto"/>
        </w:rPr>
      </w:pPr>
      <w:r>
        <w:rPr>
          <w:rFonts w:ascii="Times New Roman" w:cs="Times New Roman" w:eastAsia="Times New Roman" w:hAnsi="Times New Roman"/>
          <w:sz w:val="19"/>
          <w:szCs w:val="19"/>
          <w:color w:val="auto"/>
        </w:rPr>
        <w:t>information relating to Customers and potential Customers; (4) information regarding any of the Company’s business partners and their services, including names, representatives, proposals, bids, contracts and their contents and parties, the type and</w:t>
      </w:r>
    </w:p>
    <w:p>
      <w:pPr>
        <w:spacing w:after="0" w:line="222" w:lineRule="auto"/>
        <w:rPr>
          <w:sz w:val="20"/>
          <w:szCs w:val="20"/>
          <w:color w:val="auto"/>
        </w:rPr>
      </w:pPr>
      <w:r>
        <w:rPr>
          <w:rFonts w:ascii="Times New Roman" w:cs="Times New Roman" w:eastAsia="Times New Roman" w:hAnsi="Times New Roman"/>
          <w:sz w:val="19"/>
          <w:szCs w:val="19"/>
          <w:color w:val="auto"/>
        </w:rPr>
        <w:t>quantity of products and services received by the Company, and other non- public information relating to business partners that</w:t>
      </w:r>
    </w:p>
    <w:p>
      <w:pPr>
        <w:ind w:right="360"/>
        <w:spacing w:after="0" w:line="215" w:lineRule="auto"/>
        <w:rPr>
          <w:sz w:val="20"/>
          <w:szCs w:val="20"/>
          <w:color w:val="auto"/>
        </w:rPr>
      </w:pPr>
      <w:r>
        <w:rPr>
          <w:rFonts w:ascii="Times New Roman" w:cs="Times New Roman" w:eastAsia="Times New Roman" w:hAnsi="Times New Roman"/>
          <w:sz w:val="19"/>
          <w:szCs w:val="19"/>
          <w:color w:val="auto"/>
        </w:rPr>
        <w:t>Grantee acquires as a result of their employment; (5) information regarding personnel, employee lists, compensation, and employee skills; and (6) any other non-public information which a competitor of the Company could use to the competitive</w:t>
      </w:r>
    </w:p>
    <w:p>
      <w:pPr>
        <w:spacing w:after="0"/>
        <w:rPr>
          <w:sz w:val="20"/>
          <w:szCs w:val="20"/>
          <w:color w:val="auto"/>
        </w:rPr>
      </w:pPr>
      <w:r>
        <w:rPr>
          <w:rFonts w:ascii="Times New Roman" w:cs="Times New Roman" w:eastAsia="Times New Roman" w:hAnsi="Times New Roman"/>
          <w:sz w:val="20"/>
          <w:szCs w:val="20"/>
          <w:color w:val="auto"/>
        </w:rPr>
        <w:t>disadvantage of the Company.</w:t>
      </w:r>
    </w:p>
    <w:p>
      <w:pPr>
        <w:spacing w:after="0" w:line="194" w:lineRule="exact"/>
        <w:rPr>
          <w:sz w:val="20"/>
          <w:szCs w:val="20"/>
          <w:color w:val="auto"/>
        </w:rPr>
      </w:pPr>
    </w:p>
    <w:p>
      <w:pPr>
        <w:jc w:val="both"/>
        <w:ind w:right="60" w:firstLine="649"/>
        <w:spacing w:after="0" w:line="234" w:lineRule="auto"/>
        <w:tabs>
          <w:tab w:leader="none" w:pos="120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Non-Competition</w:t>
      </w:r>
      <w:r>
        <w:rPr>
          <w:rFonts w:ascii="Times New Roman" w:cs="Times New Roman" w:eastAsia="Times New Roman" w:hAnsi="Times New Roman"/>
          <w:sz w:val="19"/>
          <w:szCs w:val="19"/>
          <w:color w:val="auto"/>
        </w:rPr>
        <w:t>. To the extent allowed by and consistent with applicable law, the Grantee agrees that, for one year after Separation from Service, the Grantee will not, directly or indirectly, on behalf of the Grantee or any other person or entity other than the Company, perform on or support any program, or provide oversight on any program, product, or service in which the Grantee was personally and/or substantially involved during the 12 months prior to Separation from Service:</w:t>
      </w:r>
    </w:p>
    <w:p>
      <w:pPr>
        <w:spacing w:after="0" w:line="187" w:lineRule="exact"/>
        <w:rPr>
          <w:rFonts w:ascii="Times New Roman" w:cs="Times New Roman" w:eastAsia="Times New Roman" w:hAnsi="Times New Roman"/>
          <w:sz w:val="19"/>
          <w:szCs w:val="19"/>
          <w:color w:val="auto"/>
        </w:rPr>
      </w:pPr>
    </w:p>
    <w:p>
      <w:pPr>
        <w:ind w:left="660" w:right="120" w:firstLine="643"/>
        <w:spacing w:after="0" w:line="233" w:lineRule="auto"/>
        <w:tabs>
          <w:tab w:leader="none" w:pos="1859"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would more likely than not cause the Grantee to use, disclose, or access Proprietary Information of any such program, product, or service; or</w:t>
      </w:r>
    </w:p>
    <w:p>
      <w:pPr>
        <w:spacing w:after="0" w:line="93" w:lineRule="exact"/>
        <w:rPr>
          <w:rFonts w:ascii="Times New Roman" w:cs="Times New Roman" w:eastAsia="Times New Roman" w:hAnsi="Times New Roman"/>
          <w:sz w:val="20"/>
          <w:szCs w:val="20"/>
          <w:color w:val="auto"/>
        </w:rPr>
      </w:pPr>
    </w:p>
    <w:p>
      <w:pPr>
        <w:jc w:val="both"/>
        <w:ind w:left="660" w:right="1040" w:firstLine="643"/>
        <w:spacing w:after="0" w:line="251" w:lineRule="auto"/>
        <w:tabs>
          <w:tab w:leader="none" w:pos="1860"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competitive with any such program, product, or service and where the Grantee’s new responsibilities and duties will be similar to those previously held with the Company or any Subsidiary; or</w:t>
      </w:r>
    </w:p>
    <w:p>
      <w:pPr>
        <w:spacing w:after="0" w:line="83" w:lineRule="exact"/>
        <w:rPr>
          <w:rFonts w:ascii="Times New Roman" w:cs="Times New Roman" w:eastAsia="Times New Roman" w:hAnsi="Times New Roman"/>
          <w:sz w:val="19"/>
          <w:szCs w:val="19"/>
          <w:color w:val="auto"/>
        </w:rPr>
      </w:pPr>
    </w:p>
    <w:p>
      <w:pPr>
        <w:ind w:left="660" w:right="280" w:firstLine="643"/>
        <w:spacing w:after="0" w:line="222" w:lineRule="auto"/>
        <w:tabs>
          <w:tab w:leader="none" w:pos="1861"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associated with any program, product or service that was the subject of any capture effort, bid, offer or proposal activity by the Company or any Subsidiary in which the Grantee was personally and substantially involved during the 12 months prior to Separation from Service and of which the Grantee possesses Proprietary Information.</w:t>
      </w:r>
    </w:p>
    <w:p>
      <w:pPr>
        <w:sectPr>
          <w:pgSz w:w="11900" w:h="16838" w:orient="portrait"/>
          <w:cols w:equalWidth="0" w:num="1">
            <w:col w:w="10140"/>
          </w:cols>
          <w:pgMar w:left="1060" w:top="1048" w:right="699" w:bottom="1440" w:gutter="0" w:footer="0" w:header="0"/>
        </w:sectPr>
      </w:pPr>
    </w:p>
    <w:bookmarkStart w:id="213" w:name="page214"/>
    <w:bookmarkEnd w:id="213"/>
    <w:p>
      <w:pPr>
        <w:ind w:left="703" w:right="160" w:firstLine="648"/>
        <w:spacing w:after="0" w:line="211" w:lineRule="auto"/>
        <w:tabs>
          <w:tab w:leader="none" w:pos="1846" w:val="left"/>
        </w:tabs>
        <w:numPr>
          <w:ilvl w:val="2"/>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Grantee acknowledges and agrees that a breach of any of the promises or agreements contained in this Section 7 will result in immediate, irreparable and continuing damage to the Company and its Subsidiaries for which there is no adequate remedy at law, and the Company and its Subsidiaries will be entitled to injunctive relief, a decree for specific performance, and other relief as may be proper, including money damages such as, but not limited to, the disgorgement of any profits, commissions, or fees realized by the Grantee, any subsequent employers, any business owned or operated by the Grantee, or any of Grantee’s agents, heirs, or assigns because of any such breach. Furthermore, to the extent allowed by and consistent with applicable law and any applicable limitations period, if it is determined at any time by the Company or any Subsidiary that the Grantee has materially breached any employment-related covenants, including the covenants in this Section 7, the Company will be entitled to (i) cause any unvested portion of the Award to be immediately canceled without any payment of consideration by the Company and/or (ii) cause, upon written demand by the Company to the Grantee, that the Grantee promptly return to the Company some or all of the shares of Stock (or proceeds received by the Grantee from such shares of Stock) paid to the Grantee pursuant to this Agreement. If the Company must resort to litigation to enforce the Grantee’s obligation in (ii), the Company will be entitled to an award of reasonable attorneys' fees and costs should it prevail in the litigation.</w:t>
      </w:r>
    </w:p>
    <w:p>
      <w:pPr>
        <w:spacing w:after="0" w:line="112" w:lineRule="exact"/>
        <w:rPr>
          <w:rFonts w:ascii="Times New Roman" w:cs="Times New Roman" w:eastAsia="Times New Roman" w:hAnsi="Times New Roman"/>
          <w:sz w:val="20"/>
          <w:szCs w:val="20"/>
          <w:color w:val="auto"/>
        </w:rPr>
      </w:pPr>
    </w:p>
    <w:p>
      <w:pPr>
        <w:ind w:left="643" w:hanging="642"/>
        <w:spacing w:after="0" w:line="215" w:lineRule="auto"/>
        <w:tabs>
          <w:tab w:leader="none" w:pos="64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Interference with Rights</w:t>
      </w:r>
      <w:r>
        <w:rPr>
          <w:rFonts w:ascii="Times New Roman" w:cs="Times New Roman" w:eastAsia="Times New Roman" w:hAnsi="Times New Roman"/>
          <w:sz w:val="20"/>
          <w:szCs w:val="20"/>
          <w:color w:val="auto"/>
        </w:rPr>
        <w:t>. Grantee understands that Grantee shall not be held criminally or civilly liable under any U.S. or non-U.S. federal or state trade secret law for the disclosure of a trade secret that: (1) is made in confidence to a U.S. or non-U.S.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The Grantee also understands that disclosure of trade secrets to attorneys, made under seal, or pursuant to court order is also protected under 18 U.S. Code § 1833 in a retaliation lawsuit based on the reporting of a suspected violation of law.</w:t>
      </w:r>
    </w:p>
    <w:p>
      <w:pPr>
        <w:spacing w:after="0" w:line="191" w:lineRule="exact"/>
        <w:rPr>
          <w:rFonts w:ascii="Times New Roman" w:cs="Times New Roman" w:eastAsia="Times New Roman" w:hAnsi="Times New Roman"/>
          <w:sz w:val="20"/>
          <w:szCs w:val="20"/>
          <w:color w:val="auto"/>
        </w:rPr>
      </w:pPr>
    </w:p>
    <w:p>
      <w:pPr>
        <w:ind w:left="643" w:hanging="643"/>
        <w:spacing w:after="0"/>
        <w:tabs>
          <w:tab w:leader="none" w:pos="64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96" w:lineRule="exact"/>
        <w:rPr>
          <w:rFonts w:ascii="Times New Roman" w:cs="Times New Roman" w:eastAsia="Times New Roman" w:hAnsi="Times New Roman"/>
          <w:sz w:val="20"/>
          <w:szCs w:val="20"/>
          <w:color w:val="auto"/>
        </w:rPr>
      </w:pPr>
    </w:p>
    <w:p>
      <w:pPr>
        <w:ind w:left="643" w:right="160" w:firstLine="654"/>
        <w:spacing w:after="0" w:line="216" w:lineRule="auto"/>
        <w:tabs>
          <w:tab w:leader="none" w:pos="184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which either party hereto may be required or permitted to give to the other shall be in writing and may be delivered personally, by intraoffice mail, by fax, by electronic mail or other electronic means, or via a postal service, postage prepaid, to such electronic mail or postal address and directed to such person as the Company may notify the Grantee from time to time; and to the Grantee at the Grantee’s electronic mail or postal address as shown on the records of the Company from time to time, or at such other electronic mail or postal address as the Grantee, by notice to the Company, may designate in writing from time to time.</w:t>
      </w:r>
    </w:p>
    <w:p>
      <w:pPr>
        <w:spacing w:after="0" w:line="202" w:lineRule="exact"/>
        <w:rPr>
          <w:rFonts w:ascii="Times New Roman" w:cs="Times New Roman" w:eastAsia="Times New Roman" w:hAnsi="Times New Roman"/>
          <w:sz w:val="20"/>
          <w:szCs w:val="20"/>
          <w:color w:val="auto"/>
        </w:rPr>
      </w:pPr>
    </w:p>
    <w:p>
      <w:pPr>
        <w:ind w:left="1843" w:hanging="546"/>
        <w:spacing w:after="0"/>
        <w:tabs>
          <w:tab w:leader="none" w:pos="184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hereto of a breach of any provision of this Agreement shall not operate or</w:t>
      </w:r>
    </w:p>
    <w:p>
      <w:pPr>
        <w:spacing w:after="0" w:line="22"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20"/>
          <w:szCs w:val="20"/>
          <w:color w:val="auto"/>
        </w:rPr>
        <w:t>be construed as a waiver of any other or subsequent breach.</w:t>
      </w:r>
    </w:p>
    <w:p>
      <w:pPr>
        <w:spacing w:after="0" w:line="221" w:lineRule="exact"/>
        <w:rPr>
          <w:sz w:val="20"/>
          <w:szCs w:val="20"/>
          <w:color w:val="auto"/>
        </w:rPr>
      </w:pPr>
    </w:p>
    <w:p>
      <w:pPr>
        <w:ind w:left="643" w:right="260" w:firstLine="654"/>
        <w:spacing w:after="0" w:line="266" w:lineRule="auto"/>
        <w:tabs>
          <w:tab w:leader="none" w:pos="184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constitute the entire agreement between the parties with respect to the subject matter hereof. Any prior agreements, commitments or negotiations concerning the Award are superseded.</w:t>
      </w:r>
    </w:p>
    <w:p>
      <w:pPr>
        <w:spacing w:after="0" w:line="163" w:lineRule="exact"/>
        <w:rPr>
          <w:rFonts w:ascii="Times New Roman" w:cs="Times New Roman" w:eastAsia="Times New Roman" w:hAnsi="Times New Roman"/>
          <w:sz w:val="19"/>
          <w:szCs w:val="19"/>
          <w:color w:val="auto"/>
        </w:rPr>
      </w:pPr>
    </w:p>
    <w:p>
      <w:pPr>
        <w:ind w:left="643" w:right="360" w:firstLine="654"/>
        <w:spacing w:after="0" w:line="222" w:lineRule="auto"/>
        <w:tabs>
          <w:tab w:leader="none" w:pos="184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This Agreement shall inure to the benefit of and be binding upon the parties hereto and to the extent not prohibited herein, their respective heirs, successors, assigns and representatives. Nothing in this Agreement, express or implied, is intended to confer on any person other than the parties hereto and as provided above, their respective heirs, successors, assigns and representatives any rights, remedies, obligations or liabilities.</w:t>
      </w:r>
    </w:p>
    <w:p>
      <w:pPr>
        <w:spacing w:after="0" w:line="256" w:lineRule="exact"/>
        <w:rPr>
          <w:rFonts w:ascii="Times New Roman" w:cs="Times New Roman" w:eastAsia="Times New Roman" w:hAnsi="Times New Roman"/>
          <w:sz w:val="20"/>
          <w:szCs w:val="20"/>
          <w:color w:val="auto"/>
        </w:rPr>
      </w:pPr>
    </w:p>
    <w:p>
      <w:pPr>
        <w:ind w:left="643" w:right="260" w:firstLine="649"/>
        <w:spacing w:after="0" w:line="233" w:lineRule="auto"/>
        <w:tabs>
          <w:tab w:leader="none" w:pos="184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the State of Delaware without giving effect to the principles of conflicts of law, and applicable U.S. federal law.</w:t>
      </w:r>
    </w:p>
    <w:p>
      <w:pPr>
        <w:sectPr>
          <w:pgSz w:w="11900" w:h="16838" w:orient="portrait"/>
          <w:cols w:equalWidth="0" w:num="1">
            <w:col w:w="11003"/>
          </w:cols>
          <w:pgMar w:left="417" w:top="1197" w:right="479" w:bottom="1440" w:gutter="0" w:footer="0" w:header="0"/>
        </w:sectPr>
      </w:pPr>
    </w:p>
    <w:bookmarkStart w:id="214" w:name="page215"/>
    <w:bookmarkEnd w:id="214"/>
    <w:p>
      <w:pPr>
        <w:jc w:val="both"/>
        <w:ind w:right="20" w:firstLine="649"/>
        <w:spacing w:after="0" w:line="218" w:lineRule="auto"/>
        <w:tabs>
          <w:tab w:leader="none" w:pos="121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Any legal or equitable action or any proceeding arising directly, indirectly, or otherwise in connection with, out of, related to or from the Agreement, or any provision hereof, shall exclusively be filed and adjudicated in the Circuit Court for Fairfax County, Virginia, or the United States District Court for the Eastern District of Virginia, Alexandria Division, and no other venue. Any arbitration will be conducted according to the terms of the applicable arbitration agreement.</w:t>
      </w:r>
    </w:p>
    <w:p>
      <w:pPr>
        <w:spacing w:after="0" w:line="184" w:lineRule="exact"/>
        <w:rPr>
          <w:rFonts w:ascii="Times New Roman" w:cs="Times New Roman" w:eastAsia="Times New Roman" w:hAnsi="Times New Roman"/>
          <w:sz w:val="20"/>
          <w:szCs w:val="20"/>
          <w:color w:val="auto"/>
        </w:rPr>
      </w:pPr>
    </w:p>
    <w:p>
      <w:pPr>
        <w:ind w:left="1200" w:hanging="546"/>
        <w:spacing w:after="0"/>
        <w:tabs>
          <w:tab w:leader="none" w:pos="120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contained herein are for the sole purpose of convenience of reference, and shall not in</w:t>
      </w:r>
    </w:p>
    <w:p>
      <w:pPr>
        <w:spacing w:after="0"/>
        <w:rPr>
          <w:sz w:val="20"/>
          <w:szCs w:val="20"/>
          <w:color w:val="auto"/>
        </w:rPr>
      </w:pPr>
      <w:r>
        <w:rPr>
          <w:rFonts w:ascii="Times New Roman" w:cs="Times New Roman" w:eastAsia="Times New Roman" w:hAnsi="Times New Roman"/>
          <w:sz w:val="20"/>
          <w:szCs w:val="20"/>
          <w:color w:val="auto"/>
        </w:rPr>
        <w:t>any way limit or affect the meaning or interpretation of any of the terms or provisions of this Agreement.</w:t>
      </w:r>
    </w:p>
    <w:p>
      <w:pPr>
        <w:spacing w:after="0" w:line="194" w:lineRule="exact"/>
        <w:rPr>
          <w:sz w:val="20"/>
          <w:szCs w:val="20"/>
          <w:color w:val="auto"/>
        </w:rPr>
      </w:pPr>
    </w:p>
    <w:p>
      <w:pPr>
        <w:ind w:right="80" w:firstLine="654"/>
        <w:spacing w:after="0" w:line="223" w:lineRule="auto"/>
        <w:tabs>
          <w:tab w:leader="none" w:pos="120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 Amendment</w:t>
      </w:r>
      <w:r>
        <w:rPr>
          <w:rFonts w:ascii="Times New Roman" w:cs="Times New Roman" w:eastAsia="Times New Roman" w:hAnsi="Times New Roman"/>
          <w:sz w:val="20"/>
          <w:szCs w:val="20"/>
          <w:color w:val="auto"/>
        </w:rPr>
        <w:t>. The provisions of the Plan are incorporated in this Agreement in their entirety. In the event of any conflict between the provisions of this Agreement and the Plan, the provisions of the Plan shall control. This Agreement may be amended at any time by the Committee, provided that no amendment may, without the consent of the Grantee, materially impair the Grantee’s rights with respect to the Award, except as otherwise required pursuant to Section 9(l) below. The Committee shall have full authority and discretion, subject only to the terms of the Plan, to decide all matters relating to the administration or interpretation of the Plan, the Award, and the Agreement, and all such action by the Committee shall be final, conclusive, and binding upon the Company and the Grantee.</w:t>
      </w:r>
    </w:p>
    <w:p>
      <w:pPr>
        <w:spacing w:after="0" w:line="205" w:lineRule="exact"/>
        <w:rPr>
          <w:rFonts w:ascii="Times New Roman" w:cs="Times New Roman" w:eastAsia="Times New Roman" w:hAnsi="Times New Roman"/>
          <w:sz w:val="20"/>
          <w:szCs w:val="20"/>
          <w:color w:val="auto"/>
        </w:rPr>
      </w:pPr>
    </w:p>
    <w:p>
      <w:pPr>
        <w:ind w:firstLine="654"/>
        <w:spacing w:after="0" w:line="230" w:lineRule="auto"/>
        <w:tabs>
          <w:tab w:leader="none" w:pos="119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this Agreement shall confer upon the Grantee any right to continue in the Service of the Company or any Subsidiary or affect the right of the Company or any Subsidiary to terminate the Grantee’s Service at any time.</w:t>
      </w:r>
    </w:p>
    <w:p>
      <w:pPr>
        <w:spacing w:after="0" w:line="202" w:lineRule="exact"/>
        <w:rPr>
          <w:rFonts w:ascii="Times New Roman" w:cs="Times New Roman" w:eastAsia="Times New Roman" w:hAnsi="Times New Roman"/>
          <w:sz w:val="20"/>
          <w:szCs w:val="20"/>
          <w:color w:val="auto"/>
        </w:rPr>
      </w:pPr>
    </w:p>
    <w:p>
      <w:pPr>
        <w:ind w:right="480" w:firstLine="654"/>
        <w:spacing w:after="0" w:line="237" w:lineRule="auto"/>
        <w:tabs>
          <w:tab w:leader="none" w:pos="1199"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The Grantee agrees, upon demand of the Company or the Committee, to do all acts and execute, deliver and perform all additional documents, instruments and agreements which may be reasonably required by the Company or the Committee, as the case may be, to implement the provisions and purposes of this Agreement and the Plan.</w:t>
      </w:r>
    </w:p>
    <w:p>
      <w:pPr>
        <w:spacing w:after="0" w:line="184" w:lineRule="exact"/>
        <w:rPr>
          <w:rFonts w:ascii="Times New Roman" w:cs="Times New Roman" w:eastAsia="Times New Roman" w:hAnsi="Times New Roman"/>
          <w:sz w:val="19"/>
          <w:szCs w:val="19"/>
          <w:color w:val="auto"/>
        </w:rPr>
      </w:pPr>
    </w:p>
    <w:p>
      <w:pPr>
        <w:ind w:left="1200" w:hanging="546"/>
        <w:spacing w:after="0"/>
        <w:tabs>
          <w:tab w:leader="none" w:pos="12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Appendices</w:t>
      </w:r>
      <w:r>
        <w:rPr>
          <w:rFonts w:ascii="Times New Roman" w:cs="Times New Roman" w:eastAsia="Times New Roman" w:hAnsi="Times New Roman"/>
          <w:sz w:val="20"/>
          <w:szCs w:val="20"/>
          <w:color w:val="auto"/>
        </w:rPr>
        <w:t>. By accepting this Award, the Grantee acknowledges and agrees that, should the Grantee reside</w:t>
      </w:r>
    </w:p>
    <w:p>
      <w:pPr>
        <w:spacing w:after="0" w:line="222" w:lineRule="auto"/>
        <w:rPr>
          <w:sz w:val="20"/>
          <w:szCs w:val="20"/>
          <w:color w:val="auto"/>
        </w:rPr>
      </w:pPr>
      <w:r>
        <w:rPr>
          <w:rFonts w:ascii="Times New Roman" w:cs="Times New Roman" w:eastAsia="Times New Roman" w:hAnsi="Times New Roman"/>
          <w:sz w:val="19"/>
          <w:szCs w:val="19"/>
          <w:color w:val="auto"/>
        </w:rPr>
        <w:t>and/or work in a country outside the United States at any time during the life of the Award, this Award is subject to the additional</w:t>
      </w:r>
    </w:p>
    <w:p>
      <w:pPr>
        <w:ind w:right="620"/>
        <w:spacing w:after="0" w:line="215" w:lineRule="auto"/>
        <w:rPr>
          <w:sz w:val="20"/>
          <w:szCs w:val="20"/>
          <w:color w:val="auto"/>
        </w:rPr>
      </w:pPr>
      <w:r>
        <w:rPr>
          <w:rFonts w:ascii="Times New Roman" w:cs="Times New Roman" w:eastAsia="Times New Roman" w:hAnsi="Times New Roman"/>
          <w:sz w:val="19"/>
          <w:szCs w:val="19"/>
          <w:color w:val="auto"/>
        </w:rPr>
        <w:t>terms set forth in the Appendices A and B hereto. Appendices A and B constitute part of this Agreement. Please review the provisions of Appendices A and B carefully, as this Award will be null and void absent the Grantee’s acceptance of such</w:t>
      </w:r>
    </w:p>
    <w:p>
      <w:pPr>
        <w:spacing w:after="0"/>
        <w:rPr>
          <w:sz w:val="20"/>
          <w:szCs w:val="20"/>
          <w:color w:val="auto"/>
        </w:rPr>
      </w:pPr>
      <w:r>
        <w:rPr>
          <w:rFonts w:ascii="Times New Roman" w:cs="Times New Roman" w:eastAsia="Times New Roman" w:hAnsi="Times New Roman"/>
          <w:sz w:val="20"/>
          <w:szCs w:val="20"/>
          <w:color w:val="auto"/>
        </w:rPr>
        <w:t>provisions.</w:t>
      </w:r>
    </w:p>
    <w:p>
      <w:pPr>
        <w:spacing w:after="0" w:line="194" w:lineRule="exact"/>
        <w:rPr>
          <w:sz w:val="20"/>
          <w:szCs w:val="20"/>
          <w:color w:val="auto"/>
        </w:rPr>
      </w:pPr>
    </w:p>
    <w:p>
      <w:pPr>
        <w:ind w:right="140" w:firstLine="654"/>
        <w:spacing w:after="0" w:line="222" w:lineRule="auto"/>
        <w:tabs>
          <w:tab w:leader="none" w:pos="119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Award to the extent that the Company determines it is necessary or advisable in order to comply with local law or facilitate the administration of the Award and to require the Grantee to sign any additional agreements or undertakings that may be necessary to accomplish the foregoing.</w:t>
      </w:r>
    </w:p>
    <w:p>
      <w:pPr>
        <w:spacing w:after="0" w:line="175" w:lineRule="exact"/>
        <w:rPr>
          <w:rFonts w:ascii="Times New Roman" w:cs="Times New Roman" w:eastAsia="Times New Roman" w:hAnsi="Times New Roman"/>
          <w:sz w:val="20"/>
          <w:szCs w:val="20"/>
          <w:color w:val="auto"/>
        </w:rPr>
      </w:pPr>
    </w:p>
    <w:p>
      <w:pPr>
        <w:ind w:right="240" w:firstLine="654"/>
        <w:spacing w:after="0" w:line="216" w:lineRule="auto"/>
        <w:tabs>
          <w:tab w:leader="none" w:pos="120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Recovery of Compensation.</w:t>
      </w:r>
      <w:r>
        <w:rPr>
          <w:rFonts w:ascii="Times New Roman" w:cs="Times New Roman" w:eastAsia="Times New Roman" w:hAnsi="Times New Roman"/>
          <w:sz w:val="20"/>
          <w:szCs w:val="20"/>
          <w:color w:val="auto"/>
        </w:rPr>
        <w:t xml:space="preserve"> In accordance with Section 3.3 of the Plan, the Award is subject to the requirements of (i) Section 954 of the U.S. Dodd-Frank Wall Street Reform and Consumer Protection Act (regarding recovery of erroneously awarded compensation) and any implementing rules and regulations thereunder, (ii) any policies adopted by the Company to implement such requirements, and (iii) the Company’s compensation recoupment policy as amended and restated on June 26, 2023, as in effect from time to time (the “Compensation Recoupment Policy”), all to the extent determined by the Committee to be applicable to the Grantee.</w:t>
      </w:r>
    </w:p>
    <w:p>
      <w:pPr>
        <w:spacing w:after="0" w:line="189" w:lineRule="exact"/>
        <w:rPr>
          <w:rFonts w:ascii="Times New Roman" w:cs="Times New Roman" w:eastAsia="Times New Roman" w:hAnsi="Times New Roman"/>
          <w:sz w:val="20"/>
          <w:szCs w:val="20"/>
          <w:color w:val="auto"/>
        </w:rPr>
      </w:pPr>
    </w:p>
    <w:p>
      <w:pPr>
        <w:ind w:right="240" w:firstLine="649"/>
        <w:spacing w:after="0" w:line="226" w:lineRule="auto"/>
        <w:tabs>
          <w:tab w:leader="none" w:pos="120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w:t>
      </w:r>
      <w:r>
        <w:rPr>
          <w:rFonts w:ascii="Times New Roman" w:cs="Times New Roman" w:eastAsia="Times New Roman" w:hAnsi="Times New Roman"/>
          <w:sz w:val="20"/>
          <w:szCs w:val="20"/>
          <w:color w:val="auto"/>
        </w:rPr>
        <w:t>ity. The provisions of this Agreement are severable and if any one or more provisions are determined to be illegal or otherwise unenforceable, in whole or in part, the remaining provisions shall nevertheless be binding and enforceable.</w:t>
      </w:r>
    </w:p>
    <w:p>
      <w:pPr>
        <w:spacing w:after="0" w:line="187" w:lineRule="exact"/>
        <w:rPr>
          <w:rFonts w:ascii="Times New Roman" w:cs="Times New Roman" w:eastAsia="Times New Roman" w:hAnsi="Times New Roman"/>
          <w:sz w:val="20"/>
          <w:szCs w:val="20"/>
          <w:color w:val="auto"/>
        </w:rPr>
      </w:pPr>
    </w:p>
    <w:p>
      <w:pPr>
        <w:ind w:right="360" w:firstLine="649"/>
        <w:spacing w:after="0" w:line="226" w:lineRule="auto"/>
        <w:tabs>
          <w:tab w:leader="none" w:pos="120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Grantee hereby consents to receive such documents by electronic</w:t>
      </w:r>
    </w:p>
    <w:p>
      <w:pPr>
        <w:sectPr>
          <w:pgSz w:w="11900" w:h="16838" w:orient="portrait"/>
          <w:cols w:equalWidth="0" w:num="1">
            <w:col w:w="10380"/>
          </w:cols>
          <w:pgMar w:left="1060" w:top="954" w:right="459" w:bottom="1440" w:gutter="0" w:footer="0" w:header="0"/>
        </w:sectPr>
      </w:pPr>
    </w:p>
    <w:bookmarkStart w:id="215" w:name="page216"/>
    <w:bookmarkEnd w:id="215"/>
    <w:p>
      <w:pPr>
        <w:ind w:left="642" w:right="700"/>
        <w:spacing w:after="0" w:line="233" w:lineRule="auto"/>
        <w:rPr>
          <w:sz w:val="20"/>
          <w:szCs w:val="20"/>
          <w:color w:val="auto"/>
        </w:rPr>
      </w:pPr>
      <w:r>
        <w:rPr>
          <w:rFonts w:ascii="Times New Roman" w:cs="Times New Roman" w:eastAsia="Times New Roman" w:hAnsi="Times New Roman"/>
          <w:sz w:val="20"/>
          <w:szCs w:val="20"/>
          <w:color w:val="auto"/>
        </w:rPr>
        <w:t>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2" w:hanging="642"/>
        <w:spacing w:after="0" w:line="222" w:lineRule="auto"/>
        <w:tabs>
          <w:tab w:leader="none" w:pos="63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Grantee’s participation in the Plan or the Grantee’s acquisition of any shares of Stock under the Plan or subsequent sale of such shares of Stock. The Grantee should consult with the Grantee’s personal tax, legal and financial advisors regarding the Grantee’s participation in the Plan before taking any action in relation thereto.</w:t>
      </w:r>
    </w:p>
    <w:p>
      <w:pPr>
        <w:spacing w:after="0" w:line="188" w:lineRule="exact"/>
        <w:rPr>
          <w:rFonts w:ascii="Times New Roman" w:cs="Times New Roman" w:eastAsia="Times New Roman" w:hAnsi="Times New Roman"/>
          <w:sz w:val="20"/>
          <w:szCs w:val="20"/>
          <w:color w:val="auto"/>
        </w:rPr>
      </w:pPr>
    </w:p>
    <w:p>
      <w:pPr>
        <w:ind w:left="642" w:hanging="642"/>
        <w:spacing w:after="0" w:line="211" w:lineRule="auto"/>
        <w:tabs>
          <w:tab w:leader="none" w:pos="626"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Trading/Market Abuse Laws</w:t>
      </w:r>
      <w:r>
        <w:rPr>
          <w:rFonts w:ascii="Times New Roman" w:cs="Times New Roman" w:eastAsia="Times New Roman" w:hAnsi="Times New Roman"/>
          <w:sz w:val="20"/>
          <w:szCs w:val="20"/>
          <w:color w:val="auto"/>
        </w:rPr>
        <w:t>. The Grantee acknowledges that he or she may be subject to insider trading restrictions and/or market abuse laws which may affect the Grantee’s ability to accept, acquire, sell or otherwise dispose of shares of Stock, rights to shares of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Award) or rights linked to the value of Stock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The Grantee acknowledges that it is the Grantee’s responsibility to comply with any applicable insider trading restrictions and/or market abuse laws, and the Grantee should speak to his or her personal advisor on this matter.</w:t>
      </w:r>
    </w:p>
    <w:p>
      <w:pPr>
        <w:sectPr>
          <w:pgSz w:w="11900" w:h="16838" w:orient="portrait"/>
          <w:cols w:equalWidth="0" w:num="1">
            <w:col w:w="10742"/>
          </w:cols>
          <w:pgMar w:left="418" w:top="886" w:right="739"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0"/>
          <w:szCs w:val="20"/>
          <w:b w:val="1"/>
          <w:bCs w:val="1"/>
          <w:color w:val="auto"/>
        </w:rPr>
        <w:t>TO THE TERMS AND CONDITIONS OF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20"/>
          <w:szCs w:val="20"/>
          <w:b w:val="1"/>
          <w:bCs w:val="1"/>
          <w:u w:val="single" w:color="auto"/>
          <w:color w:val="auto"/>
        </w:rPr>
        <w:t>General Additional Terms Applicable to Awards Held by Grantees Outside the U.S.</w:t>
      </w:r>
    </w:p>
    <w:p>
      <w:pPr>
        <w:spacing w:after="0" w:line="297" w:lineRule="exact"/>
        <w:rPr>
          <w:sz w:val="20"/>
          <w:szCs w:val="20"/>
          <w:color w:val="auto"/>
        </w:rPr>
      </w:pPr>
    </w:p>
    <w:p>
      <w:pPr>
        <w:ind w:left="643" w:hanging="643"/>
        <w:spacing w:after="0"/>
        <w:tabs>
          <w:tab w:leader="none" w:pos="643"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b w:val="1"/>
          <w:bCs w:val="1"/>
          <w:color w:val="auto"/>
        </w:rPr>
        <w:t>.</w:t>
      </w:r>
    </w:p>
    <w:p>
      <w:pPr>
        <w:spacing w:after="0" w:line="229" w:lineRule="exact"/>
        <w:rPr>
          <w:rFonts w:ascii="Times New Roman" w:cs="Times New Roman" w:eastAsia="Times New Roman" w:hAnsi="Times New Roman"/>
          <w:sz w:val="20"/>
          <w:szCs w:val="20"/>
          <w:color w:val="auto"/>
        </w:rPr>
      </w:pPr>
    </w:p>
    <w:p>
      <w:pPr>
        <w:ind w:left="643" w:right="40" w:firstLine="655"/>
        <w:spacing w:after="0" w:line="213" w:lineRule="auto"/>
        <w:tabs>
          <w:tab w:leader="none" w:pos="1845" w:val="left"/>
        </w:tabs>
        <w:numPr>
          <w:ilvl w:val="1"/>
          <w:numId w:val="1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and the Employer collect, process and use certain personal information about the Grantee, including, but not limited to, the Grantee’s name, home address and telephone number, email address, date of birth, social insurance, passport or other identification number, salary, nationality, job title, any shares of Stock or directorships held in the Company, details of all Awards under the Plan or any other entitlement to shares of Stock or equivalent benefits awarded, canceled, exercised, vested, unvested or outstanding in the Grantee favor (“Data”), for the legitimate purpose of implementing, administering and managing the Grantee’s participation in the Plan. The legal basis, where required, for the processing of Data by the Company and the third-party service providers described below is the Grantee’s consent.</w:t>
      </w:r>
    </w:p>
    <w:p>
      <w:pPr>
        <w:spacing w:after="0" w:line="189" w:lineRule="exact"/>
        <w:rPr>
          <w:rFonts w:ascii="Times New Roman" w:cs="Times New Roman" w:eastAsia="Times New Roman" w:hAnsi="Times New Roman"/>
          <w:sz w:val="20"/>
          <w:szCs w:val="20"/>
          <w:b w:val="1"/>
          <w:bCs w:val="1"/>
          <w:i w:val="1"/>
          <w:iCs w:val="1"/>
          <w:color w:val="auto"/>
        </w:rPr>
      </w:pPr>
    </w:p>
    <w:p>
      <w:pPr>
        <w:ind w:left="643" w:right="40" w:firstLine="655"/>
        <w:spacing w:after="0" w:line="216" w:lineRule="auto"/>
        <w:tabs>
          <w:tab w:leader="none" w:pos="1845" w:val="left"/>
        </w:tabs>
        <w:numPr>
          <w:ilvl w:val="1"/>
          <w:numId w:val="1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Computershare and certain of its affiliated companies (collectively, “Computershare”), an independent service provider based in the United States, which assists the Company with the implementation, administration and management of the Plan. The Grantee acknowledges and understands that Computershare will open an account for the Grantee to receive and trade shares of Stock acquired under the Plan and that the Grantee will be asked to agree on separate terms and data processing practices with Computershare, with such agreement being a condition to the ability to participate in the Plan. The legal basis, where required, for the transfer of Data by the Company to Computershare is the Grantee’s consent.</w:t>
      </w:r>
    </w:p>
    <w:p>
      <w:pPr>
        <w:spacing w:after="0" w:line="183" w:lineRule="exact"/>
        <w:rPr>
          <w:rFonts w:ascii="Times New Roman" w:cs="Times New Roman" w:eastAsia="Times New Roman" w:hAnsi="Times New Roman"/>
          <w:sz w:val="20"/>
          <w:szCs w:val="20"/>
          <w:b w:val="1"/>
          <w:bCs w:val="1"/>
          <w:i w:val="1"/>
          <w:iCs w:val="1"/>
          <w:color w:val="auto"/>
        </w:rPr>
      </w:pPr>
    </w:p>
    <w:p>
      <w:pPr>
        <w:ind w:left="1863" w:hanging="565"/>
        <w:spacing w:after="0"/>
        <w:tabs>
          <w:tab w:leader="none" w:pos="1863" w:val="left"/>
        </w:tabs>
        <w:numPr>
          <w:ilvl w:val="1"/>
          <w:numId w:val="1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is based in the United States. The</w:t>
      </w:r>
    </w:p>
    <w:p>
      <w:pPr>
        <w:ind w:left="643" w:right="100"/>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Grantee’s country or jurisdiction may have different data privacy laws and protections than the United States. As a result, in the absence of appropriate safeguards such as standard data protection clauses, the processing of the Grantee’s Data in the United</w:t>
      </w:r>
    </w:p>
    <w:p>
      <w:pPr>
        <w:ind w:left="643"/>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States or, as the case may be, other countries might not be subject to substantive data processing principles or supervision by</w:t>
      </w:r>
    </w:p>
    <w:p>
      <w:pPr>
        <w:ind w:left="643" w:right="40"/>
        <w:spacing w:after="0" w:line="233" w:lineRule="auto"/>
        <w:rPr>
          <w:sz w:val="20"/>
          <w:szCs w:val="20"/>
          <w:color w:val="auto"/>
        </w:rPr>
      </w:pPr>
      <w:r>
        <w:rPr>
          <w:rFonts w:ascii="Times New Roman" w:cs="Times New Roman" w:eastAsia="Times New Roman" w:hAnsi="Times New Roman"/>
          <w:sz w:val="19"/>
          <w:szCs w:val="19"/>
          <w:b w:val="1"/>
          <w:bCs w:val="1"/>
          <w:i w:val="1"/>
          <w:iCs w:val="1"/>
          <w:color w:val="auto"/>
        </w:rPr>
        <w:t>data protection authorities. In addition, the Grantee might not have enforceable rights regarding the processing of the Grantee’s Data in such countries. The Company’s legal basis, where required, for the transfer of Data is the Grantee’s consent.</w:t>
      </w:r>
    </w:p>
    <w:p>
      <w:pPr>
        <w:spacing w:after="0" w:line="198" w:lineRule="exact"/>
        <w:rPr>
          <w:sz w:val="20"/>
          <w:szCs w:val="20"/>
          <w:color w:val="auto"/>
        </w:rPr>
      </w:pPr>
    </w:p>
    <w:p>
      <w:pPr>
        <w:jc w:val="both"/>
        <w:ind w:left="643" w:firstLine="655"/>
        <w:spacing w:after="0" w:line="223" w:lineRule="auto"/>
        <w:tabs>
          <w:tab w:leader="none" w:pos="1845" w:val="left"/>
        </w:tabs>
        <w:numPr>
          <w:ilvl w:val="0"/>
          <w:numId w:val="16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the Grantee’s participation in the Plan, or as required to comply with applicable law, exercise or defense of legal rights, and archiving, back-up and deletion processes. This means Data may be held even after the Grantee’s employment or service is terminated.</w:t>
      </w:r>
    </w:p>
    <w:p>
      <w:pPr>
        <w:spacing w:after="0" w:line="238" w:lineRule="exact"/>
        <w:rPr>
          <w:rFonts w:ascii="Times New Roman" w:cs="Times New Roman" w:eastAsia="Times New Roman" w:hAnsi="Times New Roman"/>
          <w:sz w:val="20"/>
          <w:szCs w:val="20"/>
          <w:b w:val="1"/>
          <w:bCs w:val="1"/>
          <w:i w:val="1"/>
          <w:iCs w:val="1"/>
          <w:color w:val="auto"/>
        </w:rPr>
      </w:pPr>
    </w:p>
    <w:p>
      <w:pPr>
        <w:ind w:left="643" w:right="40" w:firstLine="655"/>
        <w:spacing w:after="0" w:line="219" w:lineRule="auto"/>
        <w:tabs>
          <w:tab w:leader="none" w:pos="1848" w:val="left"/>
        </w:tabs>
        <w:numPr>
          <w:ilvl w:val="0"/>
          <w:numId w:val="16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the Grantee is providing any consents herein on a purely voluntary basis. The Grantee understands that the Grantee may withdraw his or her consent at any time with future effect for any or no reason. If the Grantee does not consent, or if the Grantee later seeks to revoke his or her consent, the Grantee’s Service with the Employer will not be affected; the only consequence of refusing or withdrawing the Grantee’s consent is that the Company would not be able to grant the Awards under the Plan or other equity awards to the Grantee or administer or maintain the Grantee’s participation in the Plan.</w:t>
      </w:r>
    </w:p>
    <w:p>
      <w:pPr>
        <w:spacing w:after="0" w:line="185" w:lineRule="exact"/>
        <w:rPr>
          <w:rFonts w:ascii="Times New Roman" w:cs="Times New Roman" w:eastAsia="Times New Roman" w:hAnsi="Times New Roman"/>
          <w:sz w:val="20"/>
          <w:szCs w:val="20"/>
          <w:b w:val="1"/>
          <w:bCs w:val="1"/>
          <w:i w:val="1"/>
          <w:iCs w:val="1"/>
          <w:color w:val="auto"/>
        </w:rPr>
      </w:pPr>
    </w:p>
    <w:p>
      <w:pPr>
        <w:ind w:left="643" w:right="160" w:firstLine="655"/>
        <w:spacing w:after="0" w:line="225" w:lineRule="auto"/>
        <w:tabs>
          <w:tab w:leader="none" w:pos="1840" w:val="left"/>
        </w:tabs>
        <w:numPr>
          <w:ilvl w:val="0"/>
          <w:numId w:val="16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u w:val="single" w:color="auto"/>
          <w:color w:val="auto"/>
        </w:rPr>
        <w:t>Data Subject Rights</w:t>
      </w:r>
      <w:r>
        <w:rPr>
          <w:rFonts w:ascii="Times New Roman" w:cs="Times New Roman" w:eastAsia="Times New Roman" w:hAnsi="Times New Roman"/>
          <w:sz w:val="19"/>
          <w:szCs w:val="19"/>
          <w:b w:val="1"/>
          <w:bCs w:val="1"/>
          <w:i w:val="1"/>
          <w:iCs w:val="1"/>
          <w:color w:val="auto"/>
        </w:rPr>
        <w:t>. The Grantee may have a number of rights under data privacy laws in the Grantee’s jurisdiction. Depending on where the Grantee is based, such rights may include the right to (i) request access or copies of Data the Company processes, (ii) rectification of incorrect Data, (iii) deletion of Data, (iv) restrictions on processing of Data, (v) portability of Data, (vi) lodge complaints with competent authorities in the Grantee’s jurisdiction, and/or (vii) receive a list with</w:t>
      </w:r>
    </w:p>
    <w:p>
      <w:pPr>
        <w:sectPr>
          <w:pgSz w:w="11900" w:h="16838" w:orient="portrait"/>
          <w:cols w:equalWidth="0" w:num="1">
            <w:col w:w="11143"/>
          </w:cols>
          <w:pgMar w:left="417" w:top="1440" w:right="339" w:bottom="375" w:gutter="0" w:footer="0" w:header="0"/>
        </w:sectPr>
      </w:pPr>
    </w:p>
    <w:p>
      <w:pPr>
        <w:spacing w:after="0" w:line="3" w:lineRule="exact"/>
        <w:rPr>
          <w:sz w:val="20"/>
          <w:szCs w:val="20"/>
          <w:color w:val="auto"/>
        </w:rPr>
      </w:pPr>
    </w:p>
    <w:p>
      <w:pPr>
        <w:ind w:left="643" w:right="24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the names and addresses of any potential recipients of Data. To receive clarification regarding these rights or to exercise these rights, the Grantee can contact his or her local human resources representative.</w:t>
      </w:r>
    </w:p>
    <w:p>
      <w:pPr>
        <w:sectPr>
          <w:pgSz w:w="11900" w:h="16838" w:orient="portrait"/>
          <w:cols w:equalWidth="0" w:num="1">
            <w:col w:w="11143"/>
          </w:cols>
          <w:pgMar w:left="417" w:top="1440" w:right="339" w:bottom="375" w:gutter="0" w:footer="0" w:header="0"/>
          <w:type w:val="continuous"/>
        </w:sectPr>
      </w:pPr>
    </w:p>
    <w:bookmarkStart w:id="217" w:name="page218"/>
    <w:bookmarkEnd w:id="217"/>
    <w:p>
      <w:pPr>
        <w:spacing w:after="0" w:line="221" w:lineRule="auto"/>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ind w:left="643" w:right="320" w:hanging="643"/>
        <w:spacing w:after="0"/>
        <w:tabs>
          <w:tab w:leader="none" w:pos="642"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entering into this Agreement and accepting the grant of Units evidenced hereby, the Grantee acknowledges, understands and agrees that:</w:t>
      </w:r>
    </w:p>
    <w:p>
      <w:pPr>
        <w:spacing w:after="0" w:line="188" w:lineRule="exact"/>
        <w:rPr>
          <w:rFonts w:ascii="Times New Roman" w:cs="Times New Roman" w:eastAsia="Times New Roman" w:hAnsi="Times New Roman"/>
          <w:sz w:val="20"/>
          <w:szCs w:val="20"/>
          <w:color w:val="auto"/>
        </w:rPr>
      </w:pPr>
    </w:p>
    <w:p>
      <w:pPr>
        <w:ind w:left="643" w:right="100" w:firstLine="655"/>
        <w:spacing w:after="0" w:line="233" w:lineRule="auto"/>
        <w:tabs>
          <w:tab w:leader="none" w:pos="1848"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terminated, suspended or amended by the Company at any time, to the extent permitted by the Plan;</w:t>
      </w:r>
    </w:p>
    <w:p>
      <w:pPr>
        <w:spacing w:after="0" w:line="187" w:lineRule="exact"/>
        <w:rPr>
          <w:rFonts w:ascii="Times New Roman" w:cs="Times New Roman" w:eastAsia="Times New Roman" w:hAnsi="Times New Roman"/>
          <w:sz w:val="20"/>
          <w:szCs w:val="20"/>
          <w:color w:val="auto"/>
        </w:rPr>
      </w:pPr>
    </w:p>
    <w:p>
      <w:pPr>
        <w:ind w:left="643" w:right="520" w:firstLine="655"/>
        <w:spacing w:after="0"/>
        <w:tabs>
          <w:tab w:leader="none" w:pos="184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is exceptional, voluntary and occasional and does not create any contractual or other right to receive future awards of Units or benefits in lieu of Units, even if such awards have been awarded in the past;</w:t>
      </w:r>
    </w:p>
    <w:p>
      <w:pPr>
        <w:spacing w:after="0" w:line="188" w:lineRule="exact"/>
        <w:rPr>
          <w:rFonts w:ascii="Times New Roman" w:cs="Times New Roman" w:eastAsia="Times New Roman" w:hAnsi="Times New Roman"/>
          <w:sz w:val="20"/>
          <w:szCs w:val="20"/>
          <w:color w:val="auto"/>
        </w:rPr>
      </w:pPr>
    </w:p>
    <w:p>
      <w:pPr>
        <w:ind w:left="1863" w:hanging="565"/>
        <w:spacing w:after="0"/>
        <w:tabs>
          <w:tab w:leader="none" w:pos="1863"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awards,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643" w:firstLine="655"/>
        <w:spacing w:after="0" w:line="226" w:lineRule="auto"/>
        <w:tabs>
          <w:tab w:leader="none" w:pos="184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Units shall not create a right to Service or be interpreted as forming an employment or service contract with the Company or any other Subsidiary and shall not interfere with the ability of the Employer to terminate the Grantee’s Service relationship (if any) at any time;</w:t>
      </w:r>
    </w:p>
    <w:p>
      <w:pPr>
        <w:spacing w:after="0" w:line="187" w:lineRule="exact"/>
        <w:rPr>
          <w:rFonts w:ascii="Times New Roman" w:cs="Times New Roman" w:eastAsia="Times New Roman" w:hAnsi="Times New Roman"/>
          <w:sz w:val="20"/>
          <w:szCs w:val="20"/>
          <w:color w:val="auto"/>
        </w:rPr>
      </w:pPr>
    </w:p>
    <w:p>
      <w:pPr>
        <w:ind w:left="1863" w:hanging="565"/>
        <w:spacing w:after="0"/>
        <w:tabs>
          <w:tab w:leader="none" w:pos="1863"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Grantee is voluntarily participating in the Plan;</w:t>
      </w:r>
    </w:p>
    <w:p>
      <w:pPr>
        <w:spacing w:after="0" w:line="202" w:lineRule="exact"/>
        <w:rPr>
          <w:rFonts w:ascii="Times New Roman" w:cs="Times New Roman" w:eastAsia="Times New Roman" w:hAnsi="Times New Roman"/>
          <w:sz w:val="20"/>
          <w:szCs w:val="20"/>
          <w:color w:val="auto"/>
        </w:rPr>
      </w:pPr>
    </w:p>
    <w:p>
      <w:pPr>
        <w:ind w:left="643" w:right="220" w:firstLine="655"/>
        <w:spacing w:after="0" w:line="222" w:lineRule="auto"/>
        <w:tabs>
          <w:tab w:leader="none" w:pos="184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Units and any payment made pursuant to the Units, and the income from and value of same, are not part of normal or expected compensation or salary for any purposes, including, but not limited to, calculating any severance, resignation, termination, redundancy, dismissal, end-of-service payments, bonuses, holiday pay, long-service awards, leave-related payments, pension or retirement benefits or welfare benefits or similar payments;</w:t>
      </w:r>
    </w:p>
    <w:p>
      <w:pPr>
        <w:spacing w:after="0" w:line="202" w:lineRule="exact"/>
        <w:rPr>
          <w:rFonts w:ascii="Times New Roman" w:cs="Times New Roman" w:eastAsia="Times New Roman" w:hAnsi="Times New Roman"/>
          <w:sz w:val="20"/>
          <w:szCs w:val="20"/>
          <w:color w:val="auto"/>
        </w:rPr>
      </w:pPr>
    </w:p>
    <w:p>
      <w:pPr>
        <w:ind w:left="643" w:right="360" w:firstLine="655"/>
        <w:spacing w:after="0" w:line="226" w:lineRule="auto"/>
        <w:tabs>
          <w:tab w:leader="none" w:pos="184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Award and any shares of Stock subject to the Award, and income from and value of same, are not granted as consideration for, or in connection with, any service the Grantee may provide as a director of any Subsidiary;</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643" w:right="1000" w:firstLine="655"/>
        <w:spacing w:after="0" w:line="233" w:lineRule="auto"/>
        <w:tabs>
          <w:tab w:leader="none" w:pos="184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of Stock which may be delivered in settlement of vested Units is unknown, indeterminable and cannot be predicted with certainty;</w:t>
      </w:r>
    </w:p>
    <w:p>
      <w:pPr>
        <w:spacing w:after="0" w:line="187" w:lineRule="exact"/>
        <w:rPr>
          <w:rFonts w:ascii="Times New Roman" w:cs="Times New Roman" w:eastAsia="Times New Roman" w:hAnsi="Times New Roman"/>
          <w:sz w:val="20"/>
          <w:szCs w:val="20"/>
          <w:color w:val="auto"/>
        </w:rPr>
      </w:pPr>
    </w:p>
    <w:p>
      <w:pPr>
        <w:ind w:left="643" w:right="280" w:firstLine="655"/>
        <w:spacing w:after="0" w:line="220" w:lineRule="auto"/>
        <w:tabs>
          <w:tab w:leader="none" w:pos="1842"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Units resulting from the Grantee’s Separation from Service (for any reason whatsoever, whether or not such termination is later found to be invalid or in breach of applicable laws in the jurisdiction where the Grantee is employed or the terms of the Grantee’s employment or service agreement, if any) or recoupment of all or any portion of any payment made pursuant to the Units as provided by the Company’s Compensation Recoupment Policy;</w:t>
      </w:r>
    </w:p>
    <w:p>
      <w:pPr>
        <w:spacing w:after="0" w:line="174" w:lineRule="exact"/>
        <w:rPr>
          <w:rFonts w:ascii="Times New Roman" w:cs="Times New Roman" w:eastAsia="Times New Roman" w:hAnsi="Times New Roman"/>
          <w:sz w:val="20"/>
          <w:szCs w:val="20"/>
          <w:color w:val="auto"/>
        </w:rPr>
      </w:pPr>
    </w:p>
    <w:p>
      <w:pPr>
        <w:ind w:left="643" w:firstLine="655"/>
        <w:spacing w:after="0" w:line="211" w:lineRule="auto"/>
        <w:tabs>
          <w:tab w:leader="none" w:pos="1842"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Units, the date of the Grantee’s Separation from Service (for any reason whatsoever, whether or not such termination is later found to be invalid or in breach of applicable laws in the jurisdiction where the Grantee is employed or the terms of the Grantee’s employment or service agreement, if any) will be deemed to occur as of the date the Grantee is no longer actively providing Service to the Company or any of its Subsidiaries, and unless otherwise expressly provided in this Agreement or otherwise determined by the Company, the Grantee’s right to vest in any portion of the Units (and any related dividend equivalents)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Grantee’s active employment or period of service would not include any contractual notice period or any period of “garden leave” or similar period mandated under applicable laws in the jurisdiction where the Grantee is employed or the terms of the Grantee’s employment or service agreement, if any). For the avoidance of doubt, actively providing Service during only a portion of the vesting period prior to a vesting date shall not entitle the Grantee to vest in a pro-rata portion of the unvested Units that would have vested as of such vesting date, nor will it entitle the Grantee to any compensation for lost vesting. The Company, in its sole discretion, shall determine when the Grantee is no longer actively providing Service for purposes of the Units (including whether the Grantee may still be considered to be actively providing Service while on an approved leave of absence);</w:t>
      </w:r>
    </w:p>
    <w:p>
      <w:pPr>
        <w:spacing w:after="0" w:line="193" w:lineRule="exact"/>
        <w:rPr>
          <w:rFonts w:ascii="Times New Roman" w:cs="Times New Roman" w:eastAsia="Times New Roman" w:hAnsi="Times New Roman"/>
          <w:sz w:val="20"/>
          <w:szCs w:val="20"/>
          <w:color w:val="auto"/>
        </w:rPr>
      </w:pPr>
    </w:p>
    <w:p>
      <w:pPr>
        <w:ind w:left="643" w:right="240" w:firstLine="655"/>
        <w:spacing w:after="0"/>
        <w:tabs>
          <w:tab w:leader="none" w:pos="184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Units and the benefits evidenced by this Agreement do not create any entitlement to have the Units or any</w:t>
      </w:r>
    </w:p>
    <w:p>
      <w:pPr>
        <w:sectPr>
          <w:pgSz w:w="11900" w:h="16838" w:orient="portrait"/>
          <w:cols w:equalWidth="0" w:num="1">
            <w:col w:w="11123"/>
          </w:cols>
          <w:pgMar w:left="417" w:top="940" w:right="359" w:bottom="1440" w:gutter="0" w:footer="0" w:header="0"/>
        </w:sectPr>
      </w:pPr>
    </w:p>
    <w:bookmarkStart w:id="219" w:name="page220"/>
    <w:bookmarkEnd w:id="219"/>
    <w:p>
      <w:pPr>
        <w:ind w:left="643" w:right="80"/>
        <w:spacing w:after="0"/>
        <w:rPr>
          <w:sz w:val="20"/>
          <w:szCs w:val="20"/>
          <w:color w:val="auto"/>
        </w:rPr>
      </w:pPr>
      <w:r>
        <w:rPr>
          <w:rFonts w:ascii="Times New Roman" w:cs="Times New Roman" w:eastAsia="Times New Roman" w:hAnsi="Times New Roman"/>
          <w:sz w:val="20"/>
          <w:szCs w:val="20"/>
          <w:color w:val="auto"/>
        </w:rPr>
        <w:t>such benefits transferred to, or assumed by, another company nor to be exchanged, cashed out or substituted for, in connection with any corporate transaction affecting the Stock; and</w:t>
      </w:r>
    </w:p>
    <w:p>
      <w:pPr>
        <w:spacing w:after="0" w:line="188" w:lineRule="exact"/>
        <w:rPr>
          <w:sz w:val="20"/>
          <w:szCs w:val="20"/>
          <w:color w:val="auto"/>
        </w:rPr>
      </w:pPr>
    </w:p>
    <w:p>
      <w:pPr>
        <w:ind w:left="643" w:right="240" w:firstLine="655"/>
        <w:spacing w:after="0" w:line="226" w:lineRule="auto"/>
        <w:tabs>
          <w:tab w:leader="none" w:pos="1842"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nor any other Subsidiary shall be liable for any foreign exchange rate fluctuation between the Grantee’s local currency and the United States Dollar that may affect the value of the Units, any payment made pursuant to the Units or the subsequent sale of any shares of Stock acquired under the Plan.</w:t>
      </w:r>
    </w:p>
    <w:p>
      <w:pPr>
        <w:spacing w:after="0" w:line="187" w:lineRule="exact"/>
        <w:rPr>
          <w:rFonts w:ascii="Times New Roman" w:cs="Times New Roman" w:eastAsia="Times New Roman" w:hAnsi="Times New Roman"/>
          <w:sz w:val="20"/>
          <w:szCs w:val="20"/>
          <w:color w:val="auto"/>
        </w:rPr>
      </w:pPr>
    </w:p>
    <w:p>
      <w:pPr>
        <w:ind w:left="643" w:hanging="643"/>
        <w:spacing w:after="0" w:line="220" w:lineRule="auto"/>
        <w:tabs>
          <w:tab w:leader="none" w:pos="64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Grantee acknowledges and represents that the Grantee is proficient in the English language or has consulted with an advisor who is sufficiently proficient in English, as to allow the Grantee to understand the terms of this Agreement and any other documents related to the Plan. If the Grantee has received this Agreement or any other document related to the Plan translated into a language other than English and if the meaning of the translated version differs from the English version, the English version shall control.</w:t>
      </w:r>
    </w:p>
    <w:p>
      <w:pPr>
        <w:spacing w:after="0" w:line="174" w:lineRule="exact"/>
        <w:rPr>
          <w:rFonts w:ascii="Times New Roman" w:cs="Times New Roman" w:eastAsia="Times New Roman" w:hAnsi="Times New Roman"/>
          <w:sz w:val="20"/>
          <w:szCs w:val="20"/>
          <w:color w:val="auto"/>
        </w:rPr>
      </w:pPr>
    </w:p>
    <w:p>
      <w:pPr>
        <w:ind w:left="643" w:right="80" w:hanging="643"/>
        <w:spacing w:after="0" w:line="214" w:lineRule="auto"/>
        <w:tabs>
          <w:tab w:leader="none" w:pos="64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Grantee may be subject to certain foreign asset and/or account reporting requirements and/or exchange controls which may affect the Grantee’s ability to acquire or hold shares of Stock acquired under the Plan or cash received from participating in the Plan (including from any dividend equivalents or dividends received or sale proceeds arising from the sale of shares of Stock) in a brokerage or bank account outside the Grantee’s country. The Grantee may be required to report such accounts, assets or transactions to the tax or other authorities in the Grantee’s country. The Grantee also may be required to repatriate sale proceeds or other funds received as a result of the Grantee’s participation in the Plan to the Grantee’s country through a designated bank or broker and/or within a certain time after receipt. The Grantee further acknowledges that it is the Grantee’s responsibility to comply with such regulations and that the Grantee should consult the Grantee’s personal legal advisor for any details.</w:t>
      </w:r>
    </w:p>
    <w:p>
      <w:pPr>
        <w:sectPr>
          <w:pgSz w:w="11900" w:h="16838" w:orient="portrait"/>
          <w:cols w:equalWidth="0" w:num="1">
            <w:col w:w="11123"/>
          </w:cols>
          <w:pgMar w:left="417" w:top="940" w:right="359" w:bottom="1440" w:gutter="0" w:footer="0" w:header="0"/>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TO THE TERMS AND CONDITIONS OF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Country-Specific Additional Terms Applicable to Awards Held by Grantees Outside the U.S.</w:t>
      </w:r>
    </w:p>
    <w:p>
      <w:pPr>
        <w:spacing w:after="0" w:line="220" w:lineRule="exact"/>
        <w:rPr>
          <w:sz w:val="20"/>
          <w:szCs w:val="20"/>
          <w:color w:val="auto"/>
        </w:rPr>
      </w:pPr>
    </w:p>
    <w:p>
      <w:pPr>
        <w:ind w:right="280"/>
        <w:spacing w:after="0" w:line="457" w:lineRule="auto"/>
        <w:rPr>
          <w:sz w:val="20"/>
          <w:szCs w:val="20"/>
          <w:color w:val="auto"/>
        </w:rPr>
      </w:pPr>
      <w:r>
        <w:rPr>
          <w:rFonts w:ascii="Times New Roman" w:cs="Times New Roman" w:eastAsia="Times New Roman" w:hAnsi="Times New Roman"/>
          <w:sz w:val="20"/>
          <w:szCs w:val="20"/>
          <w:color w:val="auto"/>
        </w:rPr>
        <w:t xml:space="preserve">Capitalized terms used but not otherwise defined herein shall have the meaning given to such terms in the Plan and/or this Agreement. </w:t>
      </w:r>
      <w:r>
        <w:rPr>
          <w:rFonts w:ascii="Times New Roman" w:cs="Times New Roman" w:eastAsia="Times New Roman" w:hAnsi="Times New Roman"/>
          <w:sz w:val="20"/>
          <w:szCs w:val="20"/>
          <w:b w:val="1"/>
          <w:bCs w:val="1"/>
          <w:i w:val="1"/>
          <w:iCs w:val="1"/>
          <w:color w:val="auto"/>
        </w:rPr>
        <w:t>Terms and Conditions</w:t>
      </w:r>
    </w:p>
    <w:p>
      <w:pPr>
        <w:spacing w:after="0" w:line="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9"/>
          <w:szCs w:val="19"/>
          <w:color w:val="auto"/>
        </w:rPr>
        <w:t>This Appendix B includes additional terms and conditions that govern the Grantee’s participation in the Plan if the Grantee resides and/or works in one of the countries listed below. If the Grantee is a citizen or resident of a country other than the one in which he or she is</w:t>
      </w:r>
    </w:p>
    <w:p>
      <w:pPr>
        <w:spacing w:after="0" w:line="1" w:lineRule="exact"/>
        <w:rPr>
          <w:sz w:val="20"/>
          <w:szCs w:val="20"/>
          <w:color w:val="auto"/>
        </w:rPr>
      </w:pPr>
    </w:p>
    <w:p>
      <w:pPr>
        <w:ind w:right="340"/>
        <w:spacing w:after="0" w:line="215" w:lineRule="auto"/>
        <w:rPr>
          <w:sz w:val="20"/>
          <w:szCs w:val="20"/>
          <w:color w:val="auto"/>
        </w:rPr>
      </w:pPr>
      <w:r>
        <w:rPr>
          <w:rFonts w:ascii="Times New Roman" w:cs="Times New Roman" w:eastAsia="Times New Roman" w:hAnsi="Times New Roman"/>
          <w:sz w:val="19"/>
          <w:szCs w:val="19"/>
          <w:color w:val="auto"/>
        </w:rPr>
        <w:t>currently residing and/or working (or if the Grantee is considered as such for local law purposes), or if the Grantee moves or transfers Service to another country after the Grant Date, the Company will, in its sole discretion, determine the extent to which the terms and</w:t>
      </w:r>
    </w:p>
    <w:p>
      <w:pPr>
        <w:spacing w:after="0"/>
        <w:rPr>
          <w:sz w:val="20"/>
          <w:szCs w:val="20"/>
          <w:color w:val="auto"/>
        </w:rPr>
      </w:pPr>
      <w:r>
        <w:rPr>
          <w:rFonts w:ascii="Times New Roman" w:cs="Times New Roman" w:eastAsia="Times New Roman" w:hAnsi="Times New Roman"/>
          <w:sz w:val="20"/>
          <w:szCs w:val="20"/>
          <w:color w:val="auto"/>
        </w:rPr>
        <w:t>conditions herein will be applicable to the Grantee.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9"/>
          <w:szCs w:val="19"/>
          <w:color w:val="auto"/>
        </w:rPr>
        <w:t>This Appendix B also includes information regarding securities laws, exchange controls and certain other issues of which the Grantee should be aware with respect to the Grantee’s participation in the Plan. The information is based on the securities, exchange control and</w:t>
      </w:r>
    </w:p>
    <w:p>
      <w:pPr>
        <w:spacing w:after="0" w:line="211" w:lineRule="auto"/>
        <w:rPr>
          <w:sz w:val="20"/>
          <w:szCs w:val="20"/>
          <w:color w:val="auto"/>
        </w:rPr>
      </w:pPr>
      <w:r>
        <w:rPr>
          <w:rFonts w:ascii="Times New Roman" w:cs="Times New Roman" w:eastAsia="Times New Roman" w:hAnsi="Times New Roman"/>
          <w:sz w:val="20"/>
          <w:szCs w:val="20"/>
          <w:color w:val="auto"/>
        </w:rPr>
        <w:t>other laws in effect in the respective countries as of January 2022. Such laws are often complex and change frequently. As a result, the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Company recommends that the Grantee not rely on the information in this Appendix B as the only source of information relating to the consequences of the Grantee’s participation in the Plan because the information included herein may be out of date at the time that the</w:t>
      </w:r>
    </w:p>
    <w:p>
      <w:pPr>
        <w:spacing w:after="0"/>
        <w:rPr>
          <w:sz w:val="20"/>
          <w:szCs w:val="20"/>
          <w:color w:val="auto"/>
        </w:rPr>
      </w:pPr>
      <w:r>
        <w:rPr>
          <w:rFonts w:ascii="Times New Roman" w:cs="Times New Roman" w:eastAsia="Times New Roman" w:hAnsi="Times New Roman"/>
          <w:sz w:val="20"/>
          <w:szCs w:val="20"/>
          <w:color w:val="auto"/>
        </w:rPr>
        <w:t>Units vest or the Grantee subsequently sells the shares of Stock acquired at vesting.</w:t>
      </w:r>
    </w:p>
    <w:p>
      <w:pPr>
        <w:spacing w:after="0" w:line="194" w:lineRule="exact"/>
        <w:rPr>
          <w:sz w:val="20"/>
          <w:szCs w:val="20"/>
          <w:color w:val="auto"/>
        </w:rPr>
      </w:pPr>
    </w:p>
    <w:p>
      <w:pPr>
        <w:ind w:right="680"/>
        <w:spacing w:after="0" w:line="234" w:lineRule="auto"/>
        <w:rPr>
          <w:sz w:val="20"/>
          <w:szCs w:val="20"/>
          <w:color w:val="auto"/>
        </w:rPr>
      </w:pPr>
      <w:r>
        <w:rPr>
          <w:rFonts w:ascii="Times New Roman" w:cs="Times New Roman" w:eastAsia="Times New Roman" w:hAnsi="Times New Roman"/>
          <w:sz w:val="19"/>
          <w:szCs w:val="19"/>
          <w:color w:val="auto"/>
        </w:rPr>
        <w:t>In addition, the Grantee understands that the information contained herein is general in nature and may not apply to the Grantee’s particular situation and the Company is not in a position to assure the Grantee of any particular result. Accordingly, the Grantee</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20"/>
          <w:szCs w:val="20"/>
          <w:color w:val="auto"/>
        </w:rPr>
        <w:t>acknowledges that he or she should seek appropriate professional advice as to how the relevant laws in the Grantee’s country may apply to the Grantee’s situation.</w:t>
      </w:r>
    </w:p>
    <w:p>
      <w:pPr>
        <w:spacing w:after="0" w:line="202"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9"/>
          <w:szCs w:val="19"/>
          <w:color w:val="auto"/>
        </w:rPr>
        <w:t>If the Grantee is a citizen or resident of a country other than the one in which the Grantee is currently residing and/or working (or if the Grantee is considered as such for local law purposes), or if the Grantee moves or transfers Service to another country after the Units are</w:t>
      </w:r>
    </w:p>
    <w:p>
      <w:pPr>
        <w:spacing w:after="0"/>
        <w:rPr>
          <w:sz w:val="20"/>
          <w:szCs w:val="20"/>
          <w:color w:val="auto"/>
        </w:rPr>
      </w:pPr>
      <w:r>
        <w:rPr>
          <w:rFonts w:ascii="Times New Roman" w:cs="Times New Roman" w:eastAsia="Times New Roman" w:hAnsi="Times New Roman"/>
          <w:sz w:val="20"/>
          <w:szCs w:val="20"/>
          <w:color w:val="auto"/>
        </w:rPr>
        <w:t>granted, the Grantee understands that the information contained herein may not be applicable to the Grantee in the same manner.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Securities Law Information</w:t>
      </w:r>
      <w:r>
        <w:rPr>
          <w:rFonts w:ascii="Times New Roman" w:cs="Times New Roman" w:eastAsia="Times New Roman" w:hAnsi="Times New Roman"/>
          <w:sz w:val="19"/>
          <w:szCs w:val="19"/>
          <w:color w:val="auto"/>
        </w:rPr>
        <w:t>. This offer of Units is being made under Division 1A, Part 7.12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Corporations Act 2001 (Cth)</w:t>
      </w:r>
      <w:r>
        <w:rPr>
          <w:rFonts w:ascii="Times New Roman" w:cs="Times New Roman" w:eastAsia="Times New Roman" w:hAnsi="Times New Roman"/>
          <w:sz w:val="19"/>
          <w:szCs w:val="19"/>
          <w:color w:val="auto"/>
        </w:rPr>
        <w:t>. Please</w:t>
      </w:r>
    </w:p>
    <w:p>
      <w:pPr>
        <w:spacing w:after="0" w:line="10"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note that if the Grantee offers shares of Stock for sale to a person or entity resident in Australia, the offer may be subject to disclosure requirements under Australian law. The Grantee should obtain legal advice on applicable disclosure obligations prior to making any such</w:t>
      </w:r>
    </w:p>
    <w:p>
      <w:pPr>
        <w:spacing w:after="0"/>
        <w:rPr>
          <w:sz w:val="20"/>
          <w:szCs w:val="20"/>
          <w:color w:val="auto"/>
        </w:rPr>
      </w:pPr>
      <w:r>
        <w:rPr>
          <w:rFonts w:ascii="Times New Roman" w:cs="Times New Roman" w:eastAsia="Times New Roman" w:hAnsi="Times New Roman"/>
          <w:sz w:val="20"/>
          <w:szCs w:val="20"/>
          <w:color w:val="auto"/>
        </w:rPr>
        <w:t>offer.</w:t>
      </w:r>
    </w:p>
    <w:p>
      <w:pPr>
        <w:spacing w:after="0" w:line="19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color w:val="auto"/>
        </w:rPr>
        <w:t>Exchange Control Information</w:t>
      </w:r>
      <w:r>
        <w:rPr>
          <w:rFonts w:ascii="Times New Roman" w:cs="Times New Roman" w:eastAsia="Times New Roman" w:hAnsi="Times New Roman"/>
          <w:sz w:val="19"/>
          <w:szCs w:val="19"/>
          <w:color w:val="auto"/>
        </w:rPr>
        <w:t>. Exchange control reporting is required for cash transactions exceeding A$10,000 and international fund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transfers. The Australian bank assisting with the transaction may file the report for the Grantee. If there is no Australian bank involved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transfer, the Grantee will have to file the report. The Grantee should consult with his or her personal advisor to ensure that the Grantee is properly complying with applicable reporting requirements in Australia.</w:t>
      </w:r>
    </w:p>
    <w:p>
      <w:pPr>
        <w:spacing w:after="0" w:line="18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b w:val="1"/>
          <w:bCs w:val="1"/>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the Act).</w:t>
      </w:r>
    </w:p>
    <w:p>
      <w:pPr>
        <w:sectPr>
          <w:pgSz w:w="11900" w:h="16838" w:orient="portrait"/>
          <w:cols w:equalWidth="0" w:num="1">
            <w:col w:w="10920"/>
          </w:cols>
          <w:pgMar w:left="420" w:top="1440" w:right="559" w:bottom="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9"/>
          <w:szCs w:val="19"/>
          <w:b w:val="1"/>
          <w:bCs w:val="1"/>
          <w:u w:val="single" w:color="auto"/>
          <w:color w:val="auto"/>
        </w:rPr>
        <w:t>BELGIUM</w:t>
      </w:r>
    </w:p>
    <w:p>
      <w:pPr>
        <w:sectPr>
          <w:pgSz w:w="11900" w:h="16838" w:orient="portrait"/>
          <w:cols w:equalWidth="0" w:num="1">
            <w:col w:w="10039"/>
          </w:cols>
          <w:pgMar w:left="420" w:top="342" w:right="1440" w:bottom="1440" w:gutter="0" w:footer="0" w:header="0"/>
        </w:sectPr>
      </w:pPr>
    </w:p>
    <w:bookmarkStart w:id="222" w:name="page223"/>
    <w:bookmarkEnd w:id="222"/>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left="100" w:right="220"/>
        <w:spacing w:after="0" w:line="229" w:lineRule="auto"/>
        <w:rPr>
          <w:sz w:val="20"/>
          <w:szCs w:val="20"/>
          <w:color w:val="auto"/>
        </w:rPr>
      </w:pPr>
      <w:r>
        <w:rPr>
          <w:rFonts w:ascii="Times New Roman" w:cs="Times New Roman" w:eastAsia="Times New Roman" w:hAnsi="Times New Roman"/>
          <w:sz w:val="19"/>
          <w:szCs w:val="19"/>
          <w:b w:val="1"/>
          <w:bCs w:val="1"/>
          <w:color w:val="auto"/>
        </w:rPr>
        <w:t>Foreign Asset/Account Reporting Information</w:t>
      </w:r>
      <w:r>
        <w:rPr>
          <w:rFonts w:ascii="Times New Roman" w:cs="Times New Roman" w:eastAsia="Times New Roman" w:hAnsi="Times New Roman"/>
          <w:sz w:val="19"/>
          <w:szCs w:val="19"/>
          <w:color w:val="auto"/>
        </w:rPr>
        <w:t>. Belgian residents are required to report any securities accounts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those related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Stock acquired under the Plan) or bank accounts (including brokerage accounts) maintained outside Belgium on their annual</w:t>
      </w:r>
    </w:p>
    <w:p>
      <w:pPr>
        <w:ind w:left="100"/>
        <w:spacing w:after="0" w:line="211" w:lineRule="auto"/>
        <w:rPr>
          <w:sz w:val="20"/>
          <w:szCs w:val="20"/>
          <w:color w:val="auto"/>
        </w:rPr>
      </w:pPr>
      <w:r>
        <w:rPr>
          <w:rFonts w:ascii="Times New Roman" w:cs="Times New Roman" w:eastAsia="Times New Roman" w:hAnsi="Times New Roman"/>
          <w:sz w:val="20"/>
          <w:szCs w:val="20"/>
          <w:color w:val="auto"/>
        </w:rPr>
        <w:t>tax return. In a separate report, they must provide the National Bank of Belgium with certain details regarding such foreign accounts</w:t>
      </w:r>
    </w:p>
    <w:p>
      <w:pPr>
        <w:spacing w:after="0" w:line="1" w:lineRule="exact"/>
        <w:rPr>
          <w:sz w:val="20"/>
          <w:szCs w:val="20"/>
          <w:color w:val="auto"/>
        </w:rPr>
      </w:pPr>
    </w:p>
    <w:p>
      <w:pPr>
        <w:ind w:left="100" w:right="160"/>
        <w:spacing w:after="0" w:line="215" w:lineRule="auto"/>
        <w:rPr>
          <w:sz w:val="20"/>
          <w:szCs w:val="20"/>
          <w:color w:val="auto"/>
        </w:rPr>
      </w:pPr>
      <w:r>
        <w:rPr>
          <w:rFonts w:ascii="Times New Roman" w:cs="Times New Roman" w:eastAsia="Times New Roman" w:hAnsi="Times New Roman"/>
          <w:sz w:val="19"/>
          <w:szCs w:val="19"/>
          <w:color w:val="auto"/>
        </w:rPr>
        <w:t>(including the account number, bank name and country in which any such account was opened). The forms to complete this report are available at the website of the National Bank of Belgium. Belgian residents should consult with their personal tax advisors to determine</w:t>
      </w:r>
    </w:p>
    <w:p>
      <w:pPr>
        <w:ind w:left="100"/>
        <w:spacing w:after="0"/>
        <w:rPr>
          <w:sz w:val="20"/>
          <w:szCs w:val="20"/>
          <w:color w:val="auto"/>
        </w:rPr>
      </w:pPr>
      <w:r>
        <w:rPr>
          <w:rFonts w:ascii="Times New Roman" w:cs="Times New Roman" w:eastAsia="Times New Roman" w:hAnsi="Times New Roman"/>
          <w:sz w:val="20"/>
          <w:szCs w:val="20"/>
          <w:color w:val="auto"/>
        </w:rPr>
        <w:t>their reporting obligations.</w:t>
      </w:r>
    </w:p>
    <w:p>
      <w:pPr>
        <w:spacing w:after="0" w:line="190" w:lineRule="exact"/>
        <w:rPr>
          <w:sz w:val="20"/>
          <w:szCs w:val="20"/>
          <w:color w:val="auto"/>
        </w:rPr>
      </w:pPr>
    </w:p>
    <w:p>
      <w:pPr>
        <w:ind w:left="100" w:right="260"/>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Stock Exchange Tax. </w:t>
      </w:r>
      <w:r>
        <w:rPr>
          <w:rFonts w:ascii="Times New Roman" w:cs="Times New Roman" w:eastAsia="Times New Roman" w:hAnsi="Times New Roman"/>
          <w:sz w:val="19"/>
          <w:szCs w:val="19"/>
          <w:color w:val="auto"/>
        </w:rPr>
        <w:t>A stock exchange tax applies to transactions executed by a Belgian resident through a non-Belgian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intermediary, such as a U.S. broker. The stock exchange tax may apply when shares of Stock acquired under the Plan are sold. Belgian</w:t>
      </w:r>
    </w:p>
    <w:p>
      <w:pPr>
        <w:spacing w:after="0" w:line="1" w:lineRule="exact"/>
        <w:rPr>
          <w:sz w:val="20"/>
          <w:szCs w:val="20"/>
          <w:color w:val="auto"/>
        </w:rPr>
      </w:pPr>
    </w:p>
    <w:p>
      <w:pPr>
        <w:ind w:left="100" w:right="620"/>
        <w:spacing w:after="0" w:line="221" w:lineRule="auto"/>
        <w:rPr>
          <w:sz w:val="20"/>
          <w:szCs w:val="20"/>
          <w:color w:val="auto"/>
        </w:rPr>
      </w:pPr>
      <w:r>
        <w:rPr>
          <w:rFonts w:ascii="Times New Roman" w:cs="Times New Roman" w:eastAsia="Times New Roman" w:hAnsi="Times New Roman"/>
          <w:sz w:val="20"/>
          <w:szCs w:val="20"/>
          <w:color w:val="auto"/>
        </w:rPr>
        <w:t>residents should consult with a personal tax or financial advisor for additional details on their obligations with respect to the stock exchange tax.</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Annual Securities Accounts Tax. </w:t>
      </w:r>
      <w:r>
        <w:rPr>
          <w:rFonts w:ascii="Times New Roman" w:cs="Times New Roman" w:eastAsia="Times New Roman" w:hAnsi="Times New Roman"/>
          <w:sz w:val="20"/>
          <w:szCs w:val="20"/>
          <w:color w:val="auto"/>
        </w:rPr>
        <w:t>An annual securities accounts tax may be payable if the total value of securities held in a Belgian or</w:t>
      </w:r>
    </w:p>
    <w:p>
      <w:pPr>
        <w:ind w:left="100" w:right="20"/>
        <w:spacing w:after="0" w:line="215" w:lineRule="auto"/>
        <w:rPr>
          <w:sz w:val="20"/>
          <w:szCs w:val="20"/>
          <w:color w:val="auto"/>
        </w:rPr>
      </w:pPr>
      <w:r>
        <w:rPr>
          <w:rFonts w:ascii="Times New Roman" w:cs="Times New Roman" w:eastAsia="Times New Roman" w:hAnsi="Times New Roman"/>
          <w:sz w:val="19"/>
          <w:szCs w:val="19"/>
          <w:color w:val="auto"/>
        </w:rPr>
        <w:t>foreign securities account (e.g., shares of Stock) exceeds a certain threshold on four reference dates within the relevant reporting period (i.e., December 31, March 31, June 30 and September 30). Different payment obligations may apply, depending on whether the securities</w:t>
      </w:r>
    </w:p>
    <w:p>
      <w:pPr>
        <w:ind w:left="100"/>
        <w:spacing w:after="0" w:line="228" w:lineRule="auto"/>
        <w:rPr>
          <w:sz w:val="20"/>
          <w:szCs w:val="20"/>
          <w:color w:val="auto"/>
        </w:rPr>
      </w:pPr>
      <w:r>
        <w:rPr>
          <w:rFonts w:ascii="Times New Roman" w:cs="Times New Roman" w:eastAsia="Times New Roman" w:hAnsi="Times New Roman"/>
          <w:sz w:val="20"/>
          <w:szCs w:val="20"/>
          <w:color w:val="auto"/>
        </w:rPr>
        <w:t>account is held with a Belgian or foreign financial institution. The Grantee should consult with his or her personal tax or financial advisor for additional details.</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u w:val="single" w:color="auto"/>
          <w:color w:val="auto"/>
        </w:rPr>
        <w:t>ISRAEL</w:t>
      </w:r>
    </w:p>
    <w:p>
      <w:pPr>
        <w:spacing w:after="0" w:line="2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Tax Consent</w:t>
      </w:r>
      <w:r>
        <w:rPr>
          <w:rFonts w:ascii="Times New Roman" w:cs="Times New Roman" w:eastAsia="Times New Roman" w:hAnsi="Times New Roman"/>
          <w:sz w:val="20"/>
          <w:szCs w:val="20"/>
          <w:color w:val="auto"/>
        </w:rPr>
        <w:t>. On January 20, 2020 , the Israeli Tax Authority issued a tax ruling to the Company in connection with the non-trustee</w:t>
      </w:r>
    </w:p>
    <w:p>
      <w:pPr>
        <w:ind w:left="100" w:right="80"/>
        <w:spacing w:after="0" w:line="215" w:lineRule="auto"/>
        <w:rPr>
          <w:sz w:val="20"/>
          <w:szCs w:val="20"/>
          <w:color w:val="auto"/>
        </w:rPr>
      </w:pPr>
      <w:r>
        <w:rPr>
          <w:rFonts w:ascii="Times New Roman" w:cs="Times New Roman" w:eastAsia="Times New Roman" w:hAnsi="Times New Roman"/>
          <w:sz w:val="19"/>
          <w:szCs w:val="19"/>
          <w:color w:val="auto"/>
        </w:rPr>
        <w:t>track of Section 102 of the Income Tax Ordinance [New Version], 1961 (the “</w:t>
      </w:r>
      <w:r>
        <w:rPr>
          <w:rFonts w:ascii="Times New Roman" w:cs="Times New Roman" w:eastAsia="Times New Roman" w:hAnsi="Times New Roman"/>
          <w:sz w:val="19"/>
          <w:szCs w:val="19"/>
          <w:b w:val="1"/>
          <w:bCs w:val="1"/>
          <w:color w:val="auto"/>
        </w:rPr>
        <w:t>Tax Ruling</w:t>
      </w:r>
      <w:r>
        <w:rPr>
          <w:rFonts w:ascii="Times New Roman" w:cs="Times New Roman" w:eastAsia="Times New Roman" w:hAnsi="Times New Roman"/>
          <w:sz w:val="19"/>
          <w:szCs w:val="19"/>
          <w:color w:val="auto"/>
        </w:rPr>
        <w:t>”) regarding the taxation of Units granted under the Plan. The Grantee may review a copy of the Tax Ruling by contacting stockprograms@leidos.com. In accordance with the Tax</w:t>
      </w:r>
    </w:p>
    <w:p>
      <w:pPr>
        <w:ind w:left="100"/>
        <w:spacing w:after="0" w:line="222" w:lineRule="auto"/>
        <w:rPr>
          <w:sz w:val="20"/>
          <w:szCs w:val="20"/>
          <w:color w:val="auto"/>
        </w:rPr>
      </w:pPr>
      <w:r>
        <w:rPr>
          <w:rFonts w:ascii="Times New Roman" w:cs="Times New Roman" w:eastAsia="Times New Roman" w:hAnsi="Times New Roman"/>
          <w:sz w:val="19"/>
          <w:szCs w:val="19"/>
          <w:color w:val="auto"/>
        </w:rPr>
        <w:t>Ruling and by accepting the Units granted under the Plan, the Grantee hereby declares that the Grantee understands the provisions of the</w:t>
      </w:r>
    </w:p>
    <w:p>
      <w:pPr>
        <w:ind w:left="100" w:right="540"/>
        <w:spacing w:after="0" w:line="215" w:lineRule="auto"/>
        <w:rPr>
          <w:sz w:val="20"/>
          <w:szCs w:val="20"/>
          <w:color w:val="auto"/>
        </w:rPr>
      </w:pPr>
      <w:r>
        <w:rPr>
          <w:rFonts w:ascii="Times New Roman" w:cs="Times New Roman" w:eastAsia="Times New Roman" w:hAnsi="Times New Roman"/>
          <w:sz w:val="19"/>
          <w:szCs w:val="19"/>
          <w:color w:val="auto"/>
        </w:rPr>
        <w:t>Tax Ruling and the obligation to report and pay any capital gains tax due upon the sale of the shares of Stock issued under the Plan (including filing an annual tax return). Further, the Grantee agrees to act in accordance with the Tax Ruling and will not request to</w:t>
      </w:r>
    </w:p>
    <w:p>
      <w:pPr>
        <w:ind w:left="100" w:right="660"/>
        <w:spacing w:after="0" w:line="228" w:lineRule="auto"/>
        <w:rPr>
          <w:sz w:val="20"/>
          <w:szCs w:val="20"/>
          <w:color w:val="auto"/>
        </w:rPr>
      </w:pPr>
      <w:r>
        <w:rPr>
          <w:rFonts w:ascii="Times New Roman" w:cs="Times New Roman" w:eastAsia="Times New Roman" w:hAnsi="Times New Roman"/>
          <w:sz w:val="20"/>
          <w:szCs w:val="20"/>
          <w:color w:val="auto"/>
        </w:rPr>
        <w:t>amend, cancel, and/or replace it with a different ruling and/or demand any additional tax benefit beyond the provisions of the Tax Ruling.</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Securities Law Information</w:t>
      </w:r>
      <w:r>
        <w:rPr>
          <w:rFonts w:ascii="Times New Roman" w:cs="Times New Roman" w:eastAsia="Times New Roman" w:hAnsi="Times New Roman"/>
          <w:sz w:val="20"/>
          <w:szCs w:val="20"/>
          <w:color w:val="auto"/>
        </w:rPr>
        <w:t>. This offer of Awards under the Plan does not constitute a public offering under the Securities Law, 1968.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u w:val="single" w:color="auto"/>
          <w:color w:val="auto"/>
        </w:rPr>
        <w:t>MEXICO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ind w:left="100" w:right="40"/>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Acknowledgment of the Agreement. </w:t>
      </w:r>
      <w:r>
        <w:rPr>
          <w:rFonts w:ascii="Times New Roman" w:cs="Times New Roman" w:eastAsia="Times New Roman" w:hAnsi="Times New Roman"/>
          <w:sz w:val="19"/>
          <w:szCs w:val="19"/>
          <w:color w:val="auto"/>
        </w:rPr>
        <w:t>By participating in the Plan, the Grantee acknowledges that the Grantee has received a copy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Plan, has reviewed the Plan in its entirety and fully understands and accepts all provisions of the Plan. The Grantee further acknowledges</w:t>
      </w:r>
    </w:p>
    <w:p>
      <w:pPr>
        <w:spacing w:after="0" w:line="1" w:lineRule="exact"/>
        <w:rPr>
          <w:sz w:val="20"/>
          <w:szCs w:val="20"/>
          <w:color w:val="auto"/>
        </w:rPr>
      </w:pPr>
    </w:p>
    <w:p>
      <w:pPr>
        <w:ind w:left="100" w:right="160"/>
        <w:spacing w:after="0" w:line="215" w:lineRule="auto"/>
        <w:rPr>
          <w:sz w:val="20"/>
          <w:szCs w:val="20"/>
          <w:color w:val="auto"/>
        </w:rPr>
      </w:pPr>
      <w:r>
        <w:rPr>
          <w:rFonts w:ascii="Times New Roman" w:cs="Times New Roman" w:eastAsia="Times New Roman" w:hAnsi="Times New Roman"/>
          <w:sz w:val="19"/>
          <w:szCs w:val="19"/>
          <w:color w:val="auto"/>
        </w:rPr>
        <w:t>that the Grantee has read and expressly approves the terms and conditions set forth in the Nature of Grant section of Appendix A, in which the following is clearly described and established: (i) the Grantee’s participation in the Plan does not constitute an acquired right;</w:t>
      </w:r>
    </w:p>
    <w:p>
      <w:pPr>
        <w:ind w:left="100" w:right="220" w:hanging="1"/>
        <w:spacing w:after="0" w:line="206" w:lineRule="auto"/>
        <w:tabs>
          <w:tab w:leader="none" w:pos="39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the Grantee’s participation in the Plan are offered by the Company on a wholly discretionary basis; (iii) the Grantee’s participation in the Plan is voluntary; and (iv) the Company and its Subsidiaries are not responsible for any decrease in the value of the underlying Shares.</w:t>
      </w:r>
    </w:p>
    <w:p>
      <w:pPr>
        <w:spacing w:after="0" w:line="1" w:lineRule="exact"/>
        <w:rPr>
          <w:rFonts w:ascii="Times New Roman" w:cs="Times New Roman" w:eastAsia="Times New Roman" w:hAnsi="Times New Roman"/>
          <w:sz w:val="20"/>
          <w:szCs w:val="20"/>
          <w:color w:val="auto"/>
        </w:rPr>
      </w:pPr>
    </w:p>
    <w:p>
      <w:pPr>
        <w:ind w:left="100" w:right="620"/>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Labor Law Policy and Acknowledgment. </w:t>
      </w:r>
      <w:r>
        <w:rPr>
          <w:rFonts w:ascii="Times New Roman" w:cs="Times New Roman" w:eastAsia="Times New Roman" w:hAnsi="Times New Roman"/>
          <w:sz w:val="20"/>
          <w:szCs w:val="20"/>
          <w:color w:val="auto"/>
        </w:rPr>
        <w:t>By participating in the Plan, the Grantee expressly recognizes that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offices at 1750 Presidents Street, Reston, Virginia 20190,</w:t>
      </w:r>
    </w:p>
    <w:p>
      <w:pPr>
        <w:sectPr>
          <w:pgSz w:w="11900" w:h="16838" w:orient="portrait"/>
          <w:cols w:equalWidth="0" w:num="1">
            <w:col w:w="11000"/>
          </w:cols>
          <w:pgMar w:left="320" w:top="1440" w:right="579" w:bottom="1440" w:gutter="0" w:footer="0" w:header="0"/>
        </w:sectPr>
      </w:pPr>
    </w:p>
    <w:bookmarkStart w:id="223" w:name="page224"/>
    <w:bookmarkEnd w:id="223"/>
    <w:p>
      <w:pPr>
        <w:spacing w:after="0" w:line="1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U.S.A., is solely responsible for the administration of the Plan and that the Grantee’s participation in the Plan and acquisition of Shares does not constitute an employment relationship between the Grantee and the Company since the Grantee is participating in the Plan on a</w:t>
      </w:r>
    </w:p>
    <w:p>
      <w:pPr>
        <w:spacing w:after="0" w:line="211" w:lineRule="auto"/>
        <w:rPr>
          <w:sz w:val="20"/>
          <w:szCs w:val="20"/>
          <w:color w:val="auto"/>
        </w:rPr>
      </w:pPr>
      <w:r>
        <w:rPr>
          <w:rFonts w:ascii="Times New Roman" w:cs="Times New Roman" w:eastAsia="Times New Roman" w:hAnsi="Times New Roman"/>
          <w:sz w:val="20"/>
          <w:szCs w:val="20"/>
          <w:color w:val="auto"/>
        </w:rPr>
        <w:t>wholly commercial basis and the Participant’s Employer is a Mexican Subsidiary of the Company. Based on the foregoing, the Grantee</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expressly recognizes that the Plan and the benefits that the Grantee may derive from participation in the Plan do not establish any rights between the Grantee and the Employer and do not form part of the employment conditions and/or benefits provided by the Employer and</w:t>
      </w:r>
    </w:p>
    <w:p>
      <w:pPr>
        <w:ind w:right="300"/>
        <w:spacing w:after="0" w:line="228" w:lineRule="auto"/>
        <w:rPr>
          <w:sz w:val="20"/>
          <w:szCs w:val="20"/>
          <w:color w:val="auto"/>
        </w:rPr>
      </w:pPr>
      <w:r>
        <w:rPr>
          <w:rFonts w:ascii="Times New Roman" w:cs="Times New Roman" w:eastAsia="Times New Roman" w:hAnsi="Times New Roman"/>
          <w:sz w:val="20"/>
          <w:szCs w:val="20"/>
          <w:color w:val="auto"/>
        </w:rPr>
        <w:t>any modification of the Plan or its termination shall not constitute a change or impairment of the terms and conditions of the Grantee's employment.</w:t>
      </w:r>
    </w:p>
    <w:p>
      <w:pPr>
        <w:spacing w:after="0" w:line="122"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20"/>
          <w:szCs w:val="20"/>
          <w:color w:val="auto"/>
        </w:rPr>
        <w:t>The Grantee further understands that the Grantee’s participation in the Plan is as a result of a unilateral and discretionary decision of the Company; therefore, the Company reserves the absolute right to amend and/or discontinue the Grantee's participation at any time without any liability to the Grantee.</w:t>
      </w:r>
    </w:p>
    <w:p>
      <w:pPr>
        <w:spacing w:after="0" w:line="1" w:lineRule="exact"/>
        <w:rPr>
          <w:sz w:val="20"/>
          <w:szCs w:val="20"/>
          <w:color w:val="auto"/>
        </w:rPr>
      </w:pPr>
    </w:p>
    <w:p>
      <w:pPr>
        <w:ind w:right="220"/>
        <w:spacing w:after="0" w:line="222" w:lineRule="auto"/>
        <w:rPr>
          <w:sz w:val="20"/>
          <w:szCs w:val="20"/>
          <w:color w:val="auto"/>
        </w:rPr>
      </w:pPr>
      <w:r>
        <w:rPr>
          <w:rFonts w:ascii="Times New Roman" w:cs="Times New Roman" w:eastAsia="Times New Roman" w:hAnsi="Times New Roman"/>
          <w:sz w:val="19"/>
          <w:szCs w:val="19"/>
          <w:color w:val="auto"/>
        </w:rPr>
        <w:t>Finally, the Grantee hereby declares that Grantee does not reserve any action or right to bring any claim against the Company for any compensation or damages regarding any provision of the Plan or the benefits derived under the Plan, and the Grantee therefore grants a</w:t>
      </w:r>
    </w:p>
    <w:p>
      <w:pPr>
        <w:spacing w:after="0" w:line="1" w:lineRule="exact"/>
        <w:rPr>
          <w:sz w:val="20"/>
          <w:szCs w:val="20"/>
          <w:color w:val="auto"/>
        </w:rPr>
      </w:pPr>
    </w:p>
    <w:p>
      <w:pPr>
        <w:ind w:right="740"/>
        <w:spacing w:after="0" w:line="204" w:lineRule="auto"/>
        <w:rPr>
          <w:sz w:val="20"/>
          <w:szCs w:val="20"/>
          <w:color w:val="auto"/>
        </w:rPr>
      </w:pPr>
      <w:r>
        <w:rPr>
          <w:rFonts w:ascii="Times New Roman" w:cs="Times New Roman" w:eastAsia="Times New Roman" w:hAnsi="Times New Roman"/>
          <w:sz w:val="20"/>
          <w:szCs w:val="20"/>
          <w:color w:val="auto"/>
        </w:rPr>
        <w:t>full and broad release to the Company, its subsidiaries, branches, representation offices, its shareholders, officers, agents or legal representatives with respect to any claim that may arise.</w:t>
      </w:r>
    </w:p>
    <w:p>
      <w:pPr>
        <w:spacing w:after="0" w:line="223" w:lineRule="auto"/>
        <w:rPr>
          <w:sz w:val="20"/>
          <w:szCs w:val="20"/>
          <w:color w:val="auto"/>
        </w:rPr>
      </w:pPr>
      <w:r>
        <w:rPr>
          <w:rFonts w:ascii="Times New Roman" w:cs="Times New Roman" w:eastAsia="Times New Roman" w:hAnsi="Times New Roman"/>
          <w:sz w:val="19"/>
          <w:szCs w:val="19"/>
          <w:b w:val="1"/>
          <w:bCs w:val="1"/>
          <w:i w:val="1"/>
          <w:iCs w:val="1"/>
          <w:color w:val="auto"/>
        </w:rPr>
        <w:t xml:space="preserve">Reconocimiento del Contrato. </w:t>
      </w:r>
      <w:r>
        <w:rPr>
          <w:rFonts w:ascii="Times New Roman" w:cs="Times New Roman" w:eastAsia="Times New Roman" w:hAnsi="Times New Roman"/>
          <w:sz w:val="19"/>
          <w:szCs w:val="19"/>
          <w:i w:val="1"/>
          <w:iCs w:val="1"/>
          <w:color w:val="auto"/>
        </w:rPr>
        <w:t>Al participar en el Plan, usted reconoce que ha recibido una copia del Plan, que ha revisado el Plan en su</w:t>
      </w:r>
    </w:p>
    <w:p>
      <w:pPr>
        <w:ind w:right="420"/>
        <w:spacing w:after="0" w:line="215" w:lineRule="auto"/>
        <w:rPr>
          <w:sz w:val="20"/>
          <w:szCs w:val="20"/>
          <w:color w:val="auto"/>
        </w:rPr>
      </w:pPr>
      <w:r>
        <w:rPr>
          <w:rFonts w:ascii="Times New Roman" w:cs="Times New Roman" w:eastAsia="Times New Roman" w:hAnsi="Times New Roman"/>
          <w:sz w:val="19"/>
          <w:szCs w:val="19"/>
          <w:i w:val="1"/>
          <w:iCs w:val="1"/>
          <w:color w:val="auto"/>
        </w:rPr>
        <w:t>totalidad, y que entiende y acepta en su totalidad, todas y cada una de las disposiciones del Plan. Asimismo reconoce que ha leído y aprueba expresamente los términos y condiciones señalados en la sección titulado Naturaleza de la Oferta en Appendix A, en lo que</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claramente se describe y establece lo siguiente: (i) su participación en el Plan no constituye un derecho adquirido; (ii) el Plan y su</w:t>
      </w:r>
    </w:p>
    <w:p>
      <w:pPr>
        <w:ind w:right="180"/>
        <w:spacing w:after="0" w:line="204" w:lineRule="auto"/>
        <w:rPr>
          <w:sz w:val="20"/>
          <w:szCs w:val="20"/>
          <w:color w:val="auto"/>
        </w:rPr>
      </w:pPr>
      <w:r>
        <w:rPr>
          <w:rFonts w:ascii="Times New Roman" w:cs="Times New Roman" w:eastAsia="Times New Roman" w:hAnsi="Times New Roman"/>
          <w:sz w:val="20"/>
          <w:szCs w:val="20"/>
          <w:i w:val="1"/>
          <w:iCs w:val="1"/>
          <w:color w:val="auto"/>
        </w:rPr>
        <w:t>participación en el Plan son ofrecidos por la Compañía sobre una base completamente discrecional; (iii) su participación en el Plan es voluntaria; y (iv) la Compañía y sus afiliadas no son responsables de ninguna por la disminución en el valor de las Acciones</w:t>
      </w:r>
    </w:p>
    <w:p>
      <w:pPr>
        <w:spacing w:after="0" w:line="211" w:lineRule="auto"/>
        <w:rPr>
          <w:sz w:val="20"/>
          <w:szCs w:val="20"/>
          <w:color w:val="auto"/>
        </w:rPr>
      </w:pPr>
      <w:r>
        <w:rPr>
          <w:rFonts w:ascii="Times New Roman" w:cs="Times New Roman" w:eastAsia="Times New Roman" w:hAnsi="Times New Roman"/>
          <w:sz w:val="20"/>
          <w:szCs w:val="20"/>
          <w:i w:val="1"/>
          <w:iCs w:val="1"/>
          <w:color w:val="auto"/>
        </w:rPr>
        <w:t>subyacentes.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 xml:space="preserve">Política de Legislación Laboral y Reconocimiento. </w:t>
      </w:r>
      <w:r>
        <w:rPr>
          <w:rFonts w:ascii="Times New Roman" w:cs="Times New Roman" w:eastAsia="Times New Roman" w:hAnsi="Times New Roman"/>
          <w:sz w:val="19"/>
          <w:szCs w:val="19"/>
          <w:i w:val="1"/>
          <w:iCs w:val="1"/>
          <w:color w:val="auto"/>
        </w:rPr>
        <w:t>Al participar en el Plan, usted reconoce expresamente que la Compañía, con oficinas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registradas en 1750 Presidents Street, Reston, Virginia 20190, EE.UU, es la única responsable por la administración del Plan, y que su</w:t>
      </w:r>
    </w:p>
    <w:p>
      <w:pPr>
        <w:spacing w:after="0" w:line="222" w:lineRule="auto"/>
        <w:rPr>
          <w:sz w:val="20"/>
          <w:szCs w:val="20"/>
          <w:color w:val="auto"/>
        </w:rPr>
      </w:pPr>
      <w:r>
        <w:rPr>
          <w:rFonts w:ascii="Times New Roman" w:cs="Times New Roman" w:eastAsia="Times New Roman" w:hAnsi="Times New Roman"/>
          <w:sz w:val="19"/>
          <w:szCs w:val="19"/>
          <w:i w:val="1"/>
          <w:iCs w:val="1"/>
          <w:color w:val="auto"/>
        </w:rPr>
        <w:t>participación en el Plan, así como la adquisición de las Acciones, no constituye una relación laboral entre usted y la Compañía, debido a</w:t>
      </w:r>
    </w:p>
    <w:p>
      <w:pPr>
        <w:ind w:right="20"/>
        <w:spacing w:after="0" w:line="215" w:lineRule="auto"/>
        <w:rPr>
          <w:sz w:val="20"/>
          <w:szCs w:val="20"/>
          <w:color w:val="auto"/>
        </w:rPr>
      </w:pPr>
      <w:r>
        <w:rPr>
          <w:rFonts w:ascii="Times New Roman" w:cs="Times New Roman" w:eastAsia="Times New Roman" w:hAnsi="Times New Roman"/>
          <w:sz w:val="19"/>
          <w:szCs w:val="19"/>
          <w:i w:val="1"/>
          <w:iCs w:val="1"/>
          <w:color w:val="auto"/>
        </w:rPr>
        <w:t>que usted participa en el Plan sobre una base completamente mercantil y el único Empleador de usted es una Subsidiaria Mexicana de la Compañía. Con base en lo anterior, usted reconoce expresamente que el Plan y los beneficios que pudiera obtener por su participación</w:t>
      </w:r>
    </w:p>
    <w:p>
      <w:pPr>
        <w:spacing w:after="0" w:line="222" w:lineRule="auto"/>
        <w:rPr>
          <w:sz w:val="20"/>
          <w:szCs w:val="20"/>
          <w:color w:val="auto"/>
        </w:rPr>
      </w:pPr>
      <w:r>
        <w:rPr>
          <w:rFonts w:ascii="Times New Roman" w:cs="Times New Roman" w:eastAsia="Times New Roman" w:hAnsi="Times New Roman"/>
          <w:sz w:val="19"/>
          <w:szCs w:val="19"/>
          <w:i w:val="1"/>
          <w:iCs w:val="1"/>
          <w:color w:val="auto"/>
        </w:rPr>
        <w:t>en el Plan, no establecen derecho alguno entre usted y el Empleador, y no forman parte de las condiciones y/o prestaciones laborales que</w:t>
      </w:r>
    </w:p>
    <w:p>
      <w:pPr>
        <w:ind w:right="900"/>
        <w:spacing w:after="0" w:line="204" w:lineRule="auto"/>
        <w:rPr>
          <w:sz w:val="20"/>
          <w:szCs w:val="20"/>
          <w:color w:val="auto"/>
        </w:rPr>
      </w:pPr>
      <w:r>
        <w:rPr>
          <w:rFonts w:ascii="Times New Roman" w:cs="Times New Roman" w:eastAsia="Times New Roman" w:hAnsi="Times New Roman"/>
          <w:sz w:val="20"/>
          <w:szCs w:val="20"/>
          <w:i w:val="1"/>
          <w:iCs w:val="1"/>
          <w:color w:val="auto"/>
        </w:rPr>
        <w:t>el Empleador ofrece, y que las modificaciones al Plan o su terminación, no constituirán un cambio ni afectarán los términos y condiciones de su relación laboral.</w:t>
      </w:r>
    </w:p>
    <w:p>
      <w:pPr>
        <w:spacing w:after="0" w:line="223" w:lineRule="auto"/>
        <w:rPr>
          <w:sz w:val="20"/>
          <w:szCs w:val="20"/>
          <w:color w:val="auto"/>
        </w:rPr>
      </w:pPr>
      <w:r>
        <w:rPr>
          <w:rFonts w:ascii="Times New Roman" w:cs="Times New Roman" w:eastAsia="Times New Roman" w:hAnsi="Times New Roman"/>
          <w:sz w:val="19"/>
          <w:szCs w:val="19"/>
          <w:i w:val="1"/>
          <w:iCs w:val="1"/>
          <w:color w:val="auto"/>
        </w:rPr>
        <w:t>Asimismo usted entiende que su participación en el Plan es el resultado de una decisión unilateral y discrecional de la Compañía; por lo</w:t>
      </w:r>
    </w:p>
    <w:p>
      <w:pPr>
        <w:ind w:right="440"/>
        <w:spacing w:after="0" w:line="204" w:lineRule="auto"/>
        <w:rPr>
          <w:sz w:val="20"/>
          <w:szCs w:val="20"/>
          <w:color w:val="auto"/>
        </w:rPr>
      </w:pPr>
      <w:r>
        <w:rPr>
          <w:rFonts w:ascii="Times New Roman" w:cs="Times New Roman" w:eastAsia="Times New Roman" w:hAnsi="Times New Roman"/>
          <w:sz w:val="20"/>
          <w:szCs w:val="20"/>
          <w:i w:val="1"/>
          <w:iCs w:val="1"/>
          <w:color w:val="auto"/>
        </w:rPr>
        <w:t>tanto, la Compañía se reserva el derecho absoluto de modificar y/o suspender su participación en cualquier momento, sin que usted incurra en responsabilidad alguna.</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w:t>
      </w:r>
    </w:p>
    <w:p>
      <w:pPr>
        <w:ind w:right="260"/>
        <w:spacing w:after="0" w:line="242" w:lineRule="auto"/>
        <w:rPr>
          <w:sz w:val="20"/>
          <w:szCs w:val="20"/>
          <w:color w:val="auto"/>
        </w:rPr>
      </w:pPr>
      <w:r>
        <w:rPr>
          <w:rFonts w:ascii="Times New Roman" w:cs="Times New Roman" w:eastAsia="Times New Roman" w:hAnsi="Times New Roman"/>
          <w:sz w:val="19"/>
          <w:szCs w:val="19"/>
          <w:i w:val="1"/>
          <w:iCs w:val="1"/>
          <w:color w:val="auto"/>
        </w:rPr>
        <w:t>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Units granted, and any shares of Stock acquired, under the Plan have not been registered with the</w:t>
      </w:r>
    </w:p>
    <w:p>
      <w:pPr>
        <w:ind w:right="260"/>
        <w:spacing w:after="0" w:line="215" w:lineRule="auto"/>
        <w:rPr>
          <w:sz w:val="20"/>
          <w:szCs w:val="20"/>
          <w:color w:val="auto"/>
        </w:rPr>
      </w:pPr>
      <w:r>
        <w:rPr>
          <w:rFonts w:ascii="Times New Roman" w:cs="Times New Roman" w:eastAsia="Times New Roman" w:hAnsi="Times New Roman"/>
          <w:sz w:val="19"/>
          <w:szCs w:val="19"/>
          <w:color w:val="auto"/>
        </w:rPr>
        <w:t>National Register of Securities maintained by the Mexican National Banking and Securities Commission and cannot be offered or sold publicly in Mexico. In addition, the Plan, Agreement and any other document relating to the Units may not be publicly distributed in</w:t>
      </w:r>
    </w:p>
    <w:p>
      <w:pPr>
        <w:spacing w:after="0" w:line="211" w:lineRule="auto"/>
        <w:rPr>
          <w:sz w:val="20"/>
          <w:szCs w:val="20"/>
          <w:color w:val="auto"/>
        </w:rPr>
      </w:pPr>
      <w:r>
        <w:rPr>
          <w:rFonts w:ascii="Times New Roman" w:cs="Times New Roman" w:eastAsia="Times New Roman" w:hAnsi="Times New Roman"/>
          <w:sz w:val="20"/>
          <w:szCs w:val="20"/>
          <w:color w:val="auto"/>
        </w:rPr>
        <w:t>Mexico. These materials are addressed to the Grantee because of the Grantee’s existing relationship with the Company and these</w:t>
      </w:r>
    </w:p>
    <w:p>
      <w:pPr>
        <w:ind w:right="180"/>
        <w:spacing w:after="0" w:line="215" w:lineRule="auto"/>
        <w:rPr>
          <w:sz w:val="20"/>
          <w:szCs w:val="20"/>
          <w:color w:val="auto"/>
        </w:rPr>
      </w:pPr>
      <w:r>
        <w:rPr>
          <w:rFonts w:ascii="Times New Roman" w:cs="Times New Roman" w:eastAsia="Times New Roman" w:hAnsi="Times New Roman"/>
          <w:sz w:val="19"/>
          <w:szCs w:val="19"/>
          <w:color w:val="auto"/>
        </w:rPr>
        <w:t>materials should not be reproduced or copied in any form. The offer contained in these materials does not constitute a public offering of securities, but rather a private placement of securities addressed specifically to certain employees of the Company and its Subsidiaries</w:t>
      </w:r>
    </w:p>
    <w:p>
      <w:pPr>
        <w:spacing w:after="0"/>
        <w:rPr>
          <w:sz w:val="20"/>
          <w:szCs w:val="20"/>
          <w:color w:val="auto"/>
        </w:rPr>
      </w:pPr>
      <w:r>
        <w:rPr>
          <w:rFonts w:ascii="Times New Roman" w:cs="Times New Roman" w:eastAsia="Times New Roman" w:hAnsi="Times New Roman"/>
          <w:sz w:val="20"/>
          <w:szCs w:val="20"/>
          <w:color w:val="auto"/>
        </w:rPr>
        <w:t>and are made</w:t>
      </w:r>
    </w:p>
    <w:p>
      <w:pPr>
        <w:sectPr>
          <w:pgSz w:w="11900" w:h="16838" w:orient="portrait"/>
          <w:cols w:equalWidth="0" w:num="1">
            <w:col w:w="10920"/>
          </w:cols>
          <w:pgMar w:left="420" w:top="1440" w:right="559" w:bottom="1440" w:gutter="0" w:footer="0" w:header="0"/>
        </w:sectPr>
      </w:pPr>
    </w:p>
    <w:bookmarkStart w:id="224" w:name="page225"/>
    <w:bookmarkEnd w:id="224"/>
    <w:p>
      <w:pPr>
        <w:spacing w:after="0" w:line="14" w:lineRule="exact"/>
        <w:rPr>
          <w:sz w:val="20"/>
          <w:szCs w:val="20"/>
          <w:color w:val="auto"/>
        </w:rPr>
      </w:pPr>
    </w:p>
    <w:p>
      <w:pPr>
        <w:ind w:left="92" w:right="920"/>
        <w:spacing w:after="0" w:line="233" w:lineRule="auto"/>
        <w:rPr>
          <w:sz w:val="20"/>
          <w:szCs w:val="20"/>
          <w:color w:val="auto"/>
        </w:rPr>
      </w:pPr>
      <w:r>
        <w:rPr>
          <w:rFonts w:ascii="Times New Roman" w:cs="Times New Roman" w:eastAsia="Times New Roman" w:hAnsi="Times New Roman"/>
          <w:sz w:val="20"/>
          <w:szCs w:val="20"/>
          <w:color w:val="auto"/>
        </w:rPr>
        <w:t>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2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9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color w:val="auto"/>
        </w:rPr>
        <w:t xml:space="preserve">Restriction on Sale of Shares of Stock. </w:t>
      </w:r>
      <w:r>
        <w:rPr>
          <w:rFonts w:ascii="Times New Roman" w:cs="Times New Roman" w:eastAsia="Times New Roman" w:hAnsi="Times New Roman"/>
          <w:sz w:val="20"/>
          <w:szCs w:val="20"/>
          <w:color w:val="auto"/>
        </w:rPr>
        <w:t>The Units are subject to section 257 of the SFA and the</w:t>
      </w:r>
    </w:p>
    <w:p>
      <w:pPr>
        <w:ind w:left="92" w:right="280"/>
        <w:spacing w:after="0" w:line="215" w:lineRule="auto"/>
        <w:rPr>
          <w:sz w:val="20"/>
          <w:szCs w:val="20"/>
          <w:color w:val="auto"/>
        </w:rPr>
      </w:pPr>
      <w:r>
        <w:rPr>
          <w:rFonts w:ascii="Times New Roman" w:cs="Times New Roman" w:eastAsia="Times New Roman" w:hAnsi="Times New Roman"/>
          <w:sz w:val="19"/>
          <w:szCs w:val="19"/>
          <w:color w:val="auto"/>
        </w:rPr>
        <w:t>Grantee will not be able to make any subsequent sale of shares of Stock in Singapore or any offer of such subsequent sale of the Stock in Singapore, unless such offer or sale is made (i) after six (6) months from the Grant Date, (ii) pursuant to the exemptions under Part XIII</w:t>
      </w:r>
    </w:p>
    <w:p>
      <w:pPr>
        <w:ind w:left="92" w:right="480"/>
        <w:spacing w:after="0" w:line="228" w:lineRule="auto"/>
        <w:rPr>
          <w:sz w:val="20"/>
          <w:szCs w:val="20"/>
          <w:color w:val="auto"/>
        </w:rPr>
      </w:pPr>
      <w:r>
        <w:rPr>
          <w:rFonts w:ascii="Times New Roman" w:cs="Times New Roman" w:eastAsia="Times New Roman" w:hAnsi="Times New Roman"/>
          <w:sz w:val="20"/>
          <w:szCs w:val="20"/>
          <w:color w:val="auto"/>
        </w:rPr>
        <w:t>Division (1) Subdivision (4) (other than section 280) of the Singapore Securities and Futures Act (Chapter 289, 2006 Ed.) (“</w:t>
      </w:r>
      <w:r>
        <w:rPr>
          <w:rFonts w:ascii="Times New Roman" w:cs="Times New Roman" w:eastAsia="Times New Roman" w:hAnsi="Times New Roman"/>
          <w:sz w:val="20"/>
          <w:szCs w:val="20"/>
          <w:b w:val="1"/>
          <w:bCs w:val="1"/>
          <w:color w:val="auto"/>
        </w:rPr>
        <w:t>SFA</w:t>
      </w:r>
      <w:r>
        <w:rPr>
          <w:rFonts w:ascii="Times New Roman" w:cs="Times New Roman" w:eastAsia="Times New Roman" w:hAnsi="Times New Roman"/>
          <w:sz w:val="20"/>
          <w:szCs w:val="20"/>
          <w:color w:val="auto"/>
        </w:rPr>
        <w:t>”), or (iii) pursuant to, and in accordance with, any other applicable exemption in the SFA.</w:t>
      </w:r>
    </w:p>
    <w:p>
      <w:pPr>
        <w:spacing w:after="0" w:line="185"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16" w:lineRule="exact"/>
        <w:rPr>
          <w:sz w:val="20"/>
          <w:szCs w:val="20"/>
          <w:color w:val="auto"/>
        </w:rPr>
      </w:pPr>
    </w:p>
    <w:p>
      <w:pPr>
        <w:ind w:left="92" w:right="32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Securities Law Information. </w:t>
      </w:r>
      <w:r>
        <w:rPr>
          <w:rFonts w:ascii="Times New Roman" w:cs="Times New Roman" w:eastAsia="Times New Roman" w:hAnsi="Times New Roman"/>
          <w:sz w:val="20"/>
          <w:szCs w:val="20"/>
          <w:color w:val="auto"/>
        </w:rPr>
        <w:t>The grant of the Units is being made pursuant to the “Qualifying Person” exemption under section 273(1)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 of the SFA. The Plan has not been lodged or registered as a prospectus with the Monetary Authority of Singapore.</w:t>
      </w:r>
    </w:p>
    <w:p>
      <w:pPr>
        <w:spacing w:after="0" w:line="125"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color w:val="auto"/>
        </w:rPr>
        <w:t>Director Notification Information</w:t>
      </w:r>
      <w:r>
        <w:rPr>
          <w:rFonts w:ascii="Arial" w:cs="Arial" w:eastAsia="Arial" w:hAnsi="Arial"/>
          <w:sz w:val="20"/>
          <w:szCs w:val="20"/>
          <w:color w:val="0000FF"/>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 Grantee is the or a director (including an alternate, substitute or shadow director</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of a</w:t>
      </w:r>
    </w:p>
    <w:p>
      <w:pPr>
        <w:ind w:left="92" w:right="520"/>
        <w:spacing w:after="0" w:line="204" w:lineRule="auto"/>
        <w:rPr>
          <w:sz w:val="20"/>
          <w:szCs w:val="20"/>
          <w:color w:val="auto"/>
        </w:rPr>
      </w:pPr>
      <w:r>
        <w:rPr>
          <w:rFonts w:ascii="Times New Roman" w:cs="Times New Roman" w:eastAsia="Times New Roman" w:hAnsi="Times New Roman"/>
          <w:sz w:val="20"/>
          <w:szCs w:val="20"/>
          <w:color w:val="auto"/>
        </w:rPr>
        <w:t>Subsidiary in Singapore, the Grantee is subject to certain notification requirements under the Singapore Companies Act, regardless of whether the Grantee is a Singapore resident or employed in Singapore. Among these requirements is an obligation to notify the</w:t>
      </w:r>
    </w:p>
    <w:p>
      <w:pPr>
        <w:ind w:left="92"/>
        <w:spacing w:after="0" w:line="211" w:lineRule="auto"/>
        <w:rPr>
          <w:sz w:val="20"/>
          <w:szCs w:val="20"/>
          <w:color w:val="auto"/>
        </w:rPr>
      </w:pPr>
      <w:r>
        <w:rPr>
          <w:rFonts w:ascii="Times New Roman" w:cs="Times New Roman" w:eastAsia="Times New Roman" w:hAnsi="Times New Roman"/>
          <w:sz w:val="20"/>
          <w:szCs w:val="20"/>
          <w:color w:val="auto"/>
        </w:rPr>
        <w:t>Singapore Subsidiary of an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Units, shares of Stock) in the Company or a related company within two business days of (i)</w:t>
      </w:r>
    </w:p>
    <w:p>
      <w:pPr>
        <w:spacing w:after="0" w:line="1" w:lineRule="exact"/>
        <w:rPr>
          <w:sz w:val="20"/>
          <w:szCs w:val="20"/>
          <w:color w:val="auto"/>
        </w:rPr>
      </w:pPr>
    </w:p>
    <w:p>
      <w:pPr>
        <w:ind w:left="92" w:right="380"/>
        <w:spacing w:after="0" w:line="215" w:lineRule="auto"/>
        <w:rPr>
          <w:sz w:val="20"/>
          <w:szCs w:val="20"/>
          <w:color w:val="auto"/>
        </w:rPr>
      </w:pPr>
      <w:r>
        <w:rPr>
          <w:rFonts w:ascii="Times New Roman" w:cs="Times New Roman" w:eastAsia="Times New Roman" w:hAnsi="Times New Roman"/>
          <w:sz w:val="19"/>
          <w:szCs w:val="19"/>
          <w:color w:val="auto"/>
        </w:rPr>
        <w:t>acquiring or disposing of such interest, (ii) any change in a previously disclosed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vesting of Units, sale of shares of Stock), or (iii) becoming or a director if such an interest exists at the time. If the Grantee is the chief executive officer (“</w:t>
      </w:r>
      <w:r>
        <w:rPr>
          <w:rFonts w:ascii="Times New Roman" w:cs="Times New Roman" w:eastAsia="Times New Roman" w:hAnsi="Times New Roman"/>
          <w:sz w:val="19"/>
          <w:szCs w:val="19"/>
          <w:b w:val="1"/>
          <w:bCs w:val="1"/>
          <w:color w:val="auto"/>
        </w:rPr>
        <w:t>CEO</w:t>
      </w:r>
      <w:r>
        <w:rPr>
          <w:rFonts w:ascii="Times New Roman" w:cs="Times New Roman" w:eastAsia="Times New Roman" w:hAnsi="Times New Roman"/>
          <w:sz w:val="19"/>
          <w:szCs w:val="19"/>
          <w:color w:val="auto"/>
        </w:rPr>
        <w:t>”) of a Subsidiary</w:t>
      </w:r>
    </w:p>
    <w:p>
      <w:pPr>
        <w:ind w:left="92" w:right="1100"/>
        <w:spacing w:after="0" w:line="221" w:lineRule="auto"/>
        <w:rPr>
          <w:sz w:val="20"/>
          <w:szCs w:val="20"/>
          <w:color w:val="auto"/>
        </w:rPr>
      </w:pPr>
      <w:r>
        <w:rPr>
          <w:rFonts w:ascii="Times New Roman" w:cs="Times New Roman" w:eastAsia="Times New Roman" w:hAnsi="Times New Roman"/>
          <w:sz w:val="20"/>
          <w:szCs w:val="20"/>
          <w:color w:val="auto"/>
        </w:rPr>
        <w:t>in Singapore and the above notification requirements are determined to apply to the CEO of a Singapore Subsidiary, the above notification requirements also may apply to the Grantee.</w:t>
      </w:r>
    </w:p>
    <w:p>
      <w:pPr>
        <w:spacing w:after="0" w:line="185"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310"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4"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color w:val="auto"/>
        </w:rPr>
        <w:t xml:space="preserve">Units Payable Only in Stock. </w:t>
      </w:r>
      <w:r>
        <w:rPr>
          <w:rFonts w:ascii="Times New Roman" w:cs="Times New Roman" w:eastAsia="Times New Roman" w:hAnsi="Times New Roman"/>
          <w:sz w:val="20"/>
          <w:szCs w:val="20"/>
          <w:color w:val="auto"/>
        </w:rPr>
        <w:t>Notwithstanding anything to the contrary in the Plan, the Units shall be paid in shares of Stock only and</w:t>
      </w:r>
    </w:p>
    <w:p>
      <w:pPr>
        <w:ind w:left="92" w:right="440"/>
        <w:spacing w:after="0" w:line="221" w:lineRule="auto"/>
        <w:rPr>
          <w:sz w:val="20"/>
          <w:szCs w:val="20"/>
          <w:color w:val="auto"/>
        </w:rPr>
      </w:pPr>
      <w:r>
        <w:rPr>
          <w:rFonts w:ascii="Times New Roman" w:cs="Times New Roman" w:eastAsia="Times New Roman" w:hAnsi="Times New Roman"/>
          <w:sz w:val="20"/>
          <w:szCs w:val="20"/>
          <w:color w:val="auto"/>
        </w:rPr>
        <w:t>do not provide the Grantee with any right to receive a cash payment. This provision is without prejudice to the application of Section 4 of the Terms and Conditions of Restricted Stock Unit Award.</w:t>
      </w:r>
    </w:p>
    <w:p>
      <w:pPr>
        <w:spacing w:after="0" w:line="185" w:lineRule="exact"/>
        <w:rPr>
          <w:sz w:val="20"/>
          <w:szCs w:val="20"/>
          <w:color w:val="auto"/>
        </w:rPr>
      </w:pPr>
    </w:p>
    <w:p>
      <w:pPr>
        <w:ind w:left="92"/>
        <w:spacing w:after="0"/>
        <w:rPr>
          <w:sz w:val="20"/>
          <w:szCs w:val="20"/>
          <w:color w:val="auto"/>
        </w:rPr>
      </w:pPr>
      <w:r>
        <w:rPr>
          <w:rFonts w:ascii="Times New Roman" w:cs="Times New Roman" w:eastAsia="Times New Roman" w:hAnsi="Times New Roman"/>
          <w:sz w:val="20"/>
          <w:szCs w:val="20"/>
          <w:b w:val="1"/>
          <w:bCs w:val="1"/>
          <w:color w:val="auto"/>
        </w:rPr>
        <w:t>Responsibility for Taxes</w:t>
      </w:r>
      <w:r>
        <w:rPr>
          <w:rFonts w:ascii="Times New Roman" w:cs="Times New Roman" w:eastAsia="Times New Roman" w:hAnsi="Times New Roman"/>
          <w:sz w:val="20"/>
          <w:szCs w:val="20"/>
          <w:color w:val="auto"/>
        </w:rPr>
        <w:t>. The following provision supplements Section 4 of the Terms and Conditions of Restricted Stock Unit Award:</w:t>
      </w:r>
    </w:p>
    <w:p>
      <w:pPr>
        <w:spacing w:after="0" w:line="233" w:lineRule="exact"/>
        <w:rPr>
          <w:sz w:val="20"/>
          <w:szCs w:val="20"/>
          <w:color w:val="auto"/>
        </w:rPr>
      </w:pPr>
    </w:p>
    <w:p>
      <w:pPr>
        <w:ind w:left="92" w:right="260"/>
        <w:spacing w:after="0" w:line="227" w:lineRule="auto"/>
        <w:rPr>
          <w:sz w:val="20"/>
          <w:szCs w:val="20"/>
          <w:color w:val="auto"/>
        </w:rPr>
      </w:pPr>
      <w:r>
        <w:rPr>
          <w:rFonts w:ascii="Times New Roman" w:cs="Times New Roman" w:eastAsia="Times New Roman" w:hAnsi="Times New Roman"/>
          <w:sz w:val="19"/>
          <w:szCs w:val="19"/>
          <w:color w:val="auto"/>
        </w:rPr>
        <w:t>Without limitation to Section 4 of the Terms and Conditions of Restricted Stock Unit Award, the Grantee agrees that the Grantee is liable for all Tax-Related Items and hereby covenants to pay all such Tax- Related Items, as and when requested by the Company or the</w:t>
      </w:r>
    </w:p>
    <w:p>
      <w:pPr>
        <w:ind w:left="92"/>
        <w:spacing w:after="0" w:line="211" w:lineRule="auto"/>
        <w:rPr>
          <w:sz w:val="20"/>
          <w:szCs w:val="20"/>
          <w:color w:val="auto"/>
        </w:rPr>
      </w:pPr>
      <w:r>
        <w:rPr>
          <w:rFonts w:ascii="Times New Roman" w:cs="Times New Roman" w:eastAsia="Times New Roman" w:hAnsi="Times New Roman"/>
          <w:sz w:val="20"/>
          <w:szCs w:val="20"/>
          <w:color w:val="auto"/>
        </w:rPr>
        <w:t>Employer or by Her Majesty’s Revenue and Customs (“</w:t>
      </w:r>
      <w:r>
        <w:rPr>
          <w:rFonts w:ascii="Times New Roman" w:cs="Times New Roman" w:eastAsia="Times New Roman" w:hAnsi="Times New Roman"/>
          <w:sz w:val="20"/>
          <w:szCs w:val="20"/>
          <w:b w:val="1"/>
          <w:bCs w:val="1"/>
          <w:color w:val="auto"/>
        </w:rPr>
        <w:t>HMRC</w:t>
      </w:r>
      <w:r>
        <w:rPr>
          <w:rFonts w:ascii="Times New Roman" w:cs="Times New Roman" w:eastAsia="Times New Roman" w:hAnsi="Times New Roman"/>
          <w:sz w:val="20"/>
          <w:szCs w:val="20"/>
          <w:color w:val="auto"/>
        </w:rPr>
        <w:t>”) (or any other tax authority or any other relevant authority). The Grantee</w:t>
      </w:r>
    </w:p>
    <w:p>
      <w:pPr>
        <w:spacing w:after="0" w:line="1" w:lineRule="exact"/>
        <w:rPr>
          <w:sz w:val="20"/>
          <w:szCs w:val="20"/>
          <w:color w:val="auto"/>
        </w:rPr>
      </w:pPr>
    </w:p>
    <w:p>
      <w:pPr>
        <w:jc w:val="both"/>
        <w:ind w:left="92" w:right="440"/>
        <w:spacing w:after="0" w:line="233" w:lineRule="auto"/>
        <w:rPr>
          <w:sz w:val="20"/>
          <w:szCs w:val="20"/>
          <w:color w:val="auto"/>
        </w:rPr>
      </w:pPr>
      <w:r>
        <w:rPr>
          <w:rFonts w:ascii="Times New Roman" w:cs="Times New Roman" w:eastAsia="Times New Roman" w:hAnsi="Times New Roman"/>
          <w:sz w:val="19"/>
          <w:szCs w:val="19"/>
          <w:color w:val="auto"/>
        </w:rPr>
        <w:t>also agrees to indemnify and keep indemnified the Company and the Employer against any Tax-Related Items that they are required to pay or withhold or have paid or will pay to HMRC (or any other tax authority or any other relevant authority) on the Grantee’s behalf.</w:t>
      </w:r>
    </w:p>
    <w:p>
      <w:pPr>
        <w:spacing w:after="0" w:line="202" w:lineRule="exact"/>
        <w:rPr>
          <w:sz w:val="20"/>
          <w:szCs w:val="20"/>
          <w:color w:val="auto"/>
        </w:rPr>
      </w:pPr>
    </w:p>
    <w:p>
      <w:pPr>
        <w:ind w:left="92" w:right="260"/>
        <w:spacing w:after="0" w:line="227" w:lineRule="auto"/>
        <w:rPr>
          <w:sz w:val="20"/>
          <w:szCs w:val="20"/>
          <w:color w:val="auto"/>
        </w:rPr>
      </w:pPr>
      <w:r>
        <w:rPr>
          <w:rFonts w:ascii="Times New Roman" w:cs="Times New Roman" w:eastAsia="Times New Roman" w:hAnsi="Times New Roman"/>
          <w:sz w:val="19"/>
          <w:szCs w:val="19"/>
          <w:color w:val="auto"/>
        </w:rPr>
        <w:t>Notwithstanding the foregoing, if the Grantee is a director or executive officer of the Company (within the meaning of Section 13(k) of the Exchange Act), the Grantee understands that he or she may not be able to indemnify the Company or the Employer for the amount of</w:t>
      </w:r>
    </w:p>
    <w:p>
      <w:pPr>
        <w:ind w:left="92"/>
        <w:spacing w:after="0" w:line="211" w:lineRule="auto"/>
        <w:rPr>
          <w:sz w:val="20"/>
          <w:szCs w:val="20"/>
          <w:color w:val="auto"/>
        </w:rPr>
      </w:pPr>
      <w:r>
        <w:rPr>
          <w:rFonts w:ascii="Times New Roman" w:cs="Times New Roman" w:eastAsia="Times New Roman" w:hAnsi="Times New Roman"/>
          <w:sz w:val="20"/>
          <w:szCs w:val="20"/>
          <w:color w:val="auto"/>
        </w:rPr>
        <w:t>income tax not collected from or paid by the Grantee, as it may be considered a loan. In this case, the amount of any income tax not</w:t>
      </w:r>
    </w:p>
    <w:p>
      <w:pPr>
        <w:spacing w:after="0" w:line="1" w:lineRule="exact"/>
        <w:rPr>
          <w:sz w:val="20"/>
          <w:szCs w:val="20"/>
          <w:color w:val="auto"/>
        </w:rPr>
      </w:pPr>
    </w:p>
    <w:p>
      <w:pPr>
        <w:ind w:left="92" w:right="420"/>
        <w:spacing w:after="0" w:line="221" w:lineRule="auto"/>
        <w:rPr>
          <w:sz w:val="20"/>
          <w:szCs w:val="20"/>
          <w:color w:val="auto"/>
        </w:rPr>
      </w:pPr>
      <w:r>
        <w:rPr>
          <w:rFonts w:ascii="Times New Roman" w:cs="Times New Roman" w:eastAsia="Times New Roman" w:hAnsi="Times New Roman"/>
          <w:sz w:val="20"/>
          <w:szCs w:val="20"/>
          <w:color w:val="auto"/>
        </w:rPr>
        <w:t>collected within 90 days of the end of the U.K. tax year in which the event giving rise to the Tax-Related Item(s) occurs may constitute an additional benefit to the Grantee on which additional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1714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4" w:lineRule="exact"/>
        <w:rPr>
          <w:sz w:val="20"/>
          <w:szCs w:val="20"/>
          <w:color w:val="auto"/>
        </w:rPr>
      </w:pPr>
    </w:p>
    <w:p>
      <w:pPr>
        <w:ind w:left="-8" w:firstLine="8"/>
        <w:spacing w:after="0" w:line="215" w:lineRule="auto"/>
        <w:tabs>
          <w:tab w:leader="none" w:pos="95" w:val="left"/>
        </w:tabs>
        <w:numPr>
          <w:ilvl w:val="0"/>
          <w:numId w:val="1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shadow director is an individual who is not on the board of the Singapore Subsidiary but who has sufficient control so that the board of directors acts in accordance with the “directions or instructions” of the individual.</w:t>
      </w:r>
    </w:p>
    <w:p>
      <w:pPr>
        <w:sectPr>
          <w:pgSz w:w="11900" w:h="16838" w:orient="portrait"/>
          <w:cols w:equalWidth="0" w:num="1">
            <w:col w:w="11192"/>
          </w:cols>
          <w:pgMar w:left="328" w:top="1440" w:right="379" w:bottom="1440" w:gutter="0" w:footer="0" w:header="0"/>
        </w:sectPr>
      </w:pPr>
    </w:p>
    <w:bookmarkStart w:id="225" w:name="page226"/>
    <w:bookmarkEnd w:id="225"/>
    <w:p>
      <w:pPr>
        <w:spacing w:after="0" w:line="10" w:lineRule="exact"/>
        <w:rPr>
          <w:sz w:val="20"/>
          <w:szCs w:val="20"/>
          <w:color w:val="auto"/>
        </w:rPr>
      </w:pPr>
    </w:p>
    <w:p>
      <w:pPr>
        <w:ind w:right="460"/>
        <w:spacing w:after="0" w:line="229" w:lineRule="auto"/>
        <w:rPr>
          <w:sz w:val="20"/>
          <w:szCs w:val="20"/>
          <w:color w:val="auto"/>
        </w:rPr>
      </w:pPr>
      <w:r>
        <w:rPr>
          <w:rFonts w:ascii="Times New Roman" w:cs="Times New Roman" w:eastAsia="Times New Roman" w:hAnsi="Times New Roman"/>
          <w:sz w:val="19"/>
          <w:szCs w:val="19"/>
          <w:color w:val="auto"/>
        </w:rPr>
        <w:t>tax and National Insurance Contributions (“</w:t>
      </w:r>
      <w:r>
        <w:rPr>
          <w:rFonts w:ascii="Times New Roman" w:cs="Times New Roman" w:eastAsia="Times New Roman" w:hAnsi="Times New Roman"/>
          <w:sz w:val="19"/>
          <w:szCs w:val="19"/>
          <w:b w:val="1"/>
          <w:bCs w:val="1"/>
          <w:color w:val="auto"/>
        </w:rPr>
        <w:t>NICs</w:t>
      </w:r>
      <w:r>
        <w:rPr>
          <w:rFonts w:ascii="Times New Roman" w:cs="Times New Roman" w:eastAsia="Times New Roman" w:hAnsi="Times New Roman"/>
          <w:sz w:val="19"/>
          <w:szCs w:val="19"/>
          <w:color w:val="auto"/>
        </w:rPr>
        <w:t>”) may be payable. The Grantee will be responsible for reporting and paying any income tax due on this additional benefit directly to HMRC under the self-assessment regime and for paying the Company or the</w:t>
      </w:r>
    </w:p>
    <w:p>
      <w:pPr>
        <w:spacing w:after="0" w:line="223" w:lineRule="auto"/>
        <w:rPr>
          <w:sz w:val="20"/>
          <w:szCs w:val="20"/>
          <w:color w:val="auto"/>
        </w:rPr>
      </w:pPr>
      <w:r>
        <w:rPr>
          <w:rFonts w:ascii="Times New Roman" w:cs="Times New Roman" w:eastAsia="Times New Roman" w:hAnsi="Times New Roman"/>
          <w:sz w:val="19"/>
          <w:szCs w:val="19"/>
          <w:color w:val="auto"/>
        </w:rPr>
        <w:t>Employer, as applicable, for the amount of any employee NICs due on this additional benefit which may be recovered from the Grantee</w:t>
      </w:r>
    </w:p>
    <w:p>
      <w:pPr>
        <w:ind w:right="340"/>
        <w:spacing w:after="0" w:line="221" w:lineRule="auto"/>
        <w:rPr>
          <w:sz w:val="20"/>
          <w:szCs w:val="20"/>
          <w:color w:val="auto"/>
        </w:rPr>
      </w:pPr>
      <w:r>
        <w:rPr>
          <w:rFonts w:ascii="Times New Roman" w:cs="Times New Roman" w:eastAsia="Times New Roman" w:hAnsi="Times New Roman"/>
          <w:sz w:val="20"/>
          <w:szCs w:val="20"/>
          <w:color w:val="auto"/>
        </w:rPr>
        <w:t>by the Company or the Employer at any time thereafter by any of the means referred to in Section 4 of the Terms and Conditions of Restricted Stock Unit Award.</w:t>
      </w:r>
    </w:p>
    <w:p>
      <w:pPr>
        <w:sectPr>
          <w:pgSz w:w="11900" w:h="16838" w:orient="portrait"/>
          <w:cols w:equalWidth="0" w:num="1">
            <w:col w:w="10740"/>
          </w:cols>
          <w:pgMar w:left="420" w:top="1440" w:right="7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0"/>
          <w:szCs w:val="20"/>
          <w:b w:val="1"/>
          <w:bCs w:val="1"/>
          <w:color w:val="auto"/>
        </w:rPr>
        <w:t>Exhibit 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860" w:type="dxa"/>
            <w:vAlign w:val="bottom"/>
          </w:tcPr>
          <w:p>
            <w:pPr>
              <w:spacing w:after="0"/>
              <w:rPr>
                <w:sz w:val="23"/>
                <w:szCs w:val="23"/>
                <w:color w:val="auto"/>
              </w:rPr>
            </w:pPr>
          </w:p>
        </w:tc>
        <w:tc>
          <w:tcPr>
            <w:tcW w:w="6160" w:type="dxa"/>
            <w:vAlign w:val="bottom"/>
          </w:tcPr>
          <w:p>
            <w:pPr>
              <w:ind w:left="60"/>
              <w:spacing w:after="0"/>
              <w:rPr>
                <w:sz w:val="20"/>
                <w:szCs w:val="20"/>
                <w:color w:val="auto"/>
              </w:rPr>
            </w:pPr>
            <w:r>
              <w:rPr>
                <w:rFonts w:ascii="Arial" w:cs="Arial" w:eastAsia="Arial" w:hAnsi="Arial"/>
                <w:sz w:val="20"/>
                <w:szCs w:val="20"/>
                <w:b w:val="1"/>
                <w:bCs w:val="1"/>
                <w:color w:val="auto"/>
              </w:rPr>
              <w:t>Subsidiaries</w:t>
            </w:r>
          </w:p>
        </w:tc>
      </w:tr>
      <w:tr>
        <w:trPr>
          <w:trHeight w:val="385"/>
        </w:trPr>
        <w:tc>
          <w:tcPr>
            <w:tcW w:w="4860" w:type="dxa"/>
            <w:vAlign w:val="bottom"/>
            <w:tcBorders>
              <w:bottom w:val="single" w:sz="8" w:color="auto"/>
            </w:tcBorders>
          </w:tcPr>
          <w:p>
            <w:pPr>
              <w:ind w:left="3200"/>
              <w:spacing w:after="0"/>
              <w:rPr>
                <w:sz w:val="20"/>
                <w:szCs w:val="20"/>
                <w:color w:val="auto"/>
              </w:rPr>
            </w:pPr>
            <w:r>
              <w:rPr>
                <w:rFonts w:ascii="Arial" w:cs="Arial" w:eastAsia="Arial" w:hAnsi="Arial"/>
                <w:sz w:val="18"/>
                <w:szCs w:val="18"/>
                <w:b w:val="1"/>
                <w:bCs w:val="1"/>
                <w:color w:val="auto"/>
              </w:rPr>
              <w:t>Name</w:t>
            </w:r>
          </w:p>
        </w:tc>
        <w:tc>
          <w:tcPr>
            <w:tcW w:w="616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Jurisdiction of Formation</w:t>
            </w:r>
          </w:p>
        </w:tc>
      </w:tr>
      <w:tr>
        <w:trPr>
          <w:trHeight w:val="218"/>
        </w:trPr>
        <w:tc>
          <w:tcPr>
            <w:tcW w:w="4860" w:type="dxa"/>
            <w:vAlign w:val="bottom"/>
          </w:tcPr>
          <w:p>
            <w:pPr>
              <w:ind w:left="20"/>
              <w:spacing w:after="0"/>
              <w:rPr>
                <w:sz w:val="20"/>
                <w:szCs w:val="20"/>
                <w:color w:val="auto"/>
              </w:rPr>
            </w:pPr>
            <w:r>
              <w:rPr>
                <w:rFonts w:ascii="Arial" w:cs="Arial" w:eastAsia="Arial" w:hAnsi="Arial"/>
                <w:sz w:val="18"/>
                <w:szCs w:val="18"/>
                <w:color w:val="auto"/>
              </w:rPr>
              <w:t>Leidos,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Leidos Biomedical Research,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Leidos Consulting Engineers,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California</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Leidos Engineering, LLC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Leidos Global Technology Corporation</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Leidos Services,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Reveal Imaging Technologies,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Varec Holdings,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740"/>
              <w:spacing w:after="0"/>
              <w:rPr>
                <w:sz w:val="20"/>
                <w:szCs w:val="20"/>
                <w:color w:val="auto"/>
              </w:rPr>
            </w:pPr>
            <w:r>
              <w:rPr>
                <w:rFonts w:ascii="Arial" w:cs="Arial" w:eastAsia="Arial" w:hAnsi="Arial"/>
                <w:sz w:val="18"/>
                <w:szCs w:val="18"/>
                <w:color w:val="auto"/>
              </w:rPr>
              <w:t>Varec, Inc.</w:t>
            </w:r>
          </w:p>
        </w:tc>
        <w:tc>
          <w:tcPr>
            <w:tcW w:w="6160" w:type="dxa"/>
            <w:vAlign w:val="bottom"/>
          </w:tcPr>
          <w:p>
            <w:pPr>
              <w:ind w:left="2860"/>
              <w:spacing w:after="0"/>
              <w:rPr>
                <w:sz w:val="20"/>
                <w:szCs w:val="20"/>
                <w:color w:val="auto"/>
              </w:rPr>
            </w:pPr>
            <w:r>
              <w:rPr>
                <w:rFonts w:ascii="Arial" w:cs="Arial" w:eastAsia="Arial" w:hAnsi="Arial"/>
                <w:sz w:val="18"/>
                <w:szCs w:val="18"/>
                <w:color w:val="auto"/>
              </w:rPr>
              <w:t>Georgia</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Leidos Intermediate Holdings,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740"/>
              <w:spacing w:after="0"/>
              <w:rPr>
                <w:sz w:val="20"/>
                <w:szCs w:val="20"/>
                <w:color w:val="auto"/>
              </w:rPr>
            </w:pPr>
            <w:r>
              <w:rPr>
                <w:rFonts w:ascii="Arial" w:cs="Arial" w:eastAsia="Arial" w:hAnsi="Arial"/>
                <w:sz w:val="18"/>
                <w:szCs w:val="18"/>
                <w:color w:val="auto"/>
              </w:rPr>
              <w:t>Leidos Government Services,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Maryland</w:t>
            </w:r>
          </w:p>
        </w:tc>
      </w:tr>
      <w:tr>
        <w:trPr>
          <w:trHeight w:val="229"/>
        </w:trPr>
        <w:tc>
          <w:tcPr>
            <w:tcW w:w="4860" w:type="dxa"/>
            <w:vAlign w:val="bottom"/>
          </w:tcPr>
          <w:p>
            <w:pPr>
              <w:ind w:left="1080"/>
              <w:spacing w:after="0"/>
              <w:rPr>
                <w:sz w:val="20"/>
                <w:szCs w:val="20"/>
                <w:color w:val="auto"/>
              </w:rPr>
            </w:pPr>
            <w:r>
              <w:rPr>
                <w:rFonts w:ascii="Arial" w:cs="Arial" w:eastAsia="Arial" w:hAnsi="Arial"/>
                <w:sz w:val="18"/>
                <w:szCs w:val="18"/>
                <w:color w:val="auto"/>
              </w:rPr>
              <w:t>Leidos Integrated Technology, LLC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1400"/>
              <w:spacing w:after="0"/>
              <w:rPr>
                <w:sz w:val="20"/>
                <w:szCs w:val="20"/>
                <w:color w:val="auto"/>
              </w:rPr>
            </w:pPr>
            <w:r>
              <w:rPr>
                <w:rFonts w:ascii="Arial" w:cs="Arial" w:eastAsia="Arial" w:hAnsi="Arial"/>
                <w:sz w:val="18"/>
                <w:szCs w:val="18"/>
                <w:color w:val="auto"/>
              </w:rPr>
              <w:t>Hanford Mission Integration Solutions, LLC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30"/>
        </w:trPr>
        <w:tc>
          <w:tcPr>
            <w:tcW w:w="4860" w:type="dxa"/>
            <w:vAlign w:val="bottom"/>
          </w:tcPr>
          <w:p>
            <w:pPr>
              <w:ind w:left="740"/>
              <w:spacing w:after="0"/>
              <w:rPr>
                <w:sz w:val="20"/>
                <w:szCs w:val="20"/>
                <w:color w:val="auto"/>
              </w:rPr>
            </w:pPr>
            <w:r>
              <w:rPr>
                <w:rFonts w:ascii="Arial" w:cs="Arial" w:eastAsia="Arial" w:hAnsi="Arial"/>
                <w:sz w:val="18"/>
                <w:szCs w:val="18"/>
                <w:color w:val="auto"/>
              </w:rPr>
              <w:t>QTC Holdings,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1080"/>
              <w:spacing w:after="0"/>
              <w:rPr>
                <w:sz w:val="20"/>
                <w:szCs w:val="20"/>
                <w:color w:val="auto"/>
              </w:rPr>
            </w:pPr>
            <w:r>
              <w:rPr>
                <w:rFonts w:ascii="Arial" w:cs="Arial" w:eastAsia="Arial" w:hAnsi="Arial"/>
                <w:sz w:val="18"/>
                <w:szCs w:val="18"/>
                <w:color w:val="auto"/>
              </w:rPr>
              <w:t>QTC Management, Inc.</w:t>
            </w:r>
          </w:p>
        </w:tc>
        <w:tc>
          <w:tcPr>
            <w:tcW w:w="6160" w:type="dxa"/>
            <w:vAlign w:val="bottom"/>
          </w:tcPr>
          <w:p>
            <w:pPr>
              <w:ind w:left="2860"/>
              <w:spacing w:after="0"/>
              <w:rPr>
                <w:sz w:val="20"/>
                <w:szCs w:val="20"/>
                <w:color w:val="auto"/>
              </w:rPr>
            </w:pPr>
            <w:r>
              <w:rPr>
                <w:rFonts w:ascii="Arial" w:cs="Arial" w:eastAsia="Arial" w:hAnsi="Arial"/>
                <w:sz w:val="18"/>
                <w:szCs w:val="18"/>
                <w:color w:val="auto"/>
              </w:rPr>
              <w:t>California</w:t>
            </w:r>
          </w:p>
        </w:tc>
      </w:tr>
      <w:tr>
        <w:trPr>
          <w:trHeight w:val="230"/>
        </w:trPr>
        <w:tc>
          <w:tcPr>
            <w:tcW w:w="4860" w:type="dxa"/>
            <w:vAlign w:val="bottom"/>
          </w:tcPr>
          <w:p>
            <w:pPr>
              <w:ind w:left="1400"/>
              <w:spacing w:after="0"/>
              <w:rPr>
                <w:sz w:val="20"/>
                <w:szCs w:val="20"/>
                <w:color w:val="auto"/>
              </w:rPr>
            </w:pPr>
            <w:r>
              <w:rPr>
                <w:rFonts w:ascii="Arial" w:cs="Arial" w:eastAsia="Arial" w:hAnsi="Arial"/>
                <w:sz w:val="18"/>
                <w:szCs w:val="18"/>
                <w:color w:val="auto"/>
              </w:rPr>
              <w:t>QTC Medical Services,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California</w:t>
            </w:r>
          </w:p>
        </w:tc>
      </w:tr>
      <w:tr>
        <w:trPr>
          <w:trHeight w:val="229"/>
        </w:trPr>
        <w:tc>
          <w:tcPr>
            <w:tcW w:w="4860" w:type="dxa"/>
            <w:vAlign w:val="bottom"/>
          </w:tcPr>
          <w:p>
            <w:pPr>
              <w:ind w:left="740"/>
              <w:spacing w:after="0"/>
              <w:rPr>
                <w:sz w:val="20"/>
                <w:szCs w:val="20"/>
                <w:color w:val="auto"/>
              </w:rPr>
            </w:pPr>
            <w:r>
              <w:rPr>
                <w:rFonts w:ascii="Arial" w:cs="Arial" w:eastAsia="Arial" w:hAnsi="Arial"/>
                <w:sz w:val="18"/>
                <w:szCs w:val="18"/>
                <w:color w:val="auto"/>
              </w:rPr>
              <w:t>Leidos Digital Solutions,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Virginia</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Leidos New Zealand Limited</w:t>
            </w:r>
          </w:p>
        </w:tc>
        <w:tc>
          <w:tcPr>
            <w:tcW w:w="6160" w:type="dxa"/>
            <w:vAlign w:val="bottom"/>
          </w:tcPr>
          <w:p>
            <w:pPr>
              <w:ind w:left="2860"/>
              <w:spacing w:after="0"/>
              <w:rPr>
                <w:sz w:val="20"/>
                <w:szCs w:val="20"/>
                <w:color w:val="auto"/>
              </w:rPr>
            </w:pPr>
            <w:r>
              <w:rPr>
                <w:rFonts w:ascii="Arial" w:cs="Arial" w:eastAsia="Arial" w:hAnsi="Arial"/>
                <w:sz w:val="18"/>
                <w:szCs w:val="18"/>
                <w:color w:val="auto"/>
              </w:rPr>
              <w:t>New Zealand</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Dynetics,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Alabama</w:t>
            </w:r>
          </w:p>
        </w:tc>
      </w:tr>
      <w:tr>
        <w:trPr>
          <w:trHeight w:val="230"/>
        </w:trPr>
        <w:tc>
          <w:tcPr>
            <w:tcW w:w="4860" w:type="dxa"/>
            <w:vAlign w:val="bottom"/>
          </w:tcPr>
          <w:p>
            <w:pPr>
              <w:ind w:left="1080"/>
              <w:spacing w:after="0"/>
              <w:rPr>
                <w:sz w:val="20"/>
                <w:szCs w:val="20"/>
                <w:color w:val="auto"/>
              </w:rPr>
            </w:pPr>
            <w:r>
              <w:rPr>
                <w:rFonts w:ascii="Arial" w:cs="Arial" w:eastAsia="Arial" w:hAnsi="Arial"/>
                <w:sz w:val="18"/>
                <w:szCs w:val="18"/>
                <w:color w:val="auto"/>
              </w:rPr>
              <w:t>Dynetics Technical Solutions, Inc.</w:t>
            </w:r>
          </w:p>
        </w:tc>
        <w:tc>
          <w:tcPr>
            <w:tcW w:w="6160" w:type="dxa"/>
            <w:vAlign w:val="bottom"/>
          </w:tcPr>
          <w:p>
            <w:pPr>
              <w:ind w:left="2860"/>
              <w:spacing w:after="0"/>
              <w:rPr>
                <w:sz w:val="20"/>
                <w:szCs w:val="20"/>
                <w:color w:val="auto"/>
              </w:rPr>
            </w:pPr>
            <w:r>
              <w:rPr>
                <w:rFonts w:ascii="Arial" w:cs="Arial" w:eastAsia="Arial" w:hAnsi="Arial"/>
                <w:sz w:val="18"/>
                <w:szCs w:val="18"/>
                <w:color w:val="auto"/>
              </w:rPr>
              <w:t>Alabama</w:t>
            </w:r>
          </w:p>
        </w:tc>
      </w:tr>
      <w:tr>
        <w:trPr>
          <w:trHeight w:val="230"/>
        </w:trPr>
        <w:tc>
          <w:tcPr>
            <w:tcW w:w="4860" w:type="dxa"/>
            <w:vAlign w:val="bottom"/>
          </w:tcPr>
          <w:p>
            <w:pPr>
              <w:ind w:left="1080"/>
              <w:spacing w:after="0"/>
              <w:rPr>
                <w:sz w:val="20"/>
                <w:szCs w:val="20"/>
                <w:color w:val="auto"/>
              </w:rPr>
            </w:pPr>
            <w:r>
              <w:rPr>
                <w:rFonts w:ascii="Arial" w:cs="Arial" w:eastAsia="Arial" w:hAnsi="Arial"/>
                <w:sz w:val="18"/>
                <w:szCs w:val="18"/>
                <w:color w:val="auto"/>
              </w:rPr>
              <w:t>SPIRE Manufacturing Solutions, LLC</w:t>
            </w:r>
          </w:p>
        </w:tc>
        <w:tc>
          <w:tcPr>
            <w:tcW w:w="6160" w:type="dxa"/>
            <w:vAlign w:val="bottom"/>
          </w:tcPr>
          <w:p>
            <w:pPr>
              <w:ind w:left="2860"/>
              <w:spacing w:after="0"/>
              <w:rPr>
                <w:sz w:val="20"/>
                <w:szCs w:val="20"/>
                <w:color w:val="auto"/>
              </w:rPr>
            </w:pPr>
            <w:r>
              <w:rPr>
                <w:rFonts w:ascii="Arial" w:cs="Arial" w:eastAsia="Arial" w:hAnsi="Arial"/>
                <w:sz w:val="18"/>
                <w:szCs w:val="18"/>
                <w:color w:val="auto"/>
              </w:rPr>
              <w:t>Colorado</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Leidos Security Detection &amp; Automation, Inc.</w:t>
            </w:r>
          </w:p>
        </w:tc>
        <w:tc>
          <w:tcPr>
            <w:tcW w:w="616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29"/>
        </w:trPr>
        <w:tc>
          <w:tcPr>
            <w:tcW w:w="4860" w:type="dxa"/>
            <w:vAlign w:val="bottom"/>
          </w:tcPr>
          <w:p>
            <w:pPr>
              <w:ind w:left="420"/>
              <w:spacing w:after="0"/>
              <w:rPr>
                <w:sz w:val="20"/>
                <w:szCs w:val="20"/>
                <w:color w:val="auto"/>
              </w:rPr>
            </w:pPr>
            <w:r>
              <w:rPr>
                <w:rFonts w:ascii="Arial" w:cs="Arial" w:eastAsia="Arial" w:hAnsi="Arial"/>
                <w:sz w:val="18"/>
                <w:szCs w:val="18"/>
                <w:color w:val="auto"/>
              </w:rPr>
              <w:t>1901 Group, LLC</w:t>
            </w:r>
          </w:p>
        </w:tc>
        <w:tc>
          <w:tcPr>
            <w:tcW w:w="6160" w:type="dxa"/>
            <w:vAlign w:val="bottom"/>
          </w:tcPr>
          <w:p>
            <w:pPr>
              <w:ind w:left="2860"/>
              <w:spacing w:after="0"/>
              <w:rPr>
                <w:sz w:val="20"/>
                <w:szCs w:val="20"/>
                <w:color w:val="auto"/>
              </w:rPr>
            </w:pPr>
            <w:r>
              <w:rPr>
                <w:rFonts w:ascii="Arial" w:cs="Arial" w:eastAsia="Arial" w:hAnsi="Arial"/>
                <w:sz w:val="18"/>
                <w:szCs w:val="18"/>
                <w:color w:val="auto"/>
              </w:rPr>
              <w:t>Virginia</w:t>
            </w:r>
          </w:p>
        </w:tc>
      </w:tr>
      <w:tr>
        <w:trPr>
          <w:trHeight w:val="230"/>
        </w:trPr>
        <w:tc>
          <w:tcPr>
            <w:tcW w:w="4860" w:type="dxa"/>
            <w:vAlign w:val="bottom"/>
          </w:tcPr>
          <w:p>
            <w:pPr>
              <w:ind w:left="420"/>
              <w:spacing w:after="0"/>
              <w:rPr>
                <w:sz w:val="20"/>
                <w:szCs w:val="20"/>
                <w:color w:val="auto"/>
              </w:rPr>
            </w:pPr>
            <w:r>
              <w:rPr>
                <w:rFonts w:ascii="Arial" w:cs="Arial" w:eastAsia="Arial" w:hAnsi="Arial"/>
                <w:sz w:val="18"/>
                <w:szCs w:val="18"/>
                <w:color w:val="auto"/>
              </w:rPr>
              <w:t>Gibbs &amp; Cox, Inc.</w:t>
            </w:r>
          </w:p>
        </w:tc>
        <w:tc>
          <w:tcPr>
            <w:tcW w:w="6160" w:type="dxa"/>
            <w:vAlign w:val="bottom"/>
          </w:tcPr>
          <w:p>
            <w:pPr>
              <w:ind w:left="2860"/>
              <w:spacing w:after="0"/>
              <w:rPr>
                <w:sz w:val="20"/>
                <w:szCs w:val="20"/>
                <w:color w:val="auto"/>
              </w:rPr>
            </w:pPr>
            <w:r>
              <w:rPr>
                <w:rFonts w:ascii="Arial" w:cs="Arial" w:eastAsia="Arial" w:hAnsi="Arial"/>
                <w:sz w:val="18"/>
                <w:szCs w:val="18"/>
                <w:color w:val="auto"/>
              </w:rPr>
              <w:t>New York</w:t>
            </w:r>
          </w:p>
        </w:tc>
      </w:tr>
      <w:tr>
        <w:trPr>
          <w:trHeight w:val="239"/>
        </w:trPr>
        <w:tc>
          <w:tcPr>
            <w:tcW w:w="4860" w:type="dxa"/>
            <w:vAlign w:val="bottom"/>
          </w:tcPr>
          <w:p>
            <w:pPr>
              <w:ind w:left="420"/>
              <w:spacing w:after="0"/>
              <w:rPr>
                <w:sz w:val="20"/>
                <w:szCs w:val="20"/>
                <w:color w:val="auto"/>
              </w:rPr>
            </w:pPr>
            <w:r>
              <w:rPr>
                <w:rFonts w:ascii="Arial" w:cs="Arial" w:eastAsia="Arial" w:hAnsi="Arial"/>
                <w:sz w:val="18"/>
                <w:szCs w:val="18"/>
                <w:color w:val="auto"/>
              </w:rPr>
              <w:t>Leidos Arabia Limited Company</w:t>
            </w:r>
          </w:p>
        </w:tc>
        <w:tc>
          <w:tcPr>
            <w:tcW w:w="6160" w:type="dxa"/>
            <w:vAlign w:val="bottom"/>
          </w:tcPr>
          <w:p>
            <w:pPr>
              <w:ind w:left="2860"/>
              <w:spacing w:after="0"/>
              <w:rPr>
                <w:sz w:val="20"/>
                <w:szCs w:val="20"/>
                <w:color w:val="auto"/>
              </w:rPr>
            </w:pPr>
            <w:r>
              <w:rPr>
                <w:rFonts w:ascii="Arial" w:cs="Arial" w:eastAsia="Arial" w:hAnsi="Arial"/>
                <w:sz w:val="18"/>
                <w:szCs w:val="18"/>
                <w:color w:val="auto"/>
              </w:rPr>
              <w:t>Saudi Arabia</w:t>
            </w:r>
          </w:p>
        </w:tc>
      </w:tr>
    </w:tbl>
    <w:p>
      <w:pPr>
        <w:sectPr>
          <w:pgSz w:w="11900" w:h="16838" w:orient="portrait"/>
          <w:cols w:equalWidth="0" w:num="1">
            <w:col w:w="11120"/>
          </w:cols>
          <w:pgMar w:left="440" w:top="1426"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Guarantors and Subsidiary Issuers of Guaranteed Securities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 ("Guarantor") has fully and unconditionally guaranteed the debt securities of its subsidiary, Leidos, Inc. ("Issuer"), that</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were issued pursuant to transactions that were registered under the Securities Act of 1933, as amended (collectively, the “Registered Notes”). The following is a list of the Registered Notes guaranteed by Leidos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Registered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 million 3.625% notes, due May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$750 million 4.375% notes, due May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2.300% notes, due February 2031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million 5.750% notes, due March 2033</w:t>
      </w:r>
    </w:p>
    <w:p>
      <w:pPr>
        <w:spacing w:after="0" w:line="99"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Leidos Holdings, Inc. has also fully and unconditionally guaranteed debt securities of Leidos, Inc. that were issued pursuant to transactions that were not registered under the Securities Act of 1933, as amended. The following is a list of unregistered debt securities guaranteed by Leidos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$250 million 7.125% notes, due July 2032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$300 million 5.500% notes, due July 2033</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Additionally, Leidos, Inc. has fully and unconditionally guaranteed debt securities of Leidos Holding, Inc. that were issued pursuant to transactions that were not registered under the Securities Act of 1933, as amended. The following is a list of unregistered debt securities guaranteed by Leidos,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unregistered debt securities issued by Leidos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 million 5.950% notes, due December 2040</w:t>
      </w:r>
    </w:p>
    <w:p>
      <w:pPr>
        <w:sectPr>
          <w:pgSz w:w="11900" w:h="16838" w:orient="portrait"/>
          <w:cols w:equalWidth="0" w:num="1">
            <w:col w:w="11240"/>
          </w:cols>
          <w:pgMar w:left="320" w:top="1417"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333-269820 on Form S-3, Registration Statement No. 333-255849 on Form S-4 and Registration Statement Nos. 333-138095, 333-153360, 333-169693 and 333-218435 on Forms S-8, of our reports dated February 13, 2024, relating to the financial statements of Leidos Holdings, Inc., and the effectiveness of the Leidos Holdings, Inc.’s internal control over financial reporting, appearing in this Annual Report on Form 10-K for the fiscal year ended December 29, 2023.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McLean, Virginia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2024</w:t>
      </w:r>
    </w:p>
    <w:p>
      <w:pPr>
        <w:sectPr>
          <w:pgSz w:w="11900" w:h="16838" w:orient="portrait"/>
          <w:cols w:equalWidth="0" w:num="1">
            <w:col w:w="11160"/>
          </w:cols>
          <w:pgMar w:left="400" w:top="905"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A. Bell, certify that:</w:t>
      </w:r>
    </w:p>
    <w:p>
      <w:pPr>
        <w:spacing w:after="0" w:line="171" w:lineRule="exact"/>
        <w:rPr>
          <w:sz w:val="20"/>
          <w:szCs w:val="20"/>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2024</w:t>
      </w:r>
    </w:p>
    <w:p>
      <w:pPr>
        <w:spacing w:after="0" w:line="50" w:lineRule="exact"/>
        <w:rPr>
          <w:sz w:val="20"/>
          <w:szCs w:val="20"/>
          <w:color w:val="auto"/>
        </w:rPr>
      </w:pPr>
    </w:p>
    <w:p>
      <w:pPr>
        <w:ind w:left="8040"/>
        <w:spacing w:after="0"/>
        <w:tabs>
          <w:tab w:leader="none" w:pos="8420" w:val="left"/>
        </w:tabs>
        <w:rPr>
          <w:sz w:val="20"/>
          <w:szCs w:val="20"/>
          <w:color w:val="auto"/>
        </w:rPr>
      </w:pPr>
      <w:r>
        <w:rPr>
          <w:rFonts w:ascii="Arial" w:cs="Arial" w:eastAsia="Arial" w:hAnsi="Arial"/>
          <w:sz w:val="18"/>
          <w:szCs w:val="18"/>
          <w:color w:val="auto"/>
        </w:rPr>
        <w:t>/s/</w:t>
        <w:tab/>
        <w:t>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Thomas A. Bell</w:t>
      </w:r>
    </w:p>
    <w:p>
      <w:pPr>
        <w:spacing w:after="0" w:line="42"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052"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Cage, certify that:</w:t>
      </w:r>
    </w:p>
    <w:p>
      <w:pPr>
        <w:spacing w:after="0" w:line="171" w:lineRule="exact"/>
        <w:rPr>
          <w:sz w:val="20"/>
          <w:szCs w:val="20"/>
          <w:color w:val="auto"/>
        </w:rPr>
      </w:pPr>
    </w:p>
    <w:p>
      <w:pPr>
        <w:ind w:left="640" w:hanging="632"/>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w:t>
      </w:r>
    </w:p>
    <w:p>
      <w:pPr>
        <w:spacing w:after="0" w:line="171"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16" w:lineRule="exact"/>
        <w:rPr>
          <w:rFonts w:ascii="Arial" w:cs="Arial" w:eastAsia="Arial" w:hAnsi="Arial"/>
          <w:sz w:val="18"/>
          <w:szCs w:val="18"/>
          <w:color w:val="auto"/>
        </w:rPr>
      </w:pPr>
    </w:p>
    <w:p>
      <w:pPr>
        <w:ind w:left="1620" w:right="20" w:hanging="640"/>
        <w:spacing w:after="0" w:line="262" w:lineRule="auto"/>
        <w:tabs>
          <w:tab w:leader="none" w:pos="161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620" w:right="200" w:hanging="640"/>
        <w:spacing w:after="0" w:line="268" w:lineRule="auto"/>
        <w:tabs>
          <w:tab w:leader="none" w:pos="161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1620" w:right="320" w:hanging="640"/>
        <w:spacing w:after="0" w:line="268" w:lineRule="auto"/>
        <w:tabs>
          <w:tab w:leader="none" w:pos="160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620" w:right="60" w:hanging="640"/>
        <w:spacing w:after="0" w:line="291" w:lineRule="auto"/>
        <w:tabs>
          <w:tab w:leader="none" w:pos="161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ind w:left="660" w:right="360" w:hanging="652"/>
        <w:spacing w:after="0" w:line="268"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620" w:right="120" w:hanging="640"/>
        <w:spacing w:after="0" w:line="268" w:lineRule="auto"/>
        <w:tabs>
          <w:tab w:leader="none" w:pos="161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620" w:right="460" w:hanging="640"/>
        <w:spacing w:after="0" w:line="287" w:lineRule="auto"/>
        <w:tabs>
          <w:tab w:leader="none" w:pos="161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2024</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774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6"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Christopher R. Cage</w:t>
      </w:r>
    </w:p>
    <w:p>
      <w:pPr>
        <w:spacing w:after="0" w:line="42"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52"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32.1</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CHAIRMAN AND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29, 2023, as filed with the Securities and Exchange Commission on the date hereof (the "Report"), I, Thomas A. Bell, Chief Executive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2024</w:t>
      </w:r>
    </w:p>
    <w:p>
      <w:pPr>
        <w:spacing w:after="0" w:line="200" w:lineRule="exact"/>
        <w:rPr>
          <w:sz w:val="20"/>
          <w:szCs w:val="20"/>
          <w:color w:val="auto"/>
        </w:rPr>
      </w:pPr>
    </w:p>
    <w:p>
      <w:pPr>
        <w:spacing w:after="0" w:line="255" w:lineRule="exact"/>
        <w:rPr>
          <w:sz w:val="20"/>
          <w:szCs w:val="20"/>
          <w:color w:val="auto"/>
        </w:rPr>
      </w:pPr>
    </w:p>
    <w:p>
      <w:pPr>
        <w:ind w:left="1240"/>
        <w:spacing w:after="0"/>
        <w:tabs>
          <w:tab w:leader="none" w:pos="1600" w:val="left"/>
        </w:tabs>
        <w:rPr>
          <w:sz w:val="20"/>
          <w:szCs w:val="20"/>
          <w:color w:val="auto"/>
        </w:rPr>
      </w:pPr>
      <w:r>
        <w:rPr>
          <w:rFonts w:ascii="Arial" w:cs="Arial" w:eastAsia="Arial" w:hAnsi="Arial"/>
          <w:sz w:val="18"/>
          <w:szCs w:val="18"/>
          <w:color w:val="auto"/>
        </w:rPr>
        <w:t>/s/</w:t>
        <w:tab/>
        <w:t>Thomas A.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Thomas A. Bell</w:t>
      </w:r>
    </w:p>
    <w:p>
      <w:pPr>
        <w:spacing w:after="0" w:line="42"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052"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32.2</w:t>
      </w:r>
    </w:p>
    <w:p>
      <w:pPr>
        <w:spacing w:after="0" w:line="10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LEIDOS HOLDINGS, INC.</w:t>
      </w:r>
    </w:p>
    <w:p>
      <w:pPr>
        <w:spacing w:after="0" w:line="90"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CERTIFICATION OF EXECUTIVE VICE PRESIDENT AND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Annual Report of Leidos Holdings, Inc. (the "Company") on Form 10-K for the year ended December 29, 2023,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22" w:lineRule="exact"/>
        <w:rPr>
          <w:sz w:val="20"/>
          <w:szCs w:val="20"/>
          <w:color w:val="auto"/>
        </w:rPr>
      </w:pPr>
    </w:p>
    <w:p>
      <w:pPr>
        <w:ind w:left="640" w:hanging="632"/>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2024</w:t>
      </w: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/s/</w:t>
        <w:tab/>
        <w:t>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27774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Christopher R. Cage</w:t>
      </w:r>
    </w:p>
    <w:p>
      <w:pPr>
        <w:spacing w:after="0" w:line="42"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52" w:right="339" w:bottom="1440" w:gutter="0" w:footer="0" w:header="0"/>
        </w:sectPr>
      </w:pPr>
    </w:p>
    <w:bookmarkStart w:id="233" w:name="page234"/>
    <w:bookmarkEnd w:id="233"/>
    <w:p>
      <w:pPr>
        <w:ind w:left="9380"/>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LEIDOS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RESTATEMENT COMPENSATION CLAWBACK POLICY</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Leidos Holdings, Inc. Financial Restatement Compensation Clawback Policy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Human Resources and</w:t>
      </w:r>
    </w:p>
    <w:p>
      <w:pPr>
        <w:spacing w:after="0" w:line="6"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Compensation Committee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Leidos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October 26, 2023. This Policy provides for the clawback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requirements of Section 10D of the Exchange Act (as defined below) and Section 303A.14 of the NYSE Listed Company Manual.</w:t>
      </w:r>
    </w:p>
    <w:p>
      <w:pPr>
        <w:spacing w:after="0" w:line="192" w:lineRule="exact"/>
        <w:rPr>
          <w:sz w:val="20"/>
          <w:szCs w:val="20"/>
          <w:color w:val="auto"/>
        </w:rPr>
      </w:pPr>
    </w:p>
    <w:p>
      <w:pPr>
        <w:ind w:right="40" w:firstLine="332"/>
        <w:spacing w:after="0" w:line="231" w:lineRule="auto"/>
        <w:tabs>
          <w:tab w:leader="none" w:pos="64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 Capitalized terms used but not defined in this Policy shall have the meanings set forth in the Leidos Holdings, Inc. Amended and Restated 2017 Omnibus Incentive Plan (as may be amended from time to time).</w:t>
      </w:r>
    </w:p>
    <w:p>
      <w:pPr>
        <w:spacing w:after="0" w:line="208" w:lineRule="exact"/>
        <w:rPr>
          <w:rFonts w:ascii="Times New Roman" w:cs="Times New Roman" w:eastAsia="Times New Roman" w:hAnsi="Times New Roman"/>
          <w:sz w:val="18"/>
          <w:szCs w:val="18"/>
          <w:color w:val="auto"/>
        </w:rPr>
      </w:pPr>
    </w:p>
    <w:p>
      <w:pPr>
        <w:ind w:right="440" w:firstLine="656"/>
        <w:spacing w:after="0" w:line="232" w:lineRule="auto"/>
        <w:tabs>
          <w:tab w:leader="none" w:pos="129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Human Resources and Compensation Committee of the Board. If there is no Human Resources and Compensation Committee of the Board,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96" w:lineRule="exact"/>
        <w:rPr>
          <w:rFonts w:ascii="Times New Roman" w:cs="Times New Roman" w:eastAsia="Times New Roman" w:hAnsi="Times New Roman"/>
          <w:sz w:val="18"/>
          <w:szCs w:val="18"/>
          <w:color w:val="auto"/>
        </w:rPr>
      </w:pPr>
    </w:p>
    <w:p>
      <w:pPr>
        <w:ind w:right="740" w:firstLine="656"/>
        <w:spacing w:after="0" w:line="239" w:lineRule="auto"/>
        <w:tabs>
          <w:tab w:leader="none" w:pos="129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Clawback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8" w:lineRule="exact"/>
        <w:rPr>
          <w:sz w:val="20"/>
          <w:szCs w:val="20"/>
          <w:color w:val="auto"/>
        </w:rPr>
      </w:pPr>
    </w:p>
    <w:p>
      <w:pPr>
        <w:ind w:left="840"/>
        <w:spacing w:after="0"/>
        <w:tabs>
          <w:tab w:leader="none" w:pos="8800" w:val="left"/>
        </w:tabs>
        <w:rPr>
          <w:sz w:val="20"/>
          <w:szCs w:val="20"/>
          <w:color w:val="auto"/>
        </w:rPr>
      </w:pPr>
      <w:r>
        <w:rPr>
          <w:rFonts w:ascii="Times New Roman" w:cs="Times New Roman" w:eastAsia="Times New Roman" w:hAnsi="Times New Roman"/>
          <w:sz w:val="18"/>
          <w:szCs w:val="18"/>
          <w:color w:val="auto"/>
        </w:rPr>
        <w:t>(i) such Covered Compensation was received by such Covered Executive (A) on or after the Effective Date,</w:t>
      </w:r>
      <w:r>
        <w:rPr>
          <w:sz w:val="20"/>
          <w:szCs w:val="20"/>
          <w:color w:val="auto"/>
        </w:rPr>
        <w:tab/>
      </w:r>
      <w:r>
        <w:rPr>
          <w:rFonts w:ascii="Times New Roman" w:cs="Times New Roman" w:eastAsia="Times New Roman" w:hAnsi="Times New Roman"/>
          <w:sz w:val="17"/>
          <w:szCs w:val="17"/>
          <w:color w:val="auto"/>
        </w:rPr>
        <w:t>(B) after he or she commenced</w:t>
      </w:r>
    </w:p>
    <w:p>
      <w:pPr>
        <w:spacing w:after="0" w:line="2" w:lineRule="exact"/>
        <w:rPr>
          <w:sz w:val="20"/>
          <w:szCs w:val="20"/>
          <w:color w:val="auto"/>
        </w:rPr>
      </w:pPr>
    </w:p>
    <w:p>
      <w:pPr>
        <w:ind w:left="660" w:right="580"/>
        <w:spacing w:after="0" w:line="226" w:lineRule="auto"/>
        <w:rPr>
          <w:sz w:val="20"/>
          <w:szCs w:val="20"/>
          <w:color w:val="auto"/>
        </w:rPr>
      </w:pPr>
      <w:r>
        <w:rPr>
          <w:rFonts w:ascii="Times New Roman" w:cs="Times New Roman" w:eastAsia="Times New Roman" w:hAnsi="Times New Roman"/>
          <w:sz w:val="18"/>
          <w:szCs w:val="18"/>
          <w:color w:val="auto"/>
        </w:rPr>
        <w:t>service as an Executive Officer and (C) while the Company had a class of securities publicly listed on a United States national securities exchange; and</w:t>
      </w:r>
    </w:p>
    <w:p>
      <w:pPr>
        <w:spacing w:after="0" w:line="130" w:lineRule="exact"/>
        <w:rPr>
          <w:sz w:val="20"/>
          <w:szCs w:val="20"/>
          <w:color w:val="auto"/>
        </w:rPr>
      </w:pPr>
    </w:p>
    <w:p>
      <w:pPr>
        <w:ind w:left="660" w:right="360" w:firstLine="180"/>
        <w:spacing w:after="0" w:line="237" w:lineRule="auto"/>
        <w:rPr>
          <w:sz w:val="20"/>
          <w:szCs w:val="20"/>
          <w:color w:val="auto"/>
        </w:rPr>
      </w:pPr>
      <w:r>
        <w:rPr>
          <w:rFonts w:ascii="Times New Roman" w:cs="Times New Roman" w:eastAsia="Times New Roman" w:hAnsi="Times New Roman"/>
          <w:sz w:val="18"/>
          <w:szCs w:val="18"/>
          <w:color w:val="auto"/>
        </w:rPr>
        <w:t>(ii) such Covered Executive served as an Executive Officer at any time during the performance period in respect of such Incentive-based Compensation.</w:t>
      </w:r>
    </w:p>
    <w:p>
      <w:pPr>
        <w:spacing w:after="0" w:line="181"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For purposes of this Policy, Incentive-based</w:t>
        <w:tab/>
        <w:t>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w:t>
      </w:r>
    </w:p>
    <w:p>
      <w:pPr>
        <w:spacing w:after="0" w:line="6"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Reporting Measure applicable to such Incentive-based Compensation (or portion thereof) is attained, even if the payment or grant of such Incentive-based Compensation occurs thereafter.</w:t>
      </w:r>
    </w:p>
    <w:p>
      <w:pPr>
        <w:spacing w:after="0" w:line="180" w:lineRule="exact"/>
        <w:rPr>
          <w:sz w:val="20"/>
          <w:szCs w:val="20"/>
          <w:color w:val="auto"/>
        </w:rPr>
      </w:pPr>
    </w:p>
    <w:p>
      <w:pPr>
        <w:ind w:right="40" w:firstLine="656"/>
        <w:spacing w:after="0" w:line="255" w:lineRule="auto"/>
        <w:tabs>
          <w:tab w:leader="none" w:pos="129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 and (ii) any other employee of the Company and its subsidiaries designated by the Committee as subject to this Policy from time to time.</w:t>
      </w:r>
    </w:p>
    <w:p>
      <w:pPr>
        <w:spacing w:after="0" w:line="167" w:lineRule="exact"/>
        <w:rPr>
          <w:rFonts w:ascii="Times New Roman" w:cs="Times New Roman" w:eastAsia="Times New Roman" w:hAnsi="Times New Roman"/>
          <w:sz w:val="18"/>
          <w:szCs w:val="18"/>
          <w:color w:val="auto"/>
        </w:rPr>
      </w:pPr>
    </w:p>
    <w:p>
      <w:pPr>
        <w:ind w:right="540" w:firstLine="656"/>
        <w:spacing w:after="0" w:line="239" w:lineRule="auto"/>
        <w:tabs>
          <w:tab w:leader="none" w:pos="12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Section 303A.14 of the NYSE Listed Company Manual, or such other listing standards implementing Section 10D of the Exchange Act of the national securities exchange on which the Company’s securities are listed become effective.</w:t>
      </w:r>
    </w:p>
    <w:p>
      <w:pPr>
        <w:spacing w:after="0" w:line="1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11" w:lineRule="exact"/>
        <w:rPr>
          <w:rFonts w:ascii="Times New Roman" w:cs="Times New Roman" w:eastAsia="Times New Roman" w:hAnsi="Times New Roman"/>
          <w:sz w:val="18"/>
          <w:szCs w:val="18"/>
          <w:color w:val="auto"/>
        </w:rPr>
      </w:pPr>
    </w:p>
    <w:p>
      <w:pPr>
        <w:ind w:right="100" w:firstLine="656"/>
        <w:spacing w:after="0" w:line="221" w:lineRule="auto"/>
        <w:tabs>
          <w:tab w:leader="none" w:pos="128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w:t>
      </w:r>
    </w:p>
    <w:p>
      <w:pPr>
        <w:spacing w:after="0" w:line="194" w:lineRule="exact"/>
        <w:rPr>
          <w:rFonts w:ascii="Times New Roman" w:cs="Times New Roman" w:eastAsia="Times New Roman" w:hAnsi="Times New Roman"/>
          <w:sz w:val="18"/>
          <w:szCs w:val="18"/>
          <w:color w:val="auto"/>
        </w:rPr>
      </w:pPr>
    </w:p>
    <w:p>
      <w:pPr>
        <w:ind w:right="60" w:firstLine="656"/>
        <w:spacing w:after="0" w:line="225" w:lineRule="auto"/>
        <w:tabs>
          <w:tab w:leader="none" w:pos="12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 Financial Reporting Measure does not need to be presented within the Company’s financial statements or included in a filing with the U.S. Securities and Exchange Commission.</w:t>
      </w:r>
    </w:p>
    <w:p>
      <w:pPr>
        <w:spacing w:after="0" w:line="182" w:lineRule="exact"/>
        <w:rPr>
          <w:rFonts w:ascii="Times New Roman" w:cs="Times New Roman" w:eastAsia="Times New Roman" w:hAnsi="Times New Roman"/>
          <w:sz w:val="18"/>
          <w:szCs w:val="18"/>
          <w:color w:val="auto"/>
        </w:rPr>
      </w:pPr>
    </w:p>
    <w:p>
      <w:pPr>
        <w:ind w:firstLine="656"/>
        <w:spacing w:after="0" w:line="239" w:lineRule="auto"/>
        <w:tabs>
          <w:tab w:leader="none" w:pos="129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material noncompliance of the Company with any financial reporting requirement under U.S. federal securities laws that is required in order to correct:</w:t>
      </w:r>
    </w:p>
    <w:p>
      <w:pPr>
        <w:sectPr>
          <w:pgSz w:w="11900" w:h="16838" w:orient="portrait"/>
          <w:cols w:equalWidth="0" w:num="1">
            <w:col w:w="11220"/>
          </w:cols>
          <w:pgMar w:left="320" w:top="288" w:right="359" w:bottom="1440" w:gutter="0" w:footer="0" w:header="0"/>
        </w:sectPr>
      </w:pPr>
    </w:p>
    <w:bookmarkStart w:id="234" w:name="page235"/>
    <w:bookmarkEnd w:id="234"/>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(i)</w:t>
        <w:tab/>
        <w:t>an error in previously issued financial statements that is material to the previously issued financial statements; or</w:t>
      </w:r>
    </w:p>
    <w:p>
      <w:pPr>
        <w:ind w:left="980" w:right="40"/>
        <w:spacing w:after="0" w:line="233" w:lineRule="auto"/>
        <w:rPr>
          <w:sz w:val="20"/>
          <w:szCs w:val="20"/>
          <w:color w:val="auto"/>
        </w:rPr>
      </w:pPr>
      <w:r>
        <w:rPr>
          <w:rFonts w:ascii="Times New Roman" w:cs="Times New Roman" w:eastAsia="Times New Roman" w:hAnsi="Times New Roman"/>
          <w:sz w:val="18"/>
          <w:szCs w:val="18"/>
          <w:color w:val="auto"/>
        </w:rPr>
        <w:t>(ii) an error that would result in a material misstatement if the error were (A) corrected in the current period or (B) left uncorrected in the current period.</w:t>
      </w:r>
    </w:p>
    <w:p>
      <w:pPr>
        <w:spacing w:after="0" w:line="18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w:t>
      </w:r>
    </w:p>
    <w:p>
      <w:pPr>
        <w:ind w:right="80"/>
        <w:spacing w:after="0" w:line="218" w:lineRule="auto"/>
        <w:rPr>
          <w:sz w:val="20"/>
          <w:szCs w:val="20"/>
          <w:color w:val="auto"/>
        </w:rPr>
      </w:pPr>
      <w:r>
        <w:rPr>
          <w:rFonts w:ascii="Times New Roman" w:cs="Times New Roman" w:eastAsia="Times New Roman" w:hAnsi="Times New Roman"/>
          <w:sz w:val="18"/>
          <w:szCs w:val="18"/>
          <w:color w:val="auto"/>
        </w:rPr>
        <w:t>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95" w:lineRule="exact"/>
        <w:rPr>
          <w:sz w:val="20"/>
          <w:szCs w:val="20"/>
          <w:color w:val="auto"/>
        </w:rPr>
      </w:pPr>
    </w:p>
    <w:p>
      <w:pPr>
        <w:ind w:right="40" w:firstLine="656"/>
        <w:spacing w:after="0" w:line="225" w:lineRule="auto"/>
        <w:tabs>
          <w:tab w:leader="none" w:pos="129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 Preparation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spacing w:after="0" w:line="209" w:lineRule="exact"/>
        <w:rPr>
          <w:rFonts w:ascii="Times New Roman" w:cs="Times New Roman" w:eastAsia="Times New Roman" w:hAnsi="Times New Roman"/>
          <w:sz w:val="18"/>
          <w:szCs w:val="18"/>
          <w:color w:val="auto"/>
        </w:rPr>
      </w:pPr>
    </w:p>
    <w:p>
      <w:pPr>
        <w:ind w:right="200" w:firstLine="656"/>
        <w:spacing w:after="0" w:line="215" w:lineRule="auto"/>
        <w:tabs>
          <w:tab w:leader="none" w:pos="129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spacing w:after="0" w:line="4" w:lineRule="exact"/>
        <w:rPr>
          <w:rFonts w:ascii="Times New Roman" w:cs="Times New Roman" w:eastAsia="Times New Roman" w:hAnsi="Times New Roman"/>
          <w:sz w:val="18"/>
          <w:szCs w:val="18"/>
          <w:color w:val="auto"/>
        </w:rPr>
      </w:pPr>
    </w:p>
    <w:p>
      <w:pPr>
        <w:ind w:left="1300" w:hanging="644"/>
        <w:spacing w:after="0" w:line="203" w:lineRule="auto"/>
        <w:tabs>
          <w:tab w:leader="none" w:pos="1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xml:space="preserve"> means the New York Stock Exchange, or any successor thereof.</w:t>
      </w:r>
    </w:p>
    <w:p>
      <w:pPr>
        <w:ind w:right="300" w:firstLine="656"/>
        <w:spacing w:after="0" w:line="215" w:lineRule="auto"/>
        <w:tabs>
          <w:tab w:leader="none" w:pos="128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Clawback Period</w:t>
      </w:r>
      <w:r>
        <w:rPr>
          <w:rFonts w:ascii="Times New Roman" w:cs="Times New Roman" w:eastAsia="Times New Roman" w:hAnsi="Times New Roman"/>
          <w:sz w:val="18"/>
          <w:szCs w:val="18"/>
          <w:color w:val="auto"/>
        </w:rPr>
        <w:t xml:space="preserve">” means the three fiscal years completed immediately preceding the date of any applicable Financial Restatement Preparation Date. Notwithstanding the foregoing, the Clawback Period additionally includes any transition period (that results from a change in the Company’s fiscal year) within or immediately following those three completed fiscal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transition period between the last day of the Company’s previous fiscal year end and the first day of its new fiscal year that comprises a period of nine (9) to twelve (12) months would be deemed a completed fiscal year.</w:t>
      </w:r>
    </w:p>
    <w:p>
      <w:pPr>
        <w:spacing w:after="0" w:line="2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of Erroneously Awarded Compensation</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ind w:right="260" w:firstLine="656"/>
        <w:spacing w:after="0" w:line="215" w:lineRule="auto"/>
        <w:tabs>
          <w:tab w:leader="none" w:pos="129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(such excess amount, the “</w:t>
      </w:r>
      <w:r>
        <w:rPr>
          <w:rFonts w:ascii="Times New Roman" w:cs="Times New Roman" w:eastAsia="Times New Roman" w:hAnsi="Times New Roman"/>
          <w:sz w:val="18"/>
          <w:szCs w:val="18"/>
          <w:b w:val="1"/>
          <w:bCs w:val="1"/>
          <w:color w:val="auto"/>
        </w:rPr>
        <w:t>Erroneously 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subject to Section (2)(b) hereof.</w:t>
      </w:r>
    </w:p>
    <w:p>
      <w:pPr>
        <w:spacing w:after="0" w:line="1" w:lineRule="exact"/>
        <w:rPr>
          <w:rFonts w:ascii="Times New Roman" w:cs="Times New Roman" w:eastAsia="Times New Roman" w:hAnsi="Times New Roman"/>
          <w:sz w:val="18"/>
          <w:szCs w:val="18"/>
          <w:color w:val="auto"/>
        </w:rPr>
      </w:pPr>
    </w:p>
    <w:p>
      <w:pPr>
        <w:ind w:right="40" w:firstLine="656"/>
        <w:spacing w:after="0" w:line="206" w:lineRule="auto"/>
        <w:tabs>
          <w:tab w:leader="none" w:pos="129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Financial Reporting Measure applicable to the relevant Covered Compensation is a stock price or total shareholder return measure (or any measure derived wholly or in part from either such measures), if the amount of such Erroneously Awarded Compensation is not subject to mathematical recalculation directly from the information in the Financial Restatement, then the amount of the Erroneously Awarded Compensation shall be determined based on the Company’s reasonable estimate of the effect of the Financial Restatement on the Company’s stock price or total shareholder return (or the derivative measure thereof) upon which such Covered Compensation was received.</w:t>
      </w:r>
    </w:p>
    <w:p>
      <w:pPr>
        <w:spacing w:after="0" w:line="2" w:lineRule="exact"/>
        <w:rPr>
          <w:rFonts w:ascii="Times New Roman" w:cs="Times New Roman" w:eastAsia="Times New Roman" w:hAnsi="Times New Roman"/>
          <w:sz w:val="18"/>
          <w:szCs w:val="18"/>
          <w:color w:val="auto"/>
        </w:rPr>
      </w:pPr>
    </w:p>
    <w:p>
      <w:pPr>
        <w:ind w:left="1300" w:hanging="644"/>
        <w:spacing w:after="0" w:line="203" w:lineRule="auto"/>
        <w:tabs>
          <w:tab w:leader="none" w:pos="130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Erroneously Awarded Compensation shall be calculated on a pre-tax basis.</w:t>
      </w:r>
    </w:p>
    <w:p>
      <w:pPr>
        <w:ind w:right="140" w:firstLine="656"/>
        <w:spacing w:after="0" w:line="233" w:lineRule="auto"/>
        <w:tabs>
          <w:tab w:leader="none" w:pos="129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 (i) if or when the restated financial statements are filed; or (ii) any fault of the Covered Executive for the accounting errors leading to a restatement.</w:t>
      </w:r>
    </w:p>
    <w:p>
      <w:pPr>
        <w:spacing w:after="0" w:line="376" w:lineRule="exact"/>
        <w:rPr>
          <w:sz w:val="20"/>
          <w:szCs w:val="20"/>
          <w:color w:val="auto"/>
        </w:rPr>
      </w:pPr>
    </w:p>
    <w:p>
      <w:pPr>
        <w:ind w:left="6000" w:hanging="826"/>
        <w:spacing w:after="0"/>
        <w:tabs>
          <w:tab w:leader="none" w:pos="6000" w:val="left"/>
        </w:tabs>
        <w:numPr>
          <w:ilvl w:val="0"/>
          <w:numId w:val="176"/>
        </w:numPr>
        <w:rPr>
          <w:rFonts w:ascii="Arial" w:cs="Arial" w:eastAsia="Arial" w:hAnsi="Arial"/>
          <w:sz w:val="14"/>
          <w:szCs w:val="14"/>
          <w:color w:val="auto"/>
        </w:rPr>
      </w:pPr>
      <w:r>
        <w:rPr>
          <w:rFonts w:ascii="Times New Roman" w:cs="Times New Roman" w:eastAsia="Times New Roman" w:hAnsi="Times New Roman"/>
          <w:sz w:val="40"/>
          <w:szCs w:val="40"/>
          <w:color w:val="auto"/>
          <w:vertAlign w:val="subscript"/>
        </w:rPr>
        <w:t>2</w:t>
      </w:r>
    </w:p>
    <w:p>
      <w:pPr>
        <w:sectPr>
          <w:pgSz w:w="11900" w:h="16838" w:orient="portrait"/>
          <w:cols w:equalWidth="0" w:num="1">
            <w:col w:w="11240"/>
          </w:cols>
          <w:pgMar w:left="320" w:top="1392" w:right="339" w:bottom="1440" w:gutter="0" w:footer="0" w:header="0"/>
        </w:sectPr>
      </w:pPr>
    </w:p>
    <w:bookmarkStart w:id="235" w:name="page236"/>
    <w:bookmarkEnd w:id="235"/>
    <w:p>
      <w:pPr>
        <w:ind w:left="-413" w:right="200" w:firstLine="656"/>
        <w:spacing w:after="0" w:line="224" w:lineRule="auto"/>
        <w:tabs>
          <w:tab w:leader="none" w:pos="880"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(d) hereof, the Company shall not be required to recover any Erroneously Awarded Compensation in the event that (x) the conditions set forth in either of clause (i) or (ii) are satisfied and (y) the Committee (or a majority of the independent directors serving on the Board) has made a determination that recovery of the Erroneously Awarded Compensation would be impracticable:</w:t>
      </w:r>
    </w:p>
    <w:p>
      <w:pPr>
        <w:spacing w:after="0" w:line="185" w:lineRule="exact"/>
        <w:rPr>
          <w:rFonts w:ascii="Times New Roman" w:cs="Times New Roman" w:eastAsia="Times New Roman" w:hAnsi="Times New Roman"/>
          <w:sz w:val="18"/>
          <w:szCs w:val="18"/>
          <w:color w:val="auto"/>
        </w:rPr>
      </w:pPr>
    </w:p>
    <w:p>
      <w:pPr>
        <w:ind w:left="247" w:firstLine="968"/>
        <w:spacing w:after="0" w:line="223" w:lineRule="auto"/>
        <w:tabs>
          <w:tab w:leader="none" w:pos="1537"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2(e), the Company shall have first made a reasonable attempt to recover such Erroneously Awarded Compensation, document such reasonable attempt(s) to make such recovery, and provide that documentation to the NYSE; or</w:t>
      </w:r>
    </w:p>
    <w:p>
      <w:pPr>
        <w:spacing w:after="0" w:line="185" w:lineRule="exact"/>
        <w:rPr>
          <w:rFonts w:ascii="Times New Roman" w:cs="Times New Roman" w:eastAsia="Times New Roman" w:hAnsi="Times New Roman"/>
          <w:sz w:val="18"/>
          <w:szCs w:val="18"/>
          <w:color w:val="auto"/>
        </w:rPr>
      </w:pPr>
    </w:p>
    <w:p>
      <w:pPr>
        <w:jc w:val="both"/>
        <w:ind w:left="247" w:right="60" w:firstLine="968"/>
        <w:spacing w:after="0" w:line="231" w:lineRule="auto"/>
        <w:tabs>
          <w:tab w:leader="none" w:pos="1533"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333" w:right="40" w:firstLine="414"/>
        <w:spacing w:after="0" w:line="231" w:lineRule="auto"/>
        <w:tabs>
          <w:tab w:leader="none" w:pos="889"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85" w:lineRule="exact"/>
        <w:rPr>
          <w:rFonts w:ascii="Times New Roman" w:cs="Times New Roman" w:eastAsia="Times New Roman" w:hAnsi="Times New Roman"/>
          <w:sz w:val="18"/>
          <w:szCs w:val="18"/>
          <w:color w:val="auto"/>
        </w:rPr>
      </w:pPr>
    </w:p>
    <w:p>
      <w:pPr>
        <w:ind w:left="-333" w:right="80" w:firstLine="414"/>
        <w:spacing w:after="0" w:line="216" w:lineRule="auto"/>
        <w:tabs>
          <w:tab w:leader="none" w:pos="89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2(e),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Code) shall be made in compliance with Section 409A of the Code.</w:t>
      </w:r>
    </w:p>
    <w:p>
      <w:pPr>
        <w:spacing w:after="0" w:line="186" w:lineRule="exact"/>
        <w:rPr>
          <w:rFonts w:ascii="Times New Roman" w:cs="Times New Roman" w:eastAsia="Times New Roman" w:hAnsi="Times New Roman"/>
          <w:sz w:val="18"/>
          <w:szCs w:val="18"/>
          <w:color w:val="auto"/>
        </w:rPr>
      </w:pPr>
    </w:p>
    <w:p>
      <w:pPr>
        <w:ind w:left="-413" w:right="80" w:firstLine="413"/>
        <w:spacing w:after="0" w:line="217" w:lineRule="auto"/>
        <w:tabs>
          <w:tab w:leader="none" w:pos="3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all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303A.14 of the NYSE Listed Company Manual, the Board may, in its sole discretion, at any time and from time to time, administer this Policy.</w:t>
      </w:r>
    </w:p>
    <w:p>
      <w:pPr>
        <w:spacing w:after="0" w:line="188" w:lineRule="exact"/>
        <w:rPr>
          <w:rFonts w:ascii="Times New Roman" w:cs="Times New Roman" w:eastAsia="Times New Roman" w:hAnsi="Times New Roman"/>
          <w:sz w:val="18"/>
          <w:szCs w:val="18"/>
          <w:color w:val="auto"/>
        </w:rPr>
      </w:pPr>
    </w:p>
    <w:p>
      <w:pPr>
        <w:ind w:left="-413" w:right="20" w:firstLine="413"/>
        <w:spacing w:after="0" w:line="220" w:lineRule="auto"/>
        <w:tabs>
          <w:tab w:leader="none" w:pos="3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Section 303A.14 of the NYSE Listed Company Manual,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84" w:lineRule="exact"/>
        <w:rPr>
          <w:rFonts w:ascii="Times New Roman" w:cs="Times New Roman" w:eastAsia="Times New Roman" w:hAnsi="Times New Roman"/>
          <w:sz w:val="18"/>
          <w:szCs w:val="18"/>
          <w:color w:val="auto"/>
        </w:rPr>
      </w:pPr>
    </w:p>
    <w:p>
      <w:pPr>
        <w:ind w:left="-413" w:right="160" w:firstLine="413"/>
        <w:spacing w:after="0" w:line="220" w:lineRule="auto"/>
        <w:tabs>
          <w:tab w:leader="none" w:pos="3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Section 303A.14 of the NYSE Listed Company Manual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7" w:hanging="826"/>
        <w:spacing w:after="0"/>
        <w:tabs>
          <w:tab w:leader="none" w:pos="5587" w:val="left"/>
        </w:tabs>
        <w:numPr>
          <w:ilvl w:val="0"/>
          <w:numId w:val="180"/>
        </w:numPr>
        <w:rPr>
          <w:rFonts w:ascii="Arial" w:cs="Arial" w:eastAsia="Arial" w:hAnsi="Arial"/>
          <w:sz w:val="14"/>
          <w:szCs w:val="14"/>
          <w:color w:val="auto"/>
        </w:rPr>
      </w:pPr>
      <w:r>
        <w:rPr>
          <w:rFonts w:ascii="Times New Roman" w:cs="Times New Roman" w:eastAsia="Times New Roman" w:hAnsi="Times New Roman"/>
          <w:sz w:val="40"/>
          <w:szCs w:val="40"/>
          <w:color w:val="auto"/>
          <w:vertAlign w:val="subscript"/>
        </w:rPr>
        <w:t>3</w:t>
      </w:r>
    </w:p>
    <w:p>
      <w:pPr>
        <w:sectPr>
          <w:pgSz w:w="11900" w:h="16838" w:orient="portrait"/>
          <w:cols w:equalWidth="0" w:num="1">
            <w:col w:w="10807"/>
          </w:cols>
          <w:pgMar w:left="733" w:top="1404" w:right="359" w:bottom="1440" w:gutter="0" w:footer="0" w:header="0"/>
        </w:sectPr>
      </w:pPr>
    </w:p>
    <w:bookmarkStart w:id="236" w:name="page237"/>
    <w:bookmarkEnd w:id="236"/>
    <w:p>
      <w:pPr>
        <w:ind w:left="-332" w:right="20" w:firstLine="413"/>
        <w:spacing w:after="0" w:line="220" w:lineRule="auto"/>
        <w:tabs>
          <w:tab w:leader="none" w:pos="39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Clawback/Clawback Rights</w:t>
      </w:r>
      <w:r>
        <w:rPr>
          <w:rFonts w:ascii="Times New Roman" w:cs="Times New Roman" w:eastAsia="Times New Roman" w:hAnsi="Times New Roman"/>
          <w:sz w:val="18"/>
          <w:szCs w:val="18"/>
          <w:color w:val="auto"/>
        </w:rPr>
        <w:t xml:space="preserve">. Any right of clawback under this Policy is in addition to, and not in lieu of, any other remedies, rights, or requirements with respect to the clawback or clawback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shall count toward any required clawback or clawback under this Policy and vice versa.</w:t>
      </w:r>
    </w:p>
    <w:p>
      <w:pPr>
        <w:spacing w:after="0" w:line="198" w:lineRule="exact"/>
        <w:rPr>
          <w:rFonts w:ascii="Times New Roman" w:cs="Times New Roman" w:eastAsia="Times New Roman" w:hAnsi="Times New Roman"/>
          <w:sz w:val="18"/>
          <w:szCs w:val="18"/>
          <w:color w:val="auto"/>
        </w:rPr>
      </w:pPr>
    </w:p>
    <w:p>
      <w:pPr>
        <w:ind w:left="-332" w:right="80" w:firstLine="413"/>
        <w:spacing w:after="0" w:line="211" w:lineRule="auto"/>
        <w:tabs>
          <w:tab w:leader="none" w:pos="44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Compensation</w:t>
      </w:r>
      <w:r>
        <w:rPr>
          <w:rFonts w:ascii="Times New Roman" w:cs="Times New Roman" w:eastAsia="Times New Roman" w:hAnsi="Times New Roman"/>
          <w:sz w:val="18"/>
          <w:szCs w:val="18"/>
          <w:color w:val="auto"/>
        </w:rPr>
        <w:t xml:space="preserve">. Notwithstanding anything to the contrary herein, the Company has no obligation to seek clawback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amounts are in no way contingent on the achievement of any Financial Reporting Measure.</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18"/>
          <w:szCs w:val="18"/>
          <w:color w:val="auto"/>
        </w:rPr>
      </w:pPr>
    </w:p>
    <w:p>
      <w:pPr>
        <w:ind w:left="-332" w:right="60" w:firstLine="737"/>
        <w:spacing w:after="0" w:line="224" w:lineRule="auto"/>
        <w:tabs>
          <w:tab w:leader="none" w:pos="1042"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spacing w:after="0" w:line="185" w:lineRule="exact"/>
        <w:rPr>
          <w:rFonts w:ascii="Times New Roman" w:cs="Times New Roman" w:eastAsia="Times New Roman" w:hAnsi="Times New Roman"/>
          <w:sz w:val="18"/>
          <w:szCs w:val="18"/>
          <w:color w:val="auto"/>
        </w:rPr>
      </w:pPr>
    </w:p>
    <w:p>
      <w:pPr>
        <w:ind w:left="-332" w:right="160" w:firstLine="737"/>
        <w:spacing w:after="0" w:line="222" w:lineRule="auto"/>
        <w:tabs>
          <w:tab w:leader="none" w:pos="1039"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 w:lineRule="exact"/>
        <w:rPr>
          <w:rFonts w:ascii="Times New Roman" w:cs="Times New Roman" w:eastAsia="Times New Roman" w:hAnsi="Times New Roman"/>
          <w:sz w:val="18"/>
          <w:szCs w:val="18"/>
          <w:color w:val="auto"/>
        </w:rPr>
      </w:pPr>
    </w:p>
    <w:p>
      <w:pPr>
        <w:ind w:left="-332" w:right="20" w:firstLine="737"/>
        <w:spacing w:after="0" w:line="207" w:lineRule="auto"/>
        <w:tabs>
          <w:tab w:leader="none" w:pos="1042"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 w:lineRule="exact"/>
        <w:rPr>
          <w:rFonts w:ascii="Times New Roman" w:cs="Times New Roman" w:eastAsia="Times New Roman" w:hAnsi="Times New Roman"/>
          <w:sz w:val="18"/>
          <w:szCs w:val="18"/>
          <w:color w:val="auto"/>
        </w:rPr>
      </w:pPr>
    </w:p>
    <w:p>
      <w:pPr>
        <w:ind w:left="-332" w:firstLine="737"/>
        <w:spacing w:after="0" w:line="208" w:lineRule="auto"/>
        <w:tabs>
          <w:tab w:leader="none" w:pos="1039"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within the Commonwealth of Virginia shall be the sole and exclusive forums for any and all disputes, claims, or causes of action arising from or relating to the enforcement, performance or interpretation of this Policy. The Covered Executives, their beneficiaries, executors, administrators, and any other legal representative and the Company, shall not commence any suit, action or other proceeding arising out of or based upon this Agreement except in the United States District Court for the Eastern District of Virginia or any Virginia court,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The Covered Executives, their beneficiaries, executors, administrators, and any other legal representative, and the Company, shall waive the right to resolve any such dispute through a trial by jury.</w:t>
      </w:r>
    </w:p>
    <w:p>
      <w:pPr>
        <w:spacing w:after="0" w:line="7" w:lineRule="exact"/>
        <w:rPr>
          <w:rFonts w:ascii="Times New Roman" w:cs="Times New Roman" w:eastAsia="Times New Roman" w:hAnsi="Times New Roman"/>
          <w:sz w:val="18"/>
          <w:szCs w:val="18"/>
          <w:color w:val="auto"/>
        </w:rPr>
      </w:pPr>
    </w:p>
    <w:p>
      <w:pPr>
        <w:ind w:left="-332" w:right="160" w:firstLine="737"/>
        <w:spacing w:after="0" w:line="234" w:lineRule="auto"/>
        <w:tabs>
          <w:tab w:leader="none" w:pos="1042"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68" w:hanging="826"/>
        <w:spacing w:after="0"/>
        <w:tabs>
          <w:tab w:leader="none" w:pos="5668" w:val="left"/>
        </w:tabs>
        <w:numPr>
          <w:ilvl w:val="0"/>
          <w:numId w:val="183"/>
        </w:numPr>
        <w:rPr>
          <w:rFonts w:ascii="Arial" w:cs="Arial" w:eastAsia="Arial" w:hAnsi="Arial"/>
          <w:sz w:val="29"/>
          <w:szCs w:val="29"/>
          <w:color w:val="auto"/>
          <w:vertAlign w:val="superscript"/>
        </w:rPr>
      </w:pPr>
      <w:r>
        <w:rPr>
          <w:rFonts w:ascii="Times New Roman" w:cs="Times New Roman" w:eastAsia="Times New Roman" w:hAnsi="Times New Roman"/>
          <w:sz w:val="20"/>
          <w:szCs w:val="20"/>
          <w:color w:val="auto"/>
        </w:rPr>
        <w:t>4</w:t>
      </w:r>
    </w:p>
    <w:sectPr>
      <w:pgSz w:w="11900" w:h="16838" w:orient="portrait"/>
      <w:cols w:equalWidth="0" w:num="1">
        <w:col w:w="10868"/>
      </w:cols>
      <w:pgMar w:left="652"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1)"/>
      <w:numFmt w:val="lowerRoman"/>
      <w:start w:val="1"/>
    </w:lvl>
  </w:abstractNum>
  <w:abstractNum w:abstractNumId="24">
    <w:nsid w:val="6A3DD3E8"/>
    <w:multiLevelType w:val="hybridMultilevel"/>
    <w:lvl w:ilvl="0">
      <w:lvlJc w:val="left"/>
      <w:lvlText w:val="(%1)"/>
      <w:numFmt w:val="decimal"/>
      <w:start w:val="1"/>
    </w:lvl>
  </w:abstractNum>
  <w:abstractNum w:abstractNumId="25">
    <w:nsid w:val="71C91298"/>
    <w:multiLevelType w:val="hybridMultilevel"/>
    <w:lvl w:ilvl="0">
      <w:lvlJc w:val="left"/>
      <w:lvlText w:val="(%1)"/>
      <w:numFmt w:val="decimal"/>
      <w:start w:val="2"/>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1)"/>
      <w:numFmt w:val="decimal"/>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lvl w:ilvl="1">
      <w:lvlJc w:val="left"/>
      <w:lvlText w:val="◦"/>
      <w:numFmt w:val="bullet"/>
      <w:start w:val="1"/>
    </w:lvl>
  </w:abstractNum>
  <w:abstractNum w:abstractNumId="31">
    <w:nsid w:val="59ADEA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288F1A34"/>
    <w:multiLevelType w:val="hybridMultilevel"/>
    <w:lvl w:ilvl="0">
      <w:lvlJc w:val="left"/>
      <w:lvlText w:val="(%1)"/>
      <w:numFmt w:val="decimal"/>
      <w:start w:val="1"/>
    </w:lvl>
  </w:abstractNum>
  <w:abstractNum w:abstractNumId="33">
    <w:nsid w:val="2A155DBC"/>
    <w:multiLevelType w:val="hybridMultilevel"/>
    <w:lvl w:ilvl="0">
      <w:lvlJc w:val="left"/>
      <w:lvlText w:val="(%1)"/>
      <w:numFmt w:val="decimal"/>
      <w:start w:val="1"/>
    </w:lvl>
  </w:abstractNum>
  <w:abstractNum w:abstractNumId="34">
    <w:nsid w:val="1D9F6E5F"/>
    <w:multiLevelType w:val="hybridMultilevel"/>
    <w:lvl w:ilvl="0">
      <w:lvlJc w:val="left"/>
      <w:lvlText w:val="(%1)"/>
      <w:numFmt w:val="decimal"/>
      <w:start w:val="1"/>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1)"/>
      <w:numFmt w:val="decimal"/>
      <w:start w:val="1"/>
    </w:lvl>
  </w:abstractNum>
  <w:abstractNum w:abstractNumId="37">
    <w:nsid w:val="1CA0C5FA"/>
    <w:multiLevelType w:val="hybridMultilevel"/>
    <w:lvl w:ilvl="0">
      <w:lvlJc w:val="left"/>
      <w:lvlText w:val="(%1)"/>
      <w:numFmt w:val="decimal"/>
      <w:start w:val="1"/>
    </w:lvl>
  </w:abstractNum>
  <w:abstractNum w:abstractNumId="38">
    <w:nsid w:val="53584BCB"/>
    <w:multiLevelType w:val="hybridMultilevel"/>
    <w:lvl w:ilvl="0">
      <w:lvlJc w:val="left"/>
      <w:lvlText w:val="%1"/>
      <w:numFmt w:val="upperLetter"/>
      <w:start w:val="35"/>
    </w:lvl>
  </w:abstractNum>
  <w:abstractNum w:abstractNumId="39">
    <w:nsid w:val="415E286C"/>
    <w:multiLevelType w:val="hybridMultilevel"/>
    <w:lvl w:ilvl="0">
      <w:lvlJc w:val="left"/>
      <w:lvlText w:val="(%1)"/>
      <w:numFmt w:val="decimal"/>
      <w:start w:val="1"/>
    </w:lvl>
  </w:abstractNum>
  <w:abstractNum w:abstractNumId="40">
    <w:nsid w:val="7C58FD05"/>
    <w:multiLevelType w:val="hybridMultilevel"/>
    <w:lvl w:ilvl="0">
      <w:lvlJc w:val="left"/>
      <w:lvlText w:val="(%1)"/>
      <w:numFmt w:val="lowerLetter"/>
      <w:start w:val="1"/>
    </w:lvl>
    <w:lvl w:ilvl="1">
      <w:lvlJc w:val="left"/>
      <w:lvlText w:val="%2."/>
      <w:numFmt w:val="decimal"/>
      <w:start w:val="1"/>
    </w:lvl>
  </w:abstractNum>
  <w:abstractNum w:abstractNumId="41">
    <w:nsid w:val="23D86AAC"/>
    <w:multiLevelType w:val="hybridMultilevel"/>
    <w:lvl w:ilvl="0">
      <w:lvlJc w:val="left"/>
      <w:lvlText w:val="%1"/>
      <w:numFmt w:val="decimal"/>
      <w:start w:val="21"/>
    </w:lvl>
  </w:abstractNum>
  <w:abstractNum w:abstractNumId="42">
    <w:nsid w:val="45E6D486"/>
    <w:multiLevelType w:val="hybridMultilevel"/>
    <w:lvl w:ilvl="0">
      <w:lvlJc w:val="left"/>
      <w:lvlText w:val="*"/>
      <w:numFmt w:val="bullet"/>
      <w:start w:val="1"/>
    </w:lvl>
    <w:lvl w:ilvl="1">
      <w:lvlJc w:val="left"/>
      <w:lvlText w:val="%2"/>
      <w:numFmt w:val="decimal"/>
      <w:start w:val="104"/>
    </w:lvl>
  </w:abstractNum>
  <w:abstractNum w:abstractNumId="43">
    <w:nsid w:val="5C10FE21"/>
    <w:multiLevelType w:val="hybridMultilevel"/>
    <w:lvl w:ilvl="0">
      <w:lvlJc w:val="left"/>
      <w:lvlText w:val="**"/>
      <w:numFmt w:val="bullet"/>
      <w:start w:val="1"/>
    </w:lvl>
    <w:lvl w:ilvl="1">
      <w:lvlJc w:val="left"/>
      <w:lvlText w:val="%2"/>
      <w:numFmt w:val="decimal"/>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1)"/>
      <w:numFmt w:val="lowerLetter"/>
      <w:start w:val="1"/>
    </w:lvl>
  </w:abstractNum>
  <w:abstractNum w:abstractNumId="46">
    <w:nsid w:val="4BD8591A"/>
    <w:multiLevelType w:val="hybridMultilevel"/>
    <w:lvl w:ilvl="0">
      <w:lvlJc w:val="left"/>
      <w:lvlText w:val="(%1)"/>
      <w:numFmt w:val="lowerLetter"/>
      <w:start w:val="1"/>
    </w:lvl>
  </w:abstractNum>
  <w:abstractNum w:abstractNumId="47">
    <w:nsid w:val="78DF6A55"/>
    <w:multiLevelType w:val="hybridMultilevel"/>
    <w:lvl w:ilvl="0">
      <w:lvlJc w:val="left"/>
      <w:lvlText w:val="(%1)"/>
      <w:numFmt w:val="lowerLetter"/>
      <w:start w:val="1"/>
    </w:lvl>
    <w:lvl w:ilvl="1">
      <w:lvlJc w:val="left"/>
      <w:lvlText w:val="(%2)"/>
      <w:numFmt w:val="lowerLetter"/>
      <w:start w:val="9"/>
    </w:lvl>
  </w:abstractNum>
  <w:abstractNum w:abstractNumId="48">
    <w:nsid w:val="39B7AAA2"/>
    <w:multiLevelType w:val="hybridMultilevel"/>
    <w:lvl w:ilvl="0">
      <w:lvlJc w:val="left"/>
      <w:lvlText w:val="%1"/>
      <w:numFmt w:val="lowerLetter"/>
      <w:start w:val="1"/>
    </w:lvl>
    <w:lvl w:ilvl="1">
      <w:lvlJc w:val="left"/>
      <w:lvlText w:val="(%2)"/>
      <w:numFmt w:val="lowerLetter"/>
      <w:start w:val="35"/>
    </w:lvl>
  </w:abstractNum>
  <w:abstractNum w:abstractNumId="49">
    <w:nsid w:val="2B0D8DBE"/>
    <w:multiLevelType w:val="hybridMultilevel"/>
    <w:lvl w:ilvl="0">
      <w:lvlJc w:val="left"/>
      <w:lvlText w:val="(%1)"/>
      <w:numFmt w:val="lowerLetter"/>
      <w:start w:val="2"/>
    </w:lvl>
    <w:lvl w:ilvl="1">
      <w:lvlJc w:val="left"/>
      <w:lvlText w:val="%2"/>
      <w:numFmt w:val="lowerLetter"/>
      <w:start w:val="1"/>
    </w:lvl>
  </w:abstractNum>
  <w:abstractNum w:abstractNumId="50">
    <w:nsid w:val="6C80EC70"/>
    <w:multiLevelType w:val="hybridMultilevel"/>
    <w:lvl w:ilvl="0">
      <w:lvlJc w:val="left"/>
      <w:lvlText w:val="(%1)"/>
      <w:numFmt w:val="lowerLetter"/>
      <w:start w:val="1"/>
    </w:lvl>
  </w:abstractNum>
  <w:abstractNum w:abstractNumId="51">
    <w:nsid w:val="379E21B5"/>
    <w:multiLevelType w:val="hybridMultilevel"/>
    <w:lvl w:ilvl="0">
      <w:lvlJc w:val="left"/>
      <w:lvlText w:val="(%1)"/>
      <w:numFmt w:val="upperLetter"/>
      <w:start w:val="3"/>
    </w:lvl>
  </w:abstractNum>
  <w:abstractNum w:abstractNumId="52">
    <w:nsid w:val="69E373"/>
    <w:multiLevelType w:val="hybridMultilevel"/>
    <w:lvl w:ilvl="0">
      <w:lvlJc w:val="left"/>
      <w:lvlText w:val="(%1)"/>
      <w:numFmt w:val="upperLetter"/>
      <w:start w:val="8"/>
    </w:lvl>
  </w:abstractNum>
  <w:abstractNum w:abstractNumId="53">
    <w:nsid w:val="2C27173B"/>
    <w:multiLevelType w:val="hybridMultilevel"/>
    <w:lvl w:ilvl="0">
      <w:lvlJc w:val="left"/>
      <w:lvlText w:val="(%1)"/>
      <w:numFmt w:val="lowerRoman"/>
      <w:start w:val="2"/>
    </w:lvl>
  </w:abstractNum>
  <w:abstractNum w:abstractNumId="54">
    <w:nsid w:val="4C9B0904"/>
    <w:multiLevelType w:val="hybridMultilevel"/>
    <w:lvl w:ilvl="0">
      <w:lvlJc w:val="left"/>
      <w:lvlText w:val="(%1)"/>
      <w:numFmt w:val="lowerLetter"/>
      <w:start w:val="3"/>
    </w:lvl>
    <w:lvl w:ilvl="1">
      <w:lvlJc w:val="left"/>
      <w:lvlText w:val="(%2)"/>
      <w:numFmt w:val="lowerLetter"/>
      <w:start w:val="9"/>
    </w:lvl>
  </w:abstractNum>
  <w:abstractNum w:abstractNumId="55">
    <w:nsid w:val="6AA7B75C"/>
    <w:multiLevelType w:val="hybridMultilevel"/>
    <w:lvl w:ilvl="0">
      <w:lvlJc w:val="left"/>
      <w:lvlText w:val="(%1)"/>
      <w:numFmt w:val="lowerRoman"/>
      <w:start w:val="2"/>
    </w:lvl>
    <w:lvl w:ilvl="1">
      <w:lvlJc w:val="left"/>
      <w:lvlText w:val="(%2)"/>
      <w:numFmt w:val="upperLetter"/>
      <w:start w:val="2"/>
    </w:lvl>
  </w:abstractNum>
  <w:abstractNum w:abstractNumId="56">
    <w:nsid w:val="1DF029D3"/>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57">
    <w:nsid w:val="5675FF36"/>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58">
    <w:nsid w:val="3DD15094"/>
    <w:multiLevelType w:val="hybridMultilevel"/>
    <w:lvl w:ilvl="0">
      <w:lvlJc w:val="left"/>
      <w:lvlText w:val="%1"/>
      <w:numFmt w:val="lowerRoman"/>
      <w:start w:val="1"/>
    </w:lvl>
    <w:lvl w:ilvl="1">
      <w:lvlJc w:val="left"/>
      <w:lvlText w:val="(%2)"/>
      <w:numFmt w:val="upperLetter"/>
      <w:start w:val="3"/>
    </w:lvl>
  </w:abstractNum>
  <w:abstractNum w:abstractNumId="59">
    <w:nsid w:val="3DB012B3"/>
    <w:multiLevelType w:val="hybridMultilevel"/>
    <w:lvl w:ilvl="0">
      <w:lvlJc w:val="left"/>
      <w:lvlText w:val="(%1)"/>
      <w:numFmt w:val="lowerRoman"/>
      <w:start w:val="5"/>
    </w:lvl>
    <w:lvl w:ilvl="1">
      <w:lvlJc w:val="left"/>
      <w:lvlText w:val="(%2)"/>
      <w:numFmt w:val="upperLetter"/>
      <w:start w:val="6"/>
    </w:lvl>
  </w:abstractNum>
  <w:abstractNum w:abstractNumId="60">
    <w:nsid w:val="2708C9AF"/>
    <w:multiLevelType w:val="hybridMultilevel"/>
    <w:lvl w:ilvl="0">
      <w:lvlJc w:val="left"/>
      <w:lvlText w:val="(%1)"/>
      <w:numFmt w:val="upperLetter"/>
      <w:start w:val="7"/>
    </w:lvl>
  </w:abstractNum>
  <w:abstractNum w:abstractNumId="61">
    <w:nsid w:val="5B25ACE2"/>
    <w:multiLevelType w:val="hybridMultilevel"/>
    <w:lvl w:ilvl="0">
      <w:lvlJc w:val="left"/>
      <w:lvlText w:val="(%1)"/>
      <w:numFmt w:val="lowerRoman"/>
      <w:start w:val="5"/>
    </w:lvl>
  </w:abstractNum>
  <w:abstractNum w:abstractNumId="62">
    <w:nsid w:val="175DFCF0"/>
    <w:multiLevelType w:val="hybridMultilevel"/>
    <w:lvl w:ilvl="0">
      <w:lvlJc w:val="left"/>
      <w:lvlText w:val="(%1)"/>
      <w:numFmt w:val="upperLetter"/>
      <w:start w:val="2"/>
    </w:lvl>
  </w:abstractNum>
  <w:abstractNum w:abstractNumId="63">
    <w:nsid w:val="4F97E3E4"/>
    <w:multiLevelType w:val="hybridMultilevel"/>
    <w:lvl w:ilvl="0">
      <w:lvlJc w:val="left"/>
      <w:lvlText w:val="(%1)"/>
      <w:numFmt w:val="lowerLetter"/>
      <w:start w:val="1"/>
    </w:lvl>
  </w:abstractNum>
  <w:abstractNum w:abstractNumId="64">
    <w:nsid w:val="53B0A9E"/>
    <w:multiLevelType w:val="hybridMultilevel"/>
    <w:lvl w:ilvl="0">
      <w:lvlJc w:val="left"/>
      <w:lvlText w:val="(%1)"/>
      <w:numFmt w:val="lowerLetter"/>
      <w:start w:val="1"/>
    </w:lvl>
  </w:abstractNum>
  <w:abstractNum w:abstractNumId="65">
    <w:nsid w:val="34FD6B4F"/>
    <w:multiLevelType w:val="hybridMultilevel"/>
    <w:lvl w:ilvl="0">
      <w:lvlJc w:val="left"/>
      <w:lvlText w:val="(%1)"/>
      <w:numFmt w:val="lowerLetter"/>
      <w:start w:val="1"/>
    </w:lvl>
    <w:lvl w:ilvl="1">
      <w:lvlJc w:val="left"/>
      <w:lvlText w:val="(%2)"/>
      <w:numFmt w:val="lowerRoman"/>
      <w:start w:val="1"/>
    </w:lvl>
  </w:abstractNum>
  <w:abstractNum w:abstractNumId="66">
    <w:nsid w:val="5915FF32"/>
    <w:multiLevelType w:val="hybridMultilevel"/>
    <w:lvl w:ilvl="0">
      <w:lvlJc w:val="left"/>
      <w:lvlText w:val="%1"/>
      <w:numFmt w:val="lowerLetter"/>
      <w:start w:val="1"/>
    </w:lvl>
    <w:lvl w:ilvl="1">
      <w:lvlJc w:val="left"/>
      <w:lvlText w:val="(%2)"/>
      <w:numFmt w:val="lowerRoman"/>
      <w:start w:val="1"/>
    </w:lvl>
  </w:abstractNum>
  <w:abstractNum w:abstractNumId="67">
    <w:nsid w:val="56438D15"/>
    <w:multiLevelType w:val="hybridMultilevel"/>
    <w:lvl w:ilvl="0">
      <w:lvlJc w:val="left"/>
      <w:lvlText w:val="(%1)"/>
      <w:numFmt w:val="lowerLetter"/>
      <w:start w:val="3"/>
    </w:lvl>
    <w:lvl w:ilvl="1">
      <w:lvlJc w:val="left"/>
      <w:lvlText w:val="%2"/>
      <w:numFmt w:val="lowerRoman"/>
      <w:start w:val="1"/>
    </w:lvl>
  </w:abstractNum>
  <w:abstractNum w:abstractNumId="68">
    <w:nsid w:val="519E3149"/>
    <w:multiLevelType w:val="hybridMultilevel"/>
    <w:lvl w:ilvl="0">
      <w:lvlJc w:val="left"/>
      <w:lvlText w:val="(%1)"/>
      <w:numFmt w:val="lowerRoman"/>
      <w:start w:val="1"/>
    </w:lvl>
  </w:abstractNum>
  <w:abstractNum w:abstractNumId="69">
    <w:nsid w:val="2C6E4AFD"/>
    <w:multiLevelType w:val="hybridMultilevel"/>
    <w:lvl w:ilvl="0">
      <w:lvlJc w:val="left"/>
      <w:lvlText w:val="(%1)"/>
      <w:numFmt w:val="lowerRoman"/>
      <w:start w:val="1"/>
    </w:lvl>
  </w:abstractNum>
  <w:abstractNum w:abstractNumId="70">
    <w:nsid w:val="17A1B582"/>
    <w:multiLevelType w:val="hybridMultilevel"/>
    <w:lvl w:ilvl="0">
      <w:lvlJc w:val="left"/>
      <w:lvlText w:val="(%1)"/>
      <w:numFmt w:val="lowerRoman"/>
      <w:start w:val="2"/>
    </w:lvl>
  </w:abstractNum>
  <w:abstractNum w:abstractNumId="71">
    <w:nsid w:val="4DF72E4E"/>
    <w:multiLevelType w:val="hybridMultilevel"/>
    <w:lvl w:ilvl="0">
      <w:lvlJc w:val="left"/>
      <w:lvlText w:val="%1."/>
      <w:numFmt w:val="decimal"/>
      <w:start w:val="1"/>
    </w:lvl>
    <w:lvl w:ilvl="1">
      <w:lvlJc w:val="left"/>
      <w:lvlText w:val="(%2)"/>
      <w:numFmt w:val="lowerLetter"/>
      <w:start w:val="1"/>
    </w:lvl>
  </w:abstractNum>
  <w:abstractNum w:abstractNumId="72">
    <w:nsid w:val="5046B5A9"/>
    <w:multiLevelType w:val="hybridMultilevel"/>
    <w:lvl w:ilvl="0">
      <w:lvlJc w:val="left"/>
      <w:lvlText w:val="(%1)"/>
      <w:numFmt w:val="lowerLetter"/>
      <w:start w:val="2"/>
    </w:lvl>
    <w:lvl w:ilvl="1">
      <w:lvlJc w:val="left"/>
      <w:lvlText w:val="(%2)"/>
      <w:numFmt w:val="lowerRoman"/>
      <w:start w:val="1"/>
    </w:lvl>
  </w:abstractNum>
  <w:abstractNum w:abstractNumId="73">
    <w:nsid w:val="5D888A08"/>
    <w:multiLevelType w:val="hybridMultilevel"/>
    <w:lvl w:ilvl="0">
      <w:lvlJc w:val="left"/>
      <w:lvlText w:val="%1."/>
      <w:numFmt w:val="decimal"/>
      <w:start w:val="4"/>
    </w:lvl>
  </w:abstractNum>
  <w:abstractNum w:abstractNumId="74">
    <w:nsid w:val="2A082C70"/>
    <w:multiLevelType w:val="hybridMultilevel"/>
    <w:lvl w:ilvl="0">
      <w:lvlJc w:val="left"/>
      <w:lvlText w:val="(%1)"/>
      <w:numFmt w:val="lowerRoman"/>
      <w:start w:val="2"/>
    </w:lvl>
  </w:abstractNum>
  <w:abstractNum w:abstractNumId="75">
    <w:nsid w:val="5EC6AFD4"/>
    <w:multiLevelType w:val="hybridMultilevel"/>
    <w:lvl w:ilvl="0">
      <w:lvlJc w:val="left"/>
      <w:lvlText w:val="%1."/>
      <w:numFmt w:val="decimal"/>
      <w:start w:val="6"/>
    </w:lvl>
    <w:lvl w:ilvl="1">
      <w:lvlJc w:val="left"/>
      <w:lvlText w:val="%2."/>
      <w:numFmt w:val="decimal"/>
      <w:start w:val="5"/>
    </w:lvl>
    <w:lvl w:ilvl="2">
      <w:lvlJc w:val="left"/>
      <w:lvlText w:val="(%3)"/>
      <w:numFmt w:val="lowerLetter"/>
      <w:start w:val="1"/>
    </w:lvl>
  </w:abstractNum>
  <w:abstractNum w:abstractNumId="76">
    <w:nsid w:val="19E21B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7">
    <w:nsid w:val="75E0858A"/>
    <w:multiLevelType w:val="hybridMultilevel"/>
    <w:lvl w:ilvl="0">
      <w:lvlJc w:val="left"/>
      <w:lvlText w:val="(%1)"/>
      <w:numFmt w:val="lowerRoman"/>
      <w:start w:val="1"/>
    </w:lvl>
  </w:abstractNum>
  <w:abstractNum w:abstractNumId="78">
    <w:nsid w:val="57A61A29"/>
    <w:multiLevelType w:val="hybridMultilevel"/>
    <w:lvl w:ilvl="0">
      <w:lvlJc w:val="left"/>
      <w:lvlText w:val="(%1)"/>
      <w:numFmt w:val="lowerLetter"/>
      <w:start w:val="3"/>
    </w:lvl>
  </w:abstractNum>
  <w:abstractNum w:abstractNumId="79">
    <w:nsid w:val="5399C654"/>
    <w:multiLevelType w:val="hybridMultilevel"/>
    <w:lvl w:ilvl="0">
      <w:lvlJc w:val="left"/>
      <w:lvlText w:val="(%1)"/>
      <w:numFmt w:val="lowerLetter"/>
      <w:start w:val="4"/>
    </w:lvl>
    <w:lvl w:ilvl="1">
      <w:lvlJc w:val="left"/>
      <w:lvlText w:val="(%2)"/>
      <w:numFmt w:val="lowerRoman"/>
      <w:start w:val="1"/>
    </w:lvl>
  </w:abstractNum>
  <w:abstractNum w:abstractNumId="80">
    <w:nsid w:val="20EE1348"/>
    <w:multiLevelType w:val="hybridMultilevel"/>
    <w:lvl w:ilvl="0">
      <w:lvlJc w:val="left"/>
      <w:lvlText w:val="%1."/>
      <w:numFmt w:val="decimal"/>
      <w:start w:val="7"/>
    </w:lvl>
    <w:lvl w:ilvl="1">
      <w:lvlJc w:val="left"/>
      <w:lvlText w:val="(%2)"/>
      <w:numFmt w:val="lowerLetter"/>
      <w:start w:val="1"/>
    </w:lvl>
  </w:abstractNum>
  <w:abstractNum w:abstractNumId="81">
    <w:nsid w:val="4427069A"/>
    <w:multiLevelType w:val="hybridMultilevel"/>
    <w:lvl w:ilvl="0">
      <w:lvlJc w:val="left"/>
      <w:lvlText w:val="(%1)"/>
      <w:numFmt w:val="lowerLetter"/>
      <w:start w:val="6"/>
    </w:lvl>
  </w:abstractNum>
  <w:abstractNum w:abstractNumId="82">
    <w:nsid w:val="B37E80A"/>
    <w:multiLevelType w:val="hybridMultilevel"/>
    <w:lvl w:ilvl="0">
      <w:lvlJc w:val="left"/>
      <w:lvlText w:val="(%1)"/>
      <w:numFmt w:val="lowerLetter"/>
      <w:start w:val="9"/>
    </w:lvl>
  </w:abstractNum>
  <w:abstractNum w:abstractNumId="83">
    <w:nsid w:val="2157F6BC"/>
    <w:multiLevelType w:val="hybridMultilevel"/>
    <w:lvl w:ilvl="0">
      <w:lvlJc w:val="left"/>
      <w:lvlText w:val="%1"/>
      <w:numFmt w:val="lowerLetter"/>
      <w:start w:val="1"/>
    </w:lvl>
    <w:lvl w:ilvl="1">
      <w:lvlJc w:val="left"/>
      <w:lvlText w:val="(%2)"/>
      <w:numFmt w:val="lowerLetter"/>
      <w:start w:val="11"/>
    </w:lvl>
  </w:abstractNum>
  <w:abstractNum w:abstractNumId="84">
    <w:nsid w:val="704E1DD5"/>
    <w:multiLevelType w:val="hybridMultilevel"/>
    <w:lvl w:ilvl="0">
      <w:lvlJc w:val="left"/>
      <w:lvlText w:val="(%1)"/>
      <w:numFmt w:val="lowerLetter"/>
      <w:start w:val="9"/>
    </w:lvl>
    <w:lvl w:ilvl="1">
      <w:lvlJc w:val="left"/>
      <w:lvlText w:val="%2"/>
      <w:numFmt w:val="lowerLetter"/>
      <w:start w:val="1"/>
    </w:lvl>
  </w:abstractNum>
  <w:abstractNum w:abstractNumId="85">
    <w:nsid w:val="57D2F10E"/>
    <w:multiLevelType w:val="hybridMultilevel"/>
    <w:lvl w:ilvl="0">
      <w:lvlJc w:val="left"/>
      <w:lvlText w:val="%1"/>
      <w:numFmt w:val="decimal"/>
      <w:start w:val="1"/>
    </w:lvl>
    <w:lvl w:ilvl="1">
      <w:lvlJc w:val="left"/>
      <w:lvlText w:val="(%2)"/>
      <w:numFmt w:val="lowerLetter"/>
      <w:start w:val="14"/>
    </w:lvl>
  </w:abstractNum>
  <w:abstractNum w:abstractNumId="86">
    <w:nsid w:val="BFFAE18"/>
    <w:multiLevelType w:val="hybridMultilevel"/>
    <w:lvl w:ilvl="0">
      <w:lvlJc w:val="left"/>
      <w:lvlText w:val="%1."/>
      <w:numFmt w:val="decimal"/>
      <w:start w:val="9"/>
    </w:lvl>
    <w:lvl w:ilvl="1">
      <w:lvlJc w:val="left"/>
      <w:lvlText w:val="%2"/>
      <w:numFmt w:val="lowerLetter"/>
      <w:start w:val="1"/>
    </w:lvl>
  </w:abstractNum>
  <w:abstractNum w:abstractNumId="87">
    <w:nsid w:val="E3E47A8"/>
    <w:multiLevelType w:val="hybridMultilevel"/>
    <w:lvl w:ilvl="0">
      <w:lvlJc w:val="left"/>
      <w:lvlText w:val="%1."/>
      <w:numFmt w:val="decimal"/>
      <w:start w:val="1"/>
    </w:lvl>
    <w:lvl w:ilvl="1">
      <w:lvlJc w:val="left"/>
      <w:lvlText w:val="(%2)"/>
      <w:numFmt w:val="lowerLetter"/>
      <w:start w:val="1"/>
    </w:lvl>
  </w:abstractNum>
  <w:abstractNum w:abstractNumId="88">
    <w:nsid w:val="2E48F044"/>
    <w:multiLevelType w:val="hybridMultilevel"/>
    <w:lvl w:ilvl="0">
      <w:lvlJc w:val="left"/>
      <w:lvlText w:val="%1."/>
      <w:numFmt w:val="decimal"/>
      <w:start w:val="1"/>
    </w:lvl>
    <w:lvl w:ilvl="1">
      <w:lvlJc w:val="left"/>
      <w:lvlText w:val="(%2)"/>
      <w:numFmt w:val="lowerLetter"/>
      <w:start w:val="1"/>
    </w:lvl>
  </w:abstractNum>
  <w:abstractNum w:abstractNumId="89">
    <w:nsid w:val="49D0FEAC"/>
    <w:multiLevelType w:val="hybridMultilevel"/>
    <w:lvl w:ilvl="0">
      <w:lvlJc w:val="left"/>
      <w:lvlText w:val="%1."/>
      <w:numFmt w:val="decimal"/>
      <w:start w:val="2"/>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lowerLetter"/>
      <w:start w:val="1"/>
    </w:lvl>
  </w:abstractNum>
  <w:abstractNum w:abstractNumId="92">
    <w:nsid w:val="24F6AB8E"/>
    <w:multiLevelType w:val="hybridMultilevel"/>
    <w:lvl w:ilvl="0">
      <w:lvlJc w:val="left"/>
      <w:lvlText w:val="(%1)"/>
      <w:numFmt w:val="lowerLetter"/>
      <w:start w:val="2"/>
    </w:lvl>
  </w:abstractNum>
  <w:abstractNum w:abstractNumId="93">
    <w:nsid w:val="634C574C"/>
    <w:multiLevelType w:val="hybridMultilevel"/>
    <w:lvl w:ilvl="0">
      <w:lvlJc w:val="left"/>
      <w:lvlText w:val="(%1)"/>
      <w:numFmt w:val="lowerLetter"/>
      <w:start w:val="1"/>
    </w:lvl>
    <w:lvl w:ilvl="1">
      <w:lvlJc w:val="left"/>
      <w:lvlText w:val="(%2)"/>
      <w:numFmt w:val="lowerRoman"/>
      <w:start w:val="1"/>
    </w:lvl>
  </w:abstractNum>
  <w:abstractNum w:abstractNumId="94">
    <w:nsid w:val="24E99DD7"/>
    <w:multiLevelType w:val="hybridMultilevel"/>
    <w:lvl w:ilvl="0">
      <w:lvlJc w:val="left"/>
      <w:lvlText w:val="(%1)"/>
      <w:numFmt w:val="lowerRoman"/>
      <w:start w:val="1"/>
    </w:lvl>
  </w:abstractNum>
  <w:abstractNum w:abstractNumId="95">
    <w:nsid w:val="2A31B62D"/>
    <w:multiLevelType w:val="hybridMultilevel"/>
    <w:lvl w:ilvl="0">
      <w:lvlJc w:val="left"/>
      <w:lvlText w:val="(%1)"/>
      <w:numFmt w:val="lowerRoman"/>
      <w:start w:val="1"/>
    </w:lvl>
  </w:abstractNum>
  <w:abstractNum w:abstractNumId="96">
    <w:nsid w:val="1849C29B"/>
    <w:multiLevelType w:val="hybridMultilevel"/>
    <w:lvl w:ilvl="0">
      <w:lvlJc w:val="left"/>
      <w:lvlText w:val="(%1)"/>
      <w:numFmt w:val="lowerRoman"/>
      <w:start w:val="1"/>
    </w:lvl>
  </w:abstractNum>
  <w:abstractNum w:abstractNumId="97">
    <w:nsid w:val="7DFF9D09"/>
    <w:multiLevelType w:val="hybridMultilevel"/>
    <w:lvl w:ilvl="0">
      <w:lvlJc w:val="left"/>
      <w:lvlText w:val="%1."/>
      <w:numFmt w:val="decimal"/>
      <w:start w:val="1"/>
    </w:lvl>
    <w:lvl w:ilvl="1">
      <w:lvlJc w:val="left"/>
      <w:lvlText w:val="(%2)"/>
      <w:numFmt w:val="lowerLetter"/>
      <w:start w:val="1"/>
    </w:lvl>
  </w:abstractNum>
  <w:abstractNum w:abstractNumId="98">
    <w:nsid w:val="754342"/>
    <w:multiLevelType w:val="hybridMultilevel"/>
    <w:lvl w:ilvl="0">
      <w:lvlJc w:val="left"/>
      <w:lvlText w:val="%1."/>
      <w:numFmt w:val="decimal"/>
      <w:start w:val="3"/>
    </w:lvl>
  </w:abstractNum>
  <w:abstractNum w:abstractNumId="99">
    <w:nsid w:val="69E7F3E5"/>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100">
    <w:nsid w:val="2A6DE806"/>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101">
    <w:nsid w:val="1816F8C4"/>
    <w:multiLevelType w:val="hybridMultilevel"/>
    <w:lvl w:ilvl="0">
      <w:lvlJc w:val="left"/>
      <w:lvlText w:val="(%1)"/>
      <w:numFmt w:val="lowerLetter"/>
      <w:start w:val="4"/>
    </w:lvl>
  </w:abstractNum>
  <w:abstractNum w:abstractNumId="102">
    <w:nsid w:val="37DF2233"/>
    <w:multiLevelType w:val="hybridMultilevel"/>
    <w:lvl w:ilvl="0">
      <w:lvlJc w:val="left"/>
      <w:lvlText w:val="(%1)"/>
      <w:numFmt w:val="lowerLetter"/>
      <w:start w:val="5"/>
    </w:lvl>
    <w:lvl w:ilvl="1">
      <w:lvlJc w:val="left"/>
      <w:lvlText w:val="(%2)"/>
      <w:numFmt w:val="lowerRoman"/>
      <w:start w:val="1"/>
    </w:lvl>
  </w:abstractNum>
  <w:abstractNum w:abstractNumId="103">
    <w:nsid w:val="7AB49DAF"/>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104">
    <w:nsid w:val="759F82CD"/>
    <w:multiLevelType w:val="hybridMultilevel"/>
    <w:lvl w:ilvl="0">
      <w:lvlJc w:val="left"/>
      <w:lvlText w:val="%1"/>
      <w:numFmt w:val="decimal"/>
      <w:start w:val="1"/>
    </w:lvl>
    <w:lvl w:ilvl="1">
      <w:lvlJc w:val="left"/>
      <w:lvlText w:val="(%2)"/>
      <w:numFmt w:val="lowerLetter"/>
      <w:start w:val="7"/>
    </w:lvl>
  </w:abstractNum>
  <w:abstractNum w:abstractNumId="105">
    <w:nsid w:val="61E74EA3"/>
    <w:multiLevelType w:val="hybridMultilevel"/>
    <w:lvl w:ilvl="0">
      <w:lvlJc w:val="left"/>
      <w:lvlText w:val="%1."/>
      <w:numFmt w:val="decimal"/>
      <w:start w:val="10"/>
    </w:lvl>
    <w:lvl w:ilvl="1">
      <w:lvlJc w:val="left"/>
      <w:lvlText w:val="%2"/>
      <w:numFmt w:val="lowerLetter"/>
      <w:start w:val="1"/>
    </w:lvl>
  </w:abstractNum>
  <w:abstractNum w:abstractNumId="106">
    <w:nsid w:val="597B4D84"/>
    <w:multiLevelType w:val="hybridMultilevel"/>
    <w:lvl w:ilvl="0">
      <w:lvlJc w:val="left"/>
      <w:lvlText w:val="%1."/>
      <w:numFmt w:val="decimal"/>
      <w:start w:val="1"/>
    </w:lvl>
    <w:lvl w:ilvl="1">
      <w:lvlJc w:val="left"/>
      <w:lvlText w:val="(%2)"/>
      <w:numFmt w:val="lowerLetter"/>
      <w:start w:val="1"/>
    </w:lvl>
  </w:abstractNum>
  <w:abstractNum w:abstractNumId="107">
    <w:nsid w:val="F819E7F"/>
    <w:multiLevelType w:val="hybridMultilevel"/>
    <w:lvl w:ilvl="0">
      <w:lvlJc w:val="left"/>
      <w:lvlText w:val="%1."/>
      <w:numFmt w:val="decimal"/>
      <w:start w:val="2"/>
    </w:lvl>
    <w:lvl w:ilvl="1">
      <w:lvlJc w:val="left"/>
      <w:lvlText w:val="(%2)"/>
      <w:numFmt w:val="lowerLetter"/>
      <w:start w:val="1"/>
    </w:lvl>
  </w:abstractNum>
  <w:abstractNum w:abstractNumId="108">
    <w:nsid w:val="57C7D42D"/>
    <w:multiLevelType w:val="hybridMultilevel"/>
    <w:lvl w:ilvl="0">
      <w:lvlJc w:val="left"/>
      <w:lvlText w:val="%1"/>
      <w:numFmt w:val="decimal"/>
      <w:start w:val="1"/>
    </w:lvl>
    <w:lvl w:ilvl="1">
      <w:lvlJc w:val="left"/>
      <w:lvlText w:val="(%2)"/>
      <w:numFmt w:val="lowerLetter"/>
      <w:start w:val="12"/>
    </w:lvl>
  </w:abstractNum>
  <w:abstractNum w:abstractNumId="109">
    <w:nsid w:val="312167AD"/>
    <w:multiLevelType w:val="hybridMultilevel"/>
    <w:lvl w:ilvl="0">
      <w:lvlJc w:val="left"/>
      <w:lvlText w:val="%1."/>
      <w:numFmt w:val="decimal"/>
      <w:start w:val="3"/>
    </w:lvl>
    <w:lvl w:ilvl="1">
      <w:lvlJc w:val="left"/>
      <w:lvlText w:val="%2"/>
      <w:numFmt w:val="lowerLetter"/>
      <w:start w:val="1"/>
    </w:lvl>
  </w:abstractNum>
  <w:abstractNum w:abstractNumId="110">
    <w:nsid w:val="631B64D4"/>
    <w:multiLevelType w:val="hybridMultilevel"/>
    <w:lvl w:ilvl="0">
      <w:lvlJc w:val="left"/>
      <w:lvlText w:val="(%1)"/>
      <w:numFmt w:val="lowerRoman"/>
      <w:start w:val="2"/>
    </w:lvl>
  </w:abstractNum>
  <w:abstractNum w:abstractNumId="111">
    <w:nsid w:val="78B5E776"/>
    <w:multiLevelType w:val="hybridMultilevel"/>
    <w:lvl w:ilvl="0">
      <w:lvlJc w:val="left"/>
      <w:lvlText w:val="1"/>
      <w:numFmt w:val="bullet"/>
      <w:start w:val="1"/>
    </w:lvl>
  </w:abstractNum>
  <w:abstractNum w:abstractNumId="112">
    <w:nsid w:val="75486E47"/>
    <w:multiLevelType w:val="hybridMultilevel"/>
    <w:lvl w:ilvl="0">
      <w:lvlJc w:val="left"/>
      <w:lvlText w:val="(%1)"/>
      <w:numFmt w:val="lowerLetter"/>
      <w:start w:val="1"/>
    </w:lvl>
  </w:abstractNum>
  <w:abstractNum w:abstractNumId="113">
    <w:nsid w:val="6E534CDE"/>
    <w:multiLevelType w:val="hybridMultilevel"/>
    <w:lvl w:ilvl="0">
      <w:lvlJc w:val="left"/>
      <w:lvlText w:val="(%1)"/>
      <w:numFmt w:val="lowerLetter"/>
      <w:start w:val="2"/>
    </w:lvl>
  </w:abstractNum>
  <w:abstractNum w:abstractNumId="114">
    <w:nsid w:val="1A0DDE32"/>
    <w:multiLevelType w:val="hybridMultilevel"/>
    <w:lvl w:ilvl="0">
      <w:lvlJc w:val="left"/>
      <w:lvlText w:val="(%1)"/>
      <w:numFmt w:val="lowerLetter"/>
      <w:start w:val="1"/>
    </w:lvl>
    <w:lvl w:ilvl="1">
      <w:lvlJc w:val="left"/>
      <w:lvlText w:val="(%2)"/>
      <w:numFmt w:val="lowerLetter"/>
      <w:start w:val="9"/>
    </w:lvl>
  </w:abstractNum>
  <w:abstractNum w:abstractNumId="115">
    <w:nsid w:val="65968C1C"/>
    <w:multiLevelType w:val="hybridMultilevel"/>
    <w:lvl w:ilvl="0">
      <w:lvlJc w:val="left"/>
      <w:lvlText w:val="(%1)"/>
      <w:numFmt w:val="upperLetter"/>
      <w:start w:val="3"/>
    </w:lvl>
    <w:lvl w:ilvl="1">
      <w:lvlJc w:val="left"/>
      <w:lvlText w:val="(%2)"/>
      <w:numFmt w:val="lowerRoman"/>
      <w:start w:val="3"/>
    </w:lvl>
  </w:abstractNum>
  <w:abstractNum w:abstractNumId="116">
    <w:nsid w:val="46263DEC"/>
    <w:multiLevelType w:val="hybridMultilevel"/>
    <w:lvl w:ilvl="0">
      <w:lvlJc w:val="left"/>
      <w:lvlText w:val="(%1)"/>
      <w:numFmt w:val="lowerLetter"/>
      <w:start w:val="2"/>
    </w:lvl>
    <w:lvl w:ilvl="1">
      <w:lvlJc w:val="left"/>
      <w:lvlText w:val="(%2)"/>
      <w:numFmt w:val="lowerLetter"/>
      <w:start w:val="9"/>
    </w:lvl>
  </w:abstractNum>
  <w:abstractNum w:abstractNumId="117">
    <w:nsid w:val="260D8C4A"/>
    <w:multiLevelType w:val="hybridMultilevel"/>
    <w:lvl w:ilvl="0">
      <w:lvlJc w:val="left"/>
      <w:lvlText w:val="(%1)"/>
      <w:numFmt w:val="lowerRoman"/>
      <w:start w:val="2"/>
    </w:lvl>
  </w:abstractNum>
  <w:abstractNum w:abstractNumId="118">
    <w:nsid w:val="73D4D3C4"/>
    <w:multiLevelType w:val="hybridMultilevel"/>
    <w:lvl w:ilvl="0">
      <w:lvlJc w:val="left"/>
      <w:lvlText w:val="(%1)"/>
      <w:numFmt w:val="lowerRoman"/>
      <w:start w:val="1"/>
    </w:lvl>
  </w:abstractNum>
  <w:abstractNum w:abstractNumId="119">
    <w:nsid w:val="746F2E3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0">
    <w:nsid w:val="6FDE8AF6"/>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21">
    <w:nsid w:val="3FC32E20"/>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122">
    <w:nsid w:val="49C0E823"/>
    <w:multiLevelType w:val="hybridMultilevel"/>
    <w:lvl w:ilvl="0">
      <w:lvlJc w:val="left"/>
      <w:lvlText w:val="%1."/>
      <w:numFmt w:val="decimal"/>
      <w:start w:val="5"/>
    </w:lvl>
    <w:lvl w:ilvl="1">
      <w:lvlJc w:val="left"/>
      <w:lvlText w:val="%2."/>
      <w:numFmt w:val="decimal"/>
      <w:start w:val="6"/>
    </w:lvl>
    <w:lvl w:ilvl="2">
      <w:lvlJc w:val="left"/>
      <w:lvlText w:val="%3"/>
      <w:numFmt w:val="lowerRoman"/>
      <w:start w:val="1"/>
    </w:lvl>
    <w:lvl w:ilvl="3">
      <w:lvlJc w:val="left"/>
      <w:lvlText w:val="(%4)"/>
      <w:numFmt w:val="lowerLetter"/>
      <w:start w:val="1"/>
    </w:lvl>
  </w:abstractNum>
  <w:abstractNum w:abstractNumId="123">
    <w:nsid w:val="14D5368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2"/>
    </w:lvl>
  </w:abstractNum>
  <w:abstractNum w:abstractNumId="124">
    <w:nsid w:val="230F856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125">
    <w:nsid w:val="6EAA85FB"/>
    <w:multiLevelType w:val="hybridMultilevel"/>
    <w:lvl w:ilvl="0">
      <w:lvlJc w:val="left"/>
      <w:lvlText w:val="(%1)"/>
      <w:numFmt w:val="lowerLetter"/>
      <w:start w:val="4"/>
    </w:lvl>
  </w:abstractNum>
  <w:abstractNum w:abstractNumId="126">
    <w:nsid w:val="3F06ECB2"/>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27">
    <w:nsid w:val="3B594807"/>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128">
    <w:nsid w:val="6CAA2304"/>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abstractNum>
  <w:abstractNum w:abstractNumId="129">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30">
    <w:nsid w:val="25413BEC"/>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4"/>
    </w:lvl>
  </w:abstractNum>
  <w:abstractNum w:abstractNumId="131">
    <w:nsid w:val="17180B0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32">
    <w:nsid w:val="579328B9"/>
    <w:multiLevelType w:val="hybridMultilevel"/>
    <w:lvl w:ilvl="0">
      <w:lvlJc w:val="left"/>
      <w:lvlText w:val="%1."/>
      <w:numFmt w:val="decimal"/>
      <w:start w:val="11"/>
    </w:lvl>
  </w:abstractNum>
  <w:abstractNum w:abstractNumId="133">
    <w:nsid w:val="5D205E20"/>
    <w:multiLevelType w:val="hybridMultilevel"/>
    <w:lvl w:ilvl="0">
      <w:lvlJc w:val="left"/>
      <w:lvlText w:val="%1."/>
      <w:numFmt w:val="decimal"/>
      <w:start w:val="1"/>
    </w:lvl>
    <w:lvl w:ilvl="1">
      <w:lvlJc w:val="left"/>
      <w:lvlText w:val="(%2)"/>
      <w:numFmt w:val="lowerLetter"/>
      <w:start w:val="1"/>
    </w:lvl>
  </w:abstractNum>
  <w:abstractNum w:abstractNumId="134">
    <w:nsid w:val="11CCA8BA"/>
    <w:multiLevelType w:val="hybridMultilevel"/>
    <w:lvl w:ilvl="0">
      <w:lvlJc w:val="left"/>
      <w:lvlText w:val="%1."/>
      <w:numFmt w:val="decimal"/>
      <w:start w:val="2"/>
    </w:lvl>
    <w:lvl w:ilvl="1">
      <w:lvlJc w:val="left"/>
      <w:lvlText w:val="(%2)"/>
      <w:numFmt w:val="lowerLetter"/>
      <w:start w:val="1"/>
    </w:lvl>
  </w:abstractNum>
  <w:abstractNum w:abstractNumId="135">
    <w:nsid w:val="4D32AB86"/>
    <w:multiLevelType w:val="hybridMultilevel"/>
    <w:lvl w:ilvl="0">
      <w:lvlJc w:val="left"/>
      <w:lvlText w:val="%1"/>
      <w:numFmt w:val="decimal"/>
      <w:start w:val="1"/>
    </w:lvl>
    <w:lvl w:ilvl="1">
      <w:lvlJc w:val="left"/>
      <w:lvlText w:val="(%2)"/>
      <w:numFmt w:val="lowerLetter"/>
      <w:start w:val="12"/>
    </w:lvl>
  </w:abstractNum>
  <w:abstractNum w:abstractNumId="136">
    <w:nsid w:val="3F07ACC3"/>
    <w:multiLevelType w:val="hybridMultilevel"/>
    <w:lvl w:ilvl="0">
      <w:lvlJc w:val="left"/>
      <w:lvlText w:val="%1."/>
      <w:numFmt w:val="decimal"/>
      <w:start w:val="3"/>
    </w:lvl>
    <w:lvl w:ilvl="1">
      <w:lvlJc w:val="left"/>
      <w:lvlText w:val="%2"/>
      <w:numFmt w:val="lowerLetter"/>
      <w:start w:val="1"/>
    </w:lvl>
  </w:abstractNum>
  <w:abstractNum w:abstractNumId="137">
    <w:nsid w:val="6B47F63E"/>
    <w:multiLevelType w:val="hybridMultilevel"/>
    <w:lvl w:ilvl="0">
      <w:lvlJc w:val="left"/>
      <w:lvlText w:val="(%1)"/>
      <w:numFmt w:val="lowerRoman"/>
      <w:start w:val="2"/>
    </w:lvl>
  </w:abstractNum>
  <w:abstractNum w:abstractNumId="138">
    <w:nsid w:val="5CB44A05"/>
    <w:multiLevelType w:val="hybridMultilevel"/>
    <w:lvl w:ilvl="0">
      <w:lvlJc w:val="left"/>
      <w:lvlText w:val="1"/>
      <w:numFmt w:val="bullet"/>
      <w:start w:val="1"/>
    </w:lvl>
  </w:abstractNum>
  <w:abstractNum w:abstractNumId="139">
    <w:nsid w:val="16CF80F1"/>
    <w:multiLevelType w:val="hybridMultilevel"/>
    <w:lvl w:ilvl="0">
      <w:lvlJc w:val="left"/>
      <w:lvlText w:val="(%1)"/>
      <w:numFmt w:val="lowerLetter"/>
      <w:start w:val="1"/>
    </w:lvl>
    <w:lvl w:ilvl="1">
      <w:lvlJc w:val="left"/>
      <w:lvlText w:val="(%2)"/>
      <w:numFmt w:val="lowerRoman"/>
      <w:start w:val="1"/>
    </w:lvl>
  </w:abstractNum>
  <w:abstractNum w:abstractNumId="140">
    <w:nsid w:val="1C695DEC"/>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2"/>
    </w:lvl>
  </w:abstractNum>
  <w:abstractNum w:abstractNumId="141">
    <w:nsid w:val="3FCFAED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42">
    <w:nsid w:val="F856867"/>
    <w:multiLevelType w:val="hybridMultilevel"/>
    <w:lvl w:ilvl="0">
      <w:lvlJc w:val="left"/>
      <w:lvlText w:val="(%1)"/>
      <w:numFmt w:val="lowerRoman"/>
      <w:start w:val="1"/>
    </w:lvl>
  </w:abstractNum>
  <w:abstractNum w:abstractNumId="143">
    <w:nsid w:val="11B1CC33"/>
    <w:multiLevelType w:val="hybridMultilevel"/>
    <w:lvl w:ilvl="0">
      <w:lvlJc w:val="left"/>
      <w:lvlText w:val="(%1)"/>
      <w:numFmt w:val="lowerRoman"/>
      <w:start w:val="2"/>
    </w:lvl>
  </w:abstractNum>
  <w:abstractNum w:abstractNumId="144">
    <w:nsid w:val="2E22FBB7"/>
    <w:multiLevelType w:val="hybridMultilevel"/>
    <w:lvl w:ilvl="0">
      <w:lvlJc w:val="left"/>
      <w:lvlText w:val="(%1)"/>
      <w:numFmt w:val="lowerRoman"/>
      <w:start w:val="1"/>
    </w:lvl>
  </w:abstractNum>
  <w:abstractNum w:abstractNumId="145">
    <w:nsid w:val="29934699"/>
    <w:multiLevelType w:val="hybridMultilevel"/>
    <w:lvl w:ilvl="0">
      <w:lvlJc w:val="left"/>
      <w:lvlText w:val="%1."/>
      <w:numFmt w:val="decimal"/>
      <w:start w:val="1"/>
    </w:lvl>
    <w:lvl w:ilvl="1">
      <w:lvlJc w:val="left"/>
      <w:lvlText w:val="(%2)"/>
      <w:numFmt w:val="lowerLetter"/>
      <w:start w:val="1"/>
    </w:lvl>
  </w:abstractNum>
  <w:abstractNum w:abstractNumId="146">
    <w:nsid w:val="77485850"/>
    <w:multiLevelType w:val="hybridMultilevel"/>
    <w:lvl w:ilvl="0">
      <w:lvlJc w:val="left"/>
      <w:lvlText w:val="%1."/>
      <w:numFmt w:val="decimal"/>
      <w:start w:val="3"/>
    </w:lvl>
  </w:abstractNum>
  <w:abstractNum w:abstractNumId="147">
    <w:nsid w:val="744939A3"/>
    <w:multiLevelType w:val="hybridMultilevel"/>
    <w:lvl w:ilvl="0">
      <w:lvlJc w:val="left"/>
      <w:lvlText w:val="(%1)"/>
      <w:numFmt w:val="lowerLetter"/>
      <w:start w:val="1"/>
    </w:lvl>
  </w:abstractNum>
  <w:abstractNum w:abstractNumId="148">
    <w:nsid w:val="4FA0D2E3"/>
    <w:multiLevelType w:val="hybridMultilevel"/>
    <w:lvl w:ilvl="0">
      <w:lvlJc w:val="left"/>
      <w:lvlText w:val="(%1)"/>
      <w:numFmt w:val="lowerLetter"/>
      <w:start w:val="2"/>
    </w:lvl>
    <w:lvl w:ilvl="1">
      <w:lvlJc w:val="left"/>
      <w:lvlText w:val="(%2)"/>
      <w:numFmt w:val="lowerRoman"/>
      <w:start w:val="1"/>
    </w:lvl>
  </w:abstractNum>
  <w:abstractNum w:abstractNumId="149">
    <w:nsid w:val="6B1D2C1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50">
    <w:nsid w:val="68B867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51">
    <w:nsid w:val="3F7F5DD9"/>
    <w:multiLevelType w:val="hybridMultilevel"/>
    <w:lvl w:ilvl="0">
      <w:lvlJc w:val="left"/>
      <w:lvlText w:val="(%1)"/>
      <w:numFmt w:val="lowerLetter"/>
      <w:start w:val="4"/>
    </w:lvl>
  </w:abstractNum>
  <w:abstractNum w:abstractNumId="152">
    <w:nsid w:val="2AE05A34"/>
    <w:multiLevelType w:val="hybridMultilevel"/>
    <w:lvl w:ilvl="0">
      <w:lvlJc w:val="left"/>
      <w:lvlText w:val="(%1)"/>
      <w:numFmt w:val="lowerLetter"/>
      <w:start w:val="5"/>
    </w:lvl>
    <w:lvl w:ilvl="1">
      <w:lvlJc w:val="left"/>
      <w:lvlText w:val="(%2)"/>
      <w:numFmt w:val="lowerRoman"/>
      <w:start w:val="1"/>
    </w:lvl>
  </w:abstractNum>
  <w:abstractNum w:abstractNumId="153">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154">
    <w:nsid w:val="5454945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55">
    <w:nsid w:val="4DEFDFA0"/>
    <w:multiLevelType w:val="hybridMultilevel"/>
    <w:lvl w:ilvl="0">
      <w:lvlJc w:val="left"/>
      <w:lvlText w:val="(%1)"/>
      <w:numFmt w:val="lowerLetter"/>
      <w:start w:val="3"/>
    </w:lvl>
  </w:abstractNum>
  <w:abstractNum w:abstractNumId="156">
    <w:nsid w:val="2123D5F2"/>
    <w:multiLevelType w:val="hybridMultilevel"/>
    <w:lvl w:ilvl="0">
      <w:lvlJc w:val="left"/>
      <w:lvlText w:val="(%1)"/>
      <w:numFmt w:val="lowerLetter"/>
      <w:start w:val="6"/>
    </w:lvl>
  </w:abstractNum>
  <w:abstractNum w:abstractNumId="157">
    <w:nsid w:val="135B8110"/>
    <w:multiLevelType w:val="hybridMultilevel"/>
    <w:lvl w:ilvl="0">
      <w:lvlJc w:val="left"/>
      <w:lvlText w:val="(%1)"/>
      <w:numFmt w:val="lowerLetter"/>
      <w:start w:val="8"/>
    </w:lvl>
  </w:abstractNum>
  <w:abstractNum w:abstractNumId="158">
    <w:nsid w:val="94927A8"/>
    <w:multiLevelType w:val="hybridMultilevel"/>
    <w:lvl w:ilvl="0">
      <w:lvlJc w:val="left"/>
      <w:lvlText w:val="(%1)"/>
      <w:numFmt w:val="lowerLetter"/>
      <w:start w:val="12"/>
    </w:lvl>
  </w:abstractNum>
  <w:abstractNum w:abstractNumId="159">
    <w:nsid w:val="DCDF8F6"/>
    <w:multiLevelType w:val="hybridMultilevel"/>
    <w:lvl w:ilvl="0">
      <w:lvlJc w:val="left"/>
      <w:lvlText w:val="%1."/>
      <w:numFmt w:val="decimal"/>
      <w:start w:val="10"/>
    </w:lvl>
  </w:abstractNum>
  <w:abstractNum w:abstractNumId="160">
    <w:nsid w:val="52D7B105"/>
    <w:multiLevelType w:val="hybridMultilevel"/>
    <w:lvl w:ilvl="0">
      <w:lvlJc w:val="left"/>
      <w:lvlText w:val="%1."/>
      <w:numFmt w:val="decimal"/>
      <w:start w:val="1"/>
    </w:lvl>
    <w:lvl w:ilvl="1">
      <w:lvlJc w:val="left"/>
      <w:lvlText w:val="(%2)"/>
      <w:numFmt w:val="lowerLetter"/>
      <w:start w:val="1"/>
    </w:lvl>
  </w:abstractNum>
  <w:abstractNum w:abstractNumId="161">
    <w:nsid w:val="2E8A6394"/>
    <w:multiLevelType w:val="hybridMultilevel"/>
    <w:lvl w:ilvl="0">
      <w:lvlJc w:val="left"/>
      <w:lvlText w:val="(%1)"/>
      <w:numFmt w:val="lowerLetter"/>
      <w:start w:val="4"/>
    </w:lvl>
  </w:abstractNum>
  <w:abstractNum w:abstractNumId="162">
    <w:nsid w:val="24E60401"/>
    <w:multiLevelType w:val="hybridMultilevel"/>
    <w:lvl w:ilvl="0">
      <w:lvlJc w:val="left"/>
      <w:lvlText w:val="%1."/>
      <w:numFmt w:val="decimal"/>
      <w:start w:val="2"/>
    </w:lvl>
    <w:lvl w:ilvl="1">
      <w:lvlJc w:val="left"/>
      <w:lvlText w:val="(%2)"/>
      <w:numFmt w:val="lowerLetter"/>
      <w:start w:val="1"/>
    </w:lvl>
  </w:abstractNum>
  <w:abstractNum w:abstractNumId="163">
    <w:nsid w:val="2A6AD9BE"/>
    <w:multiLevelType w:val="hybridMultilevel"/>
    <w:lvl w:ilvl="0">
      <w:lvlJc w:val="left"/>
      <w:lvlText w:val="%1"/>
      <w:numFmt w:val="decimal"/>
      <w:start w:val="1"/>
    </w:lvl>
    <w:lvl w:ilvl="1">
      <w:lvlJc w:val="left"/>
      <w:lvlText w:val="(%2)"/>
      <w:numFmt w:val="lowerLetter"/>
      <w:start w:val="12"/>
    </w:lvl>
  </w:abstractNum>
  <w:abstractNum w:abstractNumId="164">
    <w:nsid w:val="BAAC1B4"/>
    <w:multiLevelType w:val="hybridMultilevel"/>
    <w:lvl w:ilvl="0">
      <w:lvlJc w:val="left"/>
      <w:lvlText w:val="%1."/>
      <w:numFmt w:val="decimal"/>
      <w:start w:val="3"/>
    </w:lvl>
    <w:lvl w:ilvl="1">
      <w:lvlJc w:val="left"/>
      <w:lvlText w:val="%2"/>
      <w:numFmt w:val="lowerLetter"/>
      <w:start w:val="1"/>
    </w:lvl>
  </w:abstractNum>
  <w:abstractNum w:abstractNumId="165">
    <w:nsid w:val="36B2ACBC"/>
    <w:multiLevelType w:val="hybridMultilevel"/>
    <w:lvl w:ilvl="0">
      <w:lvlJc w:val="left"/>
      <w:lvlText w:val="(%1)"/>
      <w:numFmt w:val="lowerRoman"/>
      <w:start w:val="2"/>
    </w:lvl>
  </w:abstractNum>
  <w:abstractNum w:abstractNumId="166">
    <w:nsid w:val="779D8544"/>
    <w:multiLevelType w:val="hybridMultilevel"/>
    <w:lvl w:ilvl="0">
      <w:lvlJc w:val="left"/>
      <w:lvlText w:val="1"/>
      <w:numFmt w:val="bullet"/>
      <w:start w:val="1"/>
    </w:lvl>
  </w:abstractNum>
  <w:abstractNum w:abstractNumId="167">
    <w:nsid w:val="4AB26E78"/>
    <w:multiLevelType w:val="hybridMultilevel"/>
    <w:lvl w:ilvl="0">
      <w:lvlJc w:val="left"/>
      <w:lvlText w:val="%1."/>
      <w:numFmt w:val="decimal"/>
      <w:start w:val="1"/>
    </w:lvl>
    <w:lvl w:ilvl="1">
      <w:lvlJc w:val="left"/>
      <w:lvlText w:val="%2)"/>
      <w:numFmt w:val="lowerLetter"/>
      <w:start w:val="1"/>
    </w:lvl>
  </w:abstractNum>
  <w:abstractNum w:abstractNumId="168">
    <w:nsid w:val="21FAA2FA"/>
    <w:multiLevelType w:val="hybridMultilevel"/>
    <w:lvl w:ilvl="0">
      <w:lvlJc w:val="left"/>
      <w:lvlText w:val="%1."/>
      <w:numFmt w:val="decimal"/>
      <w:start w:val="1"/>
    </w:lvl>
    <w:lvl w:ilvl="1">
      <w:lvlJc w:val="left"/>
      <w:lvlText w:val="%2)"/>
      <w:numFmt w:val="lowerLetter"/>
      <w:start w:val="1"/>
    </w:lvl>
  </w:abstractNum>
  <w:abstractNum w:abstractNumId="169">
    <w:nsid w:val="5451CF49"/>
    <w:multiLevelType w:val="hybridMultilevel"/>
    <w:lvl w:ilvl="0">
      <w:lvlJc w:val="left"/>
      <w:lvlText w:val="%1."/>
      <w:numFmt w:val="decimal"/>
      <w:start w:val="1"/>
    </w:lvl>
  </w:abstractNum>
  <w:abstractNum w:abstractNumId="170">
    <w:nsid w:val="6181EF69"/>
    <w:multiLevelType w:val="hybridMultilevel"/>
    <w:lvl w:ilvl="0">
      <w:lvlJc w:val="left"/>
      <w:lvlText w:val="%1."/>
      <w:numFmt w:val="decimal"/>
      <w:start w:val="1"/>
    </w:lvl>
  </w:abstractNum>
  <w:abstractNum w:abstractNumId="171">
    <w:nsid w:val="3E6400E6"/>
    <w:multiLevelType w:val="hybridMultilevel"/>
    <w:lvl w:ilvl="0">
      <w:lvlJc w:val="left"/>
      <w:lvlText w:val="%1."/>
      <w:numFmt w:val="decimal"/>
      <w:start w:val="1"/>
    </w:lvl>
    <w:lvl w:ilvl="1">
      <w:lvlJc w:val="left"/>
      <w:lvlText w:val="(%2)"/>
      <w:numFmt w:val="lowerLetter"/>
      <w:start w:val="1"/>
    </w:lvl>
  </w:abstractNum>
  <w:abstractNum w:abstractNumId="172">
    <w:nsid w:val="14217E23"/>
    <w:multiLevelType w:val="hybridMultilevel"/>
    <w:lvl w:ilvl="0">
      <w:lvlJc w:val="left"/>
      <w:lvlText w:val="(%1)"/>
      <w:numFmt w:val="lowerLetter"/>
      <w:start w:val="3"/>
    </w:lvl>
  </w:abstractNum>
  <w:abstractNum w:abstractNumId="173">
    <w:nsid w:val="710757D0"/>
    <w:multiLevelType w:val="hybridMultilevel"/>
    <w:lvl w:ilvl="0">
      <w:lvlJc w:val="left"/>
      <w:lvlText w:val="%1"/>
      <w:numFmt w:val="decimal"/>
      <w:start w:val="1"/>
    </w:lvl>
    <w:lvl w:ilvl="1">
      <w:lvlJc w:val="left"/>
      <w:lvlText w:val="(%2)"/>
      <w:numFmt w:val="lowerLetter"/>
      <w:start w:val="10"/>
    </w:lvl>
  </w:abstractNum>
  <w:abstractNum w:abstractNumId="174">
    <w:nsid w:val="5015CD1A"/>
    <w:multiLevelType w:val="hybridMultilevel"/>
    <w:lvl w:ilvl="0">
      <w:lvlJc w:val="left"/>
      <w:lvlText w:val="%1."/>
      <w:numFmt w:val="decimal"/>
      <w:start w:val="2"/>
    </w:lvl>
    <w:lvl w:ilvl="1">
      <w:lvlJc w:val="left"/>
      <w:lvlText w:val="(%2)"/>
      <w:numFmt w:val="lowerLetter"/>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Roman"/>
      <w:start w:val="1"/>
    </w:lvl>
  </w:abstractNum>
  <w:abstractNum w:abstractNumId="177">
    <w:nsid w:val="475E256A"/>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Roman"/>
      <w:start w:val="1"/>
    </w:lvl>
  </w:abstractNum>
  <w:abstractNum w:abstractNumId="178">
    <w:nsid w:val="368DB37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9">
    <w:nsid w:val="6A3B714C"/>
    <w:multiLevelType w:val="hybridMultilevel"/>
    <w:lvl w:ilvl="0">
      <w:lvlJc w:val="left"/>
      <w:lvlText w:val="."/>
      <w:numFmt w:val="bullet"/>
      <w:start w:val="1"/>
    </w:lvl>
  </w:abstractNum>
  <w:abstractNum w:abstractNumId="180">
    <w:nsid w:val="327B517E"/>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81">
    <w:nsid w:val="1F461B51"/>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82">
    <w:nsid w:val="29BACF2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7" Type="http://schemas.openxmlformats.org/officeDocument/2006/relationships/image" Target="media/image160.png"/><Relationship Id="rId196" Type="http://schemas.openxmlformats.org/officeDocument/2006/relationships/image" Target="media/image161.png"/><Relationship Id="rId206"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jpeg"/><Relationship Id="rId212" Type="http://schemas.openxmlformats.org/officeDocument/2006/relationships/image" Target="media/image166.jpeg"/><Relationship Id="rId213" Type="http://schemas.openxmlformats.org/officeDocument/2006/relationships/image" Target="media/image167.jpeg"/><Relationship Id="rId214" Type="http://schemas.openxmlformats.org/officeDocument/2006/relationships/image" Target="media/image168.jpeg"/><Relationship Id="rId215" Type="http://schemas.openxmlformats.org/officeDocument/2006/relationships/image" Target="media/image169.png"/><Relationship Id="rId216" Type="http://schemas.openxmlformats.org/officeDocument/2006/relationships/image" Target="media/image170.jpeg"/><Relationship Id="rId217" Type="http://schemas.openxmlformats.org/officeDocument/2006/relationships/image" Target="media/image171.jpeg"/><Relationship Id="rId218" Type="http://schemas.openxmlformats.org/officeDocument/2006/relationships/image" Target="media/image172.png"/><Relationship Id="rId219" Type="http://schemas.openxmlformats.org/officeDocument/2006/relationships/image" Target="media/image173.jpeg"/><Relationship Id="rId220" Type="http://schemas.openxmlformats.org/officeDocument/2006/relationships/image" Target="media/image174.jpe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167" Type="http://schemas.openxmlformats.org/officeDocument/2006/relationships/hyperlink" Target="http://www.sec.gov/Archives/edgar/data/1336920/000133692020000053/leidos-restatedcharterxcle.htm" TargetMode="External"/><Relationship Id="rId168" Type="http://schemas.openxmlformats.org/officeDocument/2006/relationships/hyperlink" Target="http://www.sec.gov/Archives/edgar/data/1336920/000119312506209285/dex42.htm" TargetMode="External"/><Relationship Id="rId169" Type="http://schemas.openxmlformats.org/officeDocument/2006/relationships/hyperlink" Target="http://www.sec.gov/Archives/edgar/data/1336920/000119312510286368/dex41.htm" TargetMode="External"/><Relationship Id="rId170" Type="http://schemas.openxmlformats.org/officeDocument/2006/relationships/hyperlink" Target="http://www.sec.gov/Archives/edgar/data/1336920/000133692020000046/exhibit41-indenture.htm" TargetMode="External"/><Relationship Id="rId171" Type="http://schemas.openxmlformats.org/officeDocument/2006/relationships/hyperlink" Target="https://www.sec.gov/Archives/edgar/data/1336920/000133692020000046/exhibit44-formof2030no.htm" TargetMode="External"/><Relationship Id="rId172" Type="http://schemas.openxmlformats.org/officeDocument/2006/relationships/hyperlink" Target="http://www.sec.gov/Archives/edgar/data/1336920/000133692020000046/exhibit43-formof2025no.htm" TargetMode="External"/><Relationship Id="rId173" Type="http://schemas.openxmlformats.org/officeDocument/2006/relationships/hyperlink" Target="https://www.sec.gov/Archives/edgar/data/1336920/000133692020000046/exhibit42-formof2023no.htm" TargetMode="External"/><Relationship Id="rId174" Type="http://schemas.openxmlformats.org/officeDocument/2006/relationships/hyperlink" Target="http://www.sec.gov/Archives/edgar/data/1336920/000119312520266581/d69928dex41.htm" TargetMode="External"/><Relationship Id="rId175" Type="http://schemas.openxmlformats.org/officeDocument/2006/relationships/hyperlink" Target="http://www.sec.gov/Archives/edgar/data/1336920/000119312520266581/d69928dex42.htm" TargetMode="External"/><Relationship Id="rId176" Type="http://schemas.openxmlformats.org/officeDocument/2006/relationships/hyperlink" Target="https://www.sec.gov/Archives/edgar/data/1336920/000119312523053985/d475331dex41.htm" TargetMode="External"/><Relationship Id="rId178" Type="http://schemas.openxmlformats.org/officeDocument/2006/relationships/hyperlink" Target="https://www.sec.gov/Archives/edgar/data/0001336920/000133692021000010/ldos01012021ex413.htm" TargetMode="External"/><Relationship Id="rId179" Type="http://schemas.openxmlformats.org/officeDocument/2006/relationships/hyperlink" Target="http://www.sec.gov/Archives/edgar/data/353394/000133692014000007/ex101-leidosholdingsincx20.htm" TargetMode="External"/><Relationship Id="rId180" Type="http://schemas.openxmlformats.org/officeDocument/2006/relationships/hyperlink" Target="https://www.sec.gov/Archives/edgar/data/1336920/000133692023000015/ldos12302022ex102leidoshol.htm" TargetMode="External"/><Relationship Id="rId181" Type="http://schemas.openxmlformats.org/officeDocument/2006/relationships/hyperlink" Target="http://www.sec.gov/Archives/edgar/data/353394/000133692014000007/ex103-leidosincxmanagement.htm" TargetMode="External"/><Relationship Id="rId182" Type="http://schemas.openxmlformats.org/officeDocument/2006/relationships/hyperlink" Target="http://www.sec.gov/Archives/edgar/data/353394/000133692016000076/ex104amendmentrestatemento.htm" TargetMode="External"/><Relationship Id="rId183" Type="http://schemas.openxmlformats.org/officeDocument/2006/relationships/hyperlink" Target="http://www.sec.gov/Archives/edgar/data/353394/000133692016000076/ex105amendmentrestatemento.htm" TargetMode="External"/><Relationship Id="rId184" Type="http://schemas.openxmlformats.org/officeDocument/2006/relationships/hyperlink" Target="http://www.sec.gov/Archives/edgar/data/1336920/000133692017000047/ldos063017q2ex101.htm" TargetMode="External"/><Relationship Id="rId185" Type="http://schemas.openxmlformats.org/officeDocument/2006/relationships/hyperlink" Target="http://www.sec.gov/Archives/edgar/data/353394/000133692014000007/ex1010-formofnonxstatutory.htm" TargetMode="External"/><Relationship Id="rId186" Type="http://schemas.openxmlformats.org/officeDocument/2006/relationships/hyperlink" Target="http://www.sec.gov/Archives/edgar/data/353394/000133692014000007/ex1011-formofnonxstatutory.htm" TargetMode="External"/><Relationship Id="rId187" Type="http://schemas.openxmlformats.org/officeDocument/2006/relationships/hyperlink" Target="http://www.sec.gov/Archives/edgar/data/353394/000133692014000007/ex1014-formofrestrictedsto.htm" TargetMode="External"/><Relationship Id="rId188" Type="http://schemas.openxmlformats.org/officeDocument/2006/relationships/hyperlink" Target="http://www.sec.gov/Archives/edgar/data/353394/000133692014000007/ex1016-formofrestrictedsto.htm" TargetMode="External"/><Relationship Id="rId189" Type="http://schemas.openxmlformats.org/officeDocument/2006/relationships/hyperlink" Target="http://www.sec.gov/Archives/edgar/data/353394/000133692015000010/exhibit10_19formofindemini.htm" TargetMode="External"/><Relationship Id="rId190" Type="http://schemas.openxmlformats.org/officeDocument/2006/relationships/hyperlink" Target="http://www.sec.gov/Archives/edgar/data/1336920/000133692019000054/finalleidosexecutivese.htm" TargetMode="External"/><Relationship Id="rId191" Type="http://schemas.openxmlformats.org/officeDocument/2006/relationships/hyperlink" Target="http://www.sec.gov/Archives/edgar/data/1336920/000119312514258238/d752502dex101.htm" TargetMode="External"/><Relationship Id="rId192" Type="http://schemas.openxmlformats.org/officeDocument/2006/relationships/hyperlink" Target="http://www.sec.gov/Archives/edgar/data/353394/000133692015000010/exh1033formofperformancesh.htm" TargetMode="External"/><Relationship Id="rId193" Type="http://schemas.openxmlformats.org/officeDocument/2006/relationships/hyperlink" Target="http://www.sec.gov/Archives/edgar/data/1336920/000133692017000021/ldos033117ex103.htm" TargetMode="External"/><Relationship Id="rId194" Type="http://schemas.openxmlformats.org/officeDocument/2006/relationships/hyperlink" Target="http://www.sec.gov/Archives/edgar/data/1336920/000133692017000021/ldos033117ex104.htm" TargetMode="External"/><Relationship Id="rId195" Type="http://schemas.openxmlformats.org/officeDocument/2006/relationships/hyperlink" Target="http://www.sec.gov/Archives/edgar/data/1336920/000133692017000021/ldos033117ex105.htm" TargetMode="External"/><Relationship Id="rId197" Type="http://schemas.openxmlformats.org/officeDocument/2006/relationships/hyperlink" Target="http://www.sec.gov/Archives/edgar/data/1336920/000133692018000008/ldos12292017ex1022.htm" TargetMode="External"/><Relationship Id="rId198" Type="http://schemas.openxmlformats.org/officeDocument/2006/relationships/hyperlink" Target="http://www.sec.gov/Archives/edgar/data/1336920/000133692018000008/ldos12292017ex1027.htm" TargetMode="External"/><Relationship Id="rId199" Type="http://schemas.openxmlformats.org/officeDocument/2006/relationships/hyperlink" Target="http://www.sec.gov/Archives/edgar/data/1336920/000133692016000126/ldos093016q3ex103.htm" TargetMode="External"/><Relationship Id="rId200" Type="http://schemas.openxmlformats.org/officeDocument/2006/relationships/hyperlink" Target="https://www.sec.gov/Archives/edgar/data/1336920/000119312523069649/d481040dex101.htm" TargetMode="External"/><Relationship Id="rId201" Type="http://schemas.openxmlformats.org/officeDocument/2006/relationships/hyperlink" Target="https://www.sec.gov/Archives/edgar/data/0001336920/000119312521213204/d203042dex101.htm" TargetMode="External"/><Relationship Id="rId202" Type="http://schemas.openxmlformats.org/officeDocument/2006/relationships/hyperlink" Target="https://www.sec.gov/Archives/edgar/data/1336920/000133692023000051/exh102-severanceplanforexe.htm" TargetMode="External"/><Relationship Id="rId203" Type="http://schemas.openxmlformats.org/officeDocument/2006/relationships/hyperlink" Target="https://www.sec.gov/Archives/edgar/data/1336920/000133692023000019/exhibit101-executiveemploy.htm" TargetMode="External"/><Relationship Id="rId204" Type="http://schemas.openxmlformats.org/officeDocument/2006/relationships/hyperlink" Target="https://www.sec.gov/Archives/edgar/data/1336920/000162828023010215/retirementagreementdatedma.htm" TargetMode="External"/><Relationship Id="rId205" Type="http://schemas.openxmlformats.org/officeDocument/2006/relationships/hyperlink" Target="http://www.sec.gov/Archives/edgar/data/1336920/000119312510073854/dex991.htm" TargetMode="External"/><Relationship Id="rId207" Type="http://schemas.openxmlformats.org/officeDocument/2006/relationships/hyperlink" Target="http://www.sec.gov/Archives/edgar/data/1336920/000119312510073854/dex992.htm" TargetMode="External"/><Relationship Id="rId208" Type="http://schemas.openxmlformats.org/officeDocument/2006/relationships/hyperlink" Target="http://www.sec.gov/Archives/edgar/data/1336920/000119312510073854/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2024-02-13T12:28:20Z</dcterms:created>
  <dcterms:modified xsi:type="dcterms:W3CDTF">2024-02-13T12:28:20Z</dcterms:modified>
</cp:coreProperties>
</file>