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740410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April 3, 2026</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27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911" w:orient="portrait"/>
          <w:cols w:equalWidth="0" w:num="1">
            <w:col w:w="11220"/>
          </w:cols>
          <w:pgMar w:left="320" w:top="1440" w:right="359" w:bottom="0" w:gutter="0" w:footer="0" w:header="0"/>
        </w:sectPr>
      </w:pPr>
    </w:p>
    <w:p>
      <w:pPr>
        <w:spacing w:after="0" w:line="370"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113" w:lineRule="exact"/>
        <w:rPr>
          <w:sz w:val="24"/>
          <w:szCs w:val="24"/>
          <w:color w:val="auto"/>
        </w:rPr>
      </w:pPr>
    </w:p>
    <w:p>
      <w:pPr>
        <w:sectPr>
          <w:pgSz w:w="11900" w:h="16911" w:orient="portrait"/>
          <w:cols w:equalWidth="0" w:num="2">
            <w:col w:w="6240" w:space="620"/>
            <w:col w:w="4360"/>
          </w:cols>
          <w:pgMar w:left="320" w:top="1440" w:right="359" w:bottom="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Commission file number 001-33072</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Leidos Holdings, Inc.</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911" w:orient="portrait"/>
          <w:cols w:equalWidth="0" w:num="1">
            <w:col w:w="11220"/>
          </w:cols>
          <w:pgMar w:left="320" w:top="1440" w:right="359" w:bottom="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20-3562868</w:t>
      </w:r>
    </w:p>
    <w:p>
      <w:pPr>
        <w:spacing w:after="0" w:line="200" w:lineRule="exact"/>
        <w:rPr>
          <w:sz w:val="24"/>
          <w:szCs w:val="24"/>
          <w:color w:val="auto"/>
        </w:rPr>
      </w:pPr>
    </w:p>
    <w:p>
      <w:pPr>
        <w:sectPr>
          <w:pgSz w:w="11900" w:h="16911" w:orient="portrait"/>
          <w:cols w:equalWidth="0" w:num="2">
            <w:col w:w="7620" w:space="720"/>
            <w:col w:w="2880"/>
          </w:cols>
          <w:pgMar w:left="320" w:top="1440" w:right="359" w:bottom="0" w:gutter="0" w:footer="0" w:header="0"/>
          <w:type w:val="continuous"/>
        </w:sectPr>
      </w:pPr>
    </w:p>
    <w:p>
      <w:pPr>
        <w:spacing w:after="0" w:line="107"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911" w:orient="portrait"/>
          <w:cols w:equalWidth="0" w:num="2">
            <w:col w:w="6940" w:space="720"/>
            <w:col w:w="3560"/>
          </w:cols>
          <w:pgMar w:left="320" w:top="1440" w:right="359" w:bottom="0" w:gutter="0" w:footer="0" w:header="0"/>
          <w:type w:val="continuous"/>
        </w:sectPr>
      </w:pPr>
    </w:p>
    <w:p>
      <w:pPr>
        <w:spacing w:after="0" w:line="201"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1750 Presidents Street,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Reston,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20190</w:t>
      </w:r>
    </w:p>
    <w:p>
      <w:pPr>
        <w:spacing w:after="0" w:line="211" w:lineRule="exact"/>
        <w:rPr>
          <w:sz w:val="24"/>
          <w:szCs w:val="24"/>
          <w:color w:val="auto"/>
        </w:rPr>
      </w:pPr>
    </w:p>
    <w:p>
      <w:pPr>
        <w:sectPr>
          <w:pgSz w:w="11900" w:h="16911" w:orient="portrait"/>
          <w:cols w:equalWidth="0" w:num="4">
            <w:col w:w="2660" w:space="220"/>
            <w:col w:w="580" w:space="220"/>
            <w:col w:w="4140" w:space="720"/>
            <w:col w:w="2680"/>
          </w:cols>
          <w:pgMar w:left="320" w:top="1440" w:right="359" w:bottom="0" w:gutter="0" w:footer="0" w:header="0"/>
          <w:type w:val="continuous"/>
        </w:sectPr>
      </w:pPr>
    </w:p>
    <w:p>
      <w:pPr>
        <w:spacing w:after="0" w:line="107" w:lineRule="exact"/>
        <w:rPr>
          <w:sz w:val="24"/>
          <w:szCs w:val="24"/>
          <w:color w:val="auto"/>
        </w:rPr>
      </w:pPr>
    </w:p>
    <w:p>
      <w:pPr>
        <w:ind w:left="12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911" w:orient="portrait"/>
          <w:cols w:equalWidth="0" w:num="2">
            <w:col w:w="7700" w:space="720"/>
            <w:col w:w="2800"/>
          </w:cols>
          <w:pgMar w:left="320" w:top="1440" w:right="359" w:bottom="0" w:gutter="0" w:footer="0" w:header="0"/>
          <w:type w:val="continuous"/>
        </w:sect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(571) 526-6000</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911" w:orient="portrait"/>
          <w:cols w:equalWidth="0" w:num="1">
            <w:col w:w="11220"/>
          </w:cols>
          <w:pgMar w:left="320" w:top="1440" w:right="359" w:bottom="0" w:gutter="0" w:footer="0" w:header="0"/>
          <w:type w:val="continuous"/>
        </w:sectPr>
      </w:pPr>
    </w:p>
    <w:p>
      <w:pPr>
        <w:spacing w:after="0" w:line="172"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200" w:lineRule="exact"/>
        <w:rPr>
          <w:sz w:val="24"/>
          <w:szCs w:val="24"/>
          <w:color w:val="auto"/>
        </w:rPr>
      </w:pPr>
    </w:p>
    <w:p>
      <w:pPr>
        <w:sectPr>
          <w:pgSz w:w="11900" w:h="16911" w:orient="portrait"/>
          <w:cols w:equalWidth="0" w:num="3">
            <w:col w:w="4320" w:space="720"/>
            <w:col w:w="1760" w:space="720"/>
            <w:col w:w="3700"/>
          </w:cols>
          <w:pgMar w:left="320" w:top="1440" w:right="359" w:bottom="0" w:gutter="0" w:footer="0" w:header="0"/>
          <w:type w:val="continuous"/>
        </w:sectPr>
      </w:pPr>
    </w:p>
    <w:p>
      <w:pPr>
        <w:spacing w:after="0" w:line="93"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LDOS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w:t>
      </w:r>
    </w:p>
    <w:p>
      <w:pPr>
        <w:spacing w:after="0" w:line="200" w:lineRule="exact"/>
        <w:rPr>
          <w:sz w:val="24"/>
          <w:szCs w:val="24"/>
          <w:color w:val="auto"/>
        </w:rPr>
      </w:pPr>
    </w:p>
    <w:p>
      <w:pPr>
        <w:sectPr>
          <w:pgSz w:w="11900" w:h="16911" w:orient="portrait"/>
          <w:cols w:equalWidth="0" w:num="3">
            <w:col w:w="4680" w:space="720"/>
            <w:col w:w="1820" w:space="720"/>
            <w:col w:w="3280"/>
          </w:cols>
          <w:pgMar w:left="320" w:top="1440" w:right="359" w:bottom="0" w:gutter="0" w:footer="0" w:header="0"/>
          <w:type w:val="continuous"/>
        </w:sectPr>
      </w:pPr>
    </w:p>
    <w:p>
      <w:pPr>
        <w:spacing w:after="0" w:line="170" w:lineRule="exact"/>
        <w:rPr>
          <w:sz w:val="24"/>
          <w:szCs w:val="24"/>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640" w:type="dxa"/>
        <w:tblCellMar>
          <w:top w:w="0" w:type="dxa"/>
          <w:left w:w="0" w:type="dxa"/>
          <w:bottom w:w="0" w:type="dxa"/>
          <w:right w:w="0" w:type="dxa"/>
        </w:tblCellMar>
      </w:tblPr>
      <w:tr>
        <w:trPr>
          <w:trHeight w:val="27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1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2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3"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The number of shares issued and outstanding of each of the issuer’s classes of common stock as of April 28, 2026, was 125,785,466 shares of common stock ($.0001 par value per share).</w:t>
      </w:r>
    </w:p>
    <w:p>
      <w:pPr>
        <w:sectPr>
          <w:pgSz w:w="11900" w:h="16911" w:orient="portrait"/>
          <w:cols w:equalWidth="0" w:num="1">
            <w:col w:w="11220"/>
          </w:cols>
          <w:pgMar w:left="320" w:top="1440" w:right="359" w:bottom="0" w:gutter="0" w:footer="0" w:header="0"/>
          <w:type w:val="continuous"/>
        </w:sectPr>
      </w:pPr>
    </w:p>
    <w:bookmarkStart w:id="1" w:name="page2"/>
    <w:bookmarkEnd w:id="1"/>
    <w:p>
      <w:pPr>
        <w:spacing w:after="0" w:line="30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B15BAC"/>
        </w:rPr>
        <w:t>LEIDOS HOLDINGS, INC. FORM 10-Q</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auto"/>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7"/>
        </w:trPr>
        <w:tc>
          <w:tcPr>
            <w:tcW w:w="800" w:type="dxa"/>
            <w:vAlign w:val="bottom"/>
            <w:tcBorders>
              <w:bottom w:val="single" w:sz="8" w:color="901588"/>
            </w:tcBorders>
          </w:tcPr>
          <w:p>
            <w:pPr>
              <w:spacing w:after="0"/>
              <w:rPr>
                <w:sz w:val="17"/>
                <w:szCs w:val="17"/>
                <w:color w:val="auto"/>
              </w:rPr>
            </w:pPr>
          </w:p>
        </w:tc>
        <w:tc>
          <w:tcPr>
            <w:tcW w:w="8320" w:type="dxa"/>
            <w:vAlign w:val="bottom"/>
            <w:tcBorders>
              <w:bottom w:val="single" w:sz="8" w:color="901588"/>
            </w:tcBorders>
          </w:tcPr>
          <w:p>
            <w:pPr>
              <w:spacing w:after="0"/>
              <w:rPr>
                <w:sz w:val="17"/>
                <w:szCs w:val="17"/>
                <w:color w:val="auto"/>
              </w:rPr>
            </w:pPr>
          </w:p>
        </w:tc>
        <w:tc>
          <w:tcPr>
            <w:tcW w:w="2120" w:type="dxa"/>
            <w:vAlign w:val="bottom"/>
            <w:tcBorders>
              <w:bottom w:val="single" w:sz="8" w:color="901588"/>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Financial Statements (Unaudited)</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Balance Sheets</w:t>
            </w:r>
          </w:p>
        </w:tc>
        <w:tc>
          <w:tcPr>
            <w:tcW w:w="2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Comprehensive Income</w:t>
            </w:r>
          </w:p>
        </w:tc>
        <w:tc>
          <w:tcPr>
            <w:tcW w:w="2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Equity</w:t>
            </w:r>
          </w:p>
        </w:tc>
        <w:tc>
          <w:tcPr>
            <w:tcW w:w="2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Condensed Consolidated Statements of Cash Flows</w:t>
            </w:r>
          </w:p>
        </w:tc>
        <w:tc>
          <w:tcPr>
            <w:tcW w:w="2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Notes to Condensed Consolidated Financial Statements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1–Basis of Presentation and Summary of Significant Accounting Policies</w:t>
            </w:r>
          </w:p>
        </w:tc>
        <w:tc>
          <w:tcPr>
            <w:tcW w:w="2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2–Revenues</w:t>
            </w:r>
          </w:p>
        </w:tc>
        <w:tc>
          <w:tcPr>
            <w:tcW w:w="2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3–Acquisitions, Goodwill and Intangible Assets</w:t>
            </w:r>
          </w:p>
        </w:tc>
        <w:tc>
          <w:tcPr>
            <w:tcW w:w="21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4–Fair Value Measurements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5–Debt</w:t>
            </w:r>
          </w:p>
        </w:tc>
        <w:tc>
          <w:tcPr>
            <w:tcW w:w="2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6–Accumulated Other Comprehensive Income (Loss)</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7–Earnings Per Share</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8–Income Taxes</w:t>
            </w:r>
          </w:p>
        </w:tc>
        <w:tc>
          <w:tcPr>
            <w:tcW w:w="2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9–Business Segments</w:t>
            </w:r>
          </w:p>
        </w:tc>
        <w:tc>
          <w:tcPr>
            <w:tcW w:w="2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10–Commitments and Contingencies</w:t>
            </w:r>
          </w:p>
        </w:tc>
        <w:tc>
          <w:tcPr>
            <w:tcW w:w="2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1020"/>
              <w:spacing w:after="0"/>
              <w:rPr>
                <w:sz w:val="20"/>
                <w:szCs w:val="20"/>
                <w:color w:val="auto"/>
              </w:rPr>
            </w:pPr>
            <w:r>
              <w:rPr>
                <w:rFonts w:ascii="Arial" w:cs="Arial" w:eastAsia="Arial" w:hAnsi="Arial"/>
                <w:sz w:val="16"/>
                <w:szCs w:val="16"/>
                <w:color w:val="auto"/>
              </w:rPr>
              <w:t>Note 11–Subsequent Events</w:t>
            </w:r>
          </w:p>
        </w:tc>
        <w:tc>
          <w:tcPr>
            <w:tcW w:w="2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2.</w:t>
            </w:r>
          </w:p>
        </w:tc>
        <w:tc>
          <w:tcPr>
            <w:tcW w:w="8320" w:type="dxa"/>
            <w:vAlign w:val="bottom"/>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Overview</w:t>
            </w:r>
          </w:p>
        </w:tc>
        <w:tc>
          <w:tcPr>
            <w:tcW w:w="2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Business Environment and Trends</w:t>
            </w:r>
          </w:p>
        </w:tc>
        <w:tc>
          <w:tcPr>
            <w:tcW w:w="21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Results of Operations</w:t>
            </w:r>
          </w:p>
        </w:tc>
        <w:tc>
          <w:tcPr>
            <w:tcW w:w="21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Bookings and Backlog</w:t>
            </w:r>
          </w:p>
        </w:tc>
        <w:tc>
          <w:tcPr>
            <w:tcW w:w="2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Liquidity and Capital Resources</w:t>
            </w:r>
          </w:p>
        </w:tc>
        <w:tc>
          <w:tcPr>
            <w:tcW w:w="2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Off-Balance Sheet Arrangements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Guarantor and Issuer of Guaranteed Securities</w:t>
            </w: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Contractual Obligations and Commitments</w:t>
            </w:r>
          </w:p>
        </w:tc>
        <w:tc>
          <w:tcPr>
            <w:tcW w:w="2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Critical Accounting Policies and Estimates</w:t>
            </w:r>
          </w:p>
        </w:tc>
        <w:tc>
          <w:tcPr>
            <w:tcW w:w="2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8320" w:type="dxa"/>
            <w:vAlign w:val="bottom"/>
          </w:tcPr>
          <w:p>
            <w:pPr>
              <w:ind w:left="620"/>
              <w:spacing w:after="0"/>
              <w:rPr>
                <w:sz w:val="20"/>
                <w:szCs w:val="20"/>
                <w:color w:val="auto"/>
              </w:rPr>
            </w:pPr>
            <w:r>
              <w:rPr>
                <w:rFonts w:ascii="Arial" w:cs="Arial" w:eastAsia="Arial" w:hAnsi="Arial"/>
                <w:sz w:val="16"/>
                <w:szCs w:val="16"/>
                <w:color w:val="auto"/>
              </w:rPr>
              <w:t>Recently Adopted and Issued Accounting Standards</w:t>
            </w:r>
          </w:p>
        </w:tc>
        <w:tc>
          <w:tcPr>
            <w:tcW w:w="2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3.</w:t>
            </w:r>
          </w:p>
        </w:tc>
        <w:tc>
          <w:tcPr>
            <w:tcW w:w="8320" w:type="dxa"/>
            <w:vAlign w:val="bottom"/>
          </w:tcPr>
          <w:p>
            <w:pPr>
              <w:ind w:left="180"/>
              <w:spacing w:after="0"/>
              <w:rPr>
                <w:sz w:val="20"/>
                <w:szCs w:val="20"/>
                <w:color w:val="auto"/>
              </w:rPr>
            </w:pPr>
            <w:r>
              <w:rPr>
                <w:rFonts w:ascii="Arial" w:cs="Arial" w:eastAsia="Arial" w:hAnsi="Arial"/>
                <w:sz w:val="16"/>
                <w:szCs w:val="16"/>
                <w:color w:val="auto"/>
              </w:rPr>
              <w:t>Quantitative and Qualitative Disclosures About Market Risk</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800" w:type="dxa"/>
            <w:vAlign w:val="bottom"/>
          </w:tcPr>
          <w:p>
            <w:pPr>
              <w:ind w:left="20"/>
              <w:spacing w:after="0"/>
              <w:rPr>
                <w:sz w:val="20"/>
                <w:szCs w:val="20"/>
                <w:color w:val="auto"/>
              </w:rPr>
            </w:pPr>
            <w:r>
              <w:rPr>
                <w:rFonts w:ascii="Arial" w:cs="Arial" w:eastAsia="Arial" w:hAnsi="Arial"/>
                <w:sz w:val="16"/>
                <w:szCs w:val="16"/>
                <w:color w:val="auto"/>
              </w:rPr>
              <w:t>Item 4.</w:t>
            </w:r>
          </w:p>
        </w:tc>
        <w:tc>
          <w:tcPr>
            <w:tcW w:w="8320" w:type="dxa"/>
            <w:vAlign w:val="bottom"/>
          </w:tcPr>
          <w:p>
            <w:pPr>
              <w:ind w:left="180"/>
              <w:spacing w:after="0"/>
              <w:rPr>
                <w:sz w:val="20"/>
                <w:szCs w:val="20"/>
                <w:color w:val="auto"/>
              </w:rPr>
            </w:pPr>
            <w:r>
              <w:rPr>
                <w:rFonts w:ascii="Arial" w:cs="Arial" w:eastAsia="Arial" w:hAnsi="Arial"/>
                <w:sz w:val="16"/>
                <w:szCs w:val="16"/>
                <w:color w:val="auto"/>
              </w:rPr>
              <w:t>Controls and Procedures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8"/>
        </w:trPr>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901588"/>
            </w:tcBorders>
          </w:tcPr>
          <w:p>
            <w:pPr>
              <w:spacing w:after="0"/>
              <w:rPr>
                <w:sz w:val="17"/>
                <w:szCs w:val="17"/>
                <w:color w:val="auto"/>
              </w:rPr>
            </w:pPr>
          </w:p>
        </w:tc>
        <w:tc>
          <w:tcPr>
            <w:tcW w:w="8320" w:type="dxa"/>
            <w:vAlign w:val="bottom"/>
            <w:tcBorders>
              <w:bottom w:val="single" w:sz="8" w:color="901588"/>
            </w:tcBorders>
          </w:tcPr>
          <w:p>
            <w:pPr>
              <w:spacing w:after="0"/>
              <w:rPr>
                <w:sz w:val="17"/>
                <w:szCs w:val="17"/>
                <w:color w:val="auto"/>
              </w:rPr>
            </w:pPr>
          </w:p>
        </w:tc>
        <w:tc>
          <w:tcPr>
            <w:tcW w:w="2120" w:type="dxa"/>
            <w:vAlign w:val="bottom"/>
            <w:tcBorders>
              <w:bottom w:val="single" w:sz="8" w:color="901588"/>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0"/>
              <w:spacing w:after="0"/>
              <w:rPr>
                <w:sz w:val="20"/>
                <w:szCs w:val="20"/>
                <w:color w:val="auto"/>
              </w:rPr>
            </w:pPr>
            <w:r>
              <w:rPr>
                <w:rFonts w:ascii="Arial" w:cs="Arial" w:eastAsia="Arial" w:hAnsi="Arial"/>
                <w:sz w:val="16"/>
                <w:szCs w:val="16"/>
                <w:color w:val="auto"/>
              </w:rPr>
              <w:t>Item 1.</w:t>
            </w:r>
          </w:p>
        </w:tc>
        <w:tc>
          <w:tcPr>
            <w:tcW w:w="8320" w:type="dxa"/>
            <w:vAlign w:val="bottom"/>
          </w:tcPr>
          <w:p>
            <w:pPr>
              <w:ind w:left="180"/>
              <w:spacing w:after="0"/>
              <w:rPr>
                <w:sz w:val="20"/>
                <w:szCs w:val="20"/>
                <w:color w:val="auto"/>
              </w:rPr>
            </w:pPr>
            <w:r>
              <w:rPr>
                <w:rFonts w:ascii="Arial" w:cs="Arial" w:eastAsia="Arial" w:hAnsi="Arial"/>
                <w:sz w:val="16"/>
                <w:szCs w:val="16"/>
                <w:color w:val="auto"/>
              </w:rPr>
              <w:t>Legal Proceedings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6"/>
                <w:szCs w:val="16"/>
                <w:color w:val="auto"/>
              </w:rPr>
              <w:t>Item 1A.</w:t>
            </w:r>
          </w:p>
        </w:tc>
        <w:tc>
          <w:tcPr>
            <w:tcW w:w="8320" w:type="dxa"/>
            <w:vAlign w:val="bottom"/>
          </w:tcPr>
          <w:p>
            <w:pPr>
              <w:ind w:left="180"/>
              <w:spacing w:after="0"/>
              <w:rPr>
                <w:sz w:val="20"/>
                <w:szCs w:val="20"/>
                <w:color w:val="auto"/>
              </w:rPr>
            </w:pPr>
            <w:r>
              <w:rPr>
                <w:rFonts w:ascii="Arial" w:cs="Arial" w:eastAsia="Arial" w:hAnsi="Arial"/>
                <w:sz w:val="16"/>
                <w:szCs w:val="16"/>
                <w:color w:val="auto"/>
              </w:rPr>
              <w:t>Risk Factors</w:t>
            </w: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83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0" w:gutter="0" w:footer="0" w:header="0"/>
        </w:sectPr>
      </w:pPr>
    </w:p>
    <w:bookmarkStart w:id="3" w:name="page4"/>
    <w:bookmarkEnd w:id="3"/>
    <w:p>
      <w:pPr>
        <w:spacing w:after="0"/>
        <w:tabs>
          <w:tab w:leader="none" w:pos="94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Defaults Upon Senior Securities</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Mine Safety Disclosures</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color w:val="auto"/>
        </w:rPr>
        <w:t>Other Information</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925195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2">
            <w:col w:w="10300" w:space="720"/>
            <w:col w:w="180"/>
          </w:cols>
          <w:pgMar w:left="340" w:top="152"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I—Financial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January 2,</w:t>
            </w:r>
          </w:p>
        </w:tc>
      </w:tr>
      <w:tr>
        <w:trPr>
          <w:trHeight w:val="237"/>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share and per share data)</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457</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1,108</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Receivables,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3,028</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2,708</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Inventory,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336</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342</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current assets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582</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656</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4,814</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966</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961</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Intangible assets,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458</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Goodwill</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8,094</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6,342</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right-of-use assets, net</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526</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tax assets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assets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344</w:t>
            </w: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15,387</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13,493</w:t>
            </w:r>
          </w:p>
        </w:tc>
      </w:tr>
      <w:tr>
        <w:trPr>
          <w:trHeight w:val="234"/>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9"/>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2,145</w:t>
            </w:r>
          </w:p>
        </w:tc>
        <w:tc>
          <w:tcPr>
            <w:tcW w:w="500" w:type="dxa"/>
            <w:vAlign w:val="bottom"/>
            <w:tcBorders>
              <w:bottom w:val="single" w:sz="8" w:color="B2B2B2"/>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1,988</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Accrued payroll and employee benefits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687</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819</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Short-term debt and current portion of long-term debt</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320</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3,152</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2,827</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Long-term debt, net of current portion</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6,014</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4,628</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Operating lease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610</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587</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tax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280</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221</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267</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10,323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8,531</w:t>
            </w:r>
          </w:p>
        </w:tc>
      </w:tr>
      <w:tr>
        <w:trPr>
          <w:trHeight w:val="234"/>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Commitments and contingencies (Note 10)</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spacing w:after="0"/>
              <w:rPr>
                <w:sz w:val="20"/>
                <w:szCs w:val="20"/>
                <w:color w:val="auto"/>
              </w:rPr>
            </w:pP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Common stock, $0.0001 par value, 500,000,000 shares authorized, 125,783,512 and 126,380,657 shares</w:t>
            </w:r>
          </w:p>
        </w:tc>
        <w:tc>
          <w:tcPr>
            <w:tcW w:w="540" w:type="dxa"/>
            <w:vAlign w:val="bottom"/>
            <w:shd w:val="clear" w:color="auto" w:fill="F4E8F3"/>
          </w:tcPr>
          <w:p>
            <w:pPr>
              <w:spacing w:after="0"/>
              <w:rPr>
                <w:sz w:val="17"/>
                <w:szCs w:val="17"/>
                <w:color w:val="auto"/>
              </w:rPr>
            </w:pPr>
          </w:p>
        </w:tc>
        <w:tc>
          <w:tcPr>
            <w:tcW w:w="1020" w:type="dxa"/>
            <w:vAlign w:val="bottom"/>
            <w:shd w:val="clear" w:color="auto" w:fill="F4E8F3"/>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40"/>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issued and outstanding at April 3, 2026, and January 2, 2026, respectively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4,921</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4,647</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Leidos stockholders’ equity</w:t>
            </w:r>
          </w:p>
        </w:tc>
        <w:tc>
          <w:tcPr>
            <w:tcW w:w="540" w:type="dxa"/>
            <w:vAlign w:val="bottom"/>
            <w:tcBorders>
              <w:bottom w:val="single" w:sz="8" w:color="B2B2B2"/>
            </w:tcBorders>
            <w:shd w:val="clear" w:color="auto" w:fill="F4E8F3"/>
          </w:tcPr>
          <w:p>
            <w:pPr>
              <w:spacing w:after="0"/>
              <w:rPr>
                <w:sz w:val="20"/>
                <w:szCs w:val="20"/>
                <w:color w:val="auto"/>
              </w:rPr>
            </w:pPr>
          </w:p>
        </w:tc>
        <w:tc>
          <w:tcPr>
            <w:tcW w:w="10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5,013</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58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4"/>
              </w:rPr>
              <w:t>4,916</w:t>
            </w:r>
          </w:p>
        </w:tc>
      </w:tr>
      <w:tr>
        <w:trPr>
          <w:trHeight w:val="236"/>
        </w:trPr>
        <w:tc>
          <w:tcPr>
            <w:tcW w:w="81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Non-controlling interest</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w:t>
            </w: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901588"/>
            </w:tcBorders>
            <w:shd w:val="clear" w:color="auto" w:fill="F4E8F3"/>
          </w:tcPr>
          <w:p>
            <w:pPr>
              <w:spacing w:after="0"/>
              <w:rPr>
                <w:sz w:val="20"/>
                <w:szCs w:val="20"/>
                <w:color w:val="auto"/>
              </w:rPr>
            </w:pP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5,064</w:t>
            </w:r>
          </w:p>
        </w:tc>
        <w:tc>
          <w:tcPr>
            <w:tcW w:w="8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580" w:type="dxa"/>
            <w:vAlign w:val="bottom"/>
            <w:tcBorders>
              <w:bottom w:val="single" w:sz="8" w:color="901588"/>
            </w:tcBorders>
          </w:tcPr>
          <w:p>
            <w:pPr>
              <w:spacing w:after="0"/>
              <w:rPr>
                <w:sz w:val="20"/>
                <w:szCs w:val="20"/>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94"/>
              </w:rPr>
              <w:t>4,962</w:t>
            </w:r>
          </w:p>
        </w:tc>
      </w:tr>
      <w:tr>
        <w:trPr>
          <w:trHeight w:val="29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15,387</w:t>
            </w:r>
          </w:p>
        </w:tc>
        <w:tc>
          <w:tcPr>
            <w:tcW w:w="500" w:type="dxa"/>
            <w:vAlign w:val="bottom"/>
            <w:tcBorders>
              <w:bottom w:val="single" w:sz="8" w:color="901588"/>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color w:val="auto"/>
              </w:rPr>
              <w:t>13,493</w:t>
            </w:r>
          </w:p>
        </w:tc>
      </w:tr>
      <w:tr>
        <w:trPr>
          <w:trHeight w:val="367"/>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715"/>
        </w:trPr>
        <w:tc>
          <w:tcPr>
            <w:tcW w:w="8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gridSpan w:val="4"/>
          </w:tcPr>
          <w:p>
            <w:pPr>
              <w:ind w:left="660"/>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901588"/>
              </w:rPr>
              <w:t>1</w:t>
            </w:r>
          </w:p>
        </w:tc>
      </w:tr>
      <w:tr>
        <w:trPr>
          <w:trHeight w:val="333"/>
        </w:trPr>
        <w:tc>
          <w:tcPr>
            <w:tcW w:w="8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200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901588"/>
            </w:tcBorders>
          </w:tcPr>
          <w:p>
            <w:pPr>
              <w:spacing w:after="0"/>
              <w:rPr>
                <w:sz w:val="19"/>
                <w:szCs w:val="19"/>
                <w:color w:val="auto"/>
              </w:rPr>
            </w:pPr>
          </w:p>
        </w:tc>
      </w:tr>
      <w:tr>
        <w:trPr>
          <w:trHeight w:val="213"/>
        </w:trPr>
        <w:tc>
          <w:tcPr>
            <w:tcW w:w="8200" w:type="dxa"/>
            <w:vAlign w:val="bottom"/>
          </w:tcPr>
          <w:p>
            <w:pPr>
              <w:spacing w:after="0"/>
              <w:rPr>
                <w:sz w:val="18"/>
                <w:szCs w:val="18"/>
                <w:color w:val="auto"/>
              </w:rPr>
            </w:pPr>
          </w:p>
        </w:tc>
        <w:tc>
          <w:tcPr>
            <w:tcW w:w="42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 except per share data)</w:t>
            </w:r>
          </w:p>
        </w:tc>
        <w:tc>
          <w:tcPr>
            <w:tcW w:w="42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spacing w:after="0"/>
              <w:rPr>
                <w:sz w:val="19"/>
                <w:szCs w:val="19"/>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940" w:type="dxa"/>
            <w:vAlign w:val="bottom"/>
            <w:tcBorders>
              <w:bottom w:val="single" w:sz="8" w:color="B2B2B2"/>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4,245</w:t>
            </w:r>
          </w:p>
        </w:tc>
      </w:tr>
      <w:tr>
        <w:trPr>
          <w:trHeight w:val="237"/>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Cost of revenues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3,639</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3,488</w:t>
            </w:r>
          </w:p>
        </w:tc>
      </w:tr>
      <w:tr>
        <w:trPr>
          <w:trHeight w:val="237"/>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223</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integration and restructuring costs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Equity earnings of non-consolidated subsidiaries</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530</w:t>
            </w:r>
          </w:p>
        </w:tc>
      </w:tr>
      <w:tr>
        <w:trPr>
          <w:trHeight w:val="234"/>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r>
      <w:tr>
        <w:trPr>
          <w:trHeight w:val="239"/>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Interest expense, net</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expense, net</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429</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478</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365</w:t>
            </w:r>
          </w:p>
        </w:tc>
      </w:tr>
      <w:tr>
        <w:trPr>
          <w:trHeight w:val="236"/>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net income attributable to non-controlling interest</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77"/>
        </w:trPr>
        <w:tc>
          <w:tcPr>
            <w:tcW w:w="8200" w:type="dxa"/>
            <w:vAlign w:val="bottom"/>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20" w:type="dxa"/>
            <w:vAlign w:val="bottom"/>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328</w:t>
            </w: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27"/>
        </w:trPr>
        <w:tc>
          <w:tcPr>
            <w:tcW w:w="8200" w:type="dxa"/>
            <w:vAlign w:val="bottom"/>
            <w:tcBorders>
              <w:top w:val="single" w:sz="8" w:color="B2B2B2"/>
              <w:bottom w:val="single" w:sz="8" w:color="B2B2B2"/>
            </w:tcBorders>
          </w:tcPr>
          <w:p>
            <w:pPr>
              <w:spacing w:after="0"/>
              <w:rPr>
                <w:sz w:val="19"/>
                <w:szCs w:val="19"/>
                <w:color w:val="auto"/>
              </w:rPr>
            </w:pPr>
          </w:p>
        </w:tc>
        <w:tc>
          <w:tcPr>
            <w:tcW w:w="420" w:type="dxa"/>
            <w:vAlign w:val="bottom"/>
            <w:tcBorders>
              <w:top w:val="single" w:sz="8" w:color="901588"/>
              <w:bottom w:val="single" w:sz="8" w:color="B2B2B2"/>
            </w:tcBorders>
            <w:shd w:val="clear" w:color="auto" w:fill="F4E8F3"/>
          </w:tcPr>
          <w:p>
            <w:pPr>
              <w:spacing w:after="0"/>
              <w:rPr>
                <w:sz w:val="19"/>
                <w:szCs w:val="19"/>
                <w:color w:val="auto"/>
              </w:rPr>
            </w:pPr>
          </w:p>
        </w:tc>
        <w:tc>
          <w:tcPr>
            <w:tcW w:w="1060" w:type="dxa"/>
            <w:vAlign w:val="bottom"/>
            <w:tcBorders>
              <w:top w:val="single" w:sz="8" w:color="901588"/>
              <w:bottom w:val="single" w:sz="8" w:color="B2B2B2"/>
            </w:tcBorders>
            <w:shd w:val="clear" w:color="auto" w:fill="F4E8F3"/>
          </w:tcPr>
          <w:p>
            <w:pPr>
              <w:spacing w:after="0"/>
              <w:rPr>
                <w:sz w:val="19"/>
                <w:szCs w:val="19"/>
                <w:color w:val="auto"/>
              </w:rPr>
            </w:pPr>
          </w:p>
        </w:tc>
        <w:tc>
          <w:tcPr>
            <w:tcW w:w="80" w:type="dxa"/>
            <w:vAlign w:val="bottom"/>
            <w:tcBorders>
              <w:top w:val="single" w:sz="8" w:color="B2B2B2"/>
              <w:bottom w:val="single" w:sz="8" w:color="B2B2B2"/>
            </w:tcBorders>
          </w:tcPr>
          <w:p>
            <w:pPr>
              <w:spacing w:after="0"/>
              <w:rPr>
                <w:sz w:val="19"/>
                <w:szCs w:val="19"/>
                <w:color w:val="auto"/>
              </w:rPr>
            </w:pPr>
          </w:p>
        </w:tc>
        <w:tc>
          <w:tcPr>
            <w:tcW w:w="860" w:type="dxa"/>
            <w:vAlign w:val="bottom"/>
            <w:tcBorders>
              <w:top w:val="single" w:sz="8" w:color="901588"/>
              <w:bottom w:val="single" w:sz="8" w:color="B2B2B2"/>
            </w:tcBorders>
          </w:tcPr>
          <w:p>
            <w:pPr>
              <w:spacing w:after="0"/>
              <w:rPr>
                <w:sz w:val="19"/>
                <w:szCs w:val="19"/>
                <w:color w:val="auto"/>
              </w:rPr>
            </w:pPr>
          </w:p>
        </w:tc>
        <w:tc>
          <w:tcPr>
            <w:tcW w:w="620" w:type="dxa"/>
            <w:vAlign w:val="bottom"/>
            <w:tcBorders>
              <w:top w:val="single" w:sz="8" w:color="901588"/>
              <w:bottom w:val="single" w:sz="8" w:color="B2B2B2"/>
            </w:tcBorders>
          </w:tcPr>
          <w:p>
            <w:pPr>
              <w:spacing w:after="0"/>
              <w:rPr>
                <w:sz w:val="19"/>
                <w:szCs w:val="19"/>
                <w:color w:val="auto"/>
              </w:rPr>
            </w:pPr>
          </w:p>
        </w:tc>
      </w:tr>
      <w:tr>
        <w:trPr>
          <w:trHeight w:val="230"/>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r>
      <w:tr>
        <w:trPr>
          <w:trHeight w:val="239"/>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2.60</w:t>
            </w:r>
          </w:p>
        </w:tc>
        <w:tc>
          <w:tcPr>
            <w:tcW w:w="940" w:type="dxa"/>
            <w:vAlign w:val="bottom"/>
            <w:tcBorders>
              <w:bottom w:val="single" w:sz="8" w:color="B2B2B2"/>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2.79</w:t>
            </w:r>
          </w:p>
        </w:tc>
      </w:tr>
      <w:tr>
        <w:trPr>
          <w:trHeight w:val="237"/>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2.56</w:t>
            </w:r>
          </w:p>
        </w:tc>
        <w:tc>
          <w:tcPr>
            <w:tcW w:w="8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COMPREHENSIVE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2000" w:type="dxa"/>
            <w:vAlign w:val="bottom"/>
            <w:tcBorders>
              <w:bottom w:val="single" w:sz="8" w:color="901588"/>
            </w:tcBorders>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r>
      <w:tr>
        <w:trPr>
          <w:trHeight w:val="213"/>
        </w:trPr>
        <w:tc>
          <w:tcPr>
            <w:tcW w:w="8200" w:type="dxa"/>
            <w:vAlign w:val="bottom"/>
          </w:tcPr>
          <w:p>
            <w:pPr>
              <w:spacing w:after="0"/>
              <w:rPr>
                <w:sz w:val="18"/>
                <w:szCs w:val="18"/>
                <w:color w:val="auto"/>
              </w:rPr>
            </w:pPr>
          </w:p>
        </w:tc>
        <w:tc>
          <w:tcPr>
            <w:tcW w:w="420" w:type="dxa"/>
            <w:vAlign w:val="bottom"/>
            <w:shd w:val="clear" w:color="auto" w:fill="F4E8F3"/>
          </w:tcPr>
          <w:p>
            <w:pPr>
              <w:spacing w:after="0"/>
              <w:rPr>
                <w:sz w:val="18"/>
                <w:szCs w:val="18"/>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20" w:type="dxa"/>
            <w:vAlign w:val="bottom"/>
            <w:tcBorders>
              <w:bottom w:val="single" w:sz="8" w:color="901588"/>
            </w:tcBorders>
            <w:shd w:val="clear" w:color="auto" w:fill="F4E8F3"/>
          </w:tcPr>
          <w:p>
            <w:pPr>
              <w:spacing w:after="0"/>
              <w:rPr>
                <w:sz w:val="19"/>
                <w:szCs w:val="19"/>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19"/>
                <w:szCs w:val="19"/>
                <w:color w:val="auto"/>
              </w:rPr>
            </w:pPr>
          </w:p>
        </w:tc>
        <w:tc>
          <w:tcPr>
            <w:tcW w:w="860" w:type="dxa"/>
            <w:vAlign w:val="bottom"/>
            <w:tcBorders>
              <w:bottom w:val="single" w:sz="8" w:color="901588"/>
            </w:tcBorders>
          </w:tcPr>
          <w:p>
            <w:pPr>
              <w:spacing w:after="0"/>
              <w:rPr>
                <w:sz w:val="19"/>
                <w:szCs w:val="19"/>
                <w:color w:val="auto"/>
              </w:rPr>
            </w:pPr>
          </w:p>
        </w:tc>
        <w:tc>
          <w:tcPr>
            <w:tcW w:w="200" w:type="dxa"/>
            <w:vAlign w:val="bottom"/>
            <w:tcBorders>
              <w:bottom w:val="single" w:sz="8" w:color="901588"/>
            </w:tcBorders>
          </w:tcPr>
          <w:p>
            <w:pPr>
              <w:spacing w:after="0"/>
              <w:rPr>
                <w:sz w:val="19"/>
                <w:szCs w:val="19"/>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940" w:type="dxa"/>
            <w:vAlign w:val="bottom"/>
            <w:tcBorders>
              <w:bottom w:val="single" w:sz="8" w:color="B2B2B2"/>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365</w:t>
            </w:r>
          </w:p>
        </w:tc>
      </w:tr>
      <w:tr>
        <w:trPr>
          <w:trHeight w:val="236"/>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Unrecognized loss on derivative instruments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20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Pension adjustments</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other comprehensive income, net of taxes</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360</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2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392</w:t>
            </w:r>
          </w:p>
        </w:tc>
      </w:tr>
      <w:tr>
        <w:trPr>
          <w:trHeight w:val="236"/>
        </w:trPr>
        <w:tc>
          <w:tcPr>
            <w:tcW w:w="820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Less: net income attributable to non-controlling interest</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w:t>
            </w:r>
          </w:p>
        </w:tc>
        <w:tc>
          <w:tcPr>
            <w:tcW w:w="80" w:type="dxa"/>
            <w:vAlign w:val="bottom"/>
            <w:tcBorders>
              <w:bottom w:val="single" w:sz="8" w:color="B2B2B2"/>
            </w:tcBorders>
          </w:tcPr>
          <w:p>
            <w:pPr>
              <w:spacing w:after="0"/>
              <w:rPr>
                <w:sz w:val="20"/>
                <w:szCs w:val="20"/>
                <w:color w:val="auto"/>
              </w:rPr>
            </w:pPr>
          </w:p>
        </w:tc>
        <w:tc>
          <w:tcPr>
            <w:tcW w:w="860" w:type="dxa"/>
            <w:vAlign w:val="bottom"/>
            <w:tcBorders>
              <w:bottom w:val="single" w:sz="8" w:color="901588"/>
            </w:tcBorders>
          </w:tcPr>
          <w:p>
            <w:pPr>
              <w:spacing w:after="0"/>
              <w:rPr>
                <w:sz w:val="20"/>
                <w:szCs w:val="20"/>
                <w:color w:val="auto"/>
              </w:rPr>
            </w:pPr>
          </w:p>
        </w:tc>
        <w:tc>
          <w:tcPr>
            <w:tcW w:w="2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97"/>
        </w:trPr>
        <w:tc>
          <w:tcPr>
            <w:tcW w:w="8200" w:type="dxa"/>
            <w:vAlign w:val="bottom"/>
            <w:tcBorders>
              <w:bottom w:val="single" w:sz="8" w:color="901588"/>
            </w:tcBorders>
          </w:tcPr>
          <w:p>
            <w:pPr>
              <w:ind w:left="40"/>
              <w:spacing w:after="0"/>
              <w:rPr>
                <w:sz w:val="20"/>
                <w:szCs w:val="20"/>
                <w:color w:val="auto"/>
              </w:rPr>
            </w:pPr>
            <w:r>
              <w:rPr>
                <w:rFonts w:ascii="Arial" w:cs="Arial" w:eastAsia="Arial" w:hAnsi="Arial"/>
                <w:sz w:val="16"/>
                <w:szCs w:val="16"/>
                <w:color w:val="auto"/>
              </w:rPr>
              <w:t>Comprehensive income attributable to Leidos common stockholders</w:t>
            </w:r>
          </w:p>
        </w:tc>
        <w:tc>
          <w:tcPr>
            <w:tcW w:w="42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353</w:t>
            </w:r>
          </w:p>
        </w:tc>
        <w:tc>
          <w:tcPr>
            <w:tcW w:w="940" w:type="dxa"/>
            <w:vAlign w:val="bottom"/>
            <w:tcBorders>
              <w:bottom w:val="single" w:sz="8" w:color="901588"/>
            </w:tcBorders>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901588"/>
            </w:tcBorders>
          </w:tcPr>
          <w:p>
            <w:pPr>
              <w:spacing w:after="0"/>
              <w:rPr>
                <w:sz w:val="24"/>
                <w:szCs w:val="24"/>
                <w:color w:val="auto"/>
              </w:rPr>
            </w:pPr>
          </w:p>
        </w:tc>
        <w:tc>
          <w:tcPr>
            <w:tcW w:w="4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390</w:t>
            </w:r>
          </w:p>
        </w:tc>
      </w:tr>
      <w:tr>
        <w:trPr>
          <w:trHeight w:val="381"/>
        </w:trPr>
        <w:tc>
          <w:tcPr>
            <w:tcW w:w="820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16"/>
        </w:trPr>
        <w:tc>
          <w:tcPr>
            <w:tcW w:w="8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4"/>
          </w:tcPr>
          <w:p>
            <w:pPr>
              <w:ind w:left="700"/>
              <w:spacing w:after="0"/>
              <w:rPr>
                <w:sz w:val="20"/>
                <w:szCs w:val="20"/>
                <w:color w:val="auto"/>
              </w:rPr>
            </w:pPr>
            <w:r>
              <w:rPr>
                <w:rFonts w:ascii="Arial" w:cs="Arial" w:eastAsia="Arial" w:hAnsi="Arial"/>
                <w:sz w:val="14"/>
                <w:szCs w:val="14"/>
                <w:b w:val="1"/>
                <w:bCs w:val="1"/>
                <w:color w:val="901588"/>
              </w:rPr>
              <w:t>Leidos Holdings, Inc.</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901588"/>
              </w:rPr>
              <w:t>3</w:t>
            </w:r>
          </w:p>
        </w:tc>
      </w:tr>
      <w:tr>
        <w:trPr>
          <w:trHeight w:val="333"/>
        </w:trPr>
        <w:tc>
          <w:tcPr>
            <w:tcW w:w="8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EQUITY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gridSpan w:val="2"/>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900" w:type="dxa"/>
            <w:vAlign w:val="bottom"/>
            <w:gridSpan w:val="3"/>
          </w:tcPr>
          <w:p>
            <w:pPr>
              <w:ind w:left="32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901588"/>
            </w:tcBorders>
            <w:gridSpan w:val="2"/>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3"/>
          </w:tcPr>
          <w:p>
            <w:pPr>
              <w:ind w:lef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January 2, 2026</w:t>
            </w: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4,916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Issuances of stock</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Repurchases of stock and other</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Dividends of $0.43 per share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gridSpan w:val="2"/>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capital distributions to non-controlling</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96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4"/>
                <w:szCs w:val="14"/>
                <w:b w:val="1"/>
                <w:bCs w:val="1"/>
                <w:color w:val="auto"/>
              </w:rPr>
              <w:t>Balance at April 3, 2026</w:t>
            </w:r>
          </w:p>
        </w:tc>
        <w:tc>
          <w:tcPr>
            <w:tcW w:w="8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126</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117</w:t>
            </w: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180" w:type="dxa"/>
            <w:vAlign w:val="bottom"/>
            <w:tcBorders>
              <w:bottom w:val="single" w:sz="8" w:color="901588"/>
            </w:tcBorders>
            <w:shd w:val="clear" w:color="auto" w:fill="F4E8F3"/>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4,921</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5,013</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Borders>
              <w:bottom w:val="single" w:sz="8" w:color="F4E8F3"/>
            </w:tcBorders>
            <w:shd w:val="clear" w:color="auto" w:fill="F4E8F3"/>
          </w:tcPr>
          <w:p>
            <w:pPr>
              <w:spacing w:after="0"/>
              <w:rPr>
                <w:sz w:val="24"/>
                <w:szCs w:val="24"/>
                <w:color w:val="auto"/>
              </w:rPr>
            </w:pPr>
          </w:p>
        </w:tc>
        <w:tc>
          <w:tcPr>
            <w:tcW w:w="200" w:type="dxa"/>
            <w:vAlign w:val="bottom"/>
            <w:tcBorders>
              <w:bottom w:val="single" w:sz="8" w:color="901588"/>
            </w:tcBorders>
            <w:shd w:val="clear" w:color="auto" w:fill="F4E8F3"/>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4"/>
                <w:szCs w:val="14"/>
                <w:b w:val="1"/>
                <w:bCs w:val="1"/>
                <w:color w:val="auto"/>
              </w:rPr>
              <w:t>5,064</w:t>
            </w:r>
          </w:p>
        </w:tc>
        <w:tc>
          <w:tcPr>
            <w:tcW w:w="0" w:type="dxa"/>
            <w:vAlign w:val="bottom"/>
          </w:tcPr>
          <w:p>
            <w:pPr>
              <w:spacing w:after="0"/>
              <w:rPr>
                <w:sz w:val="1"/>
                <w:szCs w:val="1"/>
                <w:color w:val="auto"/>
              </w:rPr>
            </w:pPr>
          </w:p>
        </w:tc>
      </w:tr>
      <w:tr>
        <w:trPr>
          <w:trHeight w:val="478"/>
        </w:trPr>
        <w:tc>
          <w:tcPr>
            <w:tcW w:w="294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80" w:type="dxa"/>
            <w:vAlign w:val="bottom"/>
            <w:tcBorders>
              <w:top w:val="single" w:sz="8" w:color="901588"/>
            </w:tcBorders>
          </w:tcPr>
          <w:p>
            <w:pPr>
              <w:spacing w:after="0"/>
              <w:rPr>
                <w:sz w:val="24"/>
                <w:szCs w:val="24"/>
                <w:color w:val="auto"/>
              </w:rPr>
            </w:pPr>
          </w:p>
        </w:tc>
        <w:tc>
          <w:tcPr>
            <w:tcW w:w="80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80" w:type="dxa"/>
            <w:vAlign w:val="bottom"/>
            <w:tcBorders>
              <w:top w:val="single" w:sz="8" w:color="901588"/>
            </w:tcBorders>
          </w:tcPr>
          <w:p>
            <w:pPr>
              <w:spacing w:after="0"/>
              <w:rPr>
                <w:sz w:val="24"/>
                <w:szCs w:val="24"/>
                <w:color w:val="auto"/>
              </w:rPr>
            </w:pPr>
          </w:p>
        </w:tc>
        <w:tc>
          <w:tcPr>
            <w:tcW w:w="6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1280" w:type="dxa"/>
            <w:vAlign w:val="bottom"/>
            <w:tcBorders>
              <w:top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Borders>
              <w:top w:val="single" w:sz="8" w:color="901588"/>
            </w:tcBorders>
          </w:tcPr>
          <w:p>
            <w:pPr>
              <w:spacing w:after="0"/>
              <w:rPr>
                <w:sz w:val="24"/>
                <w:szCs w:val="24"/>
                <w:color w:val="auto"/>
              </w:rPr>
            </w:pPr>
          </w:p>
        </w:tc>
        <w:tc>
          <w:tcPr>
            <w:tcW w:w="104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84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00" w:type="dxa"/>
            <w:vAlign w:val="bottom"/>
            <w:tcBorders>
              <w:top w:val="single" w:sz="8" w:color="901588"/>
            </w:tcBorders>
          </w:tcPr>
          <w:p>
            <w:pPr>
              <w:spacing w:after="0"/>
              <w:rPr>
                <w:sz w:val="24"/>
                <w:szCs w:val="24"/>
                <w:color w:val="auto"/>
              </w:rPr>
            </w:pPr>
          </w:p>
        </w:tc>
        <w:tc>
          <w:tcPr>
            <w:tcW w:w="1060" w:type="dxa"/>
            <w:vAlign w:val="bottom"/>
            <w:tcBorders>
              <w:top w:val="single" w:sz="8" w:color="901588"/>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gridSpan w:val="2"/>
            <w:vMerge w:val="restart"/>
          </w:tcPr>
          <w:p>
            <w:pPr>
              <w:ind w:left="20"/>
              <w:spacing w:after="0"/>
              <w:rPr>
                <w:sz w:val="20"/>
                <w:szCs w:val="20"/>
                <w:color w:val="auto"/>
              </w:rPr>
            </w:pPr>
            <w:r>
              <w:rPr>
                <w:rFonts w:ascii="Arial" w:cs="Arial" w:eastAsia="Arial" w:hAnsi="Arial"/>
                <w:sz w:val="14"/>
                <w:szCs w:val="14"/>
                <w:color w:val="auto"/>
              </w:rPr>
              <w:t>(unaudited; in millions, except per</w:t>
            </w: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Leidos</w:t>
            </w:r>
          </w:p>
        </w:tc>
        <w:tc>
          <w:tcPr>
            <w:tcW w:w="2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stockholders'</w:t>
            </w:r>
          </w:p>
        </w:tc>
        <w:tc>
          <w:tcPr>
            <w:tcW w:w="2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901588"/>
            </w:tcBorders>
            <w:gridSpan w:val="2"/>
          </w:tcPr>
          <w:p>
            <w:pPr>
              <w:ind w:left="20"/>
              <w:spacing w:after="0"/>
              <w:rPr>
                <w:sz w:val="20"/>
                <w:szCs w:val="20"/>
                <w:color w:val="auto"/>
              </w:rPr>
            </w:pPr>
            <w:r>
              <w:rPr>
                <w:rFonts w:ascii="Arial" w:cs="Arial" w:eastAsia="Arial" w:hAnsi="Arial"/>
                <w:sz w:val="14"/>
                <w:szCs w:val="14"/>
                <w:color w:val="auto"/>
              </w:rPr>
              <w:t>share data)</w:t>
            </w:r>
          </w:p>
        </w:tc>
        <w:tc>
          <w:tcPr>
            <w:tcW w:w="1000" w:type="dxa"/>
            <w:vAlign w:val="bottom"/>
            <w:tcBorders>
              <w:bottom w:val="single" w:sz="8" w:color="901588"/>
            </w:tcBorders>
            <w:gridSpan w:val="4"/>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901588"/>
            </w:tcBorders>
          </w:tcPr>
          <w:p>
            <w:pPr>
              <w:spacing w:after="0"/>
              <w:rPr>
                <w:sz w:val="18"/>
                <w:szCs w:val="18"/>
                <w:color w:val="auto"/>
              </w:rPr>
            </w:pPr>
          </w:p>
        </w:tc>
        <w:tc>
          <w:tcPr>
            <w:tcW w:w="900" w:type="dxa"/>
            <w:vAlign w:val="bottom"/>
            <w:tcBorders>
              <w:bottom w:val="single" w:sz="8" w:color="901588"/>
            </w:tcBorders>
            <w:gridSpan w:val="3"/>
          </w:tcPr>
          <w:p>
            <w:pPr>
              <w:ind w:lef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901588"/>
            </w:tcBorders>
          </w:tcPr>
          <w:p>
            <w:pPr>
              <w:spacing w:after="0"/>
              <w:rPr>
                <w:sz w:val="18"/>
                <w:szCs w:val="18"/>
                <w:color w:val="auto"/>
              </w:rPr>
            </w:pPr>
          </w:p>
        </w:tc>
        <w:tc>
          <w:tcPr>
            <w:tcW w:w="800" w:type="dxa"/>
            <w:vAlign w:val="bottom"/>
            <w:tcBorders>
              <w:bottom w:val="single" w:sz="8" w:color="901588"/>
            </w:tcBorders>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901588"/>
            </w:tcBorders>
          </w:tcPr>
          <w:p>
            <w:pPr>
              <w:spacing w:after="0"/>
              <w:rPr>
                <w:sz w:val="18"/>
                <w:szCs w:val="18"/>
                <w:color w:val="auto"/>
              </w:rPr>
            </w:pPr>
          </w:p>
        </w:tc>
        <w:tc>
          <w:tcPr>
            <w:tcW w:w="128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901588"/>
            </w:tcBorders>
          </w:tcPr>
          <w:p>
            <w:pPr>
              <w:spacing w:after="0"/>
              <w:rPr>
                <w:sz w:val="18"/>
                <w:szCs w:val="18"/>
                <w:color w:val="auto"/>
              </w:rPr>
            </w:pPr>
          </w:p>
        </w:tc>
        <w:tc>
          <w:tcPr>
            <w:tcW w:w="11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bottom w:val="single" w:sz="8" w:color="901588"/>
            </w:tcBorders>
          </w:tcPr>
          <w:p>
            <w:pPr>
              <w:spacing w:after="0"/>
              <w:rPr>
                <w:sz w:val="18"/>
                <w:szCs w:val="18"/>
                <w:color w:val="auto"/>
              </w:rPr>
            </w:pPr>
          </w:p>
        </w:tc>
        <w:tc>
          <w:tcPr>
            <w:tcW w:w="9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901588"/>
            </w:tcBorders>
          </w:tcPr>
          <w:p>
            <w:pPr>
              <w:spacing w:after="0"/>
              <w:rPr>
                <w:sz w:val="18"/>
                <w:szCs w:val="18"/>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January 3, 2025</w:t>
            </w: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4,412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4,460</w:t>
            </w:r>
          </w:p>
        </w:tc>
        <w:tc>
          <w:tcPr>
            <w:tcW w:w="0" w:type="dxa"/>
            <w:vAlign w:val="bottom"/>
          </w:tcPr>
          <w:p>
            <w:pPr>
              <w:spacing w:after="0"/>
              <w:rPr>
                <w:sz w:val="1"/>
                <w:szCs w:val="1"/>
                <w:color w:val="auto"/>
              </w:rPr>
            </w:pPr>
          </w:p>
        </w:tc>
      </w:tr>
      <w:tr>
        <w:trPr>
          <w:trHeight w:val="21"/>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Other comprehensive income, net of taxes</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Issuances of stock</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Repurchases of stock and other</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gridSpan w:val="3"/>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Dividends of $0.40 per share</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1000" w:type="dxa"/>
            <w:vAlign w:val="bottom"/>
            <w:tcBorders>
              <w:bottom w:val="single" w:sz="8" w:color="B2B2B2"/>
            </w:tcBorders>
            <w:gridSpan w:val="4"/>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gridSpan w:val="4"/>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80" w:type="dxa"/>
            <w:vAlign w:val="bottom"/>
            <w:tcBorders>
              <w:bottom w:val="single" w:sz="8" w:color="B2B2B2"/>
            </w:tcBorders>
            <w:gridSpan w:val="3"/>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940" w:type="dxa"/>
            <w:vAlign w:val="bottom"/>
            <w:tcBorders>
              <w:bottom w:val="single" w:sz="8" w:color="B2B2B2"/>
            </w:tcBorders>
            <w:gridSpan w:val="2"/>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
        </w:trPr>
        <w:tc>
          <w:tcPr>
            <w:tcW w:w="2960" w:type="dxa"/>
            <w:vAlign w:val="bottom"/>
            <w:tcBorders>
              <w:bottom w:val="single" w:sz="8" w:color="B2B2B2"/>
            </w:tcBorders>
            <w:gridSpan w:val="2"/>
          </w:tcPr>
          <w:p>
            <w:pPr>
              <w:spacing w:after="0" w:line="20" w:lineRule="exact"/>
              <w:rPr>
                <w:sz w:val="1"/>
                <w:szCs w:val="1"/>
                <w:color w:val="auto"/>
              </w:rPr>
            </w:pPr>
          </w:p>
        </w:tc>
        <w:tc>
          <w:tcPr>
            <w:tcW w:w="8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6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18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8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060" w:type="dxa"/>
            <w:vAlign w:val="bottom"/>
            <w:tcBorders>
              <w:bottom w:val="single" w:sz="8" w:color="B2B2B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960" w:type="dxa"/>
            <w:vAlign w:val="bottom"/>
            <w:gridSpan w:val="2"/>
          </w:tcPr>
          <w:p>
            <w:pPr>
              <w:ind w:left="160"/>
              <w:spacing w:after="0"/>
              <w:rPr>
                <w:sz w:val="20"/>
                <w:szCs w:val="20"/>
                <w:color w:val="auto"/>
              </w:rPr>
            </w:pPr>
            <w:r>
              <w:rPr>
                <w:rFonts w:ascii="Arial" w:cs="Arial" w:eastAsia="Arial" w:hAnsi="Arial"/>
                <w:sz w:val="14"/>
                <w:szCs w:val="14"/>
                <w:color w:val="auto"/>
              </w:rPr>
              <w:t>Net capital distributions to non-controlling</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60"/>
              <w:spacing w:after="0"/>
              <w:rPr>
                <w:sz w:val="20"/>
                <w:szCs w:val="20"/>
                <w:color w:val="auto"/>
              </w:rPr>
            </w:pPr>
            <w:r>
              <w:rPr>
                <w:rFonts w:ascii="Arial" w:cs="Arial" w:eastAsia="Arial" w:hAnsi="Arial"/>
                <w:sz w:val="14"/>
                <w:szCs w:val="14"/>
                <w:color w:val="auto"/>
              </w:rPr>
              <w:t>interest</w:t>
            </w:r>
          </w:p>
        </w:tc>
        <w:tc>
          <w:tcPr>
            <w:tcW w:w="10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
        </w:trPr>
        <w:tc>
          <w:tcPr>
            <w:tcW w:w="29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Balance at April 4, 2025</w:t>
            </w:r>
          </w:p>
        </w:tc>
        <w:tc>
          <w:tcPr>
            <w:tcW w:w="88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2"/>
        </w:trPr>
        <w:tc>
          <w:tcPr>
            <w:tcW w:w="294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8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8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1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84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2100" w:type="dxa"/>
            <w:vAlign w:val="bottom"/>
            <w:tcBorders>
              <w:bottom w:val="single" w:sz="8" w:color="901588"/>
            </w:tcBorders>
            <w:gridSpan w:val="3"/>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46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6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c>
          <w:tcPr>
            <w:tcW w:w="220" w:type="dxa"/>
            <w:vAlign w:val="bottom"/>
            <w:tcBorders>
              <w:bottom w:val="single" w:sz="8" w:color="901588"/>
            </w:tcBorders>
          </w:tcPr>
          <w:p>
            <w:pPr>
              <w:spacing w:after="0"/>
              <w:rPr>
                <w:sz w:val="19"/>
                <w:szCs w:val="19"/>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operations: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335</w:t>
            </w:r>
          </w:p>
        </w:tc>
        <w:tc>
          <w:tcPr>
            <w:tcW w:w="1000" w:type="dxa"/>
            <w:vAlign w:val="bottom"/>
            <w:tcBorders>
              <w:bottom w:val="single" w:sz="8" w:color="B2B2B2"/>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365</w:t>
            </w:r>
          </w:p>
        </w:tc>
      </w:tr>
      <w:tr>
        <w:trPr>
          <w:trHeight w:val="234"/>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Stock-based compensation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Deferred income taxes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Loss on pension plan settlement</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8020" w:type="dxa"/>
            <w:vAlign w:val="bottom"/>
            <w:tcBorders>
              <w:bottom w:val="single" w:sz="8" w:color="B2B2B2"/>
            </w:tcBorders>
          </w:tcPr>
          <w:p>
            <w:pPr>
              <w:ind w:left="240"/>
              <w:spacing w:after="0"/>
              <w:rPr>
                <w:sz w:val="20"/>
                <w:szCs w:val="20"/>
                <w:color w:val="auto"/>
              </w:rPr>
            </w:pPr>
            <w:r>
              <w:rPr>
                <w:rFonts w:ascii="Arial" w:cs="Arial" w:eastAsia="Arial" w:hAnsi="Arial"/>
                <w:sz w:val="16"/>
                <w:szCs w:val="16"/>
                <w:color w:val="auto"/>
              </w:rPr>
              <w:t>Change in assets and liabilities, net of effects of acquisitions and dispositions: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Receivables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(246)</w:t>
            </w:r>
          </w:p>
        </w:tc>
      </w:tr>
      <w:tr>
        <w:trPr>
          <w:trHeight w:val="236"/>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Other current assets and other long-term assets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Accounts payable and accrued liabilities and other long-term liabilities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Accrued payroll and employee benefits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802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Income taxes receivable/payable</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301</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 net of cash acquired</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(2,338)</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property, equipment and software</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Divestiture of a business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(2,359)</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debt issuance</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1,397</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997</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proceeds from commercial paper</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Repayments of borrowings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(529)</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Payments for debt issuance costs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Dividend payments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Repurchases of stock and other</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(243)</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(528)</w:t>
            </w:r>
          </w:p>
        </w:tc>
      </w:tr>
      <w:tr>
        <w:trPr>
          <w:trHeight w:val="237"/>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Proceeds from issuances of stock</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Net capital distributions to non-controlling interests</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1,393</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(666)</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1,204</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991</w:t>
            </w:r>
          </w:p>
        </w:tc>
      </w:tr>
      <w:tr>
        <w:trPr>
          <w:trHeight w:val="236"/>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538</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spacing w:after="0"/>
              <w:rPr>
                <w:sz w:val="20"/>
                <w:szCs w:val="20"/>
                <w:color w:val="auto"/>
              </w:rPr>
            </w:pPr>
          </w:p>
        </w:tc>
        <w:tc>
          <w:tcPr>
            <w:tcW w:w="22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924</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restricted cash at end of period</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220" w:type="dxa"/>
            <w:vAlign w:val="bottom"/>
            <w:tcBorders>
              <w:bottom w:val="single" w:sz="8" w:color="901588"/>
            </w:tcBorders>
          </w:tcPr>
          <w:p>
            <w:pPr>
              <w:spacing w:after="0"/>
              <w:rPr>
                <w:sz w:val="20"/>
                <w:szCs w:val="20"/>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82</w:t>
            </w:r>
          </w:p>
        </w:tc>
      </w:tr>
      <w:tr>
        <w:trPr>
          <w:trHeight w:val="297"/>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457</w:t>
            </w:r>
          </w:p>
        </w:tc>
        <w:tc>
          <w:tcPr>
            <w:tcW w:w="1000" w:type="dxa"/>
            <w:vAlign w:val="bottom"/>
            <w:tcBorders>
              <w:bottom w:val="single" w:sz="8" w:color="901588"/>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842</w:t>
            </w:r>
          </w:p>
        </w:tc>
      </w:tr>
      <w:tr>
        <w:trPr>
          <w:trHeight w:val="381"/>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condensed consolidated financial statements.</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16"/>
        </w:trPr>
        <w:tc>
          <w:tcPr>
            <w:tcW w:w="8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4"/>
          </w:tcPr>
          <w:p>
            <w:pPr>
              <w:ind w:left="840"/>
              <w:spacing w:after="0"/>
              <w:rPr>
                <w:sz w:val="20"/>
                <w:szCs w:val="20"/>
                <w:color w:val="auto"/>
              </w:rPr>
            </w:pPr>
            <w:r>
              <w:rPr>
                <w:rFonts w:ascii="Arial" w:cs="Arial" w:eastAsia="Arial" w:hAnsi="Arial"/>
                <w:sz w:val="14"/>
                <w:szCs w:val="14"/>
                <w:b w:val="1"/>
                <w:bCs w:val="1"/>
                <w:color w:val="901588"/>
              </w:rPr>
              <w:t>Leidos Holdings, Inc.</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901588"/>
              </w:rPr>
              <w:t>5</w:t>
            </w:r>
          </w:p>
        </w:tc>
      </w:tr>
      <w:tr>
        <w:trPr>
          <w:trHeight w:val="333"/>
        </w:trPr>
        <w:tc>
          <w:tcPr>
            <w:tcW w:w="8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CONDENSED CONSOLIDATED STATEMENTS OF CASH FLOWS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2100" w:type="dxa"/>
            <w:vAlign w:val="bottom"/>
            <w:tcBorders>
              <w:bottom w:val="single" w:sz="8" w:color="901588"/>
            </w:tcBorders>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901588"/>
            </w:tcBorders>
          </w:tcPr>
          <w:p>
            <w:pPr>
              <w:spacing w:after="0"/>
              <w:rPr>
                <w:sz w:val="19"/>
                <w:szCs w:val="19"/>
                <w:color w:val="auto"/>
              </w:rPr>
            </w:pPr>
          </w:p>
        </w:tc>
      </w:tr>
      <w:tr>
        <w:trPr>
          <w:trHeight w:val="213"/>
        </w:trPr>
        <w:tc>
          <w:tcPr>
            <w:tcW w:w="8020" w:type="dxa"/>
            <w:vAlign w:val="bottom"/>
          </w:tcPr>
          <w:p>
            <w:pPr>
              <w:spacing w:after="0"/>
              <w:rPr>
                <w:sz w:val="18"/>
                <w:szCs w:val="18"/>
                <w:color w:val="auto"/>
              </w:rPr>
            </w:pPr>
          </w:p>
        </w:tc>
        <w:tc>
          <w:tcPr>
            <w:tcW w:w="460" w:type="dxa"/>
            <w:vAlign w:val="bottom"/>
            <w:shd w:val="clear" w:color="auto" w:fill="F4E8F3"/>
          </w:tcPr>
          <w:p>
            <w:pPr>
              <w:spacing w:after="0"/>
              <w:rPr>
                <w:sz w:val="18"/>
                <w:szCs w:val="18"/>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0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(unaudited; in millions)</w:t>
            </w:r>
          </w:p>
        </w:tc>
        <w:tc>
          <w:tcPr>
            <w:tcW w:w="460" w:type="dxa"/>
            <w:vAlign w:val="bottom"/>
            <w:tcBorders>
              <w:bottom w:val="single" w:sz="8" w:color="901588"/>
            </w:tcBorders>
            <w:shd w:val="clear" w:color="auto" w:fill="F4E8F3"/>
          </w:tcPr>
          <w:p>
            <w:pPr>
              <w:spacing w:after="0"/>
              <w:rPr>
                <w:sz w:val="19"/>
                <w:szCs w:val="19"/>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0" w:type="dxa"/>
            <w:vAlign w:val="bottom"/>
            <w:tcBorders>
              <w:bottom w:val="single" w:sz="8" w:color="901588"/>
            </w:tcBorders>
          </w:tcPr>
          <w:p>
            <w:pPr>
              <w:spacing w:after="0"/>
              <w:rPr>
                <w:sz w:val="19"/>
                <w:szCs w:val="19"/>
                <w:color w:val="auto"/>
              </w:rPr>
            </w:pPr>
          </w:p>
        </w:tc>
        <w:tc>
          <w:tcPr>
            <w:tcW w:w="6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Supplementary cash flow information:</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1000" w:type="dxa"/>
            <w:vAlign w:val="bottom"/>
            <w:tcBorders>
              <w:bottom w:val="single" w:sz="8" w:color="B2B2B2"/>
            </w:tcBorders>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Cash paid for interest</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68</w:t>
            </w:r>
          </w:p>
        </w:tc>
        <w:tc>
          <w:tcPr>
            <w:tcW w:w="10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investing activity:</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Property, plant and equipment additions</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0" w:type="dxa"/>
            <w:vAlign w:val="bottom"/>
            <w:tcBorders>
              <w:bottom w:val="single" w:sz="8" w:color="B2B2B2"/>
            </w:tcBorders>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Non-cash financing activity:</w:t>
            </w:r>
          </w:p>
        </w:tc>
        <w:tc>
          <w:tcPr>
            <w:tcW w:w="460" w:type="dxa"/>
            <w:vAlign w:val="bottom"/>
            <w:tcBorders>
              <w:bottom w:val="single" w:sz="8" w:color="B2B2B2"/>
            </w:tcBorders>
            <w:shd w:val="clear" w:color="auto" w:fill="F4E8F3"/>
          </w:tcPr>
          <w:p>
            <w:pPr>
              <w:spacing w:after="0"/>
              <w:rPr>
                <w:sz w:val="20"/>
                <w:szCs w:val="20"/>
                <w:color w:val="auto"/>
              </w:rPr>
            </w:pPr>
          </w:p>
        </w:tc>
        <w:tc>
          <w:tcPr>
            <w:tcW w:w="110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r>
      <w:tr>
        <w:trPr>
          <w:trHeight w:val="239"/>
        </w:trPr>
        <w:tc>
          <w:tcPr>
            <w:tcW w:w="8020" w:type="dxa"/>
            <w:vAlign w:val="bottom"/>
            <w:tcBorders>
              <w:bottom w:val="single" w:sz="8" w:color="90158B"/>
            </w:tcBorders>
          </w:tcPr>
          <w:p>
            <w:pPr>
              <w:ind w:left="140"/>
              <w:spacing w:after="0"/>
              <w:rPr>
                <w:sz w:val="20"/>
                <w:szCs w:val="20"/>
                <w:color w:val="auto"/>
              </w:rPr>
            </w:pPr>
            <w:r>
              <w:rPr>
                <w:rFonts w:ascii="Arial" w:cs="Arial" w:eastAsia="Arial" w:hAnsi="Arial"/>
                <w:sz w:val="16"/>
                <w:szCs w:val="16"/>
                <w:color w:val="auto"/>
              </w:rPr>
              <w:t>Finance lease obligations</w:t>
            </w:r>
          </w:p>
        </w:tc>
        <w:tc>
          <w:tcPr>
            <w:tcW w:w="460" w:type="dxa"/>
            <w:vAlign w:val="bottom"/>
            <w:tcBorders>
              <w:bottom w:val="single" w:sz="8" w:color="90158B"/>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w:t>
            </w:r>
          </w:p>
        </w:tc>
        <w:tc>
          <w:tcPr>
            <w:tcW w:w="1000" w:type="dxa"/>
            <w:vAlign w:val="bottom"/>
            <w:tcBorders>
              <w:bottom w:val="single" w:sz="8" w:color="90158B"/>
            </w:tcBorders>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LEIDOS HOLDINGS, INC.</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1–Basis of Presentation and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NATURE OF OPERATIONS AND BASIS OF PRESENTATION</w:t>
      </w:r>
    </w:p>
    <w:p>
      <w:pPr>
        <w:spacing w:after="0" w:line="122"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Leidos Holdings, Inc. ("Leidos"), a Delaware corporation, is a holding company whose direct 100%-owned subsidiary and principal operating company is Leidos, Inc. Leidos, is an industry and technology leader serving government and commercial customers with smarter, more efficient digital and mission innovations. Headquartered in Reston, Virginia, with 50,000 global employees, Leidos' customers include the U.S. Department of War (“DoW”), the U.S.</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w:t>
      </w:r>
    </w:p>
    <w:p>
      <w:pPr>
        <w:spacing w:after="0" w:line="7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Beginning fiscal 2026, we completed a realignment of our reporting structure, which resulted in the identification of four reportable segments: Intelligence &amp; Digital, Health, Homeland and Defense. Additionally, we separately present the unallocable costs associated with corporate functions as Corporate. We commenced operating and reporting under the new organizational structure effective the first day of fiscal 2026. As a result of this change, prior year segment results have been recast to reflect the current reportable segment structure.</w:t>
      </w:r>
    </w:p>
    <w:p>
      <w:pPr>
        <w:spacing w:after="0" w:line="77"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We have a controlling interest in Hanford Mission Integration Solutions, LLC ("HMIS") and a joint venture with Centerra Group, LLC and Parsons Government Services, Inc. The financial results for HMIS are consolidated into our unaudited condensed consolidated financial statements. The unaudited condensed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unaudited condensed consolidated financial statements for the periods presented. Intercompany accounts and transactions between consolidated companies have been eliminated in consolidation.</w:t>
      </w:r>
    </w:p>
    <w:p>
      <w:pPr>
        <w:spacing w:after="0" w:line="6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rules of the U.S. Securities and Exchange Commission and accounting principles generally accepted in the United States of America ("GAAP"). Certain disclosures normally included in financial statements prepared in accordance with GAAP have been condensed or omitted pursuant to such rules. The preparation of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assets and lease liabilities, fair value and impairment of intangible assets and goodwill, income taxes, stock-based compensation expense and contingencies. These estimates have been prepared by management on the basis of the most current and best available information; however, actual results could differ materially from those estimates.</w:t>
      </w:r>
    </w:p>
    <w:p>
      <w:pPr>
        <w:spacing w:after="0" w:line="80" w:lineRule="exact"/>
        <w:rPr>
          <w:sz w:val="20"/>
          <w:szCs w:val="20"/>
          <w:color w:val="auto"/>
        </w:rPr>
      </w:pPr>
    </w:p>
    <w:p>
      <w:pPr>
        <w:jc w:val="both"/>
        <w:ind w:right="24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reflect all adjustments, which consist of normal recurring adjustments, necessary for a fair presentation thereof. The results reported in these unaudited condensed consolidated financial statements are not necessarily indicative of the results that may be expected for the entire year. These unaudited condensed consolidated financial statements should be read in conjunction with the consolidated financial statements and notes thereto included in the Annual Report on Form 10-K filed on February 17, 2026.</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901588"/>
              </w:rPr>
              <w:t>7</w:t>
            </w:r>
          </w:p>
        </w:tc>
      </w:tr>
      <w:tr>
        <w:trPr>
          <w:trHeight w:val="320"/>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ACCOUNTING STANDARDS UPDATES ADOPTED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ASU 2025-06 Intangibles - Goodwill and Other-Internal-Use Software</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September 2025, the FASB issued ASU 2025-06, which amends certain aspects of the accounting and disclosure of Internal use software costs. Current guidance requires capitalization of internal-use software development costs depending on the nature of the costs and the project stage during which they occur. The amendments in this update remove references to prescriptive and sequential software development stages and require entities to start capitalizing software development costs when a) management authorizes and commits to funding the software project, and b) it is probable that the project will be completed, and the software will be used to perform the intended function.</w:t>
      </w:r>
    </w:p>
    <w:p>
      <w:pPr>
        <w:spacing w:after="0" w:line="61"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amendments in this update are effective for public business entities for annual periods beginning after December 15, 2027, including interim periods within those annual reporting periods, and may be adopted on a prospective, modified or retrospective basis. Early adoption is permitted. Effective fiscal 2026, we adopted the requirements of ASU 2025-06, using the prospective method. The adoption did not have a material impact on our consolidated financial statements and related disclosures.</w:t>
      </w:r>
    </w:p>
    <w:p>
      <w:pPr>
        <w:spacing w:after="0" w:line="135" w:lineRule="exact"/>
        <w:rPr>
          <w:sz w:val="20"/>
          <w:szCs w:val="20"/>
          <w:color w:val="auto"/>
        </w:rPr>
      </w:pPr>
    </w:p>
    <w:p>
      <w:pPr>
        <w:ind w:right="5060"/>
        <w:spacing w:after="0" w:line="417" w:lineRule="auto"/>
        <w:rPr>
          <w:sz w:val="20"/>
          <w:szCs w:val="20"/>
          <w:color w:val="auto"/>
        </w:rPr>
      </w:pPr>
      <w:r>
        <w:rPr>
          <w:rFonts w:ascii="Arial" w:cs="Arial" w:eastAsia="Arial" w:hAnsi="Arial"/>
          <w:sz w:val="18"/>
          <w:szCs w:val="18"/>
          <w:b w:val="1"/>
          <w:bCs w:val="1"/>
          <w:color w:val="901588"/>
        </w:rPr>
        <w:t>ACCOUNTING STANDARDS UPDATES ISSUED BUT NOT YET ADOPTED ASU 2024-03 Disaggregation of Income Statement Expenses</w:t>
      </w:r>
    </w:p>
    <w:p>
      <w:pPr>
        <w:spacing w:after="0" w:line="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November 2024, the FASB issued ASU 2024-03,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w:t>
      </w:r>
    </w:p>
    <w:p>
      <w:pPr>
        <w:spacing w:after="0" w:line="50"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The amendments in this update are effective for public entities for annual periods beginning after December 15, 2026, and interim periods beginning after December 15, 2027. The amendments may be adopted either prospectively or retrospectively. Early adoption is permitted. We are currently evaluating the impacts of this update and plan to adopt these amendments for annual disclosures in fiscal 2027 and interim disclosures in fiscal 2028.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CHANGES IN ESTIMATES ON CONTRACTS</w:t>
      </w:r>
    </w:p>
    <w:p>
      <w:pPr>
        <w:spacing w:after="0" w:line="1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20"/>
                <w:szCs w:val="20"/>
                <w:color w:val="auto"/>
              </w:rPr>
            </w:pPr>
            <w:r>
              <w:rPr>
                <w:rFonts w:ascii="Arial" w:cs="Arial" w:eastAsia="Arial" w:hAnsi="Arial"/>
                <w:sz w:val="16"/>
                <w:szCs w:val="16"/>
                <w:color w:val="auto"/>
              </w:rPr>
              <w:t>Changes in estimates on contracts were as follows: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82"/>
        </w:trPr>
        <w:tc>
          <w:tcPr>
            <w:tcW w:w="8000" w:type="dxa"/>
            <w:vAlign w:val="bottom"/>
          </w:tcPr>
          <w:p>
            <w:pPr>
              <w:spacing w:after="0"/>
              <w:rPr>
                <w:sz w:val="24"/>
                <w:szCs w:val="24"/>
                <w:color w:val="auto"/>
              </w:rPr>
            </w:pPr>
          </w:p>
        </w:tc>
        <w:tc>
          <w:tcPr>
            <w:tcW w:w="460" w:type="dxa"/>
            <w:vAlign w:val="bottom"/>
            <w:tcBorders>
              <w:bottom w:val="single" w:sz="8" w:color="901588"/>
            </w:tcBorders>
          </w:tcPr>
          <w:p>
            <w:pPr>
              <w:spacing w:after="0"/>
              <w:rPr>
                <w:sz w:val="24"/>
                <w:szCs w:val="24"/>
                <w:color w:val="auto"/>
              </w:rPr>
            </w:pPr>
          </w:p>
        </w:tc>
        <w:tc>
          <w:tcPr>
            <w:tcW w:w="2100" w:type="dxa"/>
            <w:vAlign w:val="bottom"/>
            <w:tcBorders>
              <w:bottom w:val="single" w:sz="8" w:color="901588"/>
            </w:tcBorders>
            <w:gridSpan w:val="3"/>
          </w:tcPr>
          <w:p>
            <w:pPr>
              <w:jc w:val="right"/>
              <w:ind w:right="140"/>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901588"/>
            </w:tcBorders>
          </w:tcPr>
          <w:p>
            <w:pPr>
              <w:spacing w:after="0"/>
              <w:rPr>
                <w:sz w:val="24"/>
                <w:szCs w:val="24"/>
                <w:color w:val="auto"/>
              </w:rPr>
            </w:pPr>
          </w:p>
        </w:tc>
      </w:tr>
      <w:tr>
        <w:trPr>
          <w:trHeight w:val="199"/>
        </w:trPr>
        <w:tc>
          <w:tcPr>
            <w:tcW w:w="8000" w:type="dxa"/>
            <w:vAlign w:val="bottom"/>
          </w:tcPr>
          <w:p>
            <w:pPr>
              <w:spacing w:after="0"/>
              <w:rPr>
                <w:sz w:val="17"/>
                <w:szCs w:val="17"/>
                <w:color w:val="auto"/>
              </w:rPr>
            </w:pPr>
          </w:p>
        </w:tc>
        <w:tc>
          <w:tcPr>
            <w:tcW w:w="460" w:type="dxa"/>
            <w:vAlign w:val="bottom"/>
            <w:shd w:val="clear" w:color="auto" w:fill="F4E8F3"/>
          </w:tcPr>
          <w:p>
            <w:pPr>
              <w:spacing w:after="0"/>
              <w:rPr>
                <w:sz w:val="17"/>
                <w:szCs w:val="17"/>
                <w:color w:val="auto"/>
              </w:rPr>
            </w:pP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37"/>
        </w:trPr>
        <w:tc>
          <w:tcPr>
            <w:tcW w:w="80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data)</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9"/>
        </w:trPr>
        <w:tc>
          <w:tcPr>
            <w:tcW w:w="80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Favorable impact</w:t>
            </w:r>
          </w:p>
        </w:tc>
        <w:tc>
          <w:tcPr>
            <w:tcW w:w="460" w:type="dxa"/>
            <w:vAlign w:val="bottom"/>
            <w:tcBorders>
              <w:bottom w:val="single" w:sz="8" w:color="B2B2B2"/>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37</w:t>
            </w:r>
          </w:p>
        </w:tc>
        <w:tc>
          <w:tcPr>
            <w:tcW w:w="1000" w:type="dxa"/>
            <w:vAlign w:val="bottom"/>
            <w:tcBorders>
              <w:bottom w:val="single" w:sz="8" w:color="B2B2B2"/>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80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Unfavorable impact</w:t>
            </w:r>
          </w:p>
        </w:tc>
        <w:tc>
          <w:tcPr>
            <w:tcW w:w="460" w:type="dxa"/>
            <w:vAlign w:val="bottom"/>
            <w:tcBorders>
              <w:bottom w:val="single" w:sz="8" w:color="901588"/>
            </w:tcBorders>
            <w:shd w:val="clear" w:color="auto" w:fill="F4E8F3"/>
          </w:tcPr>
          <w:p>
            <w:pPr>
              <w:spacing w:after="0"/>
              <w:rPr>
                <w:sz w:val="20"/>
                <w:szCs w:val="20"/>
                <w:color w:val="auto"/>
              </w:rPr>
            </w:pP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bottom w:val="single" w:sz="8" w:color="B2B2B2"/>
            </w:tcBorders>
          </w:tcPr>
          <w:p>
            <w:pPr>
              <w:spacing w:after="0"/>
              <w:rPr>
                <w:sz w:val="20"/>
                <w:szCs w:val="20"/>
                <w:color w:val="auto"/>
              </w:rPr>
            </w:pPr>
          </w:p>
        </w:tc>
        <w:tc>
          <w:tcPr>
            <w:tcW w:w="90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(23)</w:t>
            </w:r>
          </w:p>
        </w:tc>
      </w:tr>
      <w:tr>
        <w:trPr>
          <w:trHeight w:val="280"/>
        </w:trPr>
        <w:tc>
          <w:tcPr>
            <w:tcW w:w="8000" w:type="dxa"/>
            <w:vAlign w:val="bottom"/>
          </w:tcPr>
          <w:p>
            <w:pPr>
              <w:ind w:left="20"/>
              <w:spacing w:after="0"/>
              <w:rPr>
                <w:sz w:val="20"/>
                <w:szCs w:val="20"/>
                <w:color w:val="auto"/>
              </w:rPr>
            </w:pPr>
            <w:r>
              <w:rPr>
                <w:rFonts w:ascii="Arial" w:cs="Arial" w:eastAsia="Arial" w:hAnsi="Arial"/>
                <w:sz w:val="16"/>
                <w:szCs w:val="16"/>
                <w:color w:val="auto"/>
              </w:rPr>
              <w:t>Net impact to income before income taxes</w:t>
            </w:r>
          </w:p>
        </w:tc>
        <w:tc>
          <w:tcPr>
            <w:tcW w:w="460" w:type="dxa"/>
            <w:vAlign w:val="bottom"/>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(9)</w:t>
            </w:r>
          </w:p>
        </w:tc>
        <w:tc>
          <w:tcPr>
            <w:tcW w:w="10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000" w:type="dxa"/>
            <w:vAlign w:val="bottom"/>
            <w:tcBorders>
              <w:top w:val="single" w:sz="8" w:color="B2B2B2"/>
              <w:bottom w:val="single" w:sz="8" w:color="B2B2B2"/>
            </w:tcBorders>
          </w:tcPr>
          <w:p>
            <w:pPr>
              <w:spacing w:after="0"/>
              <w:rPr>
                <w:sz w:val="20"/>
                <w:szCs w:val="20"/>
                <w:color w:val="auto"/>
              </w:rPr>
            </w:pPr>
          </w:p>
        </w:tc>
        <w:tc>
          <w:tcPr>
            <w:tcW w:w="460" w:type="dxa"/>
            <w:vAlign w:val="bottom"/>
            <w:tcBorders>
              <w:top w:val="single" w:sz="8" w:color="901588"/>
              <w:bottom w:val="single" w:sz="8" w:color="B2B2B2"/>
            </w:tcBorders>
            <w:shd w:val="clear" w:color="auto" w:fill="F4E8F3"/>
          </w:tcPr>
          <w:p>
            <w:pPr>
              <w:spacing w:after="0"/>
              <w:rPr>
                <w:sz w:val="20"/>
                <w:szCs w:val="20"/>
                <w:color w:val="auto"/>
              </w:rPr>
            </w:pPr>
          </w:p>
        </w:tc>
        <w:tc>
          <w:tcPr>
            <w:tcW w:w="1100" w:type="dxa"/>
            <w:vAlign w:val="bottom"/>
            <w:tcBorders>
              <w:top w:val="single" w:sz="8" w:color="901588"/>
              <w:bottom w:val="single" w:sz="8" w:color="B2B2B2"/>
            </w:tcBorders>
            <w:shd w:val="clear" w:color="auto" w:fill="F4E8F3"/>
          </w:tcPr>
          <w:p>
            <w:pPr>
              <w:spacing w:after="0"/>
              <w:rPr>
                <w:sz w:val="20"/>
                <w:szCs w:val="20"/>
                <w:color w:val="auto"/>
              </w:rPr>
            </w:pPr>
          </w:p>
        </w:tc>
        <w:tc>
          <w:tcPr>
            <w:tcW w:w="100" w:type="dxa"/>
            <w:vAlign w:val="bottom"/>
            <w:tcBorders>
              <w:top w:val="single" w:sz="8" w:color="B2B2B2"/>
              <w:bottom w:val="single" w:sz="8" w:color="B2B2B2"/>
            </w:tcBorders>
          </w:tcPr>
          <w:p>
            <w:pPr>
              <w:spacing w:after="0"/>
              <w:rPr>
                <w:sz w:val="20"/>
                <w:szCs w:val="20"/>
                <w:color w:val="auto"/>
              </w:rPr>
            </w:pPr>
          </w:p>
        </w:tc>
        <w:tc>
          <w:tcPr>
            <w:tcW w:w="900" w:type="dxa"/>
            <w:vAlign w:val="bottom"/>
            <w:tcBorders>
              <w:top w:val="single" w:sz="8" w:color="901588"/>
              <w:bottom w:val="single" w:sz="8" w:color="B2B2B2"/>
            </w:tcBorders>
          </w:tcPr>
          <w:p>
            <w:pPr>
              <w:spacing w:after="0"/>
              <w:rPr>
                <w:sz w:val="20"/>
                <w:szCs w:val="20"/>
                <w:color w:val="auto"/>
              </w:rPr>
            </w:pPr>
          </w:p>
        </w:tc>
        <w:tc>
          <w:tcPr>
            <w:tcW w:w="680" w:type="dxa"/>
            <w:vAlign w:val="bottom"/>
            <w:tcBorders>
              <w:top w:val="single" w:sz="8" w:color="901588"/>
              <w:bottom w:val="single" w:sz="8" w:color="B2B2B2"/>
            </w:tcBorders>
          </w:tcPr>
          <w:p>
            <w:pPr>
              <w:spacing w:after="0"/>
              <w:rPr>
                <w:sz w:val="20"/>
                <w:szCs w:val="20"/>
                <w:color w:val="auto"/>
              </w:rPr>
            </w:pPr>
          </w:p>
        </w:tc>
      </w:tr>
      <w:tr>
        <w:trPr>
          <w:trHeight w:val="233"/>
        </w:trPr>
        <w:tc>
          <w:tcPr>
            <w:tcW w:w="80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Impact on diluted EPS attributable to Leidos common stockholders</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(0.05)</w:t>
            </w:r>
          </w:p>
        </w:tc>
        <w:tc>
          <w:tcPr>
            <w:tcW w:w="1000" w:type="dxa"/>
            <w:vAlign w:val="bottom"/>
            <w:tcBorders>
              <w:bottom w:val="single" w:sz="8" w:color="901588"/>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0.17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impact on diluted earnings per share ("EPS") attributable to Leidos common stockholders is calculated using the statutory tax 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Revenue Recognized from Prior Obligations</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reduced revenue by $8 million and recognized revenue of $27 million from performance obligations satisfied in previous periods for three months ended April 3, 2026, and April 4, 2025, respectively. The changes primarily relate to revisions of variable consideration including award and incentive fees, and revisions to estimates at completion resulting from changes in contract scope, mitigation of contract risks or true-ups of contract estimates at the end of contract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2–Revenues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REMAINING PERFORMANCE OBLIGATIONS</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indefinite delivery/indefinite quantity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8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As of April 3, 2026, we had $19 billion of RPO and expect to recognize approximately 62% and 82% over the next 12 months and 24 months, respectively, with the remainder to be recognized thereafter.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DISAGGREGATION OF REVENUES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We disaggregate revenues by customer-type, contract-type and geographic location for each of our reportable segments.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customer-type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3200" w:type="dxa"/>
            <w:vAlign w:val="bottom"/>
            <w:tcBorders>
              <w:bottom w:val="single" w:sz="8" w:color="901588"/>
            </w:tcBorders>
            <w:gridSpan w:val="9"/>
          </w:tcPr>
          <w:p>
            <w:pPr>
              <w:ind w:left="400"/>
              <w:spacing w:after="0"/>
              <w:rPr>
                <w:sz w:val="20"/>
                <w:szCs w:val="20"/>
                <w:color w:val="auto"/>
              </w:rPr>
            </w:pPr>
            <w:r>
              <w:rPr>
                <w:rFonts w:ascii="Arial" w:cs="Arial" w:eastAsia="Arial" w:hAnsi="Arial"/>
                <w:sz w:val="16"/>
                <w:szCs w:val="16"/>
                <w:b w:val="1"/>
                <w:bCs w:val="1"/>
                <w:color w:val="auto"/>
              </w:rPr>
              <w:t>Three Months Ended April 3, 2026</w:t>
            </w:r>
          </w:p>
        </w:tc>
        <w:tc>
          <w:tcPr>
            <w:tcW w:w="82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213"/>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50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gridSpan w:val="3"/>
          </w:tcPr>
          <w:p>
            <w:pPr>
              <w:ind w:left="420"/>
              <w:spacing w:after="0"/>
              <w:rPr>
                <w:sz w:val="20"/>
                <w:szCs w:val="20"/>
                <w:color w:val="auto"/>
              </w:rPr>
            </w:pPr>
            <w:r>
              <w:rPr>
                <w:rFonts w:ascii="Arial" w:cs="Arial" w:eastAsia="Arial" w:hAnsi="Arial"/>
                <w:sz w:val="16"/>
                <w:szCs w:val="16"/>
                <w:b w:val="1"/>
                <w:bCs w:val="1"/>
                <w:color w:val="auto"/>
              </w:rPr>
              <w:t>Health</w:t>
            </w:r>
          </w:p>
        </w:tc>
        <w:tc>
          <w:tcPr>
            <w:tcW w:w="36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gridSpan w:val="4"/>
          </w:tcPr>
          <w:p>
            <w:pPr>
              <w:jc w:val="center"/>
              <w:ind w:left="79"/>
              <w:spacing w:after="0"/>
              <w:rPr>
                <w:sz w:val="20"/>
                <w:szCs w:val="20"/>
                <w:color w:val="auto"/>
              </w:rPr>
            </w:pPr>
            <w:r>
              <w:rPr>
                <w:rFonts w:ascii="Arial" w:cs="Arial" w:eastAsia="Arial" w:hAnsi="Arial"/>
                <w:sz w:val="16"/>
                <w:szCs w:val="16"/>
                <w:b w:val="1"/>
                <w:bCs w:val="1"/>
                <w:color w:val="auto"/>
              </w:rPr>
              <w:t>Homeland</w:t>
            </w:r>
          </w:p>
        </w:tc>
        <w:tc>
          <w:tcPr>
            <w:tcW w:w="62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gridSpan w:val="4"/>
          </w:tcPr>
          <w:p>
            <w:pPr>
              <w:ind w:left="180"/>
              <w:spacing w:after="0"/>
              <w:rPr>
                <w:sz w:val="20"/>
                <w:szCs w:val="20"/>
                <w:color w:val="auto"/>
              </w:rPr>
            </w:pPr>
            <w:r>
              <w:rPr>
                <w:rFonts w:ascii="Arial" w:cs="Arial" w:eastAsia="Arial" w:hAnsi="Arial"/>
                <w:sz w:val="16"/>
                <w:szCs w:val="16"/>
                <w:b w:val="1"/>
                <w:bCs w:val="1"/>
                <w:color w:val="auto"/>
              </w:rPr>
              <w:t>Defense</w:t>
            </w:r>
          </w:p>
        </w:tc>
        <w:tc>
          <w:tcPr>
            <w:tcW w:w="52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1,078</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822</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jc w:val="right"/>
              <w:ind w:right="34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2,169</w:t>
            </w:r>
          </w:p>
        </w:tc>
      </w:tr>
      <w:tr>
        <w:trPr>
          <w:trHeight w:val="240"/>
        </w:trPr>
        <w:tc>
          <w:tcPr>
            <w:tcW w:w="3540" w:type="dxa"/>
            <w:vAlign w:val="bottom"/>
            <w:tcBorders>
              <w:bottom w:val="single" w:sz="8" w:color="B2B2B2"/>
            </w:tcBorders>
            <w:gridSpan w:val="2"/>
          </w:tcPr>
          <w:p>
            <w:pPr>
              <w:ind w:left="20"/>
              <w:spacing w:after="0" w:line="240" w:lineRule="exact"/>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403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924</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272</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1,626</w:t>
            </w:r>
          </w:p>
        </w:tc>
      </w:tr>
      <w:tr>
        <w:trPr>
          <w:trHeight w:val="233"/>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Commercial and non-U.S. customers</w:t>
            </w: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16</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523</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34</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588</w:t>
            </w:r>
          </w:p>
        </w:tc>
      </w:tr>
      <w:tr>
        <w:trPr>
          <w:trHeight w:val="305"/>
        </w:trPr>
        <w:tc>
          <w:tcPr>
            <w:tcW w:w="3540" w:type="dxa"/>
            <w:vAlign w:val="bottom"/>
            <w:tcBorders>
              <w:bottom w:val="single" w:sz="8" w:color="F4E8F3"/>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1,497</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500" w:type="dxa"/>
            <w:vAlign w:val="bottom"/>
            <w:tcBorders>
              <w:bottom w:val="single" w:sz="8" w:color="901588"/>
            </w:tcBorders>
            <w:shd w:val="clear" w:color="auto" w:fill="F4E8F3"/>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360" w:type="dxa"/>
            <w:vAlign w:val="bottom"/>
            <w:tcBorders>
              <w:bottom w:val="single" w:sz="8" w:color="901588"/>
            </w:tcBorders>
            <w:shd w:val="clear" w:color="auto" w:fill="F4E8F3"/>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815</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620" w:type="dxa"/>
            <w:vAlign w:val="bottom"/>
            <w:tcBorders>
              <w:bottom w:val="single" w:sz="8" w:color="901588"/>
            </w:tcBorders>
            <w:shd w:val="clear" w:color="auto" w:fill="F4E8F3"/>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883</w:t>
            </w:r>
          </w:p>
        </w:tc>
        <w:tc>
          <w:tcPr>
            <w:tcW w:w="20" w:type="dxa"/>
            <w:vAlign w:val="bottom"/>
            <w:tcBorders>
              <w:bottom w:val="single" w:sz="8" w:color="901588"/>
            </w:tcBorders>
            <w:shd w:val="clear" w:color="auto" w:fill="F4E8F3"/>
          </w:tcPr>
          <w:p>
            <w:pPr>
              <w:spacing w:after="0"/>
              <w:rPr>
                <w:sz w:val="24"/>
                <w:szCs w:val="24"/>
                <w:color w:val="auto"/>
              </w:rPr>
            </w:pPr>
          </w:p>
        </w:tc>
        <w:tc>
          <w:tcPr>
            <w:tcW w:w="80" w:type="dxa"/>
            <w:vAlign w:val="bottom"/>
            <w:tcBorders>
              <w:bottom w:val="single" w:sz="8" w:color="F4E8F3"/>
            </w:tcBorders>
            <w:shd w:val="clear" w:color="auto" w:fill="F4E8F3"/>
          </w:tcPr>
          <w:p>
            <w:pPr>
              <w:spacing w:after="0"/>
              <w:rPr>
                <w:sz w:val="24"/>
                <w:szCs w:val="24"/>
                <w:color w:val="auto"/>
              </w:rPr>
            </w:pPr>
          </w:p>
        </w:tc>
        <w:tc>
          <w:tcPr>
            <w:tcW w:w="20" w:type="dxa"/>
            <w:vAlign w:val="bottom"/>
            <w:tcBorders>
              <w:bottom w:val="single" w:sz="8" w:color="F4E8F3"/>
            </w:tcBorders>
            <w:shd w:val="clear" w:color="auto" w:fill="F4E8F3"/>
          </w:tcPr>
          <w:p>
            <w:pPr>
              <w:spacing w:after="0"/>
              <w:rPr>
                <w:sz w:val="24"/>
                <w:szCs w:val="24"/>
                <w:color w:val="auto"/>
              </w:rPr>
            </w:pPr>
          </w:p>
        </w:tc>
        <w:tc>
          <w:tcPr>
            <w:tcW w:w="520" w:type="dxa"/>
            <w:vAlign w:val="bottom"/>
            <w:tcBorders>
              <w:bottom w:val="single" w:sz="8" w:color="901588"/>
            </w:tcBorders>
            <w:shd w:val="clear" w:color="auto" w:fill="F4E8F3"/>
          </w:tcPr>
          <w:p>
            <w:pPr>
              <w:jc w:val="right"/>
              <w:ind w:right="34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4,383</w:t>
            </w:r>
          </w:p>
        </w:tc>
      </w:tr>
      <w:tr>
        <w:trPr>
          <w:trHeight w:val="440"/>
        </w:trPr>
        <w:tc>
          <w:tcPr>
            <w:tcW w:w="3520" w:type="dxa"/>
            <w:vAlign w:val="bottom"/>
            <w:tcBorders>
              <w:top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4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500" w:type="dxa"/>
            <w:vAlign w:val="bottom"/>
            <w:tcBorders>
              <w:top w:val="single" w:sz="8" w:color="901588"/>
              <w:bottom w:val="single" w:sz="8" w:color="901588"/>
            </w:tcBorders>
          </w:tcPr>
          <w:p>
            <w:pPr>
              <w:spacing w:after="0"/>
              <w:rPr>
                <w:sz w:val="24"/>
                <w:szCs w:val="24"/>
                <w:color w:val="auto"/>
              </w:rPr>
            </w:pPr>
          </w:p>
        </w:tc>
        <w:tc>
          <w:tcPr>
            <w:tcW w:w="3200" w:type="dxa"/>
            <w:vAlign w:val="bottom"/>
            <w:tcBorders>
              <w:top w:val="single" w:sz="8" w:color="901588"/>
              <w:bottom w:val="single" w:sz="8" w:color="901588"/>
            </w:tcBorders>
            <w:gridSpan w:val="9"/>
          </w:tcPr>
          <w:p>
            <w:pPr>
              <w:jc w:val="right"/>
              <w:ind w:right="179"/>
              <w:spacing w:after="0"/>
              <w:rPr>
                <w:sz w:val="20"/>
                <w:szCs w:val="20"/>
                <w:color w:val="auto"/>
              </w:rPr>
            </w:pPr>
            <w:r>
              <w:rPr>
                <w:rFonts w:ascii="Arial" w:cs="Arial" w:eastAsia="Arial" w:hAnsi="Arial"/>
                <w:sz w:val="16"/>
                <w:szCs w:val="16"/>
                <w:color w:val="auto"/>
              </w:rPr>
              <w:t>Three Months Ended April 4, 2025</w:t>
            </w:r>
          </w:p>
        </w:tc>
        <w:tc>
          <w:tcPr>
            <w:tcW w:w="82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520" w:type="dxa"/>
            <w:vAlign w:val="bottom"/>
            <w:tcBorders>
              <w:top w:val="single" w:sz="8" w:color="901588"/>
              <w:bottom w:val="single" w:sz="8" w:color="901588"/>
            </w:tcBorders>
          </w:tcPr>
          <w:p>
            <w:pPr>
              <w:spacing w:after="0"/>
              <w:rPr>
                <w:sz w:val="24"/>
                <w:szCs w:val="24"/>
                <w:color w:val="auto"/>
              </w:rPr>
            </w:pPr>
          </w:p>
        </w:tc>
        <w:tc>
          <w:tcPr>
            <w:tcW w:w="900" w:type="dxa"/>
            <w:vAlign w:val="bottom"/>
            <w:tcBorders>
              <w:top w:val="single" w:sz="8" w:color="901588"/>
              <w:bottom w:val="single" w:sz="8" w:color="901588"/>
            </w:tcBorders>
          </w:tcPr>
          <w:p>
            <w:pPr>
              <w:spacing w:after="0"/>
              <w:rPr>
                <w:sz w:val="24"/>
                <w:szCs w:val="24"/>
                <w:color w:val="auto"/>
              </w:rPr>
            </w:pPr>
          </w:p>
        </w:tc>
      </w:tr>
      <w:tr>
        <w:trPr>
          <w:trHeight w:val="237"/>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5"/>
          </w:tcPr>
          <w:p>
            <w:pPr>
              <w:ind w:left="4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3"/>
          </w:tcPr>
          <w:p>
            <w:pPr>
              <w:ind w:left="420"/>
              <w:spacing w:after="0"/>
              <w:rPr>
                <w:sz w:val="20"/>
                <w:szCs w:val="20"/>
                <w:color w:val="auto"/>
              </w:rPr>
            </w:pPr>
            <w:r>
              <w:rPr>
                <w:rFonts w:ascii="Arial" w:cs="Arial" w:eastAsia="Arial" w:hAnsi="Arial"/>
                <w:sz w:val="16"/>
                <w:szCs w:val="16"/>
                <w:color w:val="auto"/>
              </w:rPr>
              <w:t>Health</w:t>
            </w:r>
          </w:p>
        </w:tc>
        <w:tc>
          <w:tcPr>
            <w:tcW w:w="36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4"/>
          </w:tcPr>
          <w:p>
            <w:pPr>
              <w:jc w:val="center"/>
              <w:ind w:left="119"/>
              <w:spacing w:after="0"/>
              <w:rPr>
                <w:sz w:val="20"/>
                <w:szCs w:val="20"/>
                <w:color w:val="auto"/>
              </w:rPr>
            </w:pPr>
            <w:r>
              <w:rPr>
                <w:rFonts w:ascii="Arial" w:cs="Arial" w:eastAsia="Arial" w:hAnsi="Arial"/>
                <w:sz w:val="16"/>
                <w:szCs w:val="16"/>
                <w:color w:val="auto"/>
              </w:rPr>
              <w:t>Homeland</w:t>
            </w:r>
          </w:p>
        </w:tc>
        <w:tc>
          <w:tcPr>
            <w:tcW w:w="62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4"/>
          </w:tcPr>
          <w:p>
            <w:pPr>
              <w:ind w:left="200"/>
              <w:spacing w:after="0"/>
              <w:rPr>
                <w:sz w:val="20"/>
                <w:szCs w:val="20"/>
                <w:color w:val="auto"/>
              </w:rPr>
            </w:pPr>
            <w:r>
              <w:rPr>
                <w:rFonts w:ascii="Arial" w:cs="Arial" w:eastAsia="Arial" w:hAnsi="Arial"/>
                <w:sz w:val="16"/>
                <w:szCs w:val="16"/>
                <w:color w:val="auto"/>
              </w:rPr>
              <w:t>Defense</w:t>
            </w: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6"/>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DoW and U.S. Intelligence Community</w:t>
            </w:r>
          </w:p>
        </w:tc>
        <w:tc>
          <w:tcPr>
            <w:tcW w:w="280" w:type="dxa"/>
            <w:vAlign w:val="bottom"/>
            <w:tcBorders>
              <w:bottom w:val="single" w:sz="8" w:color="B2B2B2"/>
            </w:tcBorders>
          </w:tcPr>
          <w:p>
            <w:pPr>
              <w:jc w:val="right"/>
              <w:ind w:right="121"/>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958</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jc w:val="right"/>
              <w:ind w:right="34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20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809</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jc w:val="right"/>
              <w:ind w:right="36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2,059</w:t>
            </w:r>
          </w:p>
        </w:tc>
      </w:tr>
      <w:tr>
        <w:trPr>
          <w:trHeight w:val="243"/>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Other U.S. government agencies</w:t>
            </w:r>
            <w:r>
              <w:rPr>
                <w:rFonts w:ascii="Arial" w:cs="Arial" w:eastAsia="Arial" w:hAnsi="Arial"/>
                <w:sz w:val="21"/>
                <w:szCs w:val="21"/>
                <w:color w:val="auto"/>
                <w:vertAlign w:val="superscript"/>
              </w:rPr>
              <w:t>(1)</w:t>
            </w:r>
          </w:p>
        </w:tc>
        <w:tc>
          <w:tcPr>
            <w:tcW w:w="280" w:type="dxa"/>
            <w:vAlign w:val="bottom"/>
            <w:tcBorders>
              <w:bottom w:val="single" w:sz="8" w:color="B2B2B2"/>
            </w:tcBorders>
          </w:tcPr>
          <w:p>
            <w:pPr>
              <w:spacing w:after="0"/>
              <w:rPr>
                <w:sz w:val="21"/>
                <w:szCs w:val="21"/>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429</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500" w:type="dxa"/>
            <w:vAlign w:val="bottom"/>
            <w:tcBorders>
              <w:bottom w:val="single" w:sz="8" w:color="B2B2B2"/>
            </w:tcBorders>
          </w:tcPr>
          <w:p>
            <w:pPr>
              <w:spacing w:after="0"/>
              <w:rPr>
                <w:sz w:val="21"/>
                <w:szCs w:val="21"/>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360" w:type="dxa"/>
            <w:vAlign w:val="bottom"/>
            <w:tcBorders>
              <w:bottom w:val="single" w:sz="8" w:color="B2B2B2"/>
            </w:tcBorders>
          </w:tcPr>
          <w:p>
            <w:pPr>
              <w:spacing w:after="0"/>
              <w:rPr>
                <w:sz w:val="21"/>
                <w:szCs w:val="21"/>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276</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620" w:type="dxa"/>
            <w:vAlign w:val="bottom"/>
            <w:tcBorders>
              <w:bottom w:val="single" w:sz="8" w:color="B2B2B2"/>
            </w:tcBorders>
          </w:tcPr>
          <w:p>
            <w:pPr>
              <w:spacing w:after="0"/>
              <w:rPr>
                <w:sz w:val="21"/>
                <w:szCs w:val="21"/>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B2B2B2"/>
            </w:tcBorders>
          </w:tcPr>
          <w:p>
            <w:pPr>
              <w:spacing w:after="0"/>
              <w:rPr>
                <w:sz w:val="21"/>
                <w:szCs w:val="21"/>
                <w:color w:val="auto"/>
              </w:rPr>
            </w:pPr>
          </w:p>
        </w:tc>
        <w:tc>
          <w:tcPr>
            <w:tcW w:w="80" w:type="dxa"/>
            <w:vAlign w:val="bottom"/>
            <w:tcBorders>
              <w:bottom w:val="single" w:sz="8" w:color="B2B2B2"/>
            </w:tcBorders>
          </w:tcPr>
          <w:p>
            <w:pPr>
              <w:spacing w:after="0"/>
              <w:rPr>
                <w:sz w:val="21"/>
                <w:szCs w:val="21"/>
                <w:color w:val="auto"/>
              </w:rPr>
            </w:pPr>
          </w:p>
        </w:tc>
        <w:tc>
          <w:tcPr>
            <w:tcW w:w="20" w:type="dxa"/>
            <w:vAlign w:val="bottom"/>
            <w:tcBorders>
              <w:bottom w:val="single" w:sz="8" w:color="B2B2B2"/>
            </w:tcBorders>
          </w:tcPr>
          <w:p>
            <w:pPr>
              <w:spacing w:after="0"/>
              <w:rPr>
                <w:sz w:val="21"/>
                <w:szCs w:val="21"/>
                <w:color w:val="auto"/>
              </w:rPr>
            </w:pPr>
          </w:p>
        </w:tc>
        <w:tc>
          <w:tcPr>
            <w:tcW w:w="520" w:type="dxa"/>
            <w:vAlign w:val="bottom"/>
            <w:tcBorders>
              <w:bottom w:val="single" w:sz="8" w:color="B2B2B2"/>
            </w:tcBorders>
          </w:tcPr>
          <w:p>
            <w:pPr>
              <w:spacing w:after="0"/>
              <w:rPr>
                <w:sz w:val="21"/>
                <w:szCs w:val="21"/>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1,637</w:t>
            </w:r>
          </w:p>
        </w:tc>
      </w:tr>
      <w:tr>
        <w:trPr>
          <w:trHeight w:val="230"/>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Commercial and non-U.S. customers</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50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470</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532</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1"/>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ind w:right="34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4,228</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28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500" w:type="dxa"/>
            <w:vAlign w:val="bottom"/>
            <w:tcBorders>
              <w:top w:val="single" w:sz="8" w:color="901588"/>
              <w:bottom w:val="single" w:sz="8" w:color="901588"/>
            </w:tcBorders>
          </w:tcPr>
          <w:p>
            <w:pPr>
              <w:spacing w:after="0" w:line="20" w:lineRule="exact"/>
              <w:rPr>
                <w:sz w:val="1"/>
                <w:szCs w:val="1"/>
                <w:color w:val="auto"/>
              </w:rPr>
            </w:pPr>
          </w:p>
        </w:tc>
        <w:tc>
          <w:tcPr>
            <w:tcW w:w="92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360" w:type="dxa"/>
            <w:vAlign w:val="bottom"/>
            <w:tcBorders>
              <w:top w:val="single" w:sz="8" w:color="901588"/>
              <w:bottom w:val="single" w:sz="8" w:color="901588"/>
            </w:tcBorders>
          </w:tcPr>
          <w:p>
            <w:pPr>
              <w:spacing w:after="0" w:line="20" w:lineRule="exact"/>
              <w:rPr>
                <w:sz w:val="1"/>
                <w:szCs w:val="1"/>
                <w:color w:val="auto"/>
              </w:rPr>
            </w:pPr>
          </w:p>
        </w:tc>
        <w:tc>
          <w:tcPr>
            <w:tcW w:w="10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20" w:type="dxa"/>
            <w:vAlign w:val="bottom"/>
            <w:tcBorders>
              <w:top w:val="single" w:sz="8" w:color="901588"/>
              <w:bottom w:val="single" w:sz="8" w:color="901588"/>
            </w:tcBorders>
          </w:tcPr>
          <w:p>
            <w:pPr>
              <w:spacing w:after="0" w:line="20" w:lineRule="exact"/>
              <w:rPr>
                <w:sz w:val="1"/>
                <w:szCs w:val="1"/>
                <w:color w:val="auto"/>
              </w:rPr>
            </w:pPr>
          </w:p>
        </w:tc>
        <w:tc>
          <w:tcPr>
            <w:tcW w:w="82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520" w:type="dxa"/>
            <w:vAlign w:val="bottom"/>
            <w:tcBorders>
              <w:top w:val="single" w:sz="8" w:color="901588"/>
              <w:bottom w:val="single" w:sz="8" w:color="901588"/>
            </w:tcBorders>
          </w:tcPr>
          <w:p>
            <w:pPr>
              <w:spacing w:after="0" w:line="20" w:lineRule="exact"/>
              <w:rPr>
                <w:sz w:val="1"/>
                <w:szCs w:val="1"/>
                <w:color w:val="auto"/>
              </w:rPr>
            </w:pPr>
          </w:p>
        </w:tc>
        <w:tc>
          <w:tcPr>
            <w:tcW w:w="900" w:type="dxa"/>
            <w:vAlign w:val="bottom"/>
            <w:tcBorders>
              <w:top w:val="single" w:sz="8" w:color="901588"/>
              <w:bottom w:val="single" w:sz="8" w:color="901588"/>
            </w:tcBorders>
          </w:tcPr>
          <w:p>
            <w:pPr>
              <w:spacing w:after="0" w:line="20" w:lineRule="exact"/>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Includes federal government agencies other than the DoW and U.S. Intelligence Community, as well as state and local government agencies.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Disaggregated revenues by contract-type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3200" w:type="dxa"/>
            <w:vAlign w:val="bottom"/>
            <w:tcBorders>
              <w:bottom w:val="single" w:sz="8" w:color="901588"/>
            </w:tcBorders>
            <w:gridSpan w:val="6"/>
          </w:tcPr>
          <w:p>
            <w:pPr>
              <w:ind w:left="400"/>
              <w:spacing w:after="0"/>
              <w:rPr>
                <w:sz w:val="20"/>
                <w:szCs w:val="20"/>
                <w:color w:val="auto"/>
              </w:rPr>
            </w:pPr>
            <w:r>
              <w:rPr>
                <w:rFonts w:ascii="Arial" w:cs="Arial" w:eastAsia="Arial" w:hAnsi="Arial"/>
                <w:sz w:val="16"/>
                <w:szCs w:val="16"/>
                <w:b w:val="1"/>
                <w:bCs w:val="1"/>
                <w:color w:val="auto"/>
              </w:rPr>
              <w:t>Three Months Ended April 3, 2026</w:t>
            </w:r>
          </w:p>
        </w:tc>
        <w:tc>
          <w:tcPr>
            <w:tcW w:w="84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spacing w:after="0"/>
              <w:rPr>
                <w:sz w:val="19"/>
                <w:szCs w:val="19"/>
                <w:color w:val="auto"/>
              </w:rPr>
            </w:pPr>
          </w:p>
        </w:tc>
      </w:tr>
      <w:tr>
        <w:trPr>
          <w:trHeight w:val="213"/>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Intelligence &amp;</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35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19"/>
                <w:szCs w:val="19"/>
                <w:color w:val="auto"/>
              </w:rPr>
            </w:pPr>
          </w:p>
        </w:tc>
        <w:tc>
          <w:tcPr>
            <w:tcW w:w="1340" w:type="dxa"/>
            <w:vAlign w:val="bottom"/>
            <w:tcBorders>
              <w:bottom w:val="single" w:sz="8" w:color="901588"/>
            </w:tcBorders>
            <w:gridSpan w:val="2"/>
          </w:tcPr>
          <w:p>
            <w:pPr>
              <w:jc w:val="right"/>
              <w:ind w:right="100"/>
              <w:spacing w:after="0"/>
              <w:rPr>
                <w:sz w:val="20"/>
                <w:szCs w:val="20"/>
                <w:color w:val="auto"/>
              </w:rPr>
            </w:pPr>
            <w:r>
              <w:rPr>
                <w:rFonts w:ascii="Arial" w:cs="Arial" w:eastAsia="Arial" w:hAnsi="Arial"/>
                <w:sz w:val="16"/>
                <w:szCs w:val="16"/>
                <w:b w:val="1"/>
                <w:bCs w:val="1"/>
                <w:color w:val="auto"/>
              </w:rPr>
              <w:t>Digital</w:t>
            </w:r>
          </w:p>
        </w:tc>
        <w:tc>
          <w:tcPr>
            <w:tcW w:w="52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gridSpan w:val="2"/>
          </w:tcPr>
          <w:p>
            <w:pPr>
              <w:ind w:left="420"/>
              <w:spacing w:after="0"/>
              <w:rPr>
                <w:sz w:val="20"/>
                <w:szCs w:val="20"/>
                <w:color w:val="auto"/>
              </w:rPr>
            </w:pPr>
            <w:r>
              <w:rPr>
                <w:rFonts w:ascii="Arial" w:cs="Arial" w:eastAsia="Arial" w:hAnsi="Arial"/>
                <w:sz w:val="16"/>
                <w:szCs w:val="16"/>
                <w:b w:val="1"/>
                <w:bCs w:val="1"/>
                <w:color w:val="auto"/>
              </w:rPr>
              <w:t>Health</w:t>
            </w:r>
          </w:p>
        </w:tc>
        <w:tc>
          <w:tcPr>
            <w:tcW w:w="38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gridSpan w:val="2"/>
          </w:tcPr>
          <w:p>
            <w:pPr>
              <w:ind w:left="280"/>
              <w:spacing w:after="0"/>
              <w:rPr>
                <w:sz w:val="20"/>
                <w:szCs w:val="20"/>
                <w:color w:val="auto"/>
              </w:rPr>
            </w:pPr>
            <w:r>
              <w:rPr>
                <w:rFonts w:ascii="Arial" w:cs="Arial" w:eastAsia="Arial" w:hAnsi="Arial"/>
                <w:sz w:val="16"/>
                <w:szCs w:val="16"/>
                <w:b w:val="1"/>
                <w:bCs w:val="1"/>
                <w:color w:val="auto"/>
              </w:rPr>
              <w:t>Homeland</w:t>
            </w:r>
          </w:p>
        </w:tc>
        <w:tc>
          <w:tcPr>
            <w:tcW w:w="620" w:type="dxa"/>
            <w:vAlign w:val="bottom"/>
            <w:tcBorders>
              <w:bottom w:val="single" w:sz="8" w:color="901588"/>
            </w:tcBorders>
          </w:tcPr>
          <w:p>
            <w:pPr>
              <w:spacing w:after="0"/>
              <w:rPr>
                <w:sz w:val="19"/>
                <w:szCs w:val="19"/>
                <w:color w:val="auto"/>
              </w:rPr>
            </w:pPr>
          </w:p>
        </w:tc>
        <w:tc>
          <w:tcPr>
            <w:tcW w:w="920" w:type="dxa"/>
            <w:vAlign w:val="bottom"/>
            <w:tcBorders>
              <w:bottom w:val="single" w:sz="8" w:color="901588"/>
            </w:tcBorders>
            <w:gridSpan w:val="2"/>
          </w:tcPr>
          <w:p>
            <w:pPr>
              <w:ind w:left="180"/>
              <w:spacing w:after="0"/>
              <w:rPr>
                <w:sz w:val="20"/>
                <w:szCs w:val="20"/>
                <w:color w:val="auto"/>
              </w:rPr>
            </w:pPr>
            <w:r>
              <w:rPr>
                <w:rFonts w:ascii="Arial" w:cs="Arial" w:eastAsia="Arial" w:hAnsi="Arial"/>
                <w:sz w:val="16"/>
                <w:szCs w:val="16"/>
                <w:b w:val="1"/>
                <w:bCs w:val="1"/>
                <w:color w:val="auto"/>
              </w:rPr>
              <w:t>Defense</w:t>
            </w:r>
          </w:p>
        </w:tc>
        <w:tc>
          <w:tcPr>
            <w:tcW w:w="96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fee</w:t>
            </w:r>
          </w:p>
        </w:tc>
        <w:tc>
          <w:tcPr>
            <w:tcW w:w="2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904</w:t>
            </w:r>
          </w:p>
        </w:tc>
        <w:tc>
          <w:tcPr>
            <w:tcW w:w="80" w:type="dxa"/>
            <w:vAlign w:val="bottom"/>
            <w:tcBorders>
              <w:bottom w:val="single" w:sz="8" w:color="B2B2B2"/>
            </w:tcBorders>
          </w:tcPr>
          <w:p>
            <w:pPr>
              <w:spacing w:after="0"/>
              <w:rPr>
                <w:sz w:val="19"/>
                <w:szCs w:val="19"/>
                <w:color w:val="auto"/>
              </w:rPr>
            </w:pPr>
          </w:p>
        </w:tc>
        <w:tc>
          <w:tcPr>
            <w:tcW w:w="520" w:type="dxa"/>
            <w:vAlign w:val="bottom"/>
            <w:tcBorders>
              <w:bottom w:val="single" w:sz="8" w:color="B2B2B2"/>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428</w:t>
            </w:r>
          </w:p>
        </w:tc>
        <w:tc>
          <w:tcPr>
            <w:tcW w:w="100" w:type="dxa"/>
            <w:vAlign w:val="bottom"/>
            <w:tcBorders>
              <w:bottom w:val="single" w:sz="8" w:color="B2B2B2"/>
            </w:tcBorders>
          </w:tcPr>
          <w:p>
            <w:pPr>
              <w:spacing w:after="0"/>
              <w:rPr>
                <w:sz w:val="19"/>
                <w:szCs w:val="19"/>
                <w:color w:val="auto"/>
              </w:rPr>
            </w:pPr>
          </w:p>
        </w:tc>
        <w:tc>
          <w:tcPr>
            <w:tcW w:w="380" w:type="dxa"/>
            <w:vAlign w:val="bottom"/>
            <w:tcBorders>
              <w:bottom w:val="single" w:sz="8" w:color="B2B2B2"/>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Borders>
              <w:bottom w:val="single" w:sz="8" w:color="B2B2B2"/>
            </w:tcBorders>
          </w:tcPr>
          <w:p>
            <w:pPr>
              <w:spacing w:after="0"/>
              <w:rPr>
                <w:sz w:val="19"/>
                <w:szCs w:val="19"/>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522</w:t>
            </w:r>
          </w:p>
        </w:tc>
        <w:tc>
          <w:tcPr>
            <w:tcW w:w="80" w:type="dxa"/>
            <w:vAlign w:val="bottom"/>
            <w:tcBorders>
              <w:bottom w:val="single" w:sz="8" w:color="B2B2B2"/>
            </w:tcBorders>
          </w:tcPr>
          <w:p>
            <w:pPr>
              <w:spacing w:after="0"/>
              <w:rPr>
                <w:sz w:val="19"/>
                <w:szCs w:val="19"/>
                <w:color w:val="auto"/>
              </w:rPr>
            </w:pPr>
          </w:p>
        </w:tc>
        <w:tc>
          <w:tcPr>
            <w:tcW w:w="960" w:type="dxa"/>
            <w:vAlign w:val="bottom"/>
            <w:tcBorders>
              <w:bottom w:val="single" w:sz="8" w:color="B2B2B2"/>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w w:val="94"/>
              </w:rPr>
              <w:t>2,028</w:t>
            </w:r>
          </w:p>
        </w:tc>
      </w:tr>
      <w:tr>
        <w:trPr>
          <w:trHeight w:val="237"/>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Firm-fixed-price</w:t>
            </w:r>
          </w:p>
        </w:tc>
        <w:tc>
          <w:tcPr>
            <w:tcW w:w="28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344</w:t>
            </w:r>
          </w:p>
        </w:tc>
        <w:tc>
          <w:tcPr>
            <w:tcW w:w="8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730</w:t>
            </w:r>
          </w:p>
        </w:tc>
        <w:tc>
          <w:tcPr>
            <w:tcW w:w="100" w:type="dxa"/>
            <w:vAlign w:val="bottom"/>
            <w:tcBorders>
              <w:bottom w:val="single" w:sz="8" w:color="B2B2B2"/>
            </w:tcBorders>
          </w:tcPr>
          <w:p>
            <w:pPr>
              <w:spacing w:after="0"/>
              <w:rPr>
                <w:sz w:val="20"/>
                <w:szCs w:val="20"/>
                <w:color w:val="auto"/>
              </w:rPr>
            </w:pPr>
          </w:p>
        </w:tc>
        <w:tc>
          <w:tcPr>
            <w:tcW w:w="38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274</w:t>
            </w:r>
          </w:p>
        </w:tc>
        <w:tc>
          <w:tcPr>
            <w:tcW w:w="8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spacing w:after="0"/>
              <w:rPr>
                <w:sz w:val="20"/>
                <w:szCs w:val="20"/>
                <w:color w:val="auto"/>
              </w:rPr>
            </w:pPr>
          </w:p>
        </w:tc>
        <w:tc>
          <w:tcPr>
            <w:tcW w:w="4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w w:val="94"/>
              </w:rPr>
              <w:t>1,783</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35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effort</w:t>
            </w:r>
          </w:p>
        </w:tc>
        <w:tc>
          <w:tcPr>
            <w:tcW w:w="28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249</w:t>
            </w:r>
          </w:p>
        </w:tc>
        <w:tc>
          <w:tcPr>
            <w:tcW w:w="80" w:type="dxa"/>
            <w:vAlign w:val="bottom"/>
            <w:tcBorders>
              <w:bottom w:val="single" w:sz="8" w:color="B2B2B2"/>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B2B2B2"/>
            </w:tcBorders>
          </w:tcPr>
          <w:p>
            <w:pPr>
              <w:spacing w:after="0"/>
              <w:rPr>
                <w:sz w:val="19"/>
                <w:szCs w:val="19"/>
                <w:color w:val="auto"/>
              </w:rPr>
            </w:pPr>
          </w:p>
        </w:tc>
        <w:tc>
          <w:tcPr>
            <w:tcW w:w="380" w:type="dxa"/>
            <w:vAlign w:val="bottom"/>
            <w:tcBorders>
              <w:bottom w:val="single" w:sz="8" w:color="901588"/>
            </w:tcBorders>
          </w:tcPr>
          <w:p>
            <w:pPr>
              <w:spacing w:after="0"/>
              <w:rPr>
                <w:sz w:val="19"/>
                <w:szCs w:val="19"/>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206</w:t>
            </w:r>
          </w:p>
        </w:tc>
        <w:tc>
          <w:tcPr>
            <w:tcW w:w="100" w:type="dxa"/>
            <w:vAlign w:val="bottom"/>
            <w:tcBorders>
              <w:bottom w:val="single" w:sz="8" w:color="B2B2B2"/>
            </w:tcBorders>
          </w:tcPr>
          <w:p>
            <w:pPr>
              <w:spacing w:after="0"/>
              <w:rPr>
                <w:sz w:val="19"/>
                <w:szCs w:val="19"/>
                <w:color w:val="auto"/>
              </w:rPr>
            </w:pPr>
          </w:p>
        </w:tc>
        <w:tc>
          <w:tcPr>
            <w:tcW w:w="62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jc w:val="right"/>
              <w:ind w:right="1"/>
              <w:spacing w:after="0"/>
              <w:rPr>
                <w:sz w:val="20"/>
                <w:szCs w:val="20"/>
                <w:color w:val="auto"/>
              </w:rPr>
            </w:pPr>
            <w:r>
              <w:rPr>
                <w:rFonts w:ascii="Arial" w:cs="Arial" w:eastAsia="Arial" w:hAnsi="Arial"/>
                <w:sz w:val="16"/>
                <w:szCs w:val="16"/>
                <w:b w:val="1"/>
                <w:bCs w:val="1"/>
                <w:color w:val="auto"/>
              </w:rPr>
              <w:t>87</w:t>
            </w:r>
          </w:p>
        </w:tc>
        <w:tc>
          <w:tcPr>
            <w:tcW w:w="80" w:type="dxa"/>
            <w:vAlign w:val="bottom"/>
            <w:tcBorders>
              <w:bottom w:val="single" w:sz="8" w:color="B2B2B2"/>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c>
          <w:tcPr>
            <w:tcW w:w="480" w:type="dxa"/>
            <w:vAlign w:val="bottom"/>
            <w:tcBorders>
              <w:bottom w:val="single" w:sz="8" w:color="901588"/>
            </w:tcBorders>
          </w:tcPr>
          <w:p>
            <w:pPr>
              <w:jc w:val="right"/>
              <w:ind w:right="1"/>
              <w:spacing w:after="0"/>
              <w:rPr>
                <w:sz w:val="20"/>
                <w:szCs w:val="20"/>
                <w:color w:val="auto"/>
              </w:rPr>
            </w:pPr>
            <w:r>
              <w:rPr>
                <w:rFonts w:ascii="Arial" w:cs="Arial" w:eastAsia="Arial" w:hAnsi="Arial"/>
                <w:sz w:val="16"/>
                <w:szCs w:val="16"/>
                <w:b w:val="1"/>
                <w:bCs w:val="1"/>
                <w:color w:val="auto"/>
              </w:rPr>
              <w:t>572</w:t>
            </w:r>
          </w:p>
        </w:tc>
      </w:tr>
      <w:tr>
        <w:trPr>
          <w:trHeight w:val="305"/>
        </w:trPr>
        <w:tc>
          <w:tcPr>
            <w:tcW w:w="354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1,497</w:t>
            </w:r>
          </w:p>
        </w:tc>
        <w:tc>
          <w:tcPr>
            <w:tcW w:w="80" w:type="dxa"/>
            <w:vAlign w:val="bottom"/>
            <w:tcBorders>
              <w:bottom w:val="single" w:sz="8" w:color="F4E8F3"/>
            </w:tcBorders>
            <w:shd w:val="clear" w:color="auto" w:fill="F4E8F3"/>
          </w:tcPr>
          <w:p>
            <w:pPr>
              <w:spacing w:after="0"/>
              <w:rPr>
                <w:sz w:val="24"/>
                <w:szCs w:val="24"/>
                <w:color w:val="auto"/>
              </w:rPr>
            </w:pPr>
          </w:p>
        </w:tc>
        <w:tc>
          <w:tcPr>
            <w:tcW w:w="52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bottom w:val="single" w:sz="8" w:color="F4E8F3"/>
            </w:tcBorders>
            <w:shd w:val="clear" w:color="auto" w:fill="F4E8F3"/>
          </w:tcPr>
          <w:p>
            <w:pPr>
              <w:spacing w:after="0"/>
              <w:rPr>
                <w:sz w:val="24"/>
                <w:szCs w:val="24"/>
                <w:color w:val="auto"/>
              </w:rPr>
            </w:pPr>
          </w:p>
        </w:tc>
        <w:tc>
          <w:tcPr>
            <w:tcW w:w="380" w:type="dxa"/>
            <w:vAlign w:val="bottom"/>
            <w:tcBorders>
              <w:bottom w:val="single" w:sz="8" w:color="901588"/>
            </w:tcBorders>
            <w:shd w:val="clear" w:color="auto" w:fill="F4E8F3"/>
          </w:tcPr>
          <w:p>
            <w:pPr>
              <w:jc w:val="right"/>
              <w:ind w:right="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815</w:t>
            </w:r>
          </w:p>
        </w:tc>
        <w:tc>
          <w:tcPr>
            <w:tcW w:w="100" w:type="dxa"/>
            <w:vAlign w:val="bottom"/>
            <w:tcBorders>
              <w:bottom w:val="single" w:sz="8" w:color="F4E8F3"/>
            </w:tcBorders>
            <w:shd w:val="clear" w:color="auto" w:fill="F4E8F3"/>
          </w:tcPr>
          <w:p>
            <w:pPr>
              <w:spacing w:after="0"/>
              <w:rPr>
                <w:sz w:val="24"/>
                <w:szCs w:val="24"/>
                <w:color w:val="auto"/>
              </w:rPr>
            </w:pPr>
          </w:p>
        </w:tc>
        <w:tc>
          <w:tcPr>
            <w:tcW w:w="620" w:type="dxa"/>
            <w:vAlign w:val="bottom"/>
            <w:tcBorders>
              <w:bottom w:val="single" w:sz="8" w:color="901588"/>
            </w:tcBorders>
            <w:shd w:val="clear" w:color="auto" w:fill="F4E8F3"/>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901588"/>
            </w:tcBorders>
            <w:shd w:val="clear" w:color="auto" w:fill="F4E8F3"/>
          </w:tcPr>
          <w:p>
            <w:pPr>
              <w:jc w:val="right"/>
              <w:ind w:right="1"/>
              <w:spacing w:after="0"/>
              <w:rPr>
                <w:sz w:val="20"/>
                <w:szCs w:val="20"/>
                <w:color w:val="auto"/>
              </w:rPr>
            </w:pPr>
            <w:r>
              <w:rPr>
                <w:rFonts w:ascii="Arial" w:cs="Arial" w:eastAsia="Arial" w:hAnsi="Arial"/>
                <w:sz w:val="16"/>
                <w:szCs w:val="16"/>
                <w:b w:val="1"/>
                <w:bCs w:val="1"/>
                <w:color w:val="auto"/>
              </w:rPr>
              <w:t>883</w:t>
            </w:r>
          </w:p>
        </w:tc>
        <w:tc>
          <w:tcPr>
            <w:tcW w:w="80" w:type="dxa"/>
            <w:vAlign w:val="bottom"/>
            <w:tcBorders>
              <w:bottom w:val="single" w:sz="8" w:color="F4E8F3"/>
            </w:tcBorders>
            <w:shd w:val="clear" w:color="auto" w:fill="F4E8F3"/>
          </w:tcPr>
          <w:p>
            <w:pPr>
              <w:spacing w:after="0"/>
              <w:rPr>
                <w:sz w:val="24"/>
                <w:szCs w:val="24"/>
                <w:color w:val="auto"/>
              </w:rPr>
            </w:pPr>
          </w:p>
        </w:tc>
        <w:tc>
          <w:tcPr>
            <w:tcW w:w="960" w:type="dxa"/>
            <w:vAlign w:val="bottom"/>
            <w:tcBorders>
              <w:bottom w:val="single" w:sz="8" w:color="901588"/>
            </w:tcBorders>
            <w:shd w:val="clear" w:color="auto" w:fill="F4E8F3"/>
          </w:tcPr>
          <w:p>
            <w:pPr>
              <w:jc w:val="right"/>
              <w:ind w:right="7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901588"/>
            </w:tcBorders>
            <w:shd w:val="clear" w:color="auto" w:fill="F4E8F3"/>
          </w:tcPr>
          <w:p>
            <w:pPr>
              <w:jc w:val="right"/>
              <w:ind w:right="1"/>
              <w:spacing w:after="0"/>
              <w:rPr>
                <w:sz w:val="20"/>
                <w:szCs w:val="20"/>
                <w:color w:val="auto"/>
              </w:rPr>
            </w:pPr>
            <w:r>
              <w:rPr>
                <w:rFonts w:ascii="Arial" w:cs="Arial" w:eastAsia="Arial" w:hAnsi="Arial"/>
                <w:sz w:val="16"/>
                <w:szCs w:val="16"/>
                <w:b w:val="1"/>
                <w:bCs w:val="1"/>
                <w:color w:val="auto"/>
                <w:w w:val="94"/>
              </w:rPr>
              <w:t>4,383</w:t>
            </w:r>
          </w:p>
        </w:tc>
      </w:tr>
      <w:tr>
        <w:trPr>
          <w:trHeight w:val="769"/>
        </w:trPr>
        <w:tc>
          <w:tcPr>
            <w:tcW w:w="3540" w:type="dxa"/>
            <w:vAlign w:val="bottom"/>
            <w:tcBorders>
              <w:top w:val="single" w:sz="8" w:color="901588"/>
            </w:tcBorders>
          </w:tcPr>
          <w:p>
            <w:pPr>
              <w:spacing w:after="0"/>
              <w:rPr>
                <w:sz w:val="24"/>
                <w:szCs w:val="24"/>
                <w:color w:val="auto"/>
              </w:rPr>
            </w:pPr>
          </w:p>
        </w:tc>
        <w:tc>
          <w:tcPr>
            <w:tcW w:w="280" w:type="dxa"/>
            <w:vAlign w:val="bottom"/>
            <w:tcBorders>
              <w:top w:val="single" w:sz="8" w:color="901588"/>
            </w:tcBorders>
          </w:tcPr>
          <w:p>
            <w:pPr>
              <w:spacing w:after="0"/>
              <w:rPr>
                <w:sz w:val="24"/>
                <w:szCs w:val="24"/>
                <w:color w:val="auto"/>
              </w:rPr>
            </w:pPr>
          </w:p>
        </w:tc>
        <w:tc>
          <w:tcPr>
            <w:tcW w:w="126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520" w:type="dxa"/>
            <w:vAlign w:val="bottom"/>
            <w:tcBorders>
              <w:top w:val="single" w:sz="8" w:color="901588"/>
            </w:tcBorders>
          </w:tcPr>
          <w:p>
            <w:pPr>
              <w:spacing w:after="0"/>
              <w:rPr>
                <w:sz w:val="24"/>
                <w:szCs w:val="24"/>
                <w:color w:val="auto"/>
              </w:rPr>
            </w:pPr>
          </w:p>
        </w:tc>
        <w:tc>
          <w:tcPr>
            <w:tcW w:w="92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380" w:type="dxa"/>
            <w:vAlign w:val="bottom"/>
            <w:tcBorders>
              <w:top w:val="single" w:sz="8" w:color="901588"/>
            </w:tcBorders>
          </w:tcPr>
          <w:p>
            <w:pPr>
              <w:spacing w:after="0"/>
              <w:rPr>
                <w:sz w:val="24"/>
                <w:szCs w:val="24"/>
                <w:color w:val="auto"/>
              </w:rPr>
            </w:pPr>
          </w:p>
        </w:tc>
        <w:tc>
          <w:tcPr>
            <w:tcW w:w="108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620" w:type="dxa"/>
            <w:vAlign w:val="bottom"/>
            <w:tcBorders>
              <w:top w:val="single" w:sz="8" w:color="901588"/>
            </w:tcBorders>
          </w:tcPr>
          <w:p>
            <w:pPr>
              <w:spacing w:after="0"/>
              <w:rPr>
                <w:sz w:val="24"/>
                <w:szCs w:val="24"/>
                <w:color w:val="auto"/>
              </w:rPr>
            </w:pPr>
          </w:p>
        </w:tc>
        <w:tc>
          <w:tcPr>
            <w:tcW w:w="1880" w:type="dxa"/>
            <w:vAlign w:val="bottom"/>
            <w:tcBorders>
              <w:top w:val="single" w:sz="8" w:color="901588"/>
            </w:tcBorders>
            <w:gridSpan w:val="3"/>
          </w:tcPr>
          <w:p>
            <w:pPr>
              <w:jc w:val="right"/>
              <w:spacing w:after="0"/>
              <w:rPr>
                <w:sz w:val="20"/>
                <w:szCs w:val="20"/>
                <w:color w:val="auto"/>
              </w:rPr>
            </w:pPr>
            <w:r>
              <w:rPr>
                <w:rFonts w:ascii="Arial" w:cs="Arial" w:eastAsia="Arial" w:hAnsi="Arial"/>
                <w:sz w:val="14"/>
                <w:szCs w:val="14"/>
                <w:b w:val="1"/>
                <w:bCs w:val="1"/>
                <w:color w:val="901588"/>
              </w:rPr>
              <w:t>Leidos Holdings, Inc.</w:t>
            </w:r>
          </w:p>
        </w:tc>
        <w:tc>
          <w:tcPr>
            <w:tcW w:w="480" w:type="dxa"/>
            <w:vAlign w:val="bottom"/>
            <w:tcBorders>
              <w:top w:val="single" w:sz="8" w:color="901588"/>
            </w:tcBorders>
          </w:tcPr>
          <w:p>
            <w:pPr>
              <w:jc w:val="right"/>
              <w:spacing w:after="0"/>
              <w:rPr>
                <w:sz w:val="20"/>
                <w:szCs w:val="20"/>
                <w:color w:val="auto"/>
              </w:rPr>
            </w:pPr>
            <w:r>
              <w:rPr>
                <w:rFonts w:ascii="Arial" w:cs="Arial" w:eastAsia="Arial" w:hAnsi="Arial"/>
                <w:sz w:val="14"/>
                <w:szCs w:val="14"/>
                <w:b w:val="1"/>
                <w:bCs w:val="1"/>
                <w:color w:val="901588"/>
              </w:rPr>
              <w:t>9</w:t>
            </w:r>
          </w:p>
        </w:tc>
      </w:tr>
      <w:tr>
        <w:trPr>
          <w:trHeight w:val="333"/>
        </w:trPr>
        <w:tc>
          <w:tcPr>
            <w:tcW w:w="3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901588"/>
            </w:tcBorders>
          </w:tcPr>
          <w:p>
            <w:pPr>
              <w:spacing w:after="0"/>
              <w:rPr>
                <w:sz w:val="19"/>
                <w:szCs w:val="19"/>
                <w:color w:val="auto"/>
              </w:rPr>
            </w:pPr>
          </w:p>
        </w:tc>
        <w:tc>
          <w:tcPr>
            <w:tcW w:w="124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3200" w:type="dxa"/>
            <w:vAlign w:val="bottom"/>
            <w:tcBorders>
              <w:bottom w:val="single" w:sz="8" w:color="901588"/>
            </w:tcBorders>
            <w:gridSpan w:val="9"/>
          </w:tcPr>
          <w:p>
            <w:pPr>
              <w:jc w:val="right"/>
              <w:ind w:right="179"/>
              <w:spacing w:after="0"/>
              <w:rPr>
                <w:sz w:val="20"/>
                <w:szCs w:val="20"/>
                <w:color w:val="auto"/>
              </w:rPr>
            </w:pPr>
            <w:r>
              <w:rPr>
                <w:rFonts w:ascii="Arial" w:cs="Arial" w:eastAsia="Arial" w:hAnsi="Arial"/>
                <w:sz w:val="16"/>
                <w:szCs w:val="16"/>
                <w:color w:val="auto"/>
              </w:rPr>
              <w:t>Three Months Ended April 4, 2025</w:t>
            </w:r>
          </w:p>
        </w:tc>
        <w:tc>
          <w:tcPr>
            <w:tcW w:w="82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80" w:type="dxa"/>
            <w:vAlign w:val="bottom"/>
            <w:tcBorders>
              <w:bottom w:val="single" w:sz="8" w:color="901588"/>
            </w:tcBorders>
          </w:tcPr>
          <w:p>
            <w:pPr>
              <w:spacing w:after="0"/>
              <w:rPr>
                <w:sz w:val="19"/>
                <w:szCs w:val="19"/>
                <w:color w:val="auto"/>
              </w:rPr>
            </w:pPr>
          </w:p>
        </w:tc>
        <w:tc>
          <w:tcPr>
            <w:tcW w:w="2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spacing w:after="0"/>
              <w:rPr>
                <w:sz w:val="19"/>
                <w:szCs w:val="19"/>
                <w:color w:val="auto"/>
              </w:rPr>
            </w:pPr>
          </w:p>
        </w:tc>
      </w:tr>
      <w:tr>
        <w:trPr>
          <w:trHeight w:val="237"/>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5"/>
          </w:tcPr>
          <w:p>
            <w:pPr>
              <w:jc w:val="right"/>
              <w:ind w:right="12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3"/>
          </w:tcPr>
          <w:p>
            <w:pPr>
              <w:ind w:left="440"/>
              <w:spacing w:after="0"/>
              <w:rPr>
                <w:sz w:val="20"/>
                <w:szCs w:val="20"/>
                <w:color w:val="auto"/>
              </w:rPr>
            </w:pPr>
            <w:r>
              <w:rPr>
                <w:rFonts w:ascii="Arial" w:cs="Arial" w:eastAsia="Arial" w:hAnsi="Arial"/>
                <w:sz w:val="16"/>
                <w:szCs w:val="16"/>
                <w:color w:val="auto"/>
              </w:rPr>
              <w:t>Health</w:t>
            </w:r>
          </w:p>
        </w:tc>
        <w:tc>
          <w:tcPr>
            <w:tcW w:w="36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4"/>
          </w:tcPr>
          <w:p>
            <w:pPr>
              <w:jc w:val="center"/>
              <w:ind w:left="119"/>
              <w:spacing w:after="0"/>
              <w:rPr>
                <w:sz w:val="20"/>
                <w:szCs w:val="20"/>
                <w:color w:val="auto"/>
              </w:rPr>
            </w:pPr>
            <w:r>
              <w:rPr>
                <w:rFonts w:ascii="Arial" w:cs="Arial" w:eastAsia="Arial" w:hAnsi="Arial"/>
                <w:sz w:val="16"/>
                <w:szCs w:val="16"/>
                <w:color w:val="auto"/>
              </w:rPr>
              <w:t>Homeland</w:t>
            </w:r>
          </w:p>
        </w:tc>
        <w:tc>
          <w:tcPr>
            <w:tcW w:w="62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4"/>
          </w:tcPr>
          <w:p>
            <w:pPr>
              <w:jc w:val="center"/>
              <w:ind w:left="19"/>
              <w:spacing w:after="0"/>
              <w:rPr>
                <w:sz w:val="20"/>
                <w:szCs w:val="20"/>
                <w:color w:val="auto"/>
              </w:rPr>
            </w:pPr>
            <w:r>
              <w:rPr>
                <w:rFonts w:ascii="Arial" w:cs="Arial" w:eastAsia="Arial" w:hAnsi="Arial"/>
                <w:sz w:val="16"/>
                <w:szCs w:val="16"/>
                <w:color w:val="auto"/>
              </w:rPr>
              <w:t>Defense</w:t>
            </w: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02"/>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Cost-reimbursement and fixed-price-incentive-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fee</w:t>
            </w:r>
          </w:p>
        </w:tc>
        <w:tc>
          <w:tcPr>
            <w:tcW w:w="280" w:type="dxa"/>
            <w:vAlign w:val="bottom"/>
            <w:tcBorders>
              <w:bottom w:val="single" w:sz="8" w:color="B2B2B2"/>
            </w:tcBorders>
          </w:tcPr>
          <w:p>
            <w:pPr>
              <w:jc w:val="right"/>
              <w:ind w:right="10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795</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169</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1,888</w:t>
            </w: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Firm-fixed-price</w:t>
            </w:r>
          </w:p>
        </w:tc>
        <w:tc>
          <w:tcPr>
            <w:tcW w:w="280" w:type="dxa"/>
            <w:vAlign w:val="bottom"/>
            <w:tcBorders>
              <w:bottom w:val="single" w:sz="8" w:color="B2B2B2"/>
            </w:tcBorders>
          </w:tcPr>
          <w:p>
            <w:pPr>
              <w:spacing w:after="0"/>
              <w:rPr>
                <w:sz w:val="20"/>
                <w:szCs w:val="20"/>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434</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1,769</w:t>
            </w:r>
          </w:p>
        </w:tc>
      </w:tr>
      <w:tr>
        <w:trPr>
          <w:trHeight w:val="202"/>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Time-and-materials and fixed-price-level-of-</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effort</w:t>
            </w: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259</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166</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105</w:t>
            </w:r>
          </w:p>
        </w:tc>
        <w:tc>
          <w:tcPr>
            <w:tcW w:w="20" w:type="dxa"/>
            <w:vAlign w:val="bottom"/>
            <w:tcBorders>
              <w:bottom w:val="single" w:sz="8" w:color="901588"/>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571</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901588"/>
            </w:tcBorders>
          </w:tcPr>
          <w:p>
            <w:pPr>
              <w:jc w:val="right"/>
              <w:ind w:right="10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1,397</w:t>
            </w:r>
          </w:p>
        </w:tc>
        <w:tc>
          <w:tcPr>
            <w:tcW w:w="20" w:type="dxa"/>
            <w:vAlign w:val="bottom"/>
            <w:tcBorders>
              <w:bottom w:val="single" w:sz="8" w:color="901588"/>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901588"/>
            </w:tcBorders>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901588"/>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769</w:t>
            </w:r>
          </w:p>
        </w:tc>
        <w:tc>
          <w:tcPr>
            <w:tcW w:w="20" w:type="dxa"/>
            <w:vAlign w:val="bottom"/>
            <w:tcBorders>
              <w:bottom w:val="single" w:sz="8" w:color="901588"/>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bottom w:val="single" w:sz="8" w:color="901588"/>
            </w:tcBorders>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879</w:t>
            </w:r>
          </w:p>
        </w:tc>
        <w:tc>
          <w:tcPr>
            <w:tcW w:w="20" w:type="dxa"/>
            <w:vAlign w:val="bottom"/>
            <w:tcBorders>
              <w:bottom w:val="single" w:sz="8" w:color="901588"/>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901588"/>
            </w:tcBorders>
          </w:tcPr>
          <w:p>
            <w:pPr>
              <w:jc w:val="right"/>
              <w:ind w:right="3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4,228</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1540" w:type="dxa"/>
            <w:vAlign w:val="bottom"/>
            <w:tcBorders>
              <w:bottom w:val="single" w:sz="8" w:color="901588"/>
            </w:tcBorders>
            <w:gridSpan w:val="3"/>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500" w:type="dxa"/>
            <w:vAlign w:val="bottom"/>
            <w:tcBorders>
              <w:bottom w:val="single" w:sz="8" w:color="901588"/>
            </w:tcBorders>
          </w:tcPr>
          <w:p>
            <w:pPr>
              <w:spacing w:after="0" w:line="20" w:lineRule="exact"/>
              <w:rPr>
                <w:sz w:val="1"/>
                <w:szCs w:val="1"/>
                <w:color w:val="auto"/>
              </w:rPr>
            </w:pPr>
          </w:p>
        </w:tc>
        <w:tc>
          <w:tcPr>
            <w:tcW w:w="92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360" w:type="dxa"/>
            <w:vAlign w:val="bottom"/>
            <w:tcBorders>
              <w:bottom w:val="single" w:sz="8" w:color="901588"/>
            </w:tcBorders>
          </w:tcPr>
          <w:p>
            <w:pPr>
              <w:spacing w:after="0" w:line="20" w:lineRule="exact"/>
              <w:rPr>
                <w:sz w:val="1"/>
                <w:szCs w:val="1"/>
                <w:color w:val="auto"/>
              </w:rPr>
            </w:pPr>
          </w:p>
        </w:tc>
        <w:tc>
          <w:tcPr>
            <w:tcW w:w="106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620" w:type="dxa"/>
            <w:vAlign w:val="bottom"/>
            <w:tcBorders>
              <w:bottom w:val="single" w:sz="8" w:color="901588"/>
            </w:tcBorders>
          </w:tcPr>
          <w:p>
            <w:pPr>
              <w:spacing w:after="0" w:line="20" w:lineRule="exact"/>
              <w:rPr>
                <w:sz w:val="1"/>
                <w:szCs w:val="1"/>
                <w:color w:val="auto"/>
              </w:rPr>
            </w:pPr>
          </w:p>
        </w:tc>
        <w:tc>
          <w:tcPr>
            <w:tcW w:w="82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520" w:type="dxa"/>
            <w:vAlign w:val="bottom"/>
            <w:tcBorders>
              <w:bottom w:val="single" w:sz="8" w:color="901588"/>
            </w:tcBorders>
          </w:tcPr>
          <w:p>
            <w:pPr>
              <w:spacing w:after="0" w:line="20" w:lineRule="exact"/>
              <w:rPr>
                <w:sz w:val="1"/>
                <w:szCs w:val="1"/>
                <w:color w:val="auto"/>
              </w:rPr>
            </w:pPr>
          </w:p>
        </w:tc>
        <w:tc>
          <w:tcPr>
            <w:tcW w:w="900" w:type="dxa"/>
            <w:vAlign w:val="bottom"/>
            <w:tcBorders>
              <w:bottom w:val="single" w:sz="8" w:color="901588"/>
            </w:tcBorders>
          </w:tcPr>
          <w:p>
            <w:pPr>
              <w:spacing w:after="0" w:line="20" w:lineRule="exact"/>
              <w:rPr>
                <w:sz w:val="1"/>
                <w:szCs w:val="1"/>
                <w:color w:val="auto"/>
              </w:rPr>
            </w:pPr>
          </w:p>
        </w:tc>
      </w:tr>
      <w:tr>
        <w:trPr>
          <w:trHeight w:val="397"/>
        </w:trPr>
        <w:tc>
          <w:tcPr>
            <w:tcW w:w="5180" w:type="dxa"/>
            <w:vAlign w:val="bottom"/>
            <w:gridSpan w:val="7"/>
          </w:tcPr>
          <w:p>
            <w:pPr>
              <w:spacing w:after="0"/>
              <w:rPr>
                <w:sz w:val="20"/>
                <w:szCs w:val="20"/>
                <w:color w:val="auto"/>
              </w:rPr>
            </w:pPr>
            <w:r>
              <w:rPr>
                <w:rFonts w:ascii="Arial" w:cs="Arial" w:eastAsia="Arial" w:hAnsi="Arial"/>
                <w:sz w:val="16"/>
                <w:szCs w:val="16"/>
                <w:color w:val="auto"/>
              </w:rPr>
              <w:t>Disaggregated revenues by geographic location were as follows:</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6"/>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901588"/>
            </w:tcBorders>
          </w:tcPr>
          <w:p>
            <w:pPr>
              <w:spacing w:after="0"/>
              <w:rPr>
                <w:sz w:val="24"/>
                <w:szCs w:val="24"/>
                <w:color w:val="auto"/>
              </w:rPr>
            </w:pPr>
          </w:p>
        </w:tc>
        <w:tc>
          <w:tcPr>
            <w:tcW w:w="124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500" w:type="dxa"/>
            <w:vAlign w:val="bottom"/>
            <w:tcBorders>
              <w:bottom w:val="single" w:sz="8" w:color="901588"/>
            </w:tcBorders>
          </w:tcPr>
          <w:p>
            <w:pPr>
              <w:spacing w:after="0"/>
              <w:rPr>
                <w:sz w:val="24"/>
                <w:szCs w:val="24"/>
                <w:color w:val="auto"/>
              </w:rPr>
            </w:pPr>
          </w:p>
        </w:tc>
        <w:tc>
          <w:tcPr>
            <w:tcW w:w="3200" w:type="dxa"/>
            <w:vAlign w:val="bottom"/>
            <w:tcBorders>
              <w:bottom w:val="single" w:sz="8" w:color="901588"/>
            </w:tcBorders>
            <w:gridSpan w:val="9"/>
          </w:tcPr>
          <w:p>
            <w:pPr>
              <w:ind w:left="400"/>
              <w:spacing w:after="0"/>
              <w:rPr>
                <w:sz w:val="20"/>
                <w:szCs w:val="20"/>
                <w:color w:val="auto"/>
              </w:rPr>
            </w:pPr>
            <w:r>
              <w:rPr>
                <w:rFonts w:ascii="Arial" w:cs="Arial" w:eastAsia="Arial" w:hAnsi="Arial"/>
                <w:sz w:val="16"/>
                <w:szCs w:val="16"/>
                <w:b w:val="1"/>
                <w:bCs w:val="1"/>
                <w:color w:val="auto"/>
              </w:rPr>
              <w:t>Three Months Ended April 3, 2026</w:t>
            </w:r>
          </w:p>
        </w:tc>
        <w:tc>
          <w:tcPr>
            <w:tcW w:w="82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520" w:type="dxa"/>
            <w:vAlign w:val="bottom"/>
            <w:tcBorders>
              <w:bottom w:val="single" w:sz="8" w:color="901588"/>
            </w:tcBorders>
          </w:tcPr>
          <w:p>
            <w:pPr>
              <w:spacing w:after="0"/>
              <w:rPr>
                <w:sz w:val="24"/>
                <w:szCs w:val="24"/>
                <w:color w:val="auto"/>
              </w:rPr>
            </w:pPr>
          </w:p>
        </w:tc>
        <w:tc>
          <w:tcPr>
            <w:tcW w:w="900" w:type="dxa"/>
            <w:vAlign w:val="bottom"/>
            <w:tcBorders>
              <w:bottom w:val="single" w:sz="8" w:color="901588"/>
            </w:tcBorders>
          </w:tcPr>
          <w:p>
            <w:pPr>
              <w:spacing w:after="0"/>
              <w:rPr>
                <w:sz w:val="24"/>
                <w:szCs w:val="24"/>
                <w:color w:val="auto"/>
              </w:rPr>
            </w:pPr>
          </w:p>
        </w:tc>
      </w:tr>
      <w:tr>
        <w:trPr>
          <w:trHeight w:val="213"/>
        </w:trPr>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901588"/>
            </w:tcBorders>
          </w:tcPr>
          <w:p>
            <w:pPr>
              <w:spacing w:after="0"/>
              <w:rPr>
                <w:sz w:val="19"/>
                <w:szCs w:val="19"/>
                <w:color w:val="auto"/>
              </w:rPr>
            </w:pPr>
          </w:p>
        </w:tc>
        <w:tc>
          <w:tcPr>
            <w:tcW w:w="1360" w:type="dxa"/>
            <w:vAlign w:val="bottom"/>
            <w:tcBorders>
              <w:bottom w:val="single" w:sz="8" w:color="901588"/>
            </w:tcBorders>
            <w:gridSpan w:val="4"/>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50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gridSpan w:val="3"/>
          </w:tcPr>
          <w:p>
            <w:pPr>
              <w:ind w:left="420"/>
              <w:spacing w:after="0"/>
              <w:rPr>
                <w:sz w:val="20"/>
                <w:szCs w:val="20"/>
                <w:color w:val="auto"/>
              </w:rPr>
            </w:pPr>
            <w:r>
              <w:rPr>
                <w:rFonts w:ascii="Arial" w:cs="Arial" w:eastAsia="Arial" w:hAnsi="Arial"/>
                <w:sz w:val="16"/>
                <w:szCs w:val="16"/>
                <w:b w:val="1"/>
                <w:bCs w:val="1"/>
                <w:color w:val="auto"/>
              </w:rPr>
              <w:t>Health</w:t>
            </w:r>
          </w:p>
        </w:tc>
        <w:tc>
          <w:tcPr>
            <w:tcW w:w="360" w:type="dxa"/>
            <w:vAlign w:val="bottom"/>
            <w:tcBorders>
              <w:bottom w:val="single" w:sz="8" w:color="901588"/>
            </w:tcBorders>
          </w:tcPr>
          <w:p>
            <w:pPr>
              <w:spacing w:after="0"/>
              <w:rPr>
                <w:sz w:val="19"/>
                <w:szCs w:val="19"/>
                <w:color w:val="auto"/>
              </w:rPr>
            </w:pPr>
          </w:p>
        </w:tc>
        <w:tc>
          <w:tcPr>
            <w:tcW w:w="1180" w:type="dxa"/>
            <w:vAlign w:val="bottom"/>
            <w:tcBorders>
              <w:bottom w:val="single" w:sz="8" w:color="901588"/>
            </w:tcBorders>
            <w:gridSpan w:val="4"/>
          </w:tcPr>
          <w:p>
            <w:pPr>
              <w:jc w:val="center"/>
              <w:ind w:left="79"/>
              <w:spacing w:after="0"/>
              <w:rPr>
                <w:sz w:val="20"/>
                <w:szCs w:val="20"/>
                <w:color w:val="auto"/>
              </w:rPr>
            </w:pPr>
            <w:r>
              <w:rPr>
                <w:rFonts w:ascii="Arial" w:cs="Arial" w:eastAsia="Arial" w:hAnsi="Arial"/>
                <w:sz w:val="16"/>
                <w:szCs w:val="16"/>
                <w:b w:val="1"/>
                <w:bCs w:val="1"/>
                <w:color w:val="auto"/>
              </w:rPr>
              <w:t>Homeland</w:t>
            </w:r>
          </w:p>
        </w:tc>
        <w:tc>
          <w:tcPr>
            <w:tcW w:w="620" w:type="dxa"/>
            <w:vAlign w:val="bottom"/>
            <w:tcBorders>
              <w:bottom w:val="single" w:sz="8" w:color="901588"/>
            </w:tcBorders>
          </w:tcPr>
          <w:p>
            <w:pPr>
              <w:spacing w:after="0"/>
              <w:rPr>
                <w:sz w:val="19"/>
                <w:szCs w:val="19"/>
                <w:color w:val="auto"/>
              </w:rPr>
            </w:pPr>
          </w:p>
        </w:tc>
        <w:tc>
          <w:tcPr>
            <w:tcW w:w="94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b w:val="1"/>
                <w:bCs w:val="1"/>
                <w:color w:val="auto"/>
              </w:rPr>
              <w:t>Defense</w:t>
            </w:r>
          </w:p>
        </w:tc>
        <w:tc>
          <w:tcPr>
            <w:tcW w:w="520" w:type="dxa"/>
            <w:vAlign w:val="bottom"/>
            <w:tcBorders>
              <w:bottom w:val="single" w:sz="8" w:color="901588"/>
            </w:tcBorders>
          </w:tcPr>
          <w:p>
            <w:pPr>
              <w:spacing w:after="0"/>
              <w:rPr>
                <w:sz w:val="19"/>
                <w:szCs w:val="19"/>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B2B2B2"/>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1,497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466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875</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4,026</w:t>
            </w: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20"/>
                <w:szCs w:val="20"/>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357</w:t>
            </w:r>
          </w:p>
        </w:tc>
      </w:tr>
      <w:tr>
        <w:trPr>
          <w:trHeight w:val="305"/>
        </w:trPr>
        <w:tc>
          <w:tcPr>
            <w:tcW w:w="3540" w:type="dxa"/>
            <w:vAlign w:val="bottom"/>
            <w:tcBorders>
              <w:top w:val="single" w:sz="8" w:color="B2B2B2"/>
              <w:bottom w:val="single" w:sz="8" w:color="F4E8F3"/>
            </w:tcBorders>
            <w:gridSpan w:val="2"/>
            <w:shd w:val="clear" w:color="auto" w:fill="F4E8F3"/>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901588"/>
              <w:bottom w:val="single" w:sz="8" w:color="901588"/>
            </w:tcBorders>
            <w:shd w:val="clear" w:color="auto" w:fill="F4E8F3"/>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1,497</w:t>
            </w:r>
          </w:p>
        </w:tc>
        <w:tc>
          <w:tcPr>
            <w:tcW w:w="20" w:type="dxa"/>
            <w:vAlign w:val="bottom"/>
            <w:tcBorders>
              <w:top w:val="single" w:sz="8" w:color="901588"/>
              <w:bottom w:val="single" w:sz="8" w:color="901588"/>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500" w:type="dxa"/>
            <w:vAlign w:val="bottom"/>
            <w:tcBorders>
              <w:top w:val="single" w:sz="8" w:color="901588"/>
              <w:bottom w:val="single" w:sz="8" w:color="901588"/>
            </w:tcBorders>
            <w:shd w:val="clear" w:color="auto" w:fill="F4E8F3"/>
          </w:tcPr>
          <w:p>
            <w:pPr>
              <w:jc w:val="right"/>
              <w:ind w:right="32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360" w:type="dxa"/>
            <w:vAlign w:val="bottom"/>
            <w:tcBorders>
              <w:top w:val="single" w:sz="8" w:color="901588"/>
              <w:bottom w:val="single" w:sz="8" w:color="901588"/>
            </w:tcBorders>
            <w:shd w:val="clear" w:color="auto" w:fill="F4E8F3"/>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815</w:t>
            </w:r>
          </w:p>
        </w:tc>
        <w:tc>
          <w:tcPr>
            <w:tcW w:w="20" w:type="dxa"/>
            <w:vAlign w:val="bottom"/>
            <w:tcBorders>
              <w:top w:val="single" w:sz="8" w:color="901588"/>
              <w:bottom w:val="single" w:sz="8" w:color="901588"/>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620" w:type="dxa"/>
            <w:vAlign w:val="bottom"/>
            <w:tcBorders>
              <w:top w:val="single" w:sz="8" w:color="901588"/>
              <w:bottom w:val="single" w:sz="8" w:color="901588"/>
            </w:tcBorders>
            <w:shd w:val="clear" w:color="auto" w:fill="F4E8F3"/>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883</w:t>
            </w:r>
          </w:p>
        </w:tc>
        <w:tc>
          <w:tcPr>
            <w:tcW w:w="20" w:type="dxa"/>
            <w:vAlign w:val="bottom"/>
            <w:tcBorders>
              <w:top w:val="single" w:sz="8" w:color="901588"/>
              <w:bottom w:val="single" w:sz="8" w:color="901588"/>
            </w:tcBorders>
            <w:shd w:val="clear" w:color="auto" w:fill="F4E8F3"/>
          </w:tcPr>
          <w:p>
            <w:pPr>
              <w:spacing w:after="0"/>
              <w:rPr>
                <w:sz w:val="24"/>
                <w:szCs w:val="24"/>
                <w:color w:val="auto"/>
              </w:rPr>
            </w:pP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20" w:type="dxa"/>
            <w:vAlign w:val="bottom"/>
            <w:tcBorders>
              <w:top w:val="single" w:sz="8" w:color="B2B2B2"/>
              <w:bottom w:val="single" w:sz="8" w:color="F4E8F3"/>
            </w:tcBorders>
            <w:shd w:val="clear" w:color="auto" w:fill="F4E8F3"/>
          </w:tcPr>
          <w:p>
            <w:pPr>
              <w:spacing w:after="0"/>
              <w:rPr>
                <w:sz w:val="24"/>
                <w:szCs w:val="24"/>
                <w:color w:val="auto"/>
              </w:rPr>
            </w:pPr>
          </w:p>
        </w:tc>
        <w:tc>
          <w:tcPr>
            <w:tcW w:w="520" w:type="dxa"/>
            <w:vAlign w:val="bottom"/>
            <w:tcBorders>
              <w:top w:val="single" w:sz="8" w:color="901588"/>
              <w:bottom w:val="single" w:sz="8" w:color="901588"/>
            </w:tcBorders>
            <w:shd w:val="clear" w:color="auto" w:fill="F4E8F3"/>
          </w:tcPr>
          <w:p>
            <w:pPr>
              <w:jc w:val="right"/>
              <w:ind w:right="34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4,383</w:t>
            </w:r>
          </w:p>
        </w:tc>
      </w:tr>
      <w:tr>
        <w:trPr>
          <w:trHeight w:val="440"/>
        </w:trPr>
        <w:tc>
          <w:tcPr>
            <w:tcW w:w="3520" w:type="dxa"/>
            <w:vAlign w:val="bottom"/>
            <w:tcBorders>
              <w:top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280" w:type="dxa"/>
            <w:vAlign w:val="bottom"/>
            <w:tcBorders>
              <w:top w:val="single" w:sz="8" w:color="901588"/>
              <w:bottom w:val="single" w:sz="8" w:color="901588"/>
            </w:tcBorders>
          </w:tcPr>
          <w:p>
            <w:pPr>
              <w:spacing w:after="0"/>
              <w:rPr>
                <w:sz w:val="24"/>
                <w:szCs w:val="24"/>
                <w:color w:val="auto"/>
              </w:rPr>
            </w:pPr>
          </w:p>
        </w:tc>
        <w:tc>
          <w:tcPr>
            <w:tcW w:w="124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500" w:type="dxa"/>
            <w:vAlign w:val="bottom"/>
            <w:tcBorders>
              <w:top w:val="single" w:sz="8" w:color="901588"/>
              <w:bottom w:val="single" w:sz="8" w:color="901588"/>
            </w:tcBorders>
          </w:tcPr>
          <w:p>
            <w:pPr>
              <w:spacing w:after="0"/>
              <w:rPr>
                <w:sz w:val="24"/>
                <w:szCs w:val="24"/>
                <w:color w:val="auto"/>
              </w:rPr>
            </w:pPr>
          </w:p>
        </w:tc>
        <w:tc>
          <w:tcPr>
            <w:tcW w:w="3200" w:type="dxa"/>
            <w:vAlign w:val="bottom"/>
            <w:tcBorders>
              <w:top w:val="single" w:sz="8" w:color="901588"/>
              <w:bottom w:val="single" w:sz="8" w:color="901588"/>
            </w:tcBorders>
            <w:gridSpan w:val="9"/>
          </w:tcPr>
          <w:p>
            <w:pPr>
              <w:ind w:left="460"/>
              <w:spacing w:after="0"/>
              <w:rPr>
                <w:sz w:val="20"/>
                <w:szCs w:val="20"/>
                <w:color w:val="auto"/>
              </w:rPr>
            </w:pPr>
            <w:r>
              <w:rPr>
                <w:rFonts w:ascii="Arial" w:cs="Arial" w:eastAsia="Arial" w:hAnsi="Arial"/>
                <w:sz w:val="16"/>
                <w:szCs w:val="16"/>
                <w:color w:val="auto"/>
              </w:rPr>
              <w:t>Three Months Ended April 4, 2025</w:t>
            </w:r>
          </w:p>
        </w:tc>
        <w:tc>
          <w:tcPr>
            <w:tcW w:w="82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80" w:type="dxa"/>
            <w:vAlign w:val="bottom"/>
            <w:tcBorders>
              <w:top w:val="single" w:sz="8" w:color="901588"/>
              <w:bottom w:val="single" w:sz="8" w:color="901588"/>
            </w:tcBorders>
          </w:tcPr>
          <w:p>
            <w:pPr>
              <w:spacing w:after="0"/>
              <w:rPr>
                <w:sz w:val="24"/>
                <w:szCs w:val="24"/>
                <w:color w:val="auto"/>
              </w:rPr>
            </w:pPr>
          </w:p>
        </w:tc>
        <w:tc>
          <w:tcPr>
            <w:tcW w:w="20" w:type="dxa"/>
            <w:vAlign w:val="bottom"/>
            <w:tcBorders>
              <w:top w:val="single" w:sz="8" w:color="901588"/>
              <w:bottom w:val="single" w:sz="8" w:color="901588"/>
            </w:tcBorders>
          </w:tcPr>
          <w:p>
            <w:pPr>
              <w:spacing w:after="0"/>
              <w:rPr>
                <w:sz w:val="24"/>
                <w:szCs w:val="24"/>
                <w:color w:val="auto"/>
              </w:rPr>
            </w:pPr>
          </w:p>
        </w:tc>
        <w:tc>
          <w:tcPr>
            <w:tcW w:w="520" w:type="dxa"/>
            <w:vAlign w:val="bottom"/>
            <w:tcBorders>
              <w:top w:val="single" w:sz="8" w:color="901588"/>
              <w:bottom w:val="single" w:sz="8" w:color="901588"/>
            </w:tcBorders>
          </w:tcPr>
          <w:p>
            <w:pPr>
              <w:spacing w:after="0"/>
              <w:rPr>
                <w:sz w:val="24"/>
                <w:szCs w:val="24"/>
                <w:color w:val="auto"/>
              </w:rPr>
            </w:pPr>
          </w:p>
        </w:tc>
        <w:tc>
          <w:tcPr>
            <w:tcW w:w="900" w:type="dxa"/>
            <w:vAlign w:val="bottom"/>
            <w:tcBorders>
              <w:top w:val="single" w:sz="8" w:color="901588"/>
              <w:bottom w:val="single" w:sz="8" w:color="901588"/>
            </w:tcBorders>
          </w:tcPr>
          <w:p>
            <w:pPr>
              <w:spacing w:after="0"/>
              <w:rPr>
                <w:sz w:val="24"/>
                <w:szCs w:val="24"/>
                <w:color w:val="auto"/>
              </w:rPr>
            </w:pPr>
          </w:p>
        </w:tc>
      </w:tr>
      <w:tr>
        <w:trPr>
          <w:trHeight w:val="237"/>
        </w:trPr>
        <w:tc>
          <w:tcPr>
            <w:tcW w:w="354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640" w:type="dxa"/>
            <w:vAlign w:val="bottom"/>
            <w:tcBorders>
              <w:bottom w:val="single" w:sz="8" w:color="901588"/>
            </w:tcBorders>
            <w:gridSpan w:val="5"/>
          </w:tcPr>
          <w:p>
            <w:pPr>
              <w:jc w:val="right"/>
              <w:ind w:right="140"/>
              <w:spacing w:after="0"/>
              <w:rPr>
                <w:sz w:val="20"/>
                <w:szCs w:val="20"/>
                <w:color w:val="auto"/>
              </w:rPr>
            </w:pPr>
            <w:r>
              <w:rPr>
                <w:rFonts w:ascii="Arial" w:cs="Arial" w:eastAsia="Arial" w:hAnsi="Arial"/>
                <w:sz w:val="16"/>
                <w:szCs w:val="16"/>
                <w:color w:val="auto"/>
              </w:rPr>
              <w:t>Intelligence &amp; Digital</w:t>
            </w:r>
          </w:p>
        </w:tc>
        <w:tc>
          <w:tcPr>
            <w:tcW w:w="50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gridSpan w:val="3"/>
          </w:tcPr>
          <w:p>
            <w:pPr>
              <w:ind w:left="420"/>
              <w:spacing w:after="0"/>
              <w:rPr>
                <w:sz w:val="20"/>
                <w:szCs w:val="20"/>
                <w:color w:val="auto"/>
              </w:rPr>
            </w:pPr>
            <w:r>
              <w:rPr>
                <w:rFonts w:ascii="Arial" w:cs="Arial" w:eastAsia="Arial" w:hAnsi="Arial"/>
                <w:sz w:val="16"/>
                <w:szCs w:val="16"/>
                <w:color w:val="auto"/>
              </w:rPr>
              <w:t>Health</w:t>
            </w:r>
          </w:p>
        </w:tc>
        <w:tc>
          <w:tcPr>
            <w:tcW w:w="36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4"/>
          </w:tcPr>
          <w:p>
            <w:pPr>
              <w:jc w:val="center"/>
              <w:ind w:left="119"/>
              <w:spacing w:after="0"/>
              <w:rPr>
                <w:sz w:val="20"/>
                <w:szCs w:val="20"/>
                <w:color w:val="auto"/>
              </w:rPr>
            </w:pPr>
            <w:r>
              <w:rPr>
                <w:rFonts w:ascii="Arial" w:cs="Arial" w:eastAsia="Arial" w:hAnsi="Arial"/>
                <w:sz w:val="16"/>
                <w:szCs w:val="16"/>
                <w:color w:val="auto"/>
              </w:rPr>
              <w:t>Homeland</w:t>
            </w:r>
          </w:p>
        </w:tc>
        <w:tc>
          <w:tcPr>
            <w:tcW w:w="62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4"/>
          </w:tcPr>
          <w:p>
            <w:pPr>
              <w:jc w:val="center"/>
              <w:spacing w:after="0"/>
              <w:rPr>
                <w:sz w:val="20"/>
                <w:szCs w:val="20"/>
                <w:color w:val="auto"/>
              </w:rPr>
            </w:pPr>
            <w:r>
              <w:rPr>
                <w:rFonts w:ascii="Arial" w:cs="Arial" w:eastAsia="Arial" w:hAnsi="Arial"/>
                <w:sz w:val="16"/>
                <w:szCs w:val="16"/>
                <w:color w:val="auto"/>
              </w:rPr>
              <w:t>Defense</w:t>
            </w: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54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B2B2B2"/>
            </w:tcBorders>
          </w:tcPr>
          <w:p>
            <w:pPr>
              <w:jc w:val="right"/>
              <w:ind w:right="12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1,397</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00" w:type="dxa"/>
            <w:vAlign w:val="bottom"/>
            <w:tcBorders>
              <w:bottom w:val="single" w:sz="8" w:color="B2B2B2"/>
            </w:tcBorders>
          </w:tcPr>
          <w:p>
            <w:pPr>
              <w:jc w:val="right"/>
              <w:ind w:right="34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20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433</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868</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jc w:val="right"/>
              <w:ind w:right="3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3,881</w:t>
            </w:r>
          </w:p>
        </w:tc>
      </w:tr>
      <w:tr>
        <w:trPr>
          <w:trHeight w:val="236"/>
        </w:trPr>
        <w:tc>
          <w:tcPr>
            <w:tcW w:w="35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901588"/>
            </w:tcBorders>
          </w:tcPr>
          <w:p>
            <w:pPr>
              <w:spacing w:after="0"/>
              <w:rPr>
                <w:sz w:val="20"/>
                <w:szCs w:val="20"/>
                <w:color w:val="auto"/>
              </w:rPr>
            </w:pPr>
          </w:p>
        </w:tc>
        <w:tc>
          <w:tcPr>
            <w:tcW w:w="280" w:type="dxa"/>
            <w:vAlign w:val="bottom"/>
            <w:tcBorders>
              <w:bottom w:val="single" w:sz="8" w:color="901588"/>
            </w:tcBorders>
          </w:tcPr>
          <w:p>
            <w:pPr>
              <w:spacing w:after="0"/>
              <w:rPr>
                <w:sz w:val="20"/>
                <w:szCs w:val="20"/>
                <w:color w:val="auto"/>
              </w:rPr>
            </w:pPr>
          </w:p>
        </w:tc>
        <w:tc>
          <w:tcPr>
            <w:tcW w:w="12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gridSpan w:val="2"/>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50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336</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347</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jc w:val="right"/>
              <w:ind w:right="34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36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4,228</w:t>
            </w:r>
          </w:p>
        </w:tc>
      </w:tr>
      <w:tr>
        <w:trPr>
          <w:trHeight w:val="20"/>
        </w:trPr>
        <w:tc>
          <w:tcPr>
            <w:tcW w:w="352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280" w:type="dxa"/>
            <w:vAlign w:val="bottom"/>
            <w:tcBorders>
              <w:top w:val="single" w:sz="8" w:color="901588"/>
              <w:bottom w:val="single" w:sz="8" w:color="901588"/>
            </w:tcBorders>
          </w:tcPr>
          <w:p>
            <w:pPr>
              <w:spacing w:after="0" w:line="20" w:lineRule="exact"/>
              <w:rPr>
                <w:sz w:val="1"/>
                <w:szCs w:val="1"/>
                <w:color w:val="auto"/>
              </w:rPr>
            </w:pPr>
          </w:p>
        </w:tc>
        <w:tc>
          <w:tcPr>
            <w:tcW w:w="124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500" w:type="dxa"/>
            <w:vAlign w:val="bottom"/>
            <w:tcBorders>
              <w:top w:val="single" w:sz="8" w:color="901588"/>
              <w:bottom w:val="single" w:sz="8" w:color="901588"/>
            </w:tcBorders>
          </w:tcPr>
          <w:p>
            <w:pPr>
              <w:spacing w:after="0" w:line="20" w:lineRule="exact"/>
              <w:rPr>
                <w:sz w:val="1"/>
                <w:szCs w:val="1"/>
                <w:color w:val="auto"/>
              </w:rPr>
            </w:pPr>
          </w:p>
        </w:tc>
        <w:tc>
          <w:tcPr>
            <w:tcW w:w="920" w:type="dxa"/>
            <w:vAlign w:val="bottom"/>
            <w:tcBorders>
              <w:top w:val="single" w:sz="8" w:color="901588"/>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360" w:type="dxa"/>
            <w:vAlign w:val="bottom"/>
            <w:tcBorders>
              <w:top w:val="single" w:sz="8" w:color="901588"/>
              <w:bottom w:val="single" w:sz="8" w:color="901588"/>
            </w:tcBorders>
          </w:tcPr>
          <w:p>
            <w:pPr>
              <w:spacing w:after="0" w:line="20" w:lineRule="exact"/>
              <w:rPr>
                <w:sz w:val="1"/>
                <w:szCs w:val="1"/>
                <w:color w:val="auto"/>
              </w:rPr>
            </w:pPr>
          </w:p>
        </w:tc>
        <w:tc>
          <w:tcPr>
            <w:tcW w:w="106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620" w:type="dxa"/>
            <w:vAlign w:val="bottom"/>
            <w:tcBorders>
              <w:top w:val="single" w:sz="8" w:color="901588"/>
              <w:bottom w:val="single" w:sz="8" w:color="901588"/>
            </w:tcBorders>
          </w:tcPr>
          <w:p>
            <w:pPr>
              <w:spacing w:after="0" w:line="20" w:lineRule="exact"/>
              <w:rPr>
                <w:sz w:val="1"/>
                <w:szCs w:val="1"/>
                <w:color w:val="auto"/>
              </w:rPr>
            </w:pPr>
          </w:p>
        </w:tc>
        <w:tc>
          <w:tcPr>
            <w:tcW w:w="820" w:type="dxa"/>
            <w:vAlign w:val="bottom"/>
            <w:tcBorders>
              <w:top w:val="single" w:sz="8" w:color="901588"/>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top w:val="single" w:sz="8" w:color="901588"/>
              <w:bottom w:val="single" w:sz="8" w:color="901588"/>
            </w:tcBorders>
          </w:tcPr>
          <w:p>
            <w:pPr>
              <w:spacing w:after="0" w:line="20" w:lineRule="exact"/>
              <w:rPr>
                <w:sz w:val="1"/>
                <w:szCs w:val="1"/>
                <w:color w:val="auto"/>
              </w:rPr>
            </w:pPr>
          </w:p>
        </w:tc>
        <w:tc>
          <w:tcPr>
            <w:tcW w:w="520" w:type="dxa"/>
            <w:vAlign w:val="bottom"/>
            <w:tcBorders>
              <w:top w:val="single" w:sz="8" w:color="901588"/>
              <w:bottom w:val="single" w:sz="8" w:color="901588"/>
            </w:tcBorders>
          </w:tcPr>
          <w:p>
            <w:pPr>
              <w:spacing w:after="0" w:line="20" w:lineRule="exact"/>
              <w:rPr>
                <w:sz w:val="1"/>
                <w:szCs w:val="1"/>
                <w:color w:val="auto"/>
              </w:rPr>
            </w:pPr>
          </w:p>
        </w:tc>
        <w:tc>
          <w:tcPr>
            <w:tcW w:w="900" w:type="dxa"/>
            <w:vAlign w:val="bottom"/>
            <w:tcBorders>
              <w:top w:val="single" w:sz="8" w:color="901588"/>
              <w:bottom w:val="single" w:sz="8" w:color="901588"/>
            </w:tcBorders>
          </w:tcPr>
          <w:p>
            <w:pPr>
              <w:spacing w:after="0" w:line="20" w:lineRule="exact"/>
              <w:rPr>
                <w:sz w:val="1"/>
                <w:szCs w:val="1"/>
                <w:color w:val="auto"/>
              </w:rPr>
            </w:pPr>
          </w:p>
        </w:tc>
      </w:tr>
    </w:tbl>
    <w:p>
      <w:pPr>
        <w:spacing w:after="0" w:line="18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Revenues by customer-type, contract-type and geographic location exclude lease income of $17 million for both the three months ended April 3, 2026, and April 4, 2025.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CONTRACT ASSETS AND LIABILITIES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5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Contract assets consist of unbilled receivables, which is the amount of revenue recognized that exceeds the amount billed to the customer. Unbilled receivables exclude amounts billable where the right to consideration is unconditional and not billed. Contract liabilities consist of deferred revenue, which represents cash advances received prior to performance for programs and billings in excess of revenue recognized.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contract assets and contract liabilities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4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5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40"/>
        </w:trPr>
        <w:tc>
          <w:tcPr>
            <w:tcW w:w="3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b w:val="1"/>
                <w:bCs w:val="1"/>
                <w:color w:val="auto"/>
              </w:rPr>
              <w:t>Balance sheet line item</w:t>
            </w:r>
          </w:p>
        </w:tc>
        <w:tc>
          <w:tcPr>
            <w:tcW w:w="54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assets - 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39"/>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Unbilled receivables</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Receivables, net</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865</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894</w:t>
            </w:r>
          </w:p>
        </w:tc>
      </w:tr>
      <w:tr>
        <w:trPr>
          <w:trHeight w:val="234"/>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B2B2B2"/>
            </w:tcBorders>
          </w:tcPr>
          <w:p>
            <w:pPr>
              <w:ind w:left="840"/>
              <w:spacing w:after="0"/>
              <w:rPr>
                <w:sz w:val="20"/>
                <w:szCs w:val="20"/>
                <w:color w:val="auto"/>
              </w:rPr>
            </w:pPr>
            <w:r>
              <w:rPr>
                <w:rFonts w:ascii="Arial" w:cs="Arial" w:eastAsia="Arial" w:hAnsi="Arial"/>
                <w:sz w:val="16"/>
                <w:szCs w:val="16"/>
                <w:color w:val="auto"/>
              </w:rPr>
              <w:t>Accounts payable and accrued liabilities</w:t>
            </w:r>
          </w:p>
        </w:tc>
        <w:tc>
          <w:tcPr>
            <w:tcW w:w="540" w:type="dxa"/>
            <w:vAlign w:val="bottom"/>
            <w:tcBorders>
              <w:bottom w:val="single" w:sz="8" w:color="B2B2B2"/>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411</w:t>
            </w:r>
          </w:p>
        </w:tc>
        <w:tc>
          <w:tcPr>
            <w:tcW w:w="560" w:type="dxa"/>
            <w:vAlign w:val="bottom"/>
            <w:tcBorders>
              <w:bottom w:val="single" w:sz="8" w:color="B2B2B2"/>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348</w:t>
            </w:r>
          </w:p>
        </w:tc>
      </w:tr>
      <w:tr>
        <w:trPr>
          <w:trHeight w:val="230"/>
        </w:trPr>
        <w:tc>
          <w:tcPr>
            <w:tcW w:w="3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Contract liabilities - non-current:</w:t>
            </w:r>
          </w:p>
        </w:tc>
        <w:tc>
          <w:tcPr>
            <w:tcW w:w="4880" w:type="dxa"/>
            <w:vAlign w:val="bottom"/>
            <w:tcBorders>
              <w:bottom w:val="single" w:sz="8" w:color="B2B2B2"/>
            </w:tcBorders>
          </w:tcPr>
          <w:p>
            <w:pPr>
              <w:spacing w:after="0"/>
              <w:rPr>
                <w:sz w:val="20"/>
                <w:szCs w:val="20"/>
                <w:color w:val="auto"/>
              </w:rPr>
            </w:pPr>
          </w:p>
        </w:tc>
        <w:tc>
          <w:tcPr>
            <w:tcW w:w="54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spacing w:after="0"/>
              <w:rPr>
                <w:sz w:val="20"/>
                <w:szCs w:val="20"/>
                <w:color w:val="auto"/>
              </w:rPr>
            </w:pPr>
          </w:p>
        </w:tc>
        <w:tc>
          <w:tcPr>
            <w:tcW w:w="56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spacing w:after="0"/>
              <w:rPr>
                <w:sz w:val="20"/>
                <w:szCs w:val="20"/>
                <w:color w:val="auto"/>
              </w:rPr>
            </w:pPr>
          </w:p>
        </w:tc>
      </w:tr>
      <w:tr>
        <w:trPr>
          <w:trHeight w:val="283"/>
        </w:trPr>
        <w:tc>
          <w:tcPr>
            <w:tcW w:w="3140" w:type="dxa"/>
            <w:vAlign w:val="bottom"/>
            <w:tcBorders>
              <w:bottom w:val="single" w:sz="8" w:color="901588"/>
            </w:tcBorders>
          </w:tcPr>
          <w:p>
            <w:pPr>
              <w:ind w:left="140"/>
              <w:spacing w:after="0"/>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(1)</w:t>
            </w:r>
          </w:p>
        </w:tc>
        <w:tc>
          <w:tcPr>
            <w:tcW w:w="4880" w:type="dxa"/>
            <w:vAlign w:val="bottom"/>
            <w:tcBorders>
              <w:bottom w:val="single" w:sz="8" w:color="901588"/>
            </w:tcBorders>
          </w:tcPr>
          <w:p>
            <w:pPr>
              <w:ind w:left="8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w:t>
            </w:r>
          </w:p>
        </w:tc>
        <w:tc>
          <w:tcPr>
            <w:tcW w:w="560" w:type="dxa"/>
            <w:vAlign w:val="bottom"/>
            <w:tcBorders>
              <w:bottom w:val="single" w:sz="8" w:color="901588"/>
            </w:tcBorders>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6</w:t>
            </w:r>
          </w:p>
        </w:tc>
      </w:tr>
    </w:tbl>
    <w:p>
      <w:pPr>
        <w:spacing w:after="0" w:line="167"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Certain contracts record revenue net of cost of revenues, and therefore, the respective deferred revenue balance will not fully convert to revenue.</w:t>
      </w:r>
    </w:p>
    <w:p>
      <w:pPr>
        <w:spacing w:after="0" w:line="200" w:lineRule="exact"/>
        <w:rPr>
          <w:sz w:val="20"/>
          <w:szCs w:val="20"/>
          <w:color w:val="auto"/>
        </w:rPr>
      </w:pPr>
    </w:p>
    <w:p>
      <w:pPr>
        <w:spacing w:after="0" w:line="372"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decrease in unbilled receivables was primarily due to the timing of billings on certain contracts, partially offset by revenue recognized on certain contracts. The increase in deferred revenue was primarily due to the acquisition of Entrust (see "Note 3–Acquisitions, Goodwill and Intangible Assets") and timing of advanced payments from customers, partially offset by revenue recognized during the period.</w:t>
      </w:r>
    </w:p>
    <w:p>
      <w:pPr>
        <w:spacing w:after="0" w:line="71"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For the three months ended April 3, 2026, $56 million of revenue recognized was included as a contract liability at January 2, 2026. For the three months ended April 4, 2025, $137 million of revenue recognized was included as a contract liability at January 3, 2025.</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3–Acquisitions,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ENTRUST ACQUISITION</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March 27, 2026, ("Acquisition Date"), Leidos, Inc. completed a stock purchase agreement with KENE Holdings, L.P. and KENE Parent Inc. ("Entrust") to acquire all of the shares of Entrust for a purchase price of $2.4 billion in cash, subject to customary adjustments for Entrust’s cash, debt, transaction expenses and net working capital. Entrust is an engineering firm that provides infrastructure design, grid modernization and program management services primarily to electric, gas and pipeline utilities. This acquisition enhances existing energy infrastructure capabilities within our Homeland reportable segment.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fair values of the assets acquired and liabilities assumed at the Acquisition Date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Cash and cash equivalents</w:t>
            </w:r>
          </w:p>
        </w:tc>
        <w:tc>
          <w:tcPr>
            <w:tcW w:w="56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Receivables, net</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162</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current assets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Intangible assets, net</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right-of-use assets, net</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Deferred tax liabilities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Accrued payroll and employee benefits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lease liabilities</w:t>
            </w:r>
          </w:p>
        </w:tc>
        <w:tc>
          <w:tcPr>
            <w:tcW w:w="56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identifiable net assets acquired</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637</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56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1,748</w:t>
            </w:r>
          </w:p>
        </w:tc>
      </w:tr>
      <w:tr>
        <w:trPr>
          <w:trHeight w:val="284"/>
        </w:trPr>
        <w:tc>
          <w:tcPr>
            <w:tcW w:w="97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Purchase price</w:t>
            </w:r>
          </w:p>
        </w:tc>
        <w:tc>
          <w:tcPr>
            <w:tcW w:w="56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2,385</w:t>
            </w:r>
          </w:p>
        </w:tc>
      </w:tr>
      <w:tr>
        <w:trPr>
          <w:trHeight w:val="20"/>
        </w:trPr>
        <w:tc>
          <w:tcPr>
            <w:tcW w:w="9760" w:type="dxa"/>
            <w:vAlign w:val="bottom"/>
            <w:tcBorders>
              <w:top w:val="single" w:sz="8" w:color="901588"/>
            </w:tcBorders>
          </w:tcPr>
          <w:p>
            <w:pPr>
              <w:spacing w:after="0" w:line="20" w:lineRule="exact"/>
              <w:rPr>
                <w:sz w:val="1"/>
                <w:szCs w:val="1"/>
                <w:color w:val="auto"/>
              </w:rPr>
            </w:pPr>
          </w:p>
        </w:tc>
        <w:tc>
          <w:tcPr>
            <w:tcW w:w="560" w:type="dxa"/>
            <w:vAlign w:val="bottom"/>
            <w:tcBorders>
              <w:top w:val="single" w:sz="8" w:color="F4E8F3"/>
            </w:tcBorders>
            <w:shd w:val="clear" w:color="auto" w:fill="901588"/>
          </w:tcPr>
          <w:p>
            <w:pPr>
              <w:spacing w:after="0" w:line="20" w:lineRule="exact"/>
              <w:rPr>
                <w:sz w:val="1"/>
                <w:szCs w:val="1"/>
                <w:color w:val="auto"/>
              </w:rPr>
            </w:pPr>
          </w:p>
        </w:tc>
        <w:tc>
          <w:tcPr>
            <w:tcW w:w="920" w:type="dxa"/>
            <w:vAlign w:val="bottom"/>
            <w:tcBorders>
              <w:top w:val="single" w:sz="8" w:color="F4E8F3"/>
            </w:tcBorders>
            <w:shd w:val="clear" w:color="auto" w:fill="901588"/>
          </w:tcPr>
          <w:p>
            <w:pPr>
              <w:spacing w:after="0" w:line="20" w:lineRule="exact"/>
              <w:rPr>
                <w:sz w:val="1"/>
                <w:szCs w:val="1"/>
                <w:color w:val="auto"/>
              </w:rPr>
            </w:pPr>
          </w:p>
        </w:tc>
      </w:tr>
    </w:tbl>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Due to the timing and complexity of the acquisition, the assets acquired and liabilities assumed were recorded at their preliminary estimated fair values. As of April 3, 2026, we had not finalized the determination of fair values for substantially all of the acquired assets and liabilities assumed. The preliminary purchase price allocation is subject to change as we complete our determination of the final working capital and the fair value of the acquired assets and liabilities assumed, the impact of which could be material.</w:t>
      </w:r>
    </w:p>
    <w:p>
      <w:pPr>
        <w:spacing w:after="0" w:line="7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goodwill represents intellectual capital and the acquired assembled workforce, neither of which qualify for recognition as a separate intangible asset. Of the preliminary goodwill recognized, approximately $119 million is tax deductible.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following table summarizes the preliminary fair value of intangible assets acquired at the Acquisition Date and the related weighted average amortization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Amortization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4340" w:type="dxa"/>
            <w:vAlign w:val="bottom"/>
          </w:tcPr>
          <w:p>
            <w:pPr>
              <w:spacing w:after="0"/>
              <w:rPr>
                <w:sz w:val="19"/>
                <w:szCs w:val="19"/>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44"/>
        </w:trPr>
        <w:tc>
          <w:tcPr>
            <w:tcW w:w="4340" w:type="dxa"/>
            <w:vAlign w:val="bottom"/>
            <w:tcBorders>
              <w:bottom w:val="single" w:sz="8" w:color="901588"/>
            </w:tcBorders>
          </w:tcPr>
          <w:p>
            <w:pPr>
              <w:spacing w:after="0"/>
              <w:rPr>
                <w:sz w:val="21"/>
                <w:szCs w:val="21"/>
                <w:color w:val="auto"/>
              </w:rPr>
            </w:pPr>
          </w:p>
        </w:tc>
        <w:tc>
          <w:tcPr>
            <w:tcW w:w="550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(in years)</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(in millions)</w:t>
            </w:r>
          </w:p>
        </w:tc>
      </w:tr>
      <w:tr>
        <w:trPr>
          <w:trHeight w:val="236"/>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530</w:t>
            </w:r>
          </w:p>
        </w:tc>
      </w:tr>
      <w:tr>
        <w:trPr>
          <w:trHeight w:val="237"/>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w:t>
            </w:r>
          </w:p>
        </w:tc>
      </w:tr>
      <w:tr>
        <w:trPr>
          <w:trHeight w:val="239"/>
        </w:trPr>
        <w:tc>
          <w:tcPr>
            <w:tcW w:w="434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w:t>
            </w:r>
          </w:p>
        </w:tc>
        <w:tc>
          <w:tcPr>
            <w:tcW w:w="5500" w:type="dxa"/>
            <w:vAlign w:val="bottom"/>
            <w:tcBorders>
              <w:bottom w:val="single" w:sz="8" w:color="901588"/>
            </w:tcBorders>
            <w:shd w:val="clear" w:color="auto" w:fill="F4E8F3"/>
          </w:tcPr>
          <w:p>
            <w:pPr>
              <w:spacing w:after="0"/>
              <w:rPr>
                <w:sz w:val="20"/>
                <w:szCs w:val="20"/>
                <w:color w:val="auto"/>
              </w:rPr>
            </w:pPr>
          </w:p>
        </w:tc>
        <w:tc>
          <w:tcPr>
            <w:tcW w:w="34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564</w:t>
            </w:r>
          </w:p>
        </w:tc>
      </w:tr>
    </w:tbl>
    <w:p>
      <w:pPr>
        <w:spacing w:after="0" w:line="18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preliminary fair value and related weighted average amortization period of the intangible assets acquired were based on an industry benchmarking analysis surrounding recent and relevant industry transactions. The difference between the benchmark estimate and ultimate fair value of intangible assets identified may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April 3, 2026, $11 million of revenues related to Entrust were recognized within the Homeland reportable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Acquisition and Integration Costs</w:t>
      </w:r>
    </w:p>
    <w:p>
      <w:pPr>
        <w:spacing w:after="0" w:line="12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For the three months ended April 3, 2026, $29 million of acquisition and integration costs were recorded related to the acquisition of Entrust. These costs were recorded within the Homeland reportable segment and Corporate, and presented in "Acquisition, integration and restructuring costs" and "Interest expense, net" on the condensed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Pro Forma Financial Information</w:t>
      </w:r>
    </w:p>
    <w:p>
      <w:pPr>
        <w:spacing w:after="0" w:line="12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following pro forma financial information presents consolidated results of operations as if the acquisition of Entrust had occurred on January 4, 2025. The pro forma financial information was prepared based on historical financial information and has been adjusted to give effect to the events that are directly attributable to the acquisition of Entrust and factually supportable. These adjustments include amortization and interest expense that are directly attributable to the acquisition.</w:t>
      </w:r>
    </w:p>
    <w:p>
      <w:pPr>
        <w:spacing w:after="0" w:line="7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pro forma results below do not reflect future events that have occurred or may occur after the acquisition, including anticipated synergies or other expected benefits that may be realized from the acquisition. The pro forma information is not intended to reflect the actual results of operations that would have occurred if the acquisition had been completed on January 4, 2025, nor is it intended to be an indication of future operating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0" w:type="dxa"/>
            <w:vAlign w:val="bottom"/>
          </w:tcPr>
          <w:p>
            <w:pPr>
              <w:spacing w:after="0"/>
              <w:rPr>
                <w:sz w:val="19"/>
                <w:szCs w:val="19"/>
                <w:color w:val="auto"/>
              </w:rPr>
            </w:pPr>
          </w:p>
        </w:tc>
        <w:tc>
          <w:tcPr>
            <w:tcW w:w="420" w:type="dxa"/>
            <w:vAlign w:val="bottom"/>
            <w:tcBorders>
              <w:bottom w:val="single" w:sz="8" w:color="901588"/>
            </w:tcBorders>
          </w:tcPr>
          <w:p>
            <w:pPr>
              <w:spacing w:after="0"/>
              <w:rPr>
                <w:sz w:val="19"/>
                <w:szCs w:val="19"/>
                <w:color w:val="auto"/>
              </w:rPr>
            </w:pPr>
          </w:p>
        </w:tc>
        <w:tc>
          <w:tcPr>
            <w:tcW w:w="2000" w:type="dxa"/>
            <w:vAlign w:val="bottom"/>
            <w:tcBorders>
              <w:bottom w:val="single" w:sz="8" w:color="901588"/>
            </w:tcBorders>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901588"/>
            </w:tcBorders>
          </w:tcPr>
          <w:p>
            <w:pPr>
              <w:spacing w:after="0"/>
              <w:rPr>
                <w:sz w:val="19"/>
                <w:szCs w:val="19"/>
                <w:color w:val="auto"/>
              </w:rPr>
            </w:pPr>
          </w:p>
        </w:tc>
      </w:tr>
      <w:tr>
        <w:trPr>
          <w:trHeight w:val="199"/>
        </w:trPr>
        <w:tc>
          <w:tcPr>
            <w:tcW w:w="8200" w:type="dxa"/>
            <w:vAlign w:val="bottom"/>
          </w:tcPr>
          <w:p>
            <w:pPr>
              <w:spacing w:after="0"/>
              <w:rPr>
                <w:sz w:val="17"/>
                <w:szCs w:val="17"/>
                <w:color w:val="auto"/>
              </w:rPr>
            </w:pPr>
          </w:p>
        </w:tc>
        <w:tc>
          <w:tcPr>
            <w:tcW w:w="420" w:type="dxa"/>
            <w:vAlign w:val="bottom"/>
            <w:shd w:val="clear" w:color="auto" w:fill="F4E8F3"/>
          </w:tcPr>
          <w:p>
            <w:pPr>
              <w:spacing w:after="0"/>
              <w:rPr>
                <w:sz w:val="17"/>
                <w:szCs w:val="17"/>
                <w:color w:val="auto"/>
              </w:rPr>
            </w:pPr>
          </w:p>
        </w:tc>
        <w:tc>
          <w:tcPr>
            <w:tcW w:w="10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37"/>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 except per share amounts)</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94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F4E8F3"/>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shd w:val="clear" w:color="auto" w:fill="F4E8F3"/>
              </w:rPr>
              <w:t>$</w:t>
            </w:r>
          </w:p>
        </w:tc>
        <w:tc>
          <w:tcPr>
            <w:tcW w:w="1060" w:type="dxa"/>
            <w:vAlign w:val="bottom"/>
            <w:tcBorders>
              <w:bottom w:val="single" w:sz="8" w:color="F4E8F3"/>
            </w:tcBorders>
            <w:shd w:val="clear" w:color="auto" w:fill="F4E8F3"/>
          </w:tcPr>
          <w:p>
            <w:pPr>
              <w:jc w:val="right"/>
              <w:spacing w:after="0"/>
              <w:rPr>
                <w:sz w:val="20"/>
                <w:szCs w:val="20"/>
                <w:color w:val="auto"/>
              </w:rPr>
            </w:pPr>
            <w:r>
              <w:rPr>
                <w:rFonts w:ascii="Arial" w:cs="Arial" w:eastAsia="Arial" w:hAnsi="Arial"/>
                <w:sz w:val="16"/>
                <w:szCs w:val="16"/>
                <w:b w:val="1"/>
                <w:bCs w:val="1"/>
                <w:color w:val="auto"/>
                <w:shd w:val="clear" w:color="auto" w:fill="F4E8F3"/>
              </w:rPr>
              <w:t>4,528</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4,385</w:t>
            </w:r>
          </w:p>
        </w:tc>
      </w:tr>
      <w:tr>
        <w:trPr>
          <w:trHeight w:val="233"/>
        </w:trPr>
        <w:tc>
          <w:tcPr>
            <w:tcW w:w="820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top w:val="single" w:sz="8" w:color="B2B2B2"/>
              <w:bottom w:val="single" w:sz="8" w:color="B2B2B2"/>
            </w:tcBorders>
            <w:shd w:val="clear" w:color="auto" w:fill="F4E8F3"/>
          </w:tcPr>
          <w:p>
            <w:pPr>
              <w:spacing w:after="0"/>
              <w:rPr>
                <w:sz w:val="20"/>
                <w:szCs w:val="20"/>
                <w:color w:val="auto"/>
              </w:rPr>
            </w:pPr>
          </w:p>
        </w:tc>
        <w:tc>
          <w:tcPr>
            <w:tcW w:w="1060" w:type="dxa"/>
            <w:vAlign w:val="bottom"/>
            <w:tcBorders>
              <w:top w:val="single" w:sz="8" w:color="B2B2B2"/>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347</w:t>
            </w:r>
          </w:p>
        </w:tc>
        <w:tc>
          <w:tcPr>
            <w:tcW w:w="940" w:type="dxa"/>
            <w:vAlign w:val="bottom"/>
            <w:tcBorders>
              <w:top w:val="single" w:sz="8" w:color="B2B2B2"/>
              <w:bottom w:val="single" w:sz="8" w:color="B2B2B2"/>
            </w:tcBorders>
          </w:tcPr>
          <w:p>
            <w:pPr>
              <w:spacing w:after="0"/>
              <w:rPr>
                <w:sz w:val="20"/>
                <w:szCs w:val="20"/>
                <w:color w:val="auto"/>
              </w:rPr>
            </w:pPr>
          </w:p>
        </w:tc>
        <w:tc>
          <w:tcPr>
            <w:tcW w:w="62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332</w:t>
            </w:r>
          </w:p>
        </w:tc>
      </w:tr>
      <w:tr>
        <w:trPr>
          <w:trHeight w:val="236"/>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340</w:t>
            </w:r>
          </w:p>
        </w:tc>
        <w:tc>
          <w:tcPr>
            <w:tcW w:w="94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330</w:t>
            </w:r>
          </w:p>
        </w:tc>
      </w:tr>
      <w:tr>
        <w:trPr>
          <w:trHeight w:val="234"/>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Earnings per share:</w:t>
            </w:r>
          </w:p>
        </w:tc>
        <w:tc>
          <w:tcPr>
            <w:tcW w:w="420" w:type="dxa"/>
            <w:vAlign w:val="bottom"/>
            <w:tcBorders>
              <w:bottom w:val="single" w:sz="8" w:color="B2B2B2"/>
            </w:tcBorders>
            <w:shd w:val="clear" w:color="auto" w:fill="F4E8F3"/>
          </w:tcPr>
          <w:p>
            <w:pPr>
              <w:spacing w:after="0"/>
              <w:rPr>
                <w:sz w:val="20"/>
                <w:szCs w:val="20"/>
                <w:color w:val="auto"/>
              </w:rPr>
            </w:pPr>
          </w:p>
        </w:tc>
        <w:tc>
          <w:tcPr>
            <w:tcW w:w="1060" w:type="dxa"/>
            <w:vAlign w:val="bottom"/>
            <w:tcBorders>
              <w:bottom w:val="single" w:sz="8" w:color="B2B2B2"/>
            </w:tcBorders>
            <w:shd w:val="clear" w:color="auto" w:fill="F4E8F3"/>
          </w:tcPr>
          <w:p>
            <w:pPr>
              <w:spacing w:after="0"/>
              <w:rPr>
                <w:sz w:val="20"/>
                <w:szCs w:val="20"/>
                <w:color w:val="auto"/>
              </w:rPr>
            </w:pPr>
          </w:p>
        </w:tc>
        <w:tc>
          <w:tcPr>
            <w:tcW w:w="94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r>
      <w:tr>
        <w:trPr>
          <w:trHeight w:val="239"/>
        </w:trPr>
        <w:tc>
          <w:tcPr>
            <w:tcW w:w="82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2.69</w:t>
            </w:r>
          </w:p>
        </w:tc>
        <w:tc>
          <w:tcPr>
            <w:tcW w:w="940" w:type="dxa"/>
            <w:vAlign w:val="bottom"/>
            <w:tcBorders>
              <w:bottom w:val="single" w:sz="8" w:color="B2B2B2"/>
            </w:tcBorders>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2.54</w:t>
            </w:r>
          </w:p>
        </w:tc>
      </w:tr>
      <w:tr>
        <w:trPr>
          <w:trHeight w:val="237"/>
        </w:trPr>
        <w:tc>
          <w:tcPr>
            <w:tcW w:w="82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901588"/>
            </w:tcBorders>
            <w:shd w:val="clear" w:color="auto" w:fill="F4E8F3"/>
          </w:tcPr>
          <w:p>
            <w:pPr>
              <w:spacing w:after="0"/>
              <w:rPr>
                <w:sz w:val="20"/>
                <w:szCs w:val="20"/>
                <w:color w:val="auto"/>
              </w:rPr>
            </w:pP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2.65</w:t>
            </w:r>
          </w:p>
        </w:tc>
        <w:tc>
          <w:tcPr>
            <w:tcW w:w="94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2.52</w:t>
            </w:r>
          </w:p>
        </w:tc>
      </w:tr>
    </w:tbl>
    <w:p>
      <w:pPr>
        <w:spacing w:after="0" w:line="17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pro forma financial information above includes the following nonrecurring significant adjustment made to account for certain costs incurred as if the acquisition had been completed on January 4, 2025:</w:t>
      </w:r>
    </w:p>
    <w:p>
      <w:pPr>
        <w:spacing w:after="0" w:line="48" w:lineRule="exact"/>
        <w:rPr>
          <w:sz w:val="20"/>
          <w:szCs w:val="20"/>
          <w:color w:val="auto"/>
        </w:rPr>
      </w:pPr>
    </w:p>
    <w:p>
      <w:pPr>
        <w:ind w:left="200" w:right="40" w:hanging="193"/>
        <w:spacing w:after="0" w:line="304" w:lineRule="auto"/>
        <w:rPr>
          <w:sz w:val="20"/>
          <w:szCs w:val="20"/>
          <w:color w:val="auto"/>
        </w:rPr>
      </w:pPr>
      <w:r>
        <w:rPr>
          <w:rFonts w:ascii="Arial" w:cs="Arial" w:eastAsia="Arial" w:hAnsi="Arial"/>
          <w:sz w:val="16"/>
          <w:szCs w:val="16"/>
          <w:color w:val="901588"/>
        </w:rPr>
        <w:t xml:space="preserve">u </w:t>
      </w:r>
      <w:r>
        <w:rPr>
          <w:rFonts w:ascii="Arial" w:cs="Arial" w:eastAsia="Arial" w:hAnsi="Arial"/>
          <w:sz w:val="16"/>
          <w:szCs w:val="16"/>
          <w:color w:val="000000"/>
        </w:rPr>
        <w:t>Acquisition-related costs of $29 million for the three months ended April 3, 2026, were excluded from the pro forma financial information for fiscal 2026 and</w:t>
      </w:r>
      <w:r>
        <w:rPr>
          <w:rFonts w:ascii="Arial" w:cs="Arial" w:eastAsia="Arial" w:hAnsi="Arial"/>
          <w:sz w:val="16"/>
          <w:szCs w:val="16"/>
          <w:color w:val="901588"/>
        </w:rPr>
        <w:t xml:space="preserve"> </w:t>
      </w:r>
      <w:r>
        <w:rPr>
          <w:rFonts w:ascii="Arial" w:cs="Arial" w:eastAsia="Arial" w:hAnsi="Arial"/>
          <w:sz w:val="16"/>
          <w:szCs w:val="16"/>
          <w:color w:val="000000"/>
        </w:rPr>
        <w:t>were included in the pro forma financial information for fiscal 2025.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KUDU DYNAMICS ACQUISITION</w:t>
      </w:r>
    </w:p>
    <w:p>
      <w:pPr>
        <w:spacing w:after="0" w:line="122"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On May 23, 2025 (the "Purchase Date"), we completed the acquisition of Savanna Industries, Inc. ("Kudu Dynamics") for purchase consideration of $293 million, net of $29 million of cash acquired. The Kudu Dynamics business provides artificial intelligence enabled cyber capabilities for defense, intelligence and homeland security customers.</w:t>
      </w:r>
    </w:p>
    <w:p>
      <w:pPr>
        <w:spacing w:after="0" w:line="200" w:lineRule="exact"/>
        <w:rPr>
          <w:sz w:val="20"/>
          <w:szCs w:val="20"/>
          <w:color w:val="auto"/>
        </w:rPr>
      </w:pPr>
    </w:p>
    <w:p>
      <w:pPr>
        <w:spacing w:after="0" w:line="389"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final goodwill recognized of $231 million represents intellectual capital and the acquired assembled workforce, neither of which qualify for recognition as a separate intangible asset. All of the goodwill recognized is tax deductible.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fair value of intangible assets acquired at the Purchase Date and the related weighted average amortization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Amortization</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4340" w:type="dxa"/>
            <w:vAlign w:val="bottom"/>
          </w:tcPr>
          <w:p>
            <w:pPr>
              <w:spacing w:after="0"/>
              <w:rPr>
                <w:sz w:val="20"/>
                <w:szCs w:val="20"/>
                <w:color w:val="auto"/>
              </w:rPr>
            </w:pPr>
          </w:p>
        </w:tc>
        <w:tc>
          <w:tcPr>
            <w:tcW w:w="5500" w:type="dxa"/>
            <w:vAlign w:val="bottom"/>
          </w:tcPr>
          <w:p>
            <w:pPr>
              <w:jc w:val="right"/>
              <w:ind w:right="39"/>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44"/>
        </w:trPr>
        <w:tc>
          <w:tcPr>
            <w:tcW w:w="4340" w:type="dxa"/>
            <w:vAlign w:val="bottom"/>
            <w:tcBorders>
              <w:bottom w:val="single" w:sz="8" w:color="901588"/>
            </w:tcBorders>
          </w:tcPr>
          <w:p>
            <w:pPr>
              <w:spacing w:after="0"/>
              <w:rPr>
                <w:sz w:val="21"/>
                <w:szCs w:val="21"/>
                <w:color w:val="auto"/>
              </w:rPr>
            </w:pPr>
          </w:p>
        </w:tc>
        <w:tc>
          <w:tcPr>
            <w:tcW w:w="550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(in years)</w:t>
            </w:r>
          </w:p>
        </w:tc>
        <w:tc>
          <w:tcPr>
            <w:tcW w:w="340" w:type="dxa"/>
            <w:vAlign w:val="bottom"/>
            <w:tcBorders>
              <w:bottom w:val="single" w:sz="8" w:color="901588"/>
            </w:tcBorders>
          </w:tcPr>
          <w:p>
            <w:pPr>
              <w:spacing w:after="0"/>
              <w:rPr>
                <w:sz w:val="21"/>
                <w:szCs w:val="21"/>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(in millions)</w:t>
            </w:r>
          </w:p>
        </w:tc>
      </w:tr>
      <w:tr>
        <w:trPr>
          <w:trHeight w:val="237"/>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43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550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w:t>
            </w:r>
          </w:p>
        </w:tc>
      </w:tr>
      <w:tr>
        <w:trPr>
          <w:trHeight w:val="239"/>
        </w:trPr>
        <w:tc>
          <w:tcPr>
            <w:tcW w:w="4340" w:type="dxa"/>
            <w:vAlign w:val="bottom"/>
            <w:tcBorders>
              <w:bottom w:val="single" w:sz="8" w:color="901588"/>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w:t>
            </w:r>
          </w:p>
        </w:tc>
        <w:tc>
          <w:tcPr>
            <w:tcW w:w="5500" w:type="dxa"/>
            <w:vAlign w:val="bottom"/>
            <w:tcBorders>
              <w:bottom w:val="single" w:sz="8" w:color="901588"/>
            </w:tcBorders>
            <w:shd w:val="clear" w:color="auto" w:fill="F4E8F3"/>
          </w:tcPr>
          <w:p>
            <w:pPr>
              <w:spacing w:after="0"/>
              <w:rPr>
                <w:sz w:val="20"/>
                <w:szCs w:val="20"/>
                <w:color w:val="auto"/>
              </w:rPr>
            </w:pPr>
          </w:p>
        </w:tc>
        <w:tc>
          <w:tcPr>
            <w:tcW w:w="340" w:type="dxa"/>
            <w:vAlign w:val="bottom"/>
            <w:tcBorders>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72</w:t>
            </w:r>
          </w:p>
        </w:tc>
      </w:tr>
    </w:tbl>
    <w:p>
      <w:pPr>
        <w:spacing w:after="0" w:line="175"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For the three months ended April 3, 2026, $22 million of revenues related to Kudu Dynamics were recognized within the Intelligence &amp; Digital reportable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GOODWILL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Beginning the first day of fiscal 2026, we completed a business realignment, which resulted in new reportable segments (see "Note 9–Business Segments").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Goodwill was allocated to reporting units within the new reportable segments based on a relative fair value approach.</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carrying amount of goodwill by reportable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Intelligence &amp;</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0"/>
        </w:trPr>
        <w:tc>
          <w:tcPr>
            <w:tcW w:w="43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901588"/>
            </w:tcBorders>
          </w:tcPr>
          <w:p>
            <w:pPr>
              <w:spacing w:after="0"/>
              <w:rPr>
                <w:sz w:val="20"/>
                <w:szCs w:val="20"/>
                <w:color w:val="auto"/>
              </w:rPr>
            </w:pPr>
          </w:p>
        </w:tc>
        <w:tc>
          <w:tcPr>
            <w:tcW w:w="128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Digital</w:t>
            </w: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gridSpan w:val="2"/>
          </w:tcPr>
          <w:p>
            <w:pPr>
              <w:ind w:left="300"/>
              <w:spacing w:after="0"/>
              <w:rPr>
                <w:sz w:val="20"/>
                <w:szCs w:val="20"/>
                <w:color w:val="auto"/>
              </w:rPr>
            </w:pPr>
            <w:r>
              <w:rPr>
                <w:rFonts w:ascii="Arial" w:cs="Arial" w:eastAsia="Arial" w:hAnsi="Arial"/>
                <w:sz w:val="16"/>
                <w:szCs w:val="16"/>
                <w:b w:val="1"/>
                <w:bCs w:val="1"/>
                <w:color w:val="auto"/>
              </w:rPr>
              <w:t>Health</w:t>
            </w:r>
          </w:p>
        </w:tc>
        <w:tc>
          <w:tcPr>
            <w:tcW w:w="40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gridSpan w:val="2"/>
          </w:tcPr>
          <w:p>
            <w:pPr>
              <w:ind w:left="260"/>
              <w:spacing w:after="0"/>
              <w:rPr>
                <w:sz w:val="20"/>
                <w:szCs w:val="20"/>
                <w:color w:val="auto"/>
              </w:rPr>
            </w:pPr>
            <w:r>
              <w:rPr>
                <w:rFonts w:ascii="Arial" w:cs="Arial" w:eastAsia="Arial" w:hAnsi="Arial"/>
                <w:sz w:val="16"/>
                <w:szCs w:val="16"/>
                <w:b w:val="1"/>
                <w:bCs w:val="1"/>
                <w:color w:val="auto"/>
              </w:rPr>
              <w:t>Homeland</w:t>
            </w:r>
          </w:p>
        </w:tc>
        <w:tc>
          <w:tcPr>
            <w:tcW w:w="300" w:type="dxa"/>
            <w:vAlign w:val="bottom"/>
            <w:tcBorders>
              <w:bottom w:val="single" w:sz="8" w:color="901588"/>
            </w:tcBorders>
          </w:tcPr>
          <w:p>
            <w:pPr>
              <w:spacing w:after="0"/>
              <w:rPr>
                <w:sz w:val="20"/>
                <w:szCs w:val="20"/>
                <w:color w:val="auto"/>
              </w:rPr>
            </w:pPr>
          </w:p>
        </w:tc>
        <w:tc>
          <w:tcPr>
            <w:tcW w:w="940" w:type="dxa"/>
            <w:vAlign w:val="bottom"/>
            <w:tcBorders>
              <w:bottom w:val="single" w:sz="8" w:color="901588"/>
            </w:tcBorders>
            <w:gridSpan w:val="2"/>
          </w:tcPr>
          <w:p>
            <w:pPr>
              <w:ind w:left="200"/>
              <w:spacing w:after="0"/>
              <w:rPr>
                <w:sz w:val="20"/>
                <w:szCs w:val="20"/>
                <w:color w:val="auto"/>
              </w:rPr>
            </w:pPr>
            <w:r>
              <w:rPr>
                <w:rFonts w:ascii="Arial" w:cs="Arial" w:eastAsia="Arial" w:hAnsi="Arial"/>
                <w:sz w:val="16"/>
                <w:szCs w:val="16"/>
                <w:b w:val="1"/>
                <w:bCs w:val="1"/>
                <w:color w:val="auto"/>
              </w:rPr>
              <w:t>Defense</w:t>
            </w:r>
          </w:p>
        </w:tc>
        <w:tc>
          <w:tcPr>
            <w:tcW w:w="46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0"/>
        </w:trPr>
        <w:tc>
          <w:tcPr>
            <w:tcW w:w="4320" w:type="dxa"/>
            <w:vAlign w:val="bottom"/>
            <w:tcBorders>
              <w:bottom w:val="single" w:sz="8" w:color="B2B2B2"/>
            </w:tcBorders>
          </w:tcPr>
          <w:p>
            <w:pPr>
              <w:ind w:left="20"/>
              <w:spacing w:after="0" w:line="240" w:lineRule="exact"/>
              <w:rPr>
                <w:sz w:val="20"/>
                <w:szCs w:val="20"/>
                <w:color w:val="auto"/>
              </w:rPr>
            </w:pPr>
            <w:r>
              <w:rPr>
                <w:rFonts w:ascii="Arial" w:cs="Arial" w:eastAsia="Arial" w:hAnsi="Arial"/>
                <w:sz w:val="16"/>
                <w:szCs w:val="16"/>
                <w:color w:val="auto"/>
              </w:rPr>
              <w:t>Goodwill at January 3, 2025</w:t>
            </w:r>
            <w:r>
              <w:rPr>
                <w:rFonts w:ascii="Arial" w:cs="Arial" w:eastAsia="Arial" w:hAnsi="Arial"/>
                <w:sz w:val="21"/>
                <w:szCs w:val="21"/>
                <w:color w:val="auto"/>
                <w:vertAlign w:val="superscript"/>
              </w:rPr>
              <w:t>(1)</w:t>
            </w:r>
          </w:p>
        </w:tc>
        <w:tc>
          <w:tcPr>
            <w:tcW w:w="22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B2B2B2"/>
            </w:tcBorders>
          </w:tcPr>
          <w:p>
            <w:pPr>
              <w:spacing w:after="0"/>
              <w:rPr>
                <w:sz w:val="20"/>
                <w:szCs w:val="20"/>
                <w:color w:val="auto"/>
              </w:rPr>
            </w:pP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6,084</w:t>
            </w:r>
          </w:p>
        </w:tc>
      </w:tr>
      <w:tr>
        <w:trPr>
          <w:trHeight w:val="230"/>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w:t>
            </w:r>
          </w:p>
        </w:tc>
        <w:tc>
          <w:tcPr>
            <w:tcW w:w="220" w:type="dxa"/>
            <w:vAlign w:val="bottom"/>
            <w:tcBorders>
              <w:bottom w:val="single" w:sz="8" w:color="B2B2B2"/>
            </w:tcBorders>
          </w:tcPr>
          <w:p>
            <w:pPr>
              <w:spacing w:after="0"/>
              <w:rPr>
                <w:sz w:val="20"/>
                <w:szCs w:val="20"/>
                <w:color w:val="auto"/>
              </w:rPr>
            </w:pPr>
          </w:p>
        </w:tc>
        <w:tc>
          <w:tcPr>
            <w:tcW w:w="1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231</w:t>
            </w:r>
          </w:p>
        </w:tc>
      </w:tr>
      <w:tr>
        <w:trPr>
          <w:trHeight w:val="236"/>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Divestiture of a business</w:t>
            </w:r>
          </w:p>
        </w:tc>
        <w:tc>
          <w:tcPr>
            <w:tcW w:w="2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43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43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Goodwill at January 2, 2026</w:t>
            </w:r>
            <w:r>
              <w:rPr>
                <w:rFonts w:ascii="Arial" w:cs="Arial" w:eastAsia="Arial" w:hAnsi="Arial"/>
                <w:sz w:val="21"/>
                <w:szCs w:val="21"/>
                <w:color w:val="auto"/>
                <w:vertAlign w:val="superscript"/>
              </w:rPr>
              <w:t>(1)</w:t>
            </w:r>
          </w:p>
        </w:tc>
        <w:tc>
          <w:tcPr>
            <w:tcW w:w="220" w:type="dxa"/>
            <w:vAlign w:val="bottom"/>
            <w:tcBorders>
              <w:top w:val="single" w:sz="8" w:color="901588"/>
              <w:bottom w:val="single" w:sz="8" w:color="B2B2B2"/>
            </w:tcBorders>
          </w:tcPr>
          <w:p>
            <w:pPr>
              <w:spacing w:after="0"/>
              <w:rPr>
                <w:sz w:val="21"/>
                <w:szCs w:val="21"/>
                <w:color w:val="auto"/>
              </w:rPr>
            </w:pPr>
          </w:p>
        </w:tc>
        <w:tc>
          <w:tcPr>
            <w:tcW w:w="11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B2B2B2"/>
              <w:bottom w:val="single" w:sz="8" w:color="B2B2B2"/>
            </w:tcBorders>
          </w:tcPr>
          <w:p>
            <w:pPr>
              <w:spacing w:after="0"/>
              <w:rPr>
                <w:sz w:val="21"/>
                <w:szCs w:val="21"/>
                <w:color w:val="auto"/>
              </w:rPr>
            </w:pPr>
          </w:p>
        </w:tc>
        <w:tc>
          <w:tcPr>
            <w:tcW w:w="420" w:type="dxa"/>
            <w:vAlign w:val="bottom"/>
            <w:tcBorders>
              <w:top w:val="single" w:sz="8" w:color="901588"/>
              <w:bottom w:val="single" w:sz="8" w:color="B2B2B2"/>
            </w:tcBorders>
          </w:tcPr>
          <w:p>
            <w:pPr>
              <w:spacing w:after="0"/>
              <w:rPr>
                <w:sz w:val="21"/>
                <w:szCs w:val="21"/>
                <w:color w:val="auto"/>
              </w:rPr>
            </w:pPr>
          </w:p>
        </w:tc>
        <w:tc>
          <w:tcPr>
            <w:tcW w:w="82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1,336</w:t>
            </w:r>
          </w:p>
        </w:tc>
        <w:tc>
          <w:tcPr>
            <w:tcW w:w="80" w:type="dxa"/>
            <w:vAlign w:val="bottom"/>
            <w:tcBorders>
              <w:top w:val="single" w:sz="8" w:color="B2B2B2"/>
              <w:bottom w:val="single" w:sz="8" w:color="B2B2B2"/>
            </w:tcBorders>
          </w:tcPr>
          <w:p>
            <w:pPr>
              <w:spacing w:after="0"/>
              <w:rPr>
                <w:sz w:val="21"/>
                <w:szCs w:val="21"/>
                <w:color w:val="auto"/>
              </w:rPr>
            </w:pPr>
          </w:p>
        </w:tc>
        <w:tc>
          <w:tcPr>
            <w:tcW w:w="400" w:type="dxa"/>
            <w:vAlign w:val="bottom"/>
            <w:tcBorders>
              <w:top w:val="single" w:sz="8" w:color="901588"/>
              <w:bottom w:val="single" w:sz="8" w:color="B2B2B2"/>
            </w:tcBorders>
          </w:tcPr>
          <w:p>
            <w:pPr>
              <w:spacing w:after="0"/>
              <w:rPr>
                <w:sz w:val="21"/>
                <w:szCs w:val="21"/>
                <w:color w:val="auto"/>
              </w:rPr>
            </w:pPr>
          </w:p>
        </w:tc>
        <w:tc>
          <w:tcPr>
            <w:tcW w:w="10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top w:val="single" w:sz="8" w:color="B2B2B2"/>
              <w:bottom w:val="single" w:sz="8" w:color="B2B2B2"/>
            </w:tcBorders>
          </w:tcPr>
          <w:p>
            <w:pPr>
              <w:spacing w:after="0"/>
              <w:rPr>
                <w:sz w:val="21"/>
                <w:szCs w:val="21"/>
                <w:color w:val="auto"/>
              </w:rPr>
            </w:pPr>
          </w:p>
        </w:tc>
        <w:tc>
          <w:tcPr>
            <w:tcW w:w="300" w:type="dxa"/>
            <w:vAlign w:val="bottom"/>
            <w:tcBorders>
              <w:top w:val="single" w:sz="8" w:color="901588"/>
              <w:bottom w:val="single" w:sz="8" w:color="B2B2B2"/>
            </w:tcBorders>
          </w:tcPr>
          <w:p>
            <w:pPr>
              <w:spacing w:after="0"/>
              <w:rPr>
                <w:sz w:val="21"/>
                <w:szCs w:val="21"/>
                <w:color w:val="auto"/>
              </w:rPr>
            </w:pP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top w:val="single" w:sz="8" w:color="B2B2B2"/>
              <w:bottom w:val="single" w:sz="8" w:color="B2B2B2"/>
            </w:tcBorders>
          </w:tcPr>
          <w:p>
            <w:pPr>
              <w:spacing w:after="0"/>
              <w:rPr>
                <w:sz w:val="21"/>
                <w:szCs w:val="21"/>
                <w:color w:val="auto"/>
              </w:rPr>
            </w:pPr>
          </w:p>
        </w:tc>
        <w:tc>
          <w:tcPr>
            <w:tcW w:w="460" w:type="dxa"/>
            <w:vAlign w:val="bottom"/>
            <w:tcBorders>
              <w:top w:val="single" w:sz="8" w:color="901588"/>
              <w:bottom w:val="single" w:sz="8" w:color="B2B2B2"/>
            </w:tcBorders>
          </w:tcPr>
          <w:p>
            <w:pPr>
              <w:spacing w:after="0"/>
              <w:rPr>
                <w:sz w:val="21"/>
                <w:szCs w:val="21"/>
                <w:color w:val="auto"/>
              </w:rPr>
            </w:pPr>
          </w:p>
        </w:tc>
        <w:tc>
          <w:tcPr>
            <w:tcW w:w="8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6,342</w:t>
            </w:r>
          </w:p>
        </w:tc>
      </w:tr>
      <w:tr>
        <w:trPr>
          <w:trHeight w:val="230"/>
        </w:trPr>
        <w:tc>
          <w:tcPr>
            <w:tcW w:w="43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Acquisition of a business</w:t>
            </w:r>
          </w:p>
        </w:tc>
        <w:tc>
          <w:tcPr>
            <w:tcW w:w="22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20"/>
                <w:szCs w:val="20"/>
                <w:color w:val="auto"/>
              </w:rPr>
            </w:pP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940" w:type="dxa"/>
            <w:vAlign w:val="bottom"/>
            <w:tcBorders>
              <w:bottom w:val="single" w:sz="8" w:color="B2B2B2"/>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1,748</w:t>
            </w:r>
          </w:p>
        </w:tc>
      </w:tr>
      <w:tr>
        <w:trPr>
          <w:trHeight w:val="236"/>
        </w:trPr>
        <w:tc>
          <w:tcPr>
            <w:tcW w:w="43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8"/>
        </w:trPr>
        <w:tc>
          <w:tcPr>
            <w:tcW w:w="432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Goodwill at April 3, 2026</w:t>
            </w:r>
            <w:r>
              <w:rPr>
                <w:rFonts w:ascii="Arial" w:cs="Arial" w:eastAsia="Arial" w:hAnsi="Arial"/>
                <w:sz w:val="21"/>
                <w:szCs w:val="21"/>
                <w:b w:val="1"/>
                <w:bCs w:val="1"/>
                <w:color w:val="auto"/>
                <w:vertAlign w:val="superscript"/>
              </w:rPr>
              <w:t>(1)</w:t>
            </w:r>
          </w:p>
        </w:tc>
        <w:tc>
          <w:tcPr>
            <w:tcW w:w="220" w:type="dxa"/>
            <w:vAlign w:val="bottom"/>
            <w:tcBorders>
              <w:top w:val="single" w:sz="8" w:color="901588"/>
              <w:bottom w:val="single" w:sz="8" w:color="901588"/>
            </w:tcBorders>
            <w:shd w:val="clear" w:color="auto" w:fill="F4E8F3"/>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2,238</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420" w:type="dxa"/>
            <w:vAlign w:val="bottom"/>
            <w:tcBorders>
              <w:top w:val="single" w:sz="8" w:color="901588"/>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1,336</w:t>
            </w:r>
          </w:p>
        </w:tc>
        <w:tc>
          <w:tcPr>
            <w:tcW w:w="80" w:type="dxa"/>
            <w:vAlign w:val="bottom"/>
            <w:tcBorders>
              <w:top w:val="single" w:sz="8" w:color="B2B2B2"/>
              <w:bottom w:val="single" w:sz="8" w:color="F4E8F3"/>
            </w:tcBorders>
            <w:shd w:val="clear" w:color="auto" w:fill="F4E8F3"/>
          </w:tcPr>
          <w:p>
            <w:pPr>
              <w:spacing w:after="0"/>
              <w:rPr>
                <w:sz w:val="24"/>
                <w:szCs w:val="24"/>
                <w:color w:val="auto"/>
              </w:rPr>
            </w:pPr>
          </w:p>
        </w:tc>
        <w:tc>
          <w:tcPr>
            <w:tcW w:w="400" w:type="dxa"/>
            <w:vAlign w:val="bottom"/>
            <w:tcBorders>
              <w:top w:val="single" w:sz="8" w:color="901588"/>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2,729</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00" w:type="dxa"/>
            <w:vAlign w:val="bottom"/>
            <w:tcBorders>
              <w:top w:val="single" w:sz="8" w:color="901588"/>
              <w:bottom w:val="single" w:sz="8" w:color="901588"/>
            </w:tcBorders>
            <w:shd w:val="clear" w:color="auto" w:fill="F4E8F3"/>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1,791</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460" w:type="dxa"/>
            <w:vAlign w:val="bottom"/>
            <w:tcBorders>
              <w:top w:val="single" w:sz="8" w:color="901588"/>
              <w:bottom w:val="single" w:sz="8" w:color="901588"/>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8,094</w:t>
            </w:r>
          </w:p>
        </w:tc>
      </w:tr>
      <w:tr>
        <w:trPr>
          <w:trHeight w:val="20"/>
        </w:trPr>
        <w:tc>
          <w:tcPr>
            <w:tcW w:w="4320" w:type="dxa"/>
            <w:vAlign w:val="bottom"/>
            <w:tcBorders>
              <w:top w:val="single" w:sz="8" w:color="901588"/>
            </w:tcBorders>
          </w:tcPr>
          <w:p>
            <w:pPr>
              <w:spacing w:after="0" w:line="20" w:lineRule="exact"/>
              <w:rPr>
                <w:sz w:val="1"/>
                <w:szCs w:val="1"/>
                <w:color w:val="auto"/>
              </w:rPr>
            </w:pPr>
          </w:p>
        </w:tc>
        <w:tc>
          <w:tcPr>
            <w:tcW w:w="220" w:type="dxa"/>
            <w:vAlign w:val="bottom"/>
            <w:tcBorders>
              <w:top w:val="single" w:sz="8" w:color="F4E8F3"/>
            </w:tcBorders>
            <w:shd w:val="clear" w:color="auto" w:fill="901588"/>
          </w:tcPr>
          <w:p>
            <w:pPr>
              <w:spacing w:after="0" w:line="20" w:lineRule="exact"/>
              <w:rPr>
                <w:sz w:val="1"/>
                <w:szCs w:val="1"/>
                <w:color w:val="auto"/>
              </w:rPr>
            </w:pPr>
          </w:p>
        </w:tc>
        <w:tc>
          <w:tcPr>
            <w:tcW w:w="118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20" w:type="dxa"/>
            <w:vAlign w:val="bottom"/>
            <w:tcBorders>
              <w:top w:val="single" w:sz="8" w:color="F4E8F3"/>
            </w:tcBorders>
            <w:shd w:val="clear" w:color="auto" w:fill="901588"/>
          </w:tcPr>
          <w:p>
            <w:pPr>
              <w:spacing w:after="0" w:line="20" w:lineRule="exact"/>
              <w:rPr>
                <w:sz w:val="1"/>
                <w:szCs w:val="1"/>
                <w:color w:val="auto"/>
              </w:rPr>
            </w:pPr>
          </w:p>
        </w:tc>
        <w:tc>
          <w:tcPr>
            <w:tcW w:w="820" w:type="dxa"/>
            <w:vAlign w:val="bottom"/>
            <w:tcBorders>
              <w:top w:val="single" w:sz="8" w:color="F4E8F3"/>
            </w:tcBorders>
            <w:shd w:val="clear" w:color="auto" w:fill="901588"/>
          </w:tcPr>
          <w:p>
            <w:pPr>
              <w:spacing w:after="0" w:line="20" w:lineRule="exact"/>
              <w:rPr>
                <w:sz w:val="1"/>
                <w:szCs w:val="1"/>
                <w:color w:val="auto"/>
              </w:rPr>
            </w:pPr>
          </w:p>
        </w:tc>
        <w:tc>
          <w:tcPr>
            <w:tcW w:w="80" w:type="dxa"/>
            <w:vAlign w:val="bottom"/>
            <w:tcBorders>
              <w:top w:val="single" w:sz="8" w:color="901588"/>
            </w:tcBorders>
          </w:tcPr>
          <w:p>
            <w:pPr>
              <w:spacing w:after="0" w:line="20" w:lineRule="exact"/>
              <w:rPr>
                <w:sz w:val="1"/>
                <w:szCs w:val="1"/>
                <w:color w:val="auto"/>
              </w:rPr>
            </w:pPr>
          </w:p>
        </w:tc>
        <w:tc>
          <w:tcPr>
            <w:tcW w:w="400" w:type="dxa"/>
            <w:vAlign w:val="bottom"/>
            <w:tcBorders>
              <w:top w:val="single" w:sz="8" w:color="F4E8F3"/>
            </w:tcBorders>
            <w:shd w:val="clear" w:color="auto" w:fill="901588"/>
          </w:tcPr>
          <w:p>
            <w:pPr>
              <w:spacing w:after="0" w:line="20" w:lineRule="exact"/>
              <w:rPr>
                <w:sz w:val="1"/>
                <w:szCs w:val="1"/>
                <w:color w:val="auto"/>
              </w:rPr>
            </w:pPr>
          </w:p>
        </w:tc>
        <w:tc>
          <w:tcPr>
            <w:tcW w:w="10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460" w:type="dxa"/>
            <w:vAlign w:val="bottom"/>
            <w:tcBorders>
              <w:top w:val="single" w:sz="8" w:color="F4E8F3"/>
            </w:tcBorders>
            <w:shd w:val="clear" w:color="auto" w:fill="901588"/>
          </w:tcPr>
          <w:p>
            <w:pPr>
              <w:spacing w:after="0" w:line="20" w:lineRule="exact"/>
              <w:rPr>
                <w:sz w:val="1"/>
                <w:szCs w:val="1"/>
                <w:color w:val="auto"/>
              </w:rPr>
            </w:pPr>
          </w:p>
        </w:tc>
        <w:tc>
          <w:tcPr>
            <w:tcW w:w="840" w:type="dxa"/>
            <w:vAlign w:val="bottom"/>
            <w:tcBorders>
              <w:top w:val="single" w:sz="8" w:color="F4E8F3"/>
            </w:tcBorders>
            <w:shd w:val="clear" w:color="auto" w:fill="901588"/>
          </w:tcPr>
          <w:p>
            <w:pPr>
              <w:spacing w:after="0" w:line="20" w:lineRule="exact"/>
              <w:rPr>
                <w:sz w:val="1"/>
                <w:szCs w:val="1"/>
                <w:color w:val="auto"/>
              </w:rPr>
            </w:pPr>
          </w:p>
        </w:tc>
      </w:tr>
    </w:tbl>
    <w:p>
      <w:pPr>
        <w:spacing w:after="0" w:line="16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Carrying amount includes accumulated impairment loss of $596 million within the Homeland segment.</w:t>
      </w:r>
    </w:p>
    <w:p>
      <w:pPr>
        <w:spacing w:after="0" w:line="10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evaluate qualitative factors that could cause us to consider whether the estimated fair value of each of our reporting units may be lower than the carrying value, including, but not limited to (i) macroeconomic conditions, (ii) industry and market considerations, (iii) our overall financial performance, including an analysis of our current and projected cash flows, revenues and earnings, (iv) a sustained decrease in share price and (v) other relevant entity-specific events including changes in management, strategy, partners or litigation.</w:t>
      </w:r>
    </w:p>
    <w:p>
      <w:pPr>
        <w:spacing w:after="0" w:line="77"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In conjunction with the change in reportable segments in fiscal 2026, the Company evaluated goodwill for impairment immediately before and after the change and determined that goodwill was not impaired.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April 3, 2026, and April 4, 2025, there were no impairments to goodwill.</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INTANGIBLE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20"/>
                <w:szCs w:val="20"/>
                <w:color w:val="auto"/>
              </w:rPr>
            </w:pPr>
            <w:r>
              <w:rPr>
                <w:rFonts w:ascii="Arial" w:cs="Arial" w:eastAsia="Arial" w:hAnsi="Arial"/>
                <w:sz w:val="16"/>
                <w:szCs w:val="16"/>
                <w:color w:val="auto"/>
              </w:rPr>
              <w:t>Intangible assets, net consisted of the following:</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3"/>
        </w:trPr>
        <w:tc>
          <w:tcPr>
            <w:tcW w:w="3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9"/>
        </w:trPr>
        <w:tc>
          <w:tcPr>
            <w:tcW w:w="3460" w:type="dxa"/>
            <w:vAlign w:val="bottom"/>
          </w:tcPr>
          <w:p>
            <w:pPr>
              <w:spacing w:after="0"/>
              <w:rPr>
                <w:sz w:val="20"/>
                <w:szCs w:val="20"/>
                <w:color w:val="auto"/>
              </w:rPr>
            </w:pP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spacing w:after="0"/>
              <w:rPr>
                <w:sz w:val="20"/>
                <w:szCs w:val="20"/>
                <w:color w:val="auto"/>
              </w:rPr>
            </w:pPr>
          </w:p>
        </w:tc>
        <w:tc>
          <w:tcPr>
            <w:tcW w:w="80" w:type="dxa"/>
            <w:vAlign w:val="bottom"/>
            <w:tcBorders>
              <w:bottom w:val="single" w:sz="8" w:color="901588"/>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380" w:type="dxa"/>
            <w:vAlign w:val="bottom"/>
            <w:tcBorders>
              <w:bottom w:val="single" w:sz="8" w:color="901588"/>
            </w:tcBorders>
            <w:gridSpan w:val="2"/>
            <w:shd w:val="clear" w:color="auto" w:fill="F4E8F3"/>
          </w:tcPr>
          <w:p>
            <w:pPr>
              <w:ind w:left="60"/>
              <w:spacing w:after="0"/>
              <w:rPr>
                <w:sz w:val="20"/>
                <w:szCs w:val="20"/>
                <w:color w:val="auto"/>
              </w:rPr>
            </w:pPr>
            <w:r>
              <w:rPr>
                <w:rFonts w:ascii="Arial" w:cs="Arial" w:eastAsia="Arial" w:hAnsi="Arial"/>
                <w:sz w:val="16"/>
                <w:szCs w:val="16"/>
                <w:b w:val="1"/>
                <w:bCs w:val="1"/>
                <w:color w:val="auto"/>
              </w:rPr>
              <w:t>April 3, 2026</w:t>
            </w: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spacing w:after="0"/>
              <w:rPr>
                <w:sz w:val="20"/>
                <w:szCs w:val="20"/>
                <w:color w:val="auto"/>
              </w:rPr>
            </w:pPr>
          </w:p>
        </w:tc>
        <w:tc>
          <w:tcPr>
            <w:tcW w:w="100" w:type="dxa"/>
            <w:vAlign w:val="bottom"/>
            <w:tcBorders>
              <w:bottom w:val="single" w:sz="8" w:color="901588"/>
            </w:tcBorders>
          </w:tcPr>
          <w:p>
            <w:pPr>
              <w:spacing w:after="0"/>
              <w:rPr>
                <w:sz w:val="20"/>
                <w:szCs w:val="20"/>
                <w:color w:val="auto"/>
              </w:rPr>
            </w:pPr>
          </w:p>
        </w:tc>
        <w:tc>
          <w:tcPr>
            <w:tcW w:w="1420" w:type="dxa"/>
            <w:vAlign w:val="bottom"/>
            <w:tcBorders>
              <w:bottom w:val="single" w:sz="8" w:color="901588"/>
            </w:tcBorders>
            <w:gridSpan w:val="4"/>
          </w:tcPr>
          <w:p>
            <w:pPr>
              <w:ind w:left="60"/>
              <w:spacing w:after="0"/>
              <w:rPr>
                <w:sz w:val="20"/>
                <w:szCs w:val="20"/>
                <w:color w:val="auto"/>
              </w:rPr>
            </w:pPr>
            <w:r>
              <w:rPr>
                <w:rFonts w:ascii="Arial" w:cs="Arial" w:eastAsia="Arial" w:hAnsi="Arial"/>
                <w:sz w:val="16"/>
                <w:szCs w:val="16"/>
                <w:color w:val="auto"/>
              </w:rPr>
              <w:t>January 2, 2026</w:t>
            </w: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spacing w:after="0"/>
              <w:rPr>
                <w:sz w:val="20"/>
                <w:szCs w:val="20"/>
                <w:color w:val="auto"/>
              </w:rPr>
            </w:pPr>
          </w:p>
        </w:tc>
      </w:tr>
      <w:tr>
        <w:trPr>
          <w:trHeight w:val="199"/>
        </w:trPr>
        <w:tc>
          <w:tcPr>
            <w:tcW w:w="3460" w:type="dxa"/>
            <w:vAlign w:val="bottom"/>
          </w:tcPr>
          <w:p>
            <w:pPr>
              <w:spacing w:after="0"/>
              <w:rPr>
                <w:sz w:val="17"/>
                <w:szCs w:val="17"/>
                <w:color w:val="auto"/>
              </w:rPr>
            </w:pPr>
          </w:p>
        </w:tc>
        <w:tc>
          <w:tcPr>
            <w:tcW w:w="380" w:type="dxa"/>
            <w:vAlign w:val="bottom"/>
            <w:shd w:val="clear" w:color="auto" w:fill="F4E8F3"/>
          </w:tcPr>
          <w:p>
            <w:pPr>
              <w:spacing w:after="0"/>
              <w:rPr>
                <w:sz w:val="17"/>
                <w:szCs w:val="17"/>
                <w:color w:val="auto"/>
              </w:rPr>
            </w:pPr>
          </w:p>
        </w:tc>
        <w:tc>
          <w:tcPr>
            <w:tcW w:w="7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Gross</w:t>
            </w:r>
          </w:p>
        </w:tc>
        <w:tc>
          <w:tcPr>
            <w:tcW w:w="80" w:type="dxa"/>
            <w:vAlign w:val="bottom"/>
            <w:shd w:val="clear" w:color="auto" w:fill="F4E8F3"/>
          </w:tcPr>
          <w:p>
            <w:pPr>
              <w:spacing w:after="0"/>
              <w:rPr>
                <w:sz w:val="17"/>
                <w:szCs w:val="17"/>
                <w:color w:val="auto"/>
              </w:rPr>
            </w:pPr>
          </w:p>
        </w:tc>
        <w:tc>
          <w:tcPr>
            <w:tcW w:w="160" w:type="dxa"/>
            <w:vAlign w:val="bottom"/>
            <w:shd w:val="clear" w:color="auto" w:fill="F4E8F3"/>
          </w:tcPr>
          <w:p>
            <w:pPr>
              <w:spacing w:after="0"/>
              <w:rPr>
                <w:sz w:val="17"/>
                <w:szCs w:val="17"/>
                <w:color w:val="auto"/>
              </w:rPr>
            </w:pPr>
          </w:p>
        </w:tc>
        <w:tc>
          <w:tcPr>
            <w:tcW w:w="1380" w:type="dxa"/>
            <w:vAlign w:val="bottom"/>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shd w:val="clear" w:color="auto" w:fill="F4E8F3"/>
          </w:tcPr>
          <w:p>
            <w:pPr>
              <w:spacing w:after="0"/>
              <w:rPr>
                <w:sz w:val="17"/>
                <w:szCs w:val="17"/>
                <w:color w:val="auto"/>
              </w:rPr>
            </w:pPr>
          </w:p>
        </w:tc>
        <w:tc>
          <w:tcPr>
            <w:tcW w:w="1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Net carrying</w:t>
            </w:r>
          </w:p>
        </w:tc>
        <w:tc>
          <w:tcPr>
            <w:tcW w:w="80" w:type="dxa"/>
            <w:vAlign w:val="bottom"/>
          </w:tcPr>
          <w:p>
            <w:pPr>
              <w:spacing w:after="0"/>
              <w:rPr>
                <w:sz w:val="17"/>
                <w:szCs w:val="17"/>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6"/>
                <w:szCs w:val="16"/>
                <w:color w:val="auto"/>
              </w:rPr>
              <w:t>Gross carrying</w:t>
            </w:r>
          </w:p>
        </w:tc>
        <w:tc>
          <w:tcPr>
            <w:tcW w:w="24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Net carrying</w:t>
            </w:r>
          </w:p>
        </w:tc>
      </w:tr>
      <w:tr>
        <w:trPr>
          <w:trHeight w:val="237"/>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carrying value</w:t>
            </w:r>
          </w:p>
        </w:tc>
        <w:tc>
          <w:tcPr>
            <w:tcW w:w="80" w:type="dxa"/>
            <w:vAlign w:val="bottom"/>
            <w:tcBorders>
              <w:bottom w:val="single" w:sz="8" w:color="901588"/>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380" w:type="dxa"/>
            <w:vAlign w:val="bottom"/>
            <w:tcBorders>
              <w:bottom w:val="single" w:sz="8" w:color="901588"/>
            </w:tcBorders>
            <w:gridSpan w:val="2"/>
            <w:shd w:val="clear" w:color="auto" w:fill="F4E8F3"/>
          </w:tcPr>
          <w:p>
            <w:pPr>
              <w:jc w:val="right"/>
              <w:ind w:right="1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901588"/>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8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color w:val="auto"/>
              </w:rPr>
              <w:t>value</w:t>
            </w:r>
          </w:p>
        </w:tc>
        <w:tc>
          <w:tcPr>
            <w:tcW w:w="240" w:type="dxa"/>
            <w:vAlign w:val="bottom"/>
            <w:tcBorders>
              <w:bottom w:val="single" w:sz="8" w:color="901588"/>
            </w:tcBorders>
          </w:tcPr>
          <w:p>
            <w:pPr>
              <w:spacing w:after="0"/>
              <w:rPr>
                <w:sz w:val="20"/>
                <w:szCs w:val="20"/>
                <w:color w:val="auto"/>
              </w:rPr>
            </w:pPr>
          </w:p>
        </w:tc>
        <w:tc>
          <w:tcPr>
            <w:tcW w:w="118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value</w:t>
            </w:r>
          </w:p>
        </w:tc>
      </w:tr>
      <w:tr>
        <w:trPr>
          <w:trHeight w:val="239"/>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Programs</w:t>
            </w:r>
          </w:p>
        </w:tc>
        <w:tc>
          <w:tcPr>
            <w:tcW w:w="380" w:type="dxa"/>
            <w:vAlign w:val="bottom"/>
            <w:tcBorders>
              <w:bottom w:val="single" w:sz="8" w:color="B2B2B2"/>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2,279</w:t>
            </w:r>
          </w:p>
        </w:tc>
        <w:tc>
          <w:tcPr>
            <w:tcW w:w="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(1,413)</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866</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(1,391)</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357</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Software and technology</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(191)</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73</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77</w:t>
            </w:r>
          </w:p>
        </w:tc>
      </w:tr>
      <w:tr>
        <w:trPr>
          <w:trHeight w:val="236"/>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Backlog</w:t>
            </w:r>
          </w:p>
        </w:tc>
        <w:tc>
          <w:tcPr>
            <w:tcW w:w="380" w:type="dxa"/>
            <w:vAlign w:val="bottom"/>
            <w:tcBorders>
              <w:bottom w:val="single" w:sz="8" w:color="B2B2B2"/>
            </w:tcBorders>
            <w:shd w:val="clear" w:color="auto" w:fill="F4E8F3"/>
          </w:tcPr>
          <w:p>
            <w:pPr>
              <w:spacing w:after="0"/>
              <w:rPr>
                <w:sz w:val="20"/>
                <w:szCs w:val="20"/>
                <w:color w:val="auto"/>
              </w:rPr>
            </w:pPr>
          </w:p>
        </w:tc>
        <w:tc>
          <w:tcPr>
            <w:tcW w:w="7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2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B2B2B2"/>
            </w:tcBorders>
            <w:shd w:val="clear" w:color="auto" w:fill="F4E8F3"/>
          </w:tcPr>
          <w:p>
            <w:pPr>
              <w:spacing w:after="0"/>
              <w:rPr>
                <w:sz w:val="20"/>
                <w:szCs w:val="20"/>
                <w:color w:val="auto"/>
              </w:rPr>
            </w:pPr>
          </w:p>
        </w:tc>
        <w:tc>
          <w:tcPr>
            <w:tcW w:w="1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Customer relationships</w:t>
            </w:r>
          </w:p>
        </w:tc>
        <w:tc>
          <w:tcPr>
            <w:tcW w:w="380" w:type="dxa"/>
            <w:vAlign w:val="bottom"/>
            <w:tcBorders>
              <w:bottom w:val="single" w:sz="8" w:color="901588"/>
            </w:tcBorders>
            <w:shd w:val="clear" w:color="auto" w:fill="F4E8F3"/>
          </w:tcPr>
          <w:p>
            <w:pPr>
              <w:spacing w:after="0"/>
              <w:rPr>
                <w:sz w:val="20"/>
                <w:szCs w:val="20"/>
                <w:color w:val="auto"/>
              </w:rPr>
            </w:pP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53</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bottom w:val="single" w:sz="8" w:color="B2B2B2"/>
            </w:tcBorders>
            <w:shd w:val="clear" w:color="auto" w:fill="F4E8F3"/>
          </w:tcPr>
          <w:p>
            <w:pPr>
              <w:spacing w:after="0"/>
              <w:rPr>
                <w:sz w:val="20"/>
                <w:szCs w:val="20"/>
                <w:color w:val="auto"/>
              </w:rPr>
            </w:pPr>
          </w:p>
        </w:tc>
        <w:tc>
          <w:tcPr>
            <w:tcW w:w="12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901588"/>
            </w:tcBorders>
          </w:tcPr>
          <w:p>
            <w:pPr>
              <w:spacing w:after="0"/>
              <w:rPr>
                <w:sz w:val="20"/>
                <w:szCs w:val="20"/>
                <w:color w:val="auto"/>
              </w:rPr>
            </w:pP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19</w:t>
            </w:r>
          </w:p>
        </w:tc>
      </w:tr>
      <w:tr>
        <w:trPr>
          <w:trHeight w:val="300"/>
        </w:trPr>
        <w:tc>
          <w:tcPr>
            <w:tcW w:w="346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901588"/>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2,642</w:t>
            </w:r>
          </w:p>
        </w:tc>
        <w:tc>
          <w:tcPr>
            <w:tcW w:w="80" w:type="dxa"/>
            <w:vAlign w:val="bottom"/>
            <w:tcBorders>
              <w:bottom w:val="single" w:sz="8" w:color="F4E8F3"/>
            </w:tcBorders>
            <w:shd w:val="clear" w:color="auto" w:fill="F4E8F3"/>
          </w:tcPr>
          <w:p>
            <w:pPr>
              <w:spacing w:after="0"/>
              <w:rPr>
                <w:sz w:val="24"/>
                <w:szCs w:val="24"/>
                <w:color w:val="auto"/>
              </w:rPr>
            </w:pP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(1,649)</w:t>
            </w:r>
          </w:p>
        </w:tc>
        <w:tc>
          <w:tcPr>
            <w:tcW w:w="100" w:type="dxa"/>
            <w:vAlign w:val="bottom"/>
            <w:tcBorders>
              <w:bottom w:val="single" w:sz="8" w:color="F4E8F3"/>
            </w:tcBorders>
            <w:shd w:val="clear" w:color="auto" w:fill="F4E8F3"/>
          </w:tcPr>
          <w:p>
            <w:pPr>
              <w:spacing w:after="0"/>
              <w:rPr>
                <w:sz w:val="24"/>
                <w:szCs w:val="24"/>
                <w:color w:val="auto"/>
              </w:rPr>
            </w:pPr>
          </w:p>
        </w:tc>
        <w:tc>
          <w:tcPr>
            <w:tcW w:w="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993</w:t>
            </w:r>
          </w:p>
        </w:tc>
        <w:tc>
          <w:tcPr>
            <w:tcW w:w="80" w:type="dxa"/>
            <w:vAlign w:val="bottom"/>
          </w:tcPr>
          <w:p>
            <w:pPr>
              <w:spacing w:after="0"/>
              <w:rPr>
                <w:sz w:val="24"/>
                <w:szCs w:val="24"/>
                <w:color w:val="auto"/>
              </w:rPr>
            </w:pPr>
          </w:p>
        </w:tc>
        <w:tc>
          <w:tcPr>
            <w:tcW w:w="400" w:type="dxa"/>
            <w:vAlign w:val="bottom"/>
            <w:tcBorders>
              <w:bottom w:val="single" w:sz="8" w:color="901588"/>
            </w:tcBorders>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24"/>
                <w:szCs w:val="24"/>
                <w:color w:val="auto"/>
              </w:rPr>
            </w:pPr>
          </w:p>
        </w:tc>
        <w:tc>
          <w:tcPr>
            <w:tcW w:w="24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458</w:t>
            </w:r>
          </w:p>
        </w:tc>
      </w:tr>
      <w:tr>
        <w:trPr>
          <w:trHeight w:val="377"/>
        </w:trPr>
        <w:tc>
          <w:tcPr>
            <w:tcW w:w="7440" w:type="dxa"/>
            <w:vAlign w:val="bottom"/>
            <w:tcBorders>
              <w:top w:val="single" w:sz="8" w:color="901588"/>
            </w:tcBorders>
            <w:gridSpan w:val="10"/>
          </w:tcPr>
          <w:p>
            <w:pPr>
              <w:spacing w:after="0"/>
              <w:rPr>
                <w:sz w:val="20"/>
                <w:szCs w:val="20"/>
                <w:color w:val="auto"/>
              </w:rPr>
            </w:pPr>
            <w:r>
              <w:rPr>
                <w:rFonts w:ascii="Arial" w:cs="Arial" w:eastAsia="Arial" w:hAnsi="Arial"/>
                <w:sz w:val="16"/>
                <w:szCs w:val="16"/>
                <w:color w:val="auto"/>
              </w:rPr>
              <w:t>Amortization expense was $30 million for both the three months ended April 3, 2026, and April 4, 2025.</w:t>
            </w:r>
          </w:p>
        </w:tc>
        <w:tc>
          <w:tcPr>
            <w:tcW w:w="400" w:type="dxa"/>
            <w:vAlign w:val="bottom"/>
            <w:tcBorders>
              <w:top w:val="single" w:sz="8" w:color="901588"/>
            </w:tcBorders>
          </w:tcPr>
          <w:p>
            <w:pPr>
              <w:spacing w:after="0"/>
              <w:rPr>
                <w:sz w:val="24"/>
                <w:szCs w:val="24"/>
                <w:color w:val="auto"/>
              </w:rPr>
            </w:pPr>
          </w:p>
        </w:tc>
        <w:tc>
          <w:tcPr>
            <w:tcW w:w="760" w:type="dxa"/>
            <w:vAlign w:val="bottom"/>
            <w:tcBorders>
              <w:top w:val="single" w:sz="8" w:color="901588"/>
            </w:tcBorders>
          </w:tcPr>
          <w:p>
            <w:pPr>
              <w:spacing w:after="0"/>
              <w:rPr>
                <w:sz w:val="24"/>
                <w:szCs w:val="24"/>
                <w:color w:val="auto"/>
              </w:rPr>
            </w:pPr>
          </w:p>
        </w:tc>
        <w:tc>
          <w:tcPr>
            <w:tcW w:w="100" w:type="dxa"/>
            <w:vAlign w:val="bottom"/>
            <w:tcBorders>
              <w:top w:val="single" w:sz="8" w:color="901588"/>
            </w:tcBorders>
          </w:tcPr>
          <w:p>
            <w:pPr>
              <w:spacing w:after="0"/>
              <w:rPr>
                <w:sz w:val="24"/>
                <w:szCs w:val="24"/>
                <w:color w:val="auto"/>
              </w:rPr>
            </w:pPr>
          </w:p>
        </w:tc>
        <w:tc>
          <w:tcPr>
            <w:tcW w:w="240" w:type="dxa"/>
            <w:vAlign w:val="bottom"/>
            <w:tcBorders>
              <w:top w:val="single" w:sz="8" w:color="901588"/>
            </w:tcBorders>
          </w:tcPr>
          <w:p>
            <w:pPr>
              <w:spacing w:after="0"/>
              <w:rPr>
                <w:sz w:val="24"/>
                <w:szCs w:val="24"/>
                <w:color w:val="auto"/>
              </w:rPr>
            </w:pPr>
          </w:p>
        </w:tc>
        <w:tc>
          <w:tcPr>
            <w:tcW w:w="1080" w:type="dxa"/>
            <w:vAlign w:val="bottom"/>
            <w:tcBorders>
              <w:top w:val="single" w:sz="8" w:color="901588"/>
            </w:tcBorders>
          </w:tcPr>
          <w:p>
            <w:pPr>
              <w:spacing w:after="0"/>
              <w:rPr>
                <w:sz w:val="24"/>
                <w:szCs w:val="24"/>
                <w:color w:val="auto"/>
              </w:rPr>
            </w:pPr>
          </w:p>
        </w:tc>
        <w:tc>
          <w:tcPr>
            <w:tcW w:w="80" w:type="dxa"/>
            <w:vAlign w:val="bottom"/>
            <w:tcBorders>
              <w:top w:val="single" w:sz="8" w:color="901588"/>
            </w:tcBorders>
          </w:tcPr>
          <w:p>
            <w:pPr>
              <w:spacing w:after="0"/>
              <w:rPr>
                <w:sz w:val="24"/>
                <w:szCs w:val="24"/>
                <w:color w:val="auto"/>
              </w:rPr>
            </w:pPr>
          </w:p>
        </w:tc>
        <w:tc>
          <w:tcPr>
            <w:tcW w:w="20" w:type="dxa"/>
            <w:vAlign w:val="bottom"/>
            <w:tcBorders>
              <w:top w:val="single" w:sz="8" w:color="901588"/>
            </w:tcBorders>
          </w:tcPr>
          <w:p>
            <w:pPr>
              <w:spacing w:after="0"/>
              <w:rPr>
                <w:sz w:val="24"/>
                <w:szCs w:val="24"/>
                <w:color w:val="auto"/>
              </w:rPr>
            </w:pPr>
          </w:p>
        </w:tc>
        <w:tc>
          <w:tcPr>
            <w:tcW w:w="160" w:type="dxa"/>
            <w:vAlign w:val="bottom"/>
            <w:tcBorders>
              <w:top w:val="single" w:sz="8" w:color="901588"/>
            </w:tcBorders>
          </w:tcPr>
          <w:p>
            <w:pPr>
              <w:spacing w:after="0"/>
              <w:rPr>
                <w:sz w:val="24"/>
                <w:szCs w:val="24"/>
                <w:color w:val="auto"/>
              </w:rPr>
            </w:pPr>
          </w:p>
        </w:tc>
        <w:tc>
          <w:tcPr>
            <w:tcW w:w="960" w:type="dxa"/>
            <w:vAlign w:val="bottom"/>
            <w:tcBorders>
              <w:top w:val="single" w:sz="8" w:color="901588"/>
            </w:tcBorders>
          </w:tcPr>
          <w:p>
            <w:pPr>
              <w:spacing w:after="0"/>
              <w:rPr>
                <w:sz w:val="24"/>
                <w:szCs w:val="24"/>
                <w:color w:val="auto"/>
              </w:rPr>
            </w:pPr>
          </w:p>
        </w:tc>
      </w:tr>
      <w:tr>
        <w:trPr>
          <w:trHeight w:val="310"/>
        </w:trPr>
        <w:tc>
          <w:tcPr>
            <w:tcW w:w="6240" w:type="dxa"/>
            <w:vAlign w:val="bottom"/>
            <w:gridSpan w:val="7"/>
          </w:tcPr>
          <w:p>
            <w:pPr>
              <w:spacing w:after="0"/>
              <w:rPr>
                <w:sz w:val="20"/>
                <w:szCs w:val="20"/>
                <w:color w:val="auto"/>
              </w:rPr>
            </w:pPr>
            <w:r>
              <w:rPr>
                <w:rFonts w:ascii="Arial" w:cs="Arial" w:eastAsia="Arial" w:hAnsi="Arial"/>
                <w:sz w:val="16"/>
                <w:szCs w:val="16"/>
                <w:color w:val="auto"/>
              </w:rPr>
              <w:t>The estimated annual amortization expense as of April 3, 2026, was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0"/>
        </w:trPr>
        <w:tc>
          <w:tcPr>
            <w:tcW w:w="346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tc>
        <w:tc>
          <w:tcPr>
            <w:tcW w:w="380" w:type="dxa"/>
            <w:vAlign w:val="bottom"/>
            <w:tcBorders>
              <w:bottom w:val="single" w:sz="8" w:color="901588"/>
            </w:tcBorders>
          </w:tcPr>
          <w:p>
            <w:pPr>
              <w:spacing w:after="0"/>
              <w:rPr>
                <w:sz w:val="24"/>
                <w:szCs w:val="24"/>
                <w:color w:val="auto"/>
              </w:rPr>
            </w:pPr>
          </w:p>
        </w:tc>
        <w:tc>
          <w:tcPr>
            <w:tcW w:w="78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128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120" w:type="dxa"/>
            <w:vAlign w:val="bottom"/>
            <w:tcBorders>
              <w:bottom w:val="single" w:sz="8" w:color="901588"/>
            </w:tcBorders>
          </w:tcPr>
          <w:p>
            <w:pPr>
              <w:spacing w:after="0"/>
              <w:rPr>
                <w:sz w:val="24"/>
                <w:szCs w:val="24"/>
                <w:color w:val="auto"/>
              </w:rPr>
            </w:pPr>
          </w:p>
        </w:tc>
        <w:tc>
          <w:tcPr>
            <w:tcW w:w="100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400" w:type="dxa"/>
            <w:vAlign w:val="bottom"/>
            <w:tcBorders>
              <w:bottom w:val="single" w:sz="8" w:color="901588"/>
            </w:tcBorders>
          </w:tcPr>
          <w:p>
            <w:pPr>
              <w:spacing w:after="0"/>
              <w:rPr>
                <w:sz w:val="24"/>
                <w:szCs w:val="24"/>
                <w:color w:val="auto"/>
              </w:rPr>
            </w:pPr>
          </w:p>
        </w:tc>
        <w:tc>
          <w:tcPr>
            <w:tcW w:w="760" w:type="dxa"/>
            <w:vAlign w:val="bottom"/>
            <w:tcBorders>
              <w:bottom w:val="single" w:sz="8" w:color="901588"/>
            </w:tcBorders>
          </w:tcPr>
          <w:p>
            <w:pPr>
              <w:spacing w:after="0"/>
              <w:rPr>
                <w:sz w:val="24"/>
                <w:szCs w:val="24"/>
                <w:color w:val="auto"/>
              </w:rPr>
            </w:pPr>
          </w:p>
        </w:tc>
        <w:tc>
          <w:tcPr>
            <w:tcW w:w="100" w:type="dxa"/>
            <w:vAlign w:val="bottom"/>
            <w:tcBorders>
              <w:bottom w:val="single" w:sz="8" w:color="901588"/>
            </w:tcBorders>
          </w:tcPr>
          <w:p>
            <w:pPr>
              <w:spacing w:after="0"/>
              <w:rPr>
                <w:sz w:val="24"/>
                <w:szCs w:val="24"/>
                <w:color w:val="auto"/>
              </w:rPr>
            </w:pPr>
          </w:p>
        </w:tc>
        <w:tc>
          <w:tcPr>
            <w:tcW w:w="240" w:type="dxa"/>
            <w:vAlign w:val="bottom"/>
            <w:tcBorders>
              <w:bottom w:val="single" w:sz="8" w:color="901588"/>
            </w:tcBorders>
          </w:tcPr>
          <w:p>
            <w:pPr>
              <w:spacing w:after="0"/>
              <w:rPr>
                <w:sz w:val="24"/>
                <w:szCs w:val="24"/>
                <w:color w:val="auto"/>
              </w:rPr>
            </w:pPr>
          </w:p>
        </w:tc>
        <w:tc>
          <w:tcPr>
            <w:tcW w:w="1080" w:type="dxa"/>
            <w:vAlign w:val="bottom"/>
            <w:tcBorders>
              <w:bottom w:val="single" w:sz="8" w:color="901588"/>
            </w:tcBorders>
          </w:tcPr>
          <w:p>
            <w:pPr>
              <w:spacing w:after="0"/>
              <w:rPr>
                <w:sz w:val="24"/>
                <w:szCs w:val="24"/>
                <w:color w:val="auto"/>
              </w:rPr>
            </w:pPr>
          </w:p>
        </w:tc>
        <w:tc>
          <w:tcPr>
            <w:tcW w:w="80" w:type="dxa"/>
            <w:vAlign w:val="bottom"/>
            <w:tcBorders>
              <w:bottom w:val="single" w:sz="8" w:color="901588"/>
            </w:tcBorders>
          </w:tcPr>
          <w:p>
            <w:pPr>
              <w:spacing w:after="0"/>
              <w:rPr>
                <w:sz w:val="24"/>
                <w:szCs w:val="24"/>
                <w:color w:val="auto"/>
              </w:rPr>
            </w:pPr>
          </w:p>
        </w:tc>
        <w:tc>
          <w:tcPr>
            <w:tcW w:w="2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spacing w:after="0"/>
              <w:rPr>
                <w:sz w:val="24"/>
                <w:szCs w:val="24"/>
                <w:color w:val="auto"/>
              </w:rPr>
            </w:pPr>
          </w:p>
        </w:tc>
        <w:tc>
          <w:tcPr>
            <w:tcW w:w="960" w:type="dxa"/>
            <w:vAlign w:val="bottom"/>
            <w:tcBorders>
              <w:bottom w:val="single" w:sz="8" w:color="901588"/>
            </w:tcBorders>
          </w:tcPr>
          <w:p>
            <w:pPr>
              <w:spacing w:after="0"/>
              <w:rPr>
                <w:sz w:val="24"/>
                <w:szCs w:val="24"/>
                <w:color w:val="auto"/>
              </w:rPr>
            </w:pPr>
          </w:p>
        </w:tc>
      </w:tr>
      <w:tr>
        <w:trPr>
          <w:trHeight w:val="234"/>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 (remainder of year)</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166</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169</w:t>
            </w:r>
          </w:p>
        </w:tc>
      </w:tr>
      <w:tr>
        <w:trPr>
          <w:trHeight w:val="236"/>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152</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139</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126</w:t>
            </w:r>
          </w:p>
        </w:tc>
      </w:tr>
      <w:tr>
        <w:trPr>
          <w:trHeight w:val="237"/>
        </w:trPr>
        <w:tc>
          <w:tcPr>
            <w:tcW w:w="34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2031 and thereafter</w:t>
            </w:r>
          </w:p>
        </w:tc>
        <w:tc>
          <w:tcPr>
            <w:tcW w:w="380" w:type="dxa"/>
            <w:vAlign w:val="bottom"/>
            <w:tcBorders>
              <w:bottom w:val="single" w:sz="8" w:color="B2B2B2"/>
            </w:tcBorders>
          </w:tcPr>
          <w:p>
            <w:pPr>
              <w:spacing w:after="0"/>
              <w:rPr>
                <w:sz w:val="20"/>
                <w:szCs w:val="20"/>
                <w:color w:val="auto"/>
              </w:rPr>
            </w:pPr>
          </w:p>
        </w:tc>
        <w:tc>
          <w:tcPr>
            <w:tcW w:w="7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28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100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40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spacing w:after="0"/>
              <w:rPr>
                <w:sz w:val="20"/>
                <w:szCs w:val="20"/>
                <w:color w:val="auto"/>
              </w:rPr>
            </w:pPr>
          </w:p>
        </w:tc>
        <w:tc>
          <w:tcPr>
            <w:tcW w:w="80" w:type="dxa"/>
            <w:vAlign w:val="bottom"/>
            <w:tcBorders>
              <w:bottom w:val="single" w:sz="8" w:color="B2B2B2"/>
            </w:tcBorders>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241</w:t>
            </w:r>
          </w:p>
        </w:tc>
      </w:tr>
      <w:tr>
        <w:trPr>
          <w:trHeight w:val="236"/>
        </w:trPr>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901588"/>
            </w:tcBorders>
          </w:tcPr>
          <w:p>
            <w:pPr>
              <w:spacing w:after="0"/>
              <w:rPr>
                <w:sz w:val="20"/>
                <w:szCs w:val="20"/>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993</w:t>
            </w:r>
          </w:p>
        </w:tc>
      </w:tr>
      <w:tr>
        <w:trPr>
          <w:trHeight w:val="20"/>
        </w:trPr>
        <w:tc>
          <w:tcPr>
            <w:tcW w:w="3460" w:type="dxa"/>
            <w:vAlign w:val="bottom"/>
            <w:tcBorders>
              <w:bottom w:val="single" w:sz="8" w:color="901588"/>
            </w:tcBorders>
          </w:tcPr>
          <w:p>
            <w:pPr>
              <w:spacing w:after="0" w:line="20" w:lineRule="exact"/>
              <w:rPr>
                <w:sz w:val="1"/>
                <w:szCs w:val="1"/>
                <w:color w:val="auto"/>
              </w:rPr>
            </w:pPr>
          </w:p>
        </w:tc>
        <w:tc>
          <w:tcPr>
            <w:tcW w:w="380" w:type="dxa"/>
            <w:vAlign w:val="bottom"/>
            <w:tcBorders>
              <w:bottom w:val="single" w:sz="8" w:color="901588"/>
            </w:tcBorders>
          </w:tcPr>
          <w:p>
            <w:pPr>
              <w:spacing w:after="0" w:line="20" w:lineRule="exact"/>
              <w:rPr>
                <w:sz w:val="1"/>
                <w:szCs w:val="1"/>
                <w:color w:val="auto"/>
              </w:rPr>
            </w:pPr>
          </w:p>
        </w:tc>
        <w:tc>
          <w:tcPr>
            <w:tcW w:w="7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128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120" w:type="dxa"/>
            <w:vAlign w:val="bottom"/>
            <w:tcBorders>
              <w:bottom w:val="single" w:sz="8" w:color="901588"/>
            </w:tcBorders>
          </w:tcPr>
          <w:p>
            <w:pPr>
              <w:spacing w:after="0" w:line="20" w:lineRule="exact"/>
              <w:rPr>
                <w:sz w:val="1"/>
                <w:szCs w:val="1"/>
                <w:color w:val="auto"/>
              </w:rPr>
            </w:pPr>
          </w:p>
        </w:tc>
        <w:tc>
          <w:tcPr>
            <w:tcW w:w="100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400" w:type="dxa"/>
            <w:vAlign w:val="bottom"/>
            <w:tcBorders>
              <w:bottom w:val="single" w:sz="8" w:color="901588"/>
            </w:tcBorders>
          </w:tcPr>
          <w:p>
            <w:pPr>
              <w:spacing w:after="0" w:line="20" w:lineRule="exact"/>
              <w:rPr>
                <w:sz w:val="1"/>
                <w:szCs w:val="1"/>
                <w:color w:val="auto"/>
              </w:rPr>
            </w:pPr>
          </w:p>
        </w:tc>
        <w:tc>
          <w:tcPr>
            <w:tcW w:w="760" w:type="dxa"/>
            <w:vAlign w:val="bottom"/>
            <w:tcBorders>
              <w:bottom w:val="single" w:sz="8" w:color="901588"/>
            </w:tcBorders>
          </w:tcPr>
          <w:p>
            <w:pPr>
              <w:spacing w:after="0" w:line="20" w:lineRule="exact"/>
              <w:rPr>
                <w:sz w:val="1"/>
                <w:szCs w:val="1"/>
                <w:color w:val="auto"/>
              </w:rPr>
            </w:pPr>
          </w:p>
        </w:tc>
        <w:tc>
          <w:tcPr>
            <w:tcW w:w="100" w:type="dxa"/>
            <w:vAlign w:val="bottom"/>
            <w:tcBorders>
              <w:bottom w:val="single" w:sz="8" w:color="901588"/>
            </w:tcBorders>
          </w:tcPr>
          <w:p>
            <w:pPr>
              <w:spacing w:after="0" w:line="20" w:lineRule="exact"/>
              <w:rPr>
                <w:sz w:val="1"/>
                <w:szCs w:val="1"/>
                <w:color w:val="auto"/>
              </w:rPr>
            </w:pPr>
          </w:p>
        </w:tc>
        <w:tc>
          <w:tcPr>
            <w:tcW w:w="240" w:type="dxa"/>
            <w:vAlign w:val="bottom"/>
            <w:tcBorders>
              <w:bottom w:val="single" w:sz="8" w:color="901588"/>
            </w:tcBorders>
          </w:tcPr>
          <w:p>
            <w:pPr>
              <w:spacing w:after="0" w:line="20" w:lineRule="exact"/>
              <w:rPr>
                <w:sz w:val="1"/>
                <w:szCs w:val="1"/>
                <w:color w:val="auto"/>
              </w:rPr>
            </w:pPr>
          </w:p>
        </w:tc>
        <w:tc>
          <w:tcPr>
            <w:tcW w:w="1080" w:type="dxa"/>
            <w:vAlign w:val="bottom"/>
            <w:tcBorders>
              <w:bottom w:val="single" w:sz="8" w:color="901588"/>
            </w:tcBorders>
          </w:tcPr>
          <w:p>
            <w:pPr>
              <w:spacing w:after="0" w:line="20" w:lineRule="exact"/>
              <w:rPr>
                <w:sz w:val="1"/>
                <w:szCs w:val="1"/>
                <w:color w:val="auto"/>
              </w:rPr>
            </w:pPr>
          </w:p>
        </w:tc>
        <w:tc>
          <w:tcPr>
            <w:tcW w:w="80" w:type="dxa"/>
            <w:vAlign w:val="bottom"/>
            <w:tcBorders>
              <w:bottom w:val="single" w:sz="8" w:color="901588"/>
            </w:tcBorders>
          </w:tcPr>
          <w:p>
            <w:pPr>
              <w:spacing w:after="0" w:line="20" w:lineRule="exact"/>
              <w:rPr>
                <w:sz w:val="1"/>
                <w:szCs w:val="1"/>
                <w:color w:val="auto"/>
              </w:rPr>
            </w:pPr>
          </w:p>
        </w:tc>
        <w:tc>
          <w:tcPr>
            <w:tcW w:w="20" w:type="dxa"/>
            <w:vAlign w:val="bottom"/>
            <w:tcBorders>
              <w:bottom w:val="single" w:sz="8" w:color="901588"/>
            </w:tcBorders>
          </w:tcPr>
          <w:p>
            <w:pPr>
              <w:spacing w:after="0" w:line="20" w:lineRule="exact"/>
              <w:rPr>
                <w:sz w:val="1"/>
                <w:szCs w:val="1"/>
                <w:color w:val="auto"/>
              </w:rPr>
            </w:pPr>
          </w:p>
        </w:tc>
        <w:tc>
          <w:tcPr>
            <w:tcW w:w="160" w:type="dxa"/>
            <w:vAlign w:val="bottom"/>
            <w:tcBorders>
              <w:bottom w:val="single" w:sz="8" w:color="901588"/>
            </w:tcBorders>
          </w:tcPr>
          <w:p>
            <w:pPr>
              <w:spacing w:after="0" w:line="20" w:lineRule="exact"/>
              <w:rPr>
                <w:sz w:val="1"/>
                <w:szCs w:val="1"/>
                <w:color w:val="auto"/>
              </w:rPr>
            </w:pPr>
          </w:p>
        </w:tc>
        <w:tc>
          <w:tcPr>
            <w:tcW w:w="960" w:type="dxa"/>
            <w:vAlign w:val="bottom"/>
            <w:tcBorders>
              <w:bottom w:val="single" w:sz="8" w:color="901588"/>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4–Fair Value Measurements</w:t>
      </w:r>
    </w:p>
    <w:p>
      <w:pPr>
        <w:spacing w:after="0" w:line="13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that are observable, either directly or indirectly, or quoted prices that are not active (Level 2); and unobservable inputs in which there is little or no market data (e.g., discounted cash flow and other similar pricing models), which requires us to develop our own market participant assumptions used in pricing the asset or liability (Level 3).</w:t>
      </w:r>
    </w:p>
    <w:p>
      <w:pPr>
        <w:spacing w:after="0" w:line="77"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carrying amounts of our financial instruments, which include cash equivalents, accounts receivable, accounts payable and accrued expenses, are reasonable estimates of their respective fair values. As of April 3, 2026, and January 2, 2026, the carrying values of our notes receivable of $4 million and $15 million, respectively, approximate fair value as the stated interest rates within the agreements are materially consistent with the current market rates for similar instruments (Level 2 inputs). Our notes receivable are included within “Other current assets” and "Other long-term assets" on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April 3, 2026, and January 2, 2026, the fair value of debt was $6.3 billion and $4.7 billion, respectively, and the carrying amount was $6.3 billion and</w:t>
      </w:r>
    </w:p>
    <w:p>
      <w:pPr>
        <w:spacing w:after="0" w:line="3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$4.6 billion, respectively (see "Note 5–Debt"). The fair value of long-term debt is determined based on current interest rates available for debt with terms and maturities similar to our existing debt arrangements and our credit rating (Level 2 inputs).</w:t>
      </w:r>
    </w:p>
    <w:p>
      <w:pPr>
        <w:spacing w:after="0" w:line="60"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The assets and liabilities acquired in connection with the Kudu Dynamics and Entrust acquisitions were measured at fair value on a non-recurring basis using Level 3 inputs (see "Note 3–Acquisitions, Goodwill and Intangible Assets").</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12"/>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5–Debt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20"/>
                <w:szCs w:val="20"/>
                <w:color w:val="auto"/>
              </w:rPr>
            </w:pPr>
            <w:r>
              <w:rPr>
                <w:rFonts w:ascii="Arial" w:cs="Arial" w:eastAsia="Arial" w:hAnsi="Arial"/>
                <w:sz w:val="16"/>
                <w:szCs w:val="16"/>
                <w:color w:val="auto"/>
              </w:rPr>
              <w:t>Our debt consisted of the following:</w:t>
            </w: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9"/>
        </w:trPr>
        <w:tc>
          <w:tcPr>
            <w:tcW w:w="5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5"/>
        </w:trPr>
        <w:tc>
          <w:tcPr>
            <w:tcW w:w="5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Effective interest</w:t>
            </w:r>
          </w:p>
        </w:tc>
        <w:tc>
          <w:tcPr>
            <w:tcW w:w="520" w:type="dxa"/>
            <w:vAlign w:val="bottom"/>
            <w:shd w:val="clear" w:color="auto" w:fill="F4E8F3"/>
          </w:tcPr>
          <w:p>
            <w:pPr>
              <w:spacing w:after="0"/>
              <w:rPr>
                <w:sz w:val="18"/>
                <w:szCs w:val="18"/>
                <w:color w:val="auto"/>
              </w:rPr>
            </w:pP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26"/>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168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Stated interest rate</w:t>
            </w:r>
          </w:p>
        </w:tc>
        <w:tc>
          <w:tcPr>
            <w:tcW w:w="144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rate</w:t>
            </w:r>
          </w:p>
        </w:tc>
        <w:tc>
          <w:tcPr>
            <w:tcW w:w="520" w:type="dxa"/>
            <w:vAlign w:val="bottom"/>
            <w:tcBorders>
              <w:bottom w:val="single" w:sz="8" w:color="901588"/>
            </w:tcBorders>
            <w:shd w:val="clear" w:color="auto" w:fill="F4E8F3"/>
          </w:tcPr>
          <w:p>
            <w:pPr>
              <w:spacing w:after="0"/>
              <w:rPr>
                <w:sz w:val="19"/>
                <w:szCs w:val="19"/>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360" w:type="dxa"/>
            <w:vAlign w:val="bottom"/>
            <w:tcBorders>
              <w:bottom w:val="single" w:sz="8" w:color="901588"/>
            </w:tcBorders>
          </w:tcPr>
          <w:p>
            <w:pPr>
              <w:spacing w:after="0"/>
              <w:rPr>
                <w:sz w:val="19"/>
                <w:szCs w:val="19"/>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34"/>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Short-term debt and current portion of long-term debt</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Commercial paper</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4.13%- 4.23%</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Various</w:t>
            </w:r>
          </w:p>
        </w:tc>
        <w:tc>
          <w:tcPr>
            <w:tcW w:w="52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300</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277"/>
        </w:trPr>
        <w:tc>
          <w:tcPr>
            <w:tcW w:w="5140" w:type="dxa"/>
            <w:vAlign w:val="bottom"/>
          </w:tcPr>
          <w:p>
            <w:pPr>
              <w:ind w:left="20"/>
              <w:spacing w:after="0"/>
              <w:rPr>
                <w:sz w:val="20"/>
                <w:szCs w:val="20"/>
                <w:color w:val="auto"/>
              </w:rPr>
            </w:pPr>
            <w:r>
              <w:rPr>
                <w:rFonts w:ascii="Arial" w:cs="Arial" w:eastAsia="Arial" w:hAnsi="Arial"/>
                <w:sz w:val="16"/>
                <w:szCs w:val="16"/>
                <w:color w:val="auto"/>
              </w:rPr>
              <w:t>Total short-term debt and current portion of long-term debt</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320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7"/>
        </w:trPr>
        <w:tc>
          <w:tcPr>
            <w:tcW w:w="5140" w:type="dxa"/>
            <w:vAlign w:val="bottom"/>
            <w:tcBorders>
              <w:top w:val="single" w:sz="8" w:color="B2B2B2"/>
              <w:bottom w:val="single" w:sz="8" w:color="B2B2B2"/>
            </w:tcBorders>
          </w:tcPr>
          <w:p>
            <w:pPr>
              <w:spacing w:after="0"/>
              <w:rPr>
                <w:sz w:val="19"/>
                <w:szCs w:val="19"/>
                <w:color w:val="auto"/>
              </w:rPr>
            </w:pPr>
          </w:p>
        </w:tc>
        <w:tc>
          <w:tcPr>
            <w:tcW w:w="1680" w:type="dxa"/>
            <w:vAlign w:val="bottom"/>
            <w:tcBorders>
              <w:top w:val="single" w:sz="8" w:color="B2B2B2"/>
              <w:bottom w:val="single" w:sz="8" w:color="B2B2B2"/>
            </w:tcBorders>
          </w:tcPr>
          <w:p>
            <w:pPr>
              <w:spacing w:after="0"/>
              <w:rPr>
                <w:sz w:val="19"/>
                <w:szCs w:val="19"/>
                <w:color w:val="auto"/>
              </w:rPr>
            </w:pPr>
          </w:p>
        </w:tc>
        <w:tc>
          <w:tcPr>
            <w:tcW w:w="1440" w:type="dxa"/>
            <w:vAlign w:val="bottom"/>
            <w:tcBorders>
              <w:top w:val="single" w:sz="8" w:color="B2B2B2"/>
              <w:bottom w:val="single" w:sz="8" w:color="B2B2B2"/>
            </w:tcBorders>
          </w:tcPr>
          <w:p>
            <w:pPr>
              <w:spacing w:after="0"/>
              <w:rPr>
                <w:sz w:val="19"/>
                <w:szCs w:val="19"/>
                <w:color w:val="auto"/>
              </w:rPr>
            </w:pPr>
          </w:p>
        </w:tc>
        <w:tc>
          <w:tcPr>
            <w:tcW w:w="520" w:type="dxa"/>
            <w:vAlign w:val="bottom"/>
            <w:tcBorders>
              <w:top w:val="single" w:sz="8" w:color="901588"/>
              <w:bottom w:val="single" w:sz="8" w:color="B2B2B2"/>
            </w:tcBorders>
            <w:shd w:val="clear" w:color="auto" w:fill="F4E8F3"/>
          </w:tcPr>
          <w:p>
            <w:pPr>
              <w:spacing w:after="0"/>
              <w:rPr>
                <w:sz w:val="19"/>
                <w:szCs w:val="19"/>
                <w:color w:val="auto"/>
              </w:rPr>
            </w:pPr>
          </w:p>
        </w:tc>
        <w:tc>
          <w:tcPr>
            <w:tcW w:w="980" w:type="dxa"/>
            <w:vAlign w:val="bottom"/>
            <w:tcBorders>
              <w:top w:val="single" w:sz="8" w:color="901588"/>
              <w:bottom w:val="single" w:sz="8" w:color="B2B2B2"/>
            </w:tcBorders>
            <w:shd w:val="clear" w:color="auto" w:fill="F4E8F3"/>
          </w:tcPr>
          <w:p>
            <w:pPr>
              <w:spacing w:after="0"/>
              <w:rPr>
                <w:sz w:val="19"/>
                <w:szCs w:val="19"/>
                <w:color w:val="auto"/>
              </w:rPr>
            </w:pPr>
          </w:p>
        </w:tc>
        <w:tc>
          <w:tcPr>
            <w:tcW w:w="100" w:type="dxa"/>
            <w:vAlign w:val="bottom"/>
            <w:tcBorders>
              <w:top w:val="single" w:sz="8" w:color="B2B2B2"/>
              <w:bottom w:val="single" w:sz="8" w:color="B2B2B2"/>
            </w:tcBorders>
          </w:tcPr>
          <w:p>
            <w:pPr>
              <w:spacing w:after="0"/>
              <w:rPr>
                <w:sz w:val="19"/>
                <w:szCs w:val="19"/>
                <w:color w:val="auto"/>
              </w:rPr>
            </w:pPr>
          </w:p>
        </w:tc>
        <w:tc>
          <w:tcPr>
            <w:tcW w:w="360" w:type="dxa"/>
            <w:vAlign w:val="bottom"/>
            <w:tcBorders>
              <w:top w:val="single" w:sz="8" w:color="901588"/>
              <w:bottom w:val="single" w:sz="8" w:color="B2B2B2"/>
            </w:tcBorders>
          </w:tcPr>
          <w:p>
            <w:pPr>
              <w:spacing w:after="0"/>
              <w:rPr>
                <w:sz w:val="19"/>
                <w:szCs w:val="19"/>
                <w:color w:val="auto"/>
              </w:rPr>
            </w:pPr>
          </w:p>
        </w:tc>
        <w:tc>
          <w:tcPr>
            <w:tcW w:w="1020" w:type="dxa"/>
            <w:vAlign w:val="bottom"/>
            <w:tcBorders>
              <w:top w:val="single" w:sz="8" w:color="901588"/>
              <w:bottom w:val="single" w:sz="8" w:color="B2B2B2"/>
            </w:tcBorders>
          </w:tcPr>
          <w:p>
            <w:pPr>
              <w:spacing w:after="0"/>
              <w:rPr>
                <w:sz w:val="19"/>
                <w:szCs w:val="19"/>
                <w:color w:val="auto"/>
              </w:rPr>
            </w:pPr>
          </w:p>
        </w:tc>
      </w:tr>
      <w:tr>
        <w:trPr>
          <w:trHeight w:val="230"/>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term loan:</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term loan, due March 2028</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5.02%</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5.16%</w:t>
            </w:r>
          </w:p>
        </w:tc>
        <w:tc>
          <w:tcPr>
            <w:tcW w:w="52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4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4"/>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Senior unsecured notes:</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spacing w:after="0"/>
              <w:rPr>
                <w:sz w:val="20"/>
                <w:szCs w:val="20"/>
                <w:color w:val="auto"/>
              </w:rPr>
            </w:pPr>
          </w:p>
        </w:tc>
      </w:tr>
      <w:tr>
        <w:trPr>
          <w:trHeight w:val="239"/>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$600 million notes, due March 2029</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4.10%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4.20%</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May 2030</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4.38%</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4.50%</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$1,000 million notes, due February 2031</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2.30%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2.38%</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1,000</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2032</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5.40%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5.42%</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$250 million notes, due July 2032</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7.13%</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7.43%</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$750 million notes, due March 2033</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5.75%</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5.81%</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750</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July 2033</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5.88%</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161</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$500 million notes, due March 2035</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5.50%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5.55%</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500</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$800 million notes, due March 2036</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5.00%</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5.03%</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800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$300 million notes, due December 2040</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5.95%</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6.03%</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Finance leases due on various dates through fiscal 2032</w:t>
            </w:r>
          </w:p>
        </w:tc>
        <w:tc>
          <w:tcPr>
            <w:tcW w:w="1680" w:type="dxa"/>
            <w:vAlign w:val="bottom"/>
            <w:tcBorders>
              <w:bottom w:val="single" w:sz="8" w:color="B2B2B2"/>
            </w:tcBorders>
          </w:tcPr>
          <w:p>
            <w:pPr>
              <w:jc w:val="right"/>
              <w:ind w:right="5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B2B2B2"/>
            </w:tcBorders>
          </w:tcPr>
          <w:p>
            <w:pPr>
              <w:jc w:val="right"/>
              <w:ind w:right="19"/>
              <w:spacing w:after="0"/>
              <w:rPr>
                <w:sz w:val="20"/>
                <w:szCs w:val="20"/>
                <w:color w:val="auto"/>
              </w:rPr>
            </w:pPr>
            <w:r>
              <w:rPr>
                <w:rFonts w:ascii="Arial" w:cs="Arial" w:eastAsia="Arial" w:hAnsi="Arial"/>
                <w:sz w:val="16"/>
                <w:szCs w:val="16"/>
                <w:color w:val="auto"/>
              </w:rPr>
              <w:t>2.28%-6.31%</w:t>
            </w: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discounts and deferred debt issuance costs</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51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long-term debt</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shd w:val="clear" w:color="auto" w:fill="F4E8F3"/>
          </w:tcPr>
          <w:p>
            <w:pPr>
              <w:spacing w:after="0"/>
              <w:rPr>
                <w:sz w:val="20"/>
                <w:szCs w:val="20"/>
                <w:color w:val="auto"/>
              </w:rPr>
            </w:pPr>
          </w:p>
        </w:tc>
        <w:tc>
          <w:tcPr>
            <w:tcW w:w="9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6,034</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0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4,648</w:t>
            </w:r>
          </w:p>
        </w:tc>
      </w:tr>
      <w:tr>
        <w:trPr>
          <w:trHeight w:val="236"/>
        </w:trPr>
        <w:tc>
          <w:tcPr>
            <w:tcW w:w="514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current portion</w:t>
            </w:r>
          </w:p>
        </w:tc>
        <w:tc>
          <w:tcPr>
            <w:tcW w:w="1680" w:type="dxa"/>
            <w:vAlign w:val="bottom"/>
            <w:tcBorders>
              <w:bottom w:val="single" w:sz="8" w:color="B2B2B2"/>
            </w:tcBorders>
          </w:tcPr>
          <w:p>
            <w:pPr>
              <w:spacing w:after="0"/>
              <w:rPr>
                <w:sz w:val="20"/>
                <w:szCs w:val="20"/>
                <w:color w:val="auto"/>
              </w:rPr>
            </w:pPr>
          </w:p>
        </w:tc>
        <w:tc>
          <w:tcPr>
            <w:tcW w:w="144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901588"/>
            </w:tcBorders>
          </w:tcPr>
          <w:p>
            <w:pPr>
              <w:spacing w:after="0"/>
              <w:rPr>
                <w:sz w:val="20"/>
                <w:szCs w:val="20"/>
                <w:color w:val="auto"/>
              </w:rPr>
            </w:pP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w:t>
            </w:r>
          </w:p>
        </w:tc>
      </w:tr>
      <w:tr>
        <w:trPr>
          <w:trHeight w:val="300"/>
        </w:trPr>
        <w:tc>
          <w:tcPr>
            <w:tcW w:w="51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1680" w:type="dxa"/>
            <w:vAlign w:val="bottom"/>
            <w:tcBorders>
              <w:bottom w:val="single" w:sz="8" w:color="901588"/>
            </w:tcBorders>
          </w:tcPr>
          <w:p>
            <w:pPr>
              <w:spacing w:after="0"/>
              <w:rPr>
                <w:sz w:val="24"/>
                <w:szCs w:val="24"/>
                <w:color w:val="auto"/>
              </w:rPr>
            </w:pPr>
          </w:p>
        </w:tc>
        <w:tc>
          <w:tcPr>
            <w:tcW w:w="1440" w:type="dxa"/>
            <w:vAlign w:val="bottom"/>
            <w:tcBorders>
              <w:bottom w:val="single" w:sz="8" w:color="901588"/>
            </w:tcBorders>
          </w:tcPr>
          <w:p>
            <w:pPr>
              <w:spacing w:after="0"/>
              <w:rPr>
                <w:sz w:val="24"/>
                <w:szCs w:val="24"/>
                <w:color w:val="auto"/>
              </w:rPr>
            </w:pPr>
          </w:p>
        </w:tc>
        <w:tc>
          <w:tcPr>
            <w:tcW w:w="520" w:type="dxa"/>
            <w:vAlign w:val="bottom"/>
            <w:tcBorders>
              <w:bottom w:val="single" w:sz="8" w:color="901588"/>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6,014</w:t>
            </w:r>
          </w:p>
        </w:tc>
        <w:tc>
          <w:tcPr>
            <w:tcW w:w="460" w:type="dxa"/>
            <w:vAlign w:val="bottom"/>
            <w:tcBorders>
              <w:bottom w:val="single" w:sz="8" w:color="901588"/>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4,628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REVOLVING CREDIT FACILITY</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February 12, 2026, we amended and restated our existing senior unsecured revolving credit facility (the “Revolving Facility”) to increase the borrowing capacity from $1.0 billion to $1.5 billion. The Revolving Facility will mature in February 2031 and permits two additional one-year extensions subject to lender consent. Borrowings under the Revolving Facility will bear interest at a rate determined, at the Company's option, based on either an alternate base rate or term SOFR rate, plus an applicable margin and is subject to an annual commitment fee rate of 0.11% on the unused credit availability. As of April 3, 2026, and January 2, 2026, there were no borrowings outstanding under the Revolving Facility.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SENIOR NOTES</w:t>
      </w:r>
    </w:p>
    <w:p>
      <w:pPr>
        <w:spacing w:after="0" w:line="12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2, 2026, we issued and sold $600 million senior notes maturing in March 2029 (the "2029 Notes") and $800 million senior notes maturing in March 2036 (the "2036 Notes", and together with the 2029 Notes, the "Notes"). The Notes are senior unsecured obligations issued by Leidos, Inc. and guaranteed by Leidos Holdings, Inc. The annual interest rates for the 2029 Notes and the 2036 Notes are 4.10% and 5.00%, respectively, and the interest is payable on a semi-annual basis. In connection with the issuance of the Notes, $10 million of debt issuance costs and discount were recognized, which were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24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recorded as an offset against the carrying value of debt. The proceeds from the Notes were used to fund a portion of the consideration payable in connection with the acquisition of Entrust and for general corporate purposes.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BRIDGE FACILITY</w:t>
      </w:r>
    </w:p>
    <w:p>
      <w:pPr>
        <w:spacing w:after="0" w:line="12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connection with the acquisition of Entrust, we entered into an agreement with Citigroup Global Markets Inc., which provides for a senior unsecured 364-day bridge loan facility in an aggregate principal amount of $1.4 billion (the "Bridge Facility"). The Bridge Facility was undrawn and was terminated following the issuance of the Notes. As a result, we recognized $5 million of fees which were recorded within "Interest expense, net" on the condensed consolidated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COMMERCIAL PAPER</w:t>
      </w:r>
    </w:p>
    <w:p>
      <w:pPr>
        <w:spacing w:after="0" w:line="122"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have a commercial paper program in which the Company may issue short-term unsecured commercial paper notes ("Commercial Paper Notes"). The proceeds will be used for general corporate purposes, including working capital, capital expenditures, acquisitions and share repurchases.</w:t>
      </w:r>
    </w:p>
    <w:p>
      <w:pPr>
        <w:spacing w:after="0" w:line="3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Commercial Paper Notes are issued in minimum denominations of $0.25 million and have maturities of up to 397 days from the date of issuance. The Commercial Paper Notes either bear a stated or floating interest rate, if interest bearing, or will be sold at a discount from the face amount. As of April 3, 2026, we had $300 million of Commercial Paper Notes outstanding. As of January 2, 2026, we did not have any Commercial Paper Notes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COVENANTS</w:t>
      </w:r>
    </w:p>
    <w:p>
      <w:pPr>
        <w:spacing w:after="0" w:line="122" w:lineRule="exact"/>
        <w:rPr>
          <w:sz w:val="20"/>
          <w:szCs w:val="20"/>
          <w:color w:val="auto"/>
        </w:rPr>
      </w:pPr>
    </w:p>
    <w:p>
      <w:pPr>
        <w:jc w:val="both"/>
        <w:ind w:right="340"/>
        <w:spacing w:after="0" w:line="292" w:lineRule="auto"/>
        <w:rPr>
          <w:sz w:val="20"/>
          <w:szCs w:val="20"/>
          <w:color w:val="auto"/>
        </w:rPr>
      </w:pPr>
      <w:r>
        <w:rPr>
          <w:rFonts w:ascii="Arial" w:cs="Arial" w:eastAsia="Arial" w:hAnsi="Arial"/>
          <w:sz w:val="16"/>
          <w:szCs w:val="16"/>
          <w:color w:val="auto"/>
        </w:rPr>
        <w:t>The Commercial Paper Notes, senior unsecured term loan, senior unsecured notes and Revolving Facility are fully and unconditionally guaranteed and contain certain customary restrictive covenants, including among other things, restrictions on our ability to create liens and enter into sale and leaseback transactions under certain circumstances.</w:t>
      </w:r>
    </w:p>
    <w:p>
      <w:pPr>
        <w:spacing w:after="0" w:line="5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financial covenants in the Revolving Facility and the senior unsecured term loan require that we maintain, as of the last day of each fiscal quarter, a ratio of adjusted consolidated total debt to consolidated EBITDA of not more than 3.75 to 1.00, subject to increases to 4.50 to 1.00 for four fiscal quarters following a material acquisition, and a ratio of EBITDA to consolidated interest expense of not less than 3.50 to 1.00.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financial covenants as of April 3,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PRINCIPAL PAYMENTS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of long-term debt are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 (remainder of year)</w:t>
            </w:r>
          </w:p>
        </w:tc>
        <w:tc>
          <w:tcPr>
            <w:tcW w:w="560" w:type="dxa"/>
            <w:vAlign w:val="bottom"/>
            <w:tcBorders>
              <w:bottom w:val="single" w:sz="8" w:color="B2B2B2"/>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504</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605</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755</w:t>
            </w:r>
          </w:p>
        </w:tc>
      </w:tr>
      <w:tr>
        <w:trPr>
          <w:trHeight w:val="236"/>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2031 and thereafter</w:t>
            </w:r>
          </w:p>
        </w:tc>
        <w:tc>
          <w:tcPr>
            <w:tcW w:w="56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4,185</w:t>
            </w:r>
          </w:p>
        </w:tc>
      </w:tr>
      <w:tr>
        <w:trPr>
          <w:trHeight w:val="237"/>
        </w:trPr>
        <w:tc>
          <w:tcPr>
            <w:tcW w:w="976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principal payments</w:t>
            </w:r>
          </w:p>
        </w:tc>
        <w:tc>
          <w:tcPr>
            <w:tcW w:w="560" w:type="dxa"/>
            <w:vAlign w:val="bottom"/>
            <w:tcBorders>
              <w:bottom w:val="single" w:sz="8" w:color="B2B2B2"/>
            </w:tcBorders>
          </w:tcPr>
          <w:p>
            <w:pPr>
              <w:spacing w:after="0"/>
              <w:rPr>
                <w:sz w:val="20"/>
                <w:szCs w:val="20"/>
                <w:color w:val="auto"/>
              </w:rPr>
            </w:pPr>
          </w:p>
        </w:tc>
        <w:tc>
          <w:tcPr>
            <w:tcW w:w="9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6,078</w:t>
            </w:r>
          </w:p>
        </w:tc>
      </w:tr>
      <w:tr>
        <w:trPr>
          <w:trHeight w:val="236"/>
        </w:trPr>
        <w:tc>
          <w:tcPr>
            <w:tcW w:w="97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Less: unamortized debt discount and issuance costs</w:t>
            </w:r>
          </w:p>
        </w:tc>
        <w:tc>
          <w:tcPr>
            <w:tcW w:w="560" w:type="dxa"/>
            <w:vAlign w:val="bottom"/>
            <w:tcBorders>
              <w:bottom w:val="single" w:sz="8" w:color="901588"/>
            </w:tcBorders>
          </w:tcPr>
          <w:p>
            <w:pPr>
              <w:spacing w:after="0"/>
              <w:rPr>
                <w:sz w:val="20"/>
                <w:szCs w:val="20"/>
                <w:color w:val="auto"/>
              </w:rPr>
            </w:pPr>
          </w:p>
        </w:tc>
        <w:tc>
          <w:tcPr>
            <w:tcW w:w="9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(44)</w:t>
            </w:r>
          </w:p>
        </w:tc>
      </w:tr>
      <w:tr>
        <w:trPr>
          <w:trHeight w:val="288"/>
        </w:trPr>
        <w:tc>
          <w:tcPr>
            <w:tcW w:w="9760" w:type="dxa"/>
            <w:vAlign w:val="bottom"/>
            <w:tcBorders>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560" w:type="dxa"/>
            <w:vAlign w:val="bottom"/>
            <w:tcBorders>
              <w:bottom w:val="single" w:sz="8" w:color="901588"/>
            </w:tcBorders>
            <w:shd w:val="clear" w:color="auto" w:fill="F4E8F3"/>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6,034</w:t>
            </w:r>
          </w:p>
        </w:tc>
      </w:tr>
      <w:tr>
        <w:trPr>
          <w:trHeight w:val="20"/>
        </w:trPr>
        <w:tc>
          <w:tcPr>
            <w:tcW w:w="9760" w:type="dxa"/>
            <w:vAlign w:val="bottom"/>
            <w:tcBorders>
              <w:top w:val="single" w:sz="8" w:color="901588"/>
            </w:tcBorders>
          </w:tcPr>
          <w:p>
            <w:pPr>
              <w:spacing w:after="0" w:line="20" w:lineRule="exact"/>
              <w:rPr>
                <w:sz w:val="1"/>
                <w:szCs w:val="1"/>
                <w:color w:val="auto"/>
              </w:rPr>
            </w:pPr>
          </w:p>
        </w:tc>
        <w:tc>
          <w:tcPr>
            <w:tcW w:w="560" w:type="dxa"/>
            <w:vAlign w:val="bottom"/>
            <w:tcBorders>
              <w:top w:val="single" w:sz="8" w:color="F4E8F3"/>
            </w:tcBorders>
            <w:shd w:val="clear" w:color="auto" w:fill="901588"/>
          </w:tcPr>
          <w:p>
            <w:pPr>
              <w:spacing w:after="0" w:line="20" w:lineRule="exact"/>
              <w:rPr>
                <w:sz w:val="1"/>
                <w:szCs w:val="1"/>
                <w:color w:val="auto"/>
              </w:rPr>
            </w:pPr>
          </w:p>
        </w:tc>
        <w:tc>
          <w:tcPr>
            <w:tcW w:w="920" w:type="dxa"/>
            <w:vAlign w:val="bottom"/>
            <w:tcBorders>
              <w:top w:val="single" w:sz="8" w:color="F4E8F3"/>
            </w:tcBorders>
            <w:shd w:val="clear" w:color="auto" w:fill="90158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3"/>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6–Accumulated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Income (Loss)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Unrecognized gain</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(loss) on derivative</w:t>
            </w:r>
          </w:p>
        </w:tc>
        <w:tc>
          <w:tcPr>
            <w:tcW w:w="3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Pension</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44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2020" w:type="dxa"/>
            <w:vAlign w:val="bottom"/>
            <w:tcBorders>
              <w:bottom w:val="single" w:sz="8" w:color="901588"/>
            </w:tcBorders>
            <w:gridSpan w:val="3"/>
          </w:tcPr>
          <w:p>
            <w:pPr>
              <w:jc w:val="right"/>
              <w:ind w:right="120"/>
              <w:spacing w:after="0"/>
              <w:rPr>
                <w:sz w:val="20"/>
                <w:szCs w:val="20"/>
                <w:color w:val="auto"/>
              </w:rPr>
            </w:pPr>
            <w:r>
              <w:rPr>
                <w:rFonts w:ascii="Arial" w:cs="Arial" w:eastAsia="Arial" w:hAnsi="Arial"/>
                <w:sz w:val="16"/>
                <w:szCs w:val="16"/>
                <w:b w:val="1"/>
                <w:bCs w:val="1"/>
                <w:color w:val="auto"/>
              </w:rPr>
              <w:t>translation adjustments</w:t>
            </w:r>
          </w:p>
        </w:tc>
        <w:tc>
          <w:tcPr>
            <w:tcW w:w="140" w:type="dxa"/>
            <w:vAlign w:val="bottom"/>
            <w:tcBorders>
              <w:bottom w:val="single" w:sz="8" w:color="901588"/>
            </w:tcBorders>
          </w:tcPr>
          <w:p>
            <w:pPr>
              <w:spacing w:after="0"/>
              <w:rPr>
                <w:sz w:val="20"/>
                <w:szCs w:val="20"/>
                <w:color w:val="auto"/>
              </w:rPr>
            </w:pPr>
          </w:p>
        </w:tc>
        <w:tc>
          <w:tcPr>
            <w:tcW w:w="164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instruments</w:t>
            </w:r>
          </w:p>
        </w:tc>
        <w:tc>
          <w:tcPr>
            <w:tcW w:w="3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jc w:val="right"/>
              <w:ind w:right="120"/>
              <w:spacing w:after="0"/>
              <w:rPr>
                <w:sz w:val="20"/>
                <w:szCs w:val="20"/>
                <w:color w:val="auto"/>
              </w:rPr>
            </w:pPr>
            <w:r>
              <w:rPr>
                <w:rFonts w:ascii="Arial" w:cs="Arial" w:eastAsia="Arial" w:hAnsi="Arial"/>
                <w:sz w:val="16"/>
                <w:szCs w:val="16"/>
                <w:b w:val="1"/>
                <w:bCs w:val="1"/>
                <w:color w:val="auto"/>
              </w:rPr>
              <w:t>adjustments</w:t>
            </w:r>
          </w:p>
        </w:tc>
        <w:tc>
          <w:tcPr>
            <w:tcW w:w="36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Total AOCI</w:t>
            </w:r>
          </w:p>
        </w:tc>
      </w:tr>
      <w:tr>
        <w:trPr>
          <w:trHeight w:val="234"/>
        </w:trPr>
        <w:tc>
          <w:tcPr>
            <w:tcW w:w="44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Balance at January 3, 2025</w:t>
            </w:r>
          </w:p>
        </w:tc>
        <w:tc>
          <w:tcPr>
            <w:tcW w:w="3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(110)</w:t>
            </w:r>
          </w:p>
        </w:tc>
      </w:tr>
      <w:tr>
        <w:trPr>
          <w:trHeight w:val="236"/>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4420" w:type="dxa"/>
            <w:vAlign w:val="bottom"/>
          </w:tcPr>
          <w:p>
            <w:pPr>
              <w:ind w:left="140"/>
              <w:spacing w:after="0"/>
              <w:rPr>
                <w:sz w:val="20"/>
                <w:szCs w:val="20"/>
                <w:color w:val="auto"/>
              </w:rPr>
            </w:pPr>
            <w:r>
              <w:rPr>
                <w:rFonts w:ascii="Arial" w:cs="Arial" w:eastAsia="Arial" w:hAnsi="Arial"/>
                <w:sz w:val="16"/>
                <w:szCs w:val="16"/>
                <w:color w:val="auto"/>
              </w:rPr>
              <w:t>Reclassification from AOCI</w:t>
            </w:r>
          </w:p>
        </w:tc>
        <w:tc>
          <w:tcPr>
            <w:tcW w:w="3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4420" w:type="dxa"/>
            <w:vAlign w:val="bottom"/>
            <w:tcBorders>
              <w:top w:val="single" w:sz="8" w:color="B2B2B2"/>
              <w:bottom w:val="single" w:sz="8" w:color="B2B2B2"/>
            </w:tcBorders>
          </w:tcPr>
          <w:p>
            <w:pPr>
              <w:ind w:left="20"/>
              <w:spacing w:after="0"/>
              <w:rPr>
                <w:sz w:val="20"/>
                <w:szCs w:val="20"/>
                <w:color w:val="auto"/>
              </w:rPr>
            </w:pPr>
            <w:r>
              <w:rPr>
                <w:rFonts w:ascii="Arial" w:cs="Arial" w:eastAsia="Arial" w:hAnsi="Arial"/>
                <w:sz w:val="16"/>
                <w:szCs w:val="16"/>
                <w:color w:val="auto"/>
              </w:rPr>
              <w:t>Balance at January 2, 2026</w:t>
            </w:r>
          </w:p>
        </w:tc>
        <w:tc>
          <w:tcPr>
            <w:tcW w:w="340" w:type="dxa"/>
            <w:vAlign w:val="bottom"/>
            <w:tcBorders>
              <w:top w:val="single" w:sz="8" w:color="901588"/>
              <w:bottom w:val="single" w:sz="8" w:color="B2B2B2"/>
            </w:tcBorders>
          </w:tcPr>
          <w:p>
            <w:pPr>
              <w:spacing w:after="0"/>
              <w:rPr>
                <w:sz w:val="20"/>
                <w:szCs w:val="20"/>
                <w:color w:val="auto"/>
              </w:rPr>
            </w:pPr>
          </w:p>
        </w:tc>
        <w:tc>
          <w:tcPr>
            <w:tcW w:w="158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B2B2B2"/>
              <w:bottom w:val="single" w:sz="8" w:color="B2B2B2"/>
            </w:tcBorders>
          </w:tcPr>
          <w:p>
            <w:pPr>
              <w:spacing w:after="0"/>
              <w:rPr>
                <w:sz w:val="20"/>
                <w:szCs w:val="20"/>
                <w:color w:val="auto"/>
              </w:rPr>
            </w:pPr>
          </w:p>
        </w:tc>
        <w:tc>
          <w:tcPr>
            <w:tcW w:w="140" w:type="dxa"/>
            <w:vAlign w:val="bottom"/>
            <w:tcBorders>
              <w:top w:val="single" w:sz="8" w:color="901588"/>
              <w:bottom w:val="single" w:sz="8" w:color="B2B2B2"/>
            </w:tcBorders>
          </w:tcPr>
          <w:p>
            <w:pPr>
              <w:spacing w:after="0"/>
              <w:rPr>
                <w:sz w:val="20"/>
                <w:szCs w:val="20"/>
                <w:color w:val="auto"/>
              </w:rPr>
            </w:pPr>
          </w:p>
        </w:tc>
        <w:tc>
          <w:tcPr>
            <w:tcW w:w="154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B2B2B2"/>
              <w:bottom w:val="single" w:sz="8" w:color="B2B2B2"/>
            </w:tcBorders>
          </w:tcPr>
          <w:p>
            <w:pPr>
              <w:spacing w:after="0"/>
              <w:rPr>
                <w:sz w:val="20"/>
                <w:szCs w:val="20"/>
                <w:color w:val="auto"/>
              </w:rPr>
            </w:pPr>
          </w:p>
        </w:tc>
        <w:tc>
          <w:tcPr>
            <w:tcW w:w="300" w:type="dxa"/>
            <w:vAlign w:val="bottom"/>
            <w:tcBorders>
              <w:top w:val="single" w:sz="8" w:color="901588"/>
              <w:bottom w:val="single" w:sz="8" w:color="B2B2B2"/>
            </w:tcBorders>
          </w:tcPr>
          <w:p>
            <w:pPr>
              <w:spacing w:after="0"/>
              <w:rPr>
                <w:sz w:val="20"/>
                <w:szCs w:val="20"/>
                <w:color w:val="auto"/>
              </w:rPr>
            </w:pPr>
          </w:p>
        </w:tc>
        <w:tc>
          <w:tcPr>
            <w:tcW w:w="116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B2B2B2"/>
              <w:bottom w:val="single" w:sz="8" w:color="B2B2B2"/>
            </w:tcBorders>
          </w:tcPr>
          <w:p>
            <w:pPr>
              <w:spacing w:after="0"/>
              <w:rPr>
                <w:sz w:val="20"/>
                <w:szCs w:val="20"/>
                <w:color w:val="auto"/>
              </w:rPr>
            </w:pPr>
          </w:p>
        </w:tc>
        <w:tc>
          <w:tcPr>
            <w:tcW w:w="360" w:type="dxa"/>
            <w:vAlign w:val="bottom"/>
            <w:tcBorders>
              <w:top w:val="single" w:sz="8" w:color="901588"/>
              <w:bottom w:val="single" w:sz="8" w:color="B2B2B2"/>
            </w:tcBorders>
          </w:tcPr>
          <w:p>
            <w:pPr>
              <w:spacing w:after="0"/>
              <w:rPr>
                <w:sz w:val="20"/>
                <w:szCs w:val="20"/>
                <w:color w:val="auto"/>
              </w:rPr>
            </w:pPr>
          </w:p>
        </w:tc>
        <w:tc>
          <w:tcPr>
            <w:tcW w:w="1100" w:type="dxa"/>
            <w:vAlign w:val="bottom"/>
            <w:tcBorders>
              <w:top w:val="single" w:sz="8" w:color="901588"/>
              <w:bottom w:val="single" w:sz="8" w:color="B2B2B2"/>
            </w:tcBorders>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442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B2B2B2"/>
            </w:tcBorders>
          </w:tcPr>
          <w:p>
            <w:pPr>
              <w:spacing w:after="0"/>
              <w:rPr>
                <w:sz w:val="20"/>
                <w:szCs w:val="20"/>
                <w:color w:val="auto"/>
              </w:rPr>
            </w:pP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1640" w:type="dxa"/>
            <w:vAlign w:val="bottom"/>
            <w:tcBorders>
              <w:bottom w:val="single" w:sz="8" w:color="B2B2B2"/>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32</w:t>
            </w:r>
          </w:p>
        </w:tc>
      </w:tr>
      <w:tr>
        <w:trPr>
          <w:trHeight w:val="236"/>
        </w:trPr>
        <w:tc>
          <w:tcPr>
            <w:tcW w:w="4420" w:type="dxa"/>
            <w:vAlign w:val="bottom"/>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8"/>
        </w:trPr>
        <w:tc>
          <w:tcPr>
            <w:tcW w:w="4420" w:type="dxa"/>
            <w:vAlign w:val="bottom"/>
            <w:tcBorders>
              <w:top w:val="single" w:sz="8" w:color="B2B2B2"/>
              <w:bottom w:val="single" w:sz="8" w:color="F4E8F3"/>
            </w:tcBorders>
            <w:shd w:val="clear" w:color="auto" w:fill="F4E8F3"/>
          </w:tcPr>
          <w:p>
            <w:pPr>
              <w:ind w:left="20"/>
              <w:spacing w:after="0"/>
              <w:rPr>
                <w:sz w:val="20"/>
                <w:szCs w:val="20"/>
                <w:color w:val="auto"/>
              </w:rPr>
            </w:pPr>
            <w:r>
              <w:rPr>
                <w:rFonts w:ascii="Arial" w:cs="Arial" w:eastAsia="Arial" w:hAnsi="Arial"/>
                <w:sz w:val="16"/>
                <w:szCs w:val="16"/>
                <w:b w:val="1"/>
                <w:bCs w:val="1"/>
                <w:color w:val="auto"/>
              </w:rPr>
              <w:t>Balance at April 3, 2026</w:t>
            </w:r>
          </w:p>
        </w:tc>
        <w:tc>
          <w:tcPr>
            <w:tcW w:w="340" w:type="dxa"/>
            <w:vAlign w:val="bottom"/>
            <w:tcBorders>
              <w:top w:val="single" w:sz="8" w:color="901588"/>
              <w:bottom w:val="single" w:sz="8" w:color="901588"/>
            </w:tcBorders>
            <w:shd w:val="clear" w:color="auto" w:fill="F4E8F3"/>
          </w:tcPr>
          <w:p>
            <w:pPr>
              <w:jc w:val="right"/>
              <w:ind w:right="1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1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00" w:type="dxa"/>
            <w:vAlign w:val="bottom"/>
            <w:tcBorders>
              <w:top w:val="single" w:sz="8" w:color="901588"/>
              <w:bottom w:val="single" w:sz="8" w:color="901588"/>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B2B2B2"/>
              <w:bottom w:val="single" w:sz="8" w:color="F4E8F3"/>
            </w:tcBorders>
            <w:shd w:val="clear" w:color="auto" w:fill="F4E8F3"/>
          </w:tcPr>
          <w:p>
            <w:pPr>
              <w:spacing w:after="0"/>
              <w:rPr>
                <w:sz w:val="24"/>
                <w:szCs w:val="24"/>
                <w:color w:val="auto"/>
              </w:rPr>
            </w:pPr>
          </w:p>
        </w:tc>
        <w:tc>
          <w:tcPr>
            <w:tcW w:w="360" w:type="dxa"/>
            <w:vAlign w:val="bottom"/>
            <w:tcBorders>
              <w:top w:val="single" w:sz="8" w:color="901588"/>
              <w:bottom w:val="single" w:sz="8" w:color="901588"/>
            </w:tcBorders>
            <w:shd w:val="clear" w:color="auto" w:fill="F4E8F3"/>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901588"/>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(25)</w:t>
            </w:r>
          </w:p>
        </w:tc>
      </w:tr>
      <w:tr>
        <w:trPr>
          <w:trHeight w:val="20"/>
        </w:trPr>
        <w:tc>
          <w:tcPr>
            <w:tcW w:w="4420" w:type="dxa"/>
            <w:vAlign w:val="bottom"/>
            <w:tcBorders>
              <w:top w:val="single" w:sz="8" w:color="901588"/>
            </w:tcBorders>
          </w:tcPr>
          <w:p>
            <w:pPr>
              <w:spacing w:after="0" w:line="20" w:lineRule="exact"/>
              <w:rPr>
                <w:sz w:val="1"/>
                <w:szCs w:val="1"/>
                <w:color w:val="auto"/>
              </w:rPr>
            </w:pPr>
          </w:p>
        </w:tc>
        <w:tc>
          <w:tcPr>
            <w:tcW w:w="340" w:type="dxa"/>
            <w:vAlign w:val="bottom"/>
            <w:tcBorders>
              <w:top w:val="single" w:sz="8" w:color="F4E8F3"/>
            </w:tcBorders>
            <w:shd w:val="clear" w:color="auto" w:fill="901588"/>
          </w:tcPr>
          <w:p>
            <w:pPr>
              <w:spacing w:after="0" w:line="20" w:lineRule="exact"/>
              <w:rPr>
                <w:sz w:val="1"/>
                <w:szCs w:val="1"/>
                <w:color w:val="auto"/>
              </w:rPr>
            </w:pPr>
          </w:p>
        </w:tc>
        <w:tc>
          <w:tcPr>
            <w:tcW w:w="158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140" w:type="dxa"/>
            <w:vAlign w:val="bottom"/>
            <w:tcBorders>
              <w:top w:val="single" w:sz="8" w:color="F4E8F3"/>
            </w:tcBorders>
            <w:shd w:val="clear" w:color="auto" w:fill="901588"/>
          </w:tcPr>
          <w:p>
            <w:pPr>
              <w:spacing w:after="0" w:line="20" w:lineRule="exact"/>
              <w:rPr>
                <w:sz w:val="1"/>
                <w:szCs w:val="1"/>
                <w:color w:val="auto"/>
              </w:rPr>
            </w:pPr>
          </w:p>
        </w:tc>
        <w:tc>
          <w:tcPr>
            <w:tcW w:w="154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00" w:type="dxa"/>
            <w:vAlign w:val="bottom"/>
            <w:tcBorders>
              <w:top w:val="single" w:sz="8" w:color="F4E8F3"/>
            </w:tcBorders>
            <w:shd w:val="clear" w:color="auto" w:fill="901588"/>
          </w:tcPr>
          <w:p>
            <w:pPr>
              <w:spacing w:after="0" w:line="20" w:lineRule="exact"/>
              <w:rPr>
                <w:sz w:val="1"/>
                <w:szCs w:val="1"/>
                <w:color w:val="auto"/>
              </w:rPr>
            </w:pPr>
          </w:p>
        </w:tc>
        <w:tc>
          <w:tcPr>
            <w:tcW w:w="1160" w:type="dxa"/>
            <w:vAlign w:val="bottom"/>
            <w:tcBorders>
              <w:top w:val="single" w:sz="8" w:color="F4E8F3"/>
            </w:tcBorders>
            <w:shd w:val="clear" w:color="auto" w:fill="901588"/>
          </w:tcPr>
          <w:p>
            <w:pPr>
              <w:spacing w:after="0" w:line="20" w:lineRule="exact"/>
              <w:rPr>
                <w:sz w:val="1"/>
                <w:szCs w:val="1"/>
                <w:color w:val="auto"/>
              </w:rPr>
            </w:pPr>
          </w:p>
        </w:tc>
        <w:tc>
          <w:tcPr>
            <w:tcW w:w="100" w:type="dxa"/>
            <w:vAlign w:val="bottom"/>
            <w:tcBorders>
              <w:top w:val="single" w:sz="8" w:color="901588"/>
            </w:tcBorders>
          </w:tcPr>
          <w:p>
            <w:pPr>
              <w:spacing w:after="0" w:line="20" w:lineRule="exact"/>
              <w:rPr>
                <w:sz w:val="1"/>
                <w:szCs w:val="1"/>
                <w:color w:val="auto"/>
              </w:rPr>
            </w:pPr>
          </w:p>
        </w:tc>
        <w:tc>
          <w:tcPr>
            <w:tcW w:w="360" w:type="dxa"/>
            <w:vAlign w:val="bottom"/>
            <w:tcBorders>
              <w:top w:val="single" w:sz="8" w:color="F4E8F3"/>
            </w:tcBorders>
            <w:shd w:val="clear" w:color="auto" w:fill="901588"/>
          </w:tcPr>
          <w:p>
            <w:pPr>
              <w:spacing w:after="0" w:line="20" w:lineRule="exact"/>
              <w:rPr>
                <w:sz w:val="1"/>
                <w:szCs w:val="1"/>
                <w:color w:val="auto"/>
              </w:rPr>
            </w:pPr>
          </w:p>
        </w:tc>
        <w:tc>
          <w:tcPr>
            <w:tcW w:w="1100" w:type="dxa"/>
            <w:vAlign w:val="bottom"/>
            <w:tcBorders>
              <w:top w:val="single" w:sz="8" w:color="F4E8F3"/>
            </w:tcBorders>
            <w:shd w:val="clear" w:color="auto" w:fill="901588"/>
          </w:tcPr>
          <w:p>
            <w:pPr>
              <w:spacing w:after="0" w:line="20" w:lineRule="exact"/>
              <w:rPr>
                <w:sz w:val="1"/>
                <w:szCs w:val="1"/>
                <w:color w:val="auto"/>
              </w:rPr>
            </w:pPr>
          </w:p>
        </w:tc>
      </w:tr>
    </w:tbl>
    <w:p>
      <w:pPr>
        <w:spacing w:after="0" w:line="18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Reclassifications from unrecognized gain (loss) on derivative instruments are recorded in "Interest expense, net" in the condensed consolidated statements of operations.</w:t>
      </w:r>
    </w:p>
    <w:p>
      <w:pPr>
        <w:spacing w:after="0" w:line="60"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On May 20, 2022, the trustee of our UK defined benefit pension plan (the “Plan”) invested the assets of the Plan in a bulk purchase annuity policy to fully insure the benefits payable to the members of the Plan. The transaction was structured to enable a full buy-out, at which time the insurer would assume direct responsibility for all future pension obligations.</w:t>
      </w:r>
    </w:p>
    <w:p>
      <w:pPr>
        <w:spacing w:after="0" w:line="57"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On February 11, 2026, the Plan completed a full buy-out, thus relieving the Company of future pension obligations. As a result we recognized a $23 million settlement loss primarily related to the unamortized loss previously recorded within AOCI. The settlement loss was recorded in "Other expense, net" in the condensed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7–Earnings Per Share</w:t>
      </w:r>
    </w:p>
    <w:p>
      <w:pPr>
        <w:spacing w:after="0" w:line="131" w:lineRule="exact"/>
        <w:rPr>
          <w:sz w:val="20"/>
          <w:szCs w:val="20"/>
          <w:color w:val="auto"/>
        </w:rPr>
      </w:pPr>
    </w:p>
    <w:p>
      <w:pPr>
        <w:jc w:val="both"/>
        <w:ind w:right="180"/>
        <w:spacing w:after="0" w:line="304" w:lineRule="auto"/>
        <w:rPr>
          <w:sz w:val="20"/>
          <w:szCs w:val="20"/>
          <w:color w:val="auto"/>
        </w:rPr>
      </w:pPr>
      <w:r>
        <w:rPr>
          <w:rFonts w:ascii="Arial" w:cs="Arial" w:eastAsia="Arial" w:hAnsi="Arial"/>
          <w:sz w:val="16"/>
          <w:szCs w:val="16"/>
          <w:color w:val="auto"/>
        </w:rPr>
        <w:t>The following table provides a reconciliation of the weighted average number of shares outstanding used to compute basic and diluted EPS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Borders>
              <w:bottom w:val="single" w:sz="8" w:color="901588"/>
            </w:tcBorders>
            <w:gridSpan w:val="3"/>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901588"/>
            </w:tcBorders>
          </w:tcPr>
          <w:p>
            <w:pPr>
              <w:spacing w:after="0"/>
              <w:rPr>
                <w:sz w:val="19"/>
                <w:szCs w:val="19"/>
                <w:color w:val="auto"/>
              </w:rPr>
            </w:pPr>
          </w:p>
        </w:tc>
      </w:tr>
      <w:tr>
        <w:trPr>
          <w:trHeight w:val="199"/>
        </w:trPr>
        <w:tc>
          <w:tcPr>
            <w:tcW w:w="8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37"/>
        </w:trPr>
        <w:tc>
          <w:tcPr>
            <w:tcW w:w="820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(in millions)</w:t>
            </w:r>
          </w:p>
        </w:tc>
        <w:tc>
          <w:tcPr>
            <w:tcW w:w="14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9"/>
        </w:trPr>
        <w:tc>
          <w:tcPr>
            <w:tcW w:w="820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46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130</w:t>
            </w:r>
          </w:p>
        </w:tc>
      </w:tr>
      <w:tr>
        <w:trPr>
          <w:trHeight w:val="236"/>
        </w:trPr>
        <w:tc>
          <w:tcPr>
            <w:tcW w:w="8200" w:type="dxa"/>
            <w:vAlign w:val="bottom"/>
            <w:tcBorders>
              <w:bottom w:val="single" w:sz="8" w:color="B2B2B2"/>
            </w:tcBorders>
            <w:gridSpan w:val="2"/>
          </w:tcPr>
          <w:p>
            <w:pPr>
              <w:ind w:left="20"/>
              <w:spacing w:after="0"/>
              <w:rPr>
                <w:sz w:val="20"/>
                <w:szCs w:val="20"/>
                <w:color w:val="auto"/>
              </w:rPr>
            </w:pPr>
            <w:r>
              <w:rPr>
                <w:rFonts w:ascii="Arial" w:cs="Arial" w:eastAsia="Arial" w:hAnsi="Arial"/>
                <w:sz w:val="16"/>
                <w:szCs w:val="16"/>
                <w:color w:val="auto"/>
              </w:rPr>
              <w:t>Dilutive common share equivalents—stock options and other stock awards</w:t>
            </w:r>
          </w:p>
        </w:tc>
        <w:tc>
          <w:tcPr>
            <w:tcW w:w="14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B2B2B2"/>
            </w:tcBorders>
          </w:tcPr>
          <w:p>
            <w:pPr>
              <w:spacing w:after="0"/>
              <w:rPr>
                <w:sz w:val="20"/>
                <w:szCs w:val="20"/>
                <w:color w:val="auto"/>
              </w:rPr>
            </w:pPr>
          </w:p>
        </w:tc>
        <w:tc>
          <w:tcPr>
            <w:tcW w:w="840" w:type="dxa"/>
            <w:vAlign w:val="bottom"/>
            <w:tcBorders>
              <w:bottom w:val="single" w:sz="8" w:color="901588"/>
            </w:tcBorders>
          </w:tcPr>
          <w:p>
            <w:pPr>
              <w:spacing w:after="0"/>
              <w:rPr>
                <w:sz w:val="20"/>
                <w:szCs w:val="20"/>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w:t>
            </w:r>
          </w:p>
        </w:tc>
      </w:tr>
      <w:tr>
        <w:trPr>
          <w:trHeight w:val="300"/>
        </w:trPr>
        <w:tc>
          <w:tcPr>
            <w:tcW w:w="8200" w:type="dxa"/>
            <w:vAlign w:val="bottom"/>
            <w:tcBorders>
              <w:bottom w:val="single" w:sz="8" w:color="901588"/>
            </w:tcBorders>
            <w:gridSpan w:val="2"/>
          </w:tcPr>
          <w:p>
            <w:pPr>
              <w:ind w:left="20"/>
              <w:spacing w:after="0"/>
              <w:rPr>
                <w:sz w:val="20"/>
                <w:szCs w:val="20"/>
                <w:color w:val="auto"/>
              </w:rPr>
            </w:pPr>
            <w:r>
              <w:rPr>
                <w:rFonts w:ascii="Arial" w:cs="Arial" w:eastAsia="Arial" w:hAnsi="Arial"/>
                <w:sz w:val="16"/>
                <w:szCs w:val="16"/>
                <w:color w:val="auto"/>
              </w:rPr>
              <w:t>Diluted weighted average number of shares outstanding</w:t>
            </w:r>
          </w:p>
        </w:tc>
        <w:tc>
          <w:tcPr>
            <w:tcW w:w="14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Borders>
              <w:bottom w:val="single" w:sz="8" w:color="901588"/>
            </w:tcBorders>
          </w:tcPr>
          <w:p>
            <w:pPr>
              <w:spacing w:after="0"/>
              <w:rPr>
                <w:sz w:val="24"/>
                <w:szCs w:val="24"/>
                <w:color w:val="auto"/>
              </w:rPr>
            </w:pPr>
          </w:p>
        </w:tc>
        <w:tc>
          <w:tcPr>
            <w:tcW w:w="840" w:type="dxa"/>
            <w:vAlign w:val="bottom"/>
            <w:tcBorders>
              <w:bottom w:val="single" w:sz="8" w:color="901588"/>
            </w:tcBorders>
          </w:tcPr>
          <w:p>
            <w:pPr>
              <w:spacing w:after="0"/>
              <w:rPr>
                <w:sz w:val="24"/>
                <w:szCs w:val="24"/>
                <w:color w:val="auto"/>
              </w:rPr>
            </w:pPr>
          </w:p>
        </w:tc>
        <w:tc>
          <w:tcPr>
            <w:tcW w:w="62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131</w:t>
            </w:r>
          </w:p>
        </w:tc>
      </w:tr>
    </w:tbl>
    <w:p>
      <w:pPr>
        <w:spacing w:after="0" w:line="175"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Anti-dilutive stock-based awards are excluded from the weighted average number of shares outstanding used to compute diluted EPS. The total outstanding stock options and vesting stock awards that were anti-dilutive were less than 0.5 million for both the three months ended April 3, 2026, and April 4, 2025.</w:t>
      </w:r>
    </w:p>
    <w:p>
      <w:pPr>
        <w:spacing w:after="0" w:line="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During the three months ended April 3, 2026, we made open market repurchases of our common stock for an aggregate purchase price of $200 million. All repurchased shares were immediately retired. There were no open market repurchases during the three months ended April 4, 2025.</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8–Income Taxes</w:t>
      </w:r>
    </w:p>
    <w:p>
      <w:pPr>
        <w:spacing w:after="0" w:line="131" w:lineRule="exact"/>
        <w:rPr>
          <w:sz w:val="20"/>
          <w:szCs w:val="20"/>
          <w:color w:val="auto"/>
        </w:rPr>
      </w:pPr>
    </w:p>
    <w:p>
      <w:pPr>
        <w:jc w:val="both"/>
        <w:ind w:right="240"/>
        <w:spacing w:after="0" w:line="292" w:lineRule="auto"/>
        <w:rPr>
          <w:sz w:val="20"/>
          <w:szCs w:val="20"/>
          <w:color w:val="auto"/>
        </w:rPr>
      </w:pPr>
      <w:r>
        <w:rPr>
          <w:rFonts w:ascii="Arial" w:cs="Arial" w:eastAsia="Arial" w:hAnsi="Arial"/>
          <w:sz w:val="16"/>
          <w:szCs w:val="16"/>
          <w:color w:val="auto"/>
        </w:rPr>
        <w:t>For the three months ended April 3, 2026, the effective tax rate was 21.9% compared to 23.6% for the three months ended April 4, 2025. The decrease to the effective tax rate was primarily due to an increase in net excess tax benefits related to employee stock-based payment transactions and a decrease in unrecognized tax benefits.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9–Business Segments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operations and reportable segments are organized around the customers and markets we serve. We define our reportable segments based on the way the chief operating decision maker ("CODM"), currently our Chief Executive Officer, manages operations for the purposes of allocating resources and assessing performance. The CODM considers segment revenue and operating income to assist with the evaluation of strategic business decisions, including potential acquisitions or divestitures, whether to invest in certain products or services, share repurchases and the declaration of dividends.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Beginning in fiscal 2026, we realigned our business to report in five operating segments, which are aggregated into four reportable segments in accordance with the criteria established under ASC 280: Intelligence &amp; Digital, Health, Homeland and Defense. Our reportable segments are focused on specific, defined capability sets that we bring to our customers. Additionally, we separately present the unallocable costs associated with corporate functions as Corporate. As a result of this change, prior year segment results have been recast to reflect the current reportable segment structure.</w:t>
      </w:r>
    </w:p>
    <w:p>
      <w:pPr>
        <w:spacing w:after="0" w:line="77"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Our Intelligence &amp; Digital business delivers mission-focused capabilities to the U.S. federal government and the U.S. Intelligence Community. The business integrates intelligence tradecraft, full-spectrum cyber capabilities, and advanced technical solutions at scale to improve decision-making across large, distributed mission networks and classified environments. We conduct technological research and development, software engineering, modeling and simulation, advanced analytics, network modernization, artificial intelligence development, and IT service management, modernizing critical systems and enabling resilient, high-performing mission operations.</w:t>
      </w:r>
    </w:p>
    <w:p>
      <w:pPr>
        <w:spacing w:after="0" w:line="8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Our Health business delivers services and solutions to federal and commercial customers in areas of public health, care coordination, and life and environmental sciences. Our offerings include IT infrastructure modernization, software development, research and implementation, response to hazardous material incidents, mission software solutions and wellness exams.</w:t>
      </w:r>
    </w:p>
    <w:p>
      <w:pPr>
        <w:spacing w:after="0" w:line="7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Homeland business serves five markets: air traffic, airports and borders, security equipment, commercial energy engineering and international. We provide safety critical software for the automation of air traffic both domestically and internationally. Additionally, we provide protection of the borders and airports through software and logistics programs. We provide security equipment for various end users. Internationally, we support defense and other government customers with software development programs, data analytics, information technology and intelligence operations.</w:t>
      </w:r>
    </w:p>
    <w:p>
      <w:pPr>
        <w:spacing w:after="0" w:line="5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Defense business develops and produces advanced space, aerial, surface, and sub-surface manned and un-manned defense systems. Our offerings include manufacturing, prototyping, weapons development, analytics and other advanced defense services.</w:t>
      </w:r>
    </w:p>
    <w:p>
      <w:pPr>
        <w:spacing w:after="0" w:line="3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Corporate includes the operations of various corporate activities, certain corporate expense items that are not reimbursed by our U.S. government customers and certain other expense items excluded from a reportable segment's performance.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business segment information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spacing w:after="0"/>
              <w:rPr>
                <w:sz w:val="19"/>
                <w:szCs w:val="19"/>
                <w:color w:val="auto"/>
              </w:rPr>
            </w:pPr>
          </w:p>
        </w:tc>
        <w:tc>
          <w:tcPr>
            <w:tcW w:w="120" w:type="dxa"/>
            <w:vAlign w:val="bottom"/>
            <w:tcBorders>
              <w:bottom w:val="single" w:sz="8" w:color="90158B"/>
            </w:tcBorders>
          </w:tcPr>
          <w:p>
            <w:pPr>
              <w:spacing w:after="0"/>
              <w:rPr>
                <w:sz w:val="19"/>
                <w:szCs w:val="19"/>
                <w:color w:val="auto"/>
              </w:rPr>
            </w:pPr>
          </w:p>
        </w:tc>
        <w:tc>
          <w:tcPr>
            <w:tcW w:w="162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500" w:type="dxa"/>
            <w:vAlign w:val="bottom"/>
            <w:tcBorders>
              <w:bottom w:val="single" w:sz="8" w:color="90158B"/>
            </w:tcBorders>
          </w:tcPr>
          <w:p>
            <w:pPr>
              <w:spacing w:after="0"/>
              <w:rPr>
                <w:sz w:val="19"/>
                <w:szCs w:val="19"/>
                <w:color w:val="auto"/>
              </w:rPr>
            </w:pPr>
          </w:p>
        </w:tc>
        <w:tc>
          <w:tcPr>
            <w:tcW w:w="3380" w:type="dxa"/>
            <w:vAlign w:val="bottom"/>
            <w:tcBorders>
              <w:bottom w:val="single" w:sz="8" w:color="90158B"/>
            </w:tcBorders>
            <w:gridSpan w:val="6"/>
          </w:tcPr>
          <w:p>
            <w:pPr>
              <w:jc w:val="right"/>
              <w:ind w:right="319"/>
              <w:spacing w:after="0"/>
              <w:rPr>
                <w:sz w:val="20"/>
                <w:szCs w:val="20"/>
                <w:color w:val="auto"/>
              </w:rPr>
            </w:pPr>
            <w:r>
              <w:rPr>
                <w:rFonts w:ascii="Arial" w:cs="Arial" w:eastAsia="Arial" w:hAnsi="Arial"/>
                <w:sz w:val="16"/>
                <w:szCs w:val="16"/>
                <w:b w:val="1"/>
                <w:bCs w:val="1"/>
                <w:color w:val="auto"/>
              </w:rPr>
              <w:t>Three Months Ended April 3, 2026</w:t>
            </w:r>
          </w:p>
        </w:tc>
        <w:tc>
          <w:tcPr>
            <w:tcW w:w="106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400" w:type="dxa"/>
            <w:vAlign w:val="bottom"/>
            <w:tcBorders>
              <w:bottom w:val="single" w:sz="8" w:color="90158B"/>
            </w:tcBorders>
          </w:tcPr>
          <w:p>
            <w:pPr>
              <w:spacing w:after="0"/>
              <w:rPr>
                <w:sz w:val="19"/>
                <w:szCs w:val="19"/>
                <w:color w:val="auto"/>
              </w:rPr>
            </w:pPr>
          </w:p>
        </w:tc>
        <w:tc>
          <w:tcPr>
            <w:tcW w:w="780" w:type="dxa"/>
            <w:vAlign w:val="bottom"/>
            <w:tcBorders>
              <w:bottom w:val="single" w:sz="8" w:color="90158B"/>
            </w:tcBorders>
          </w:tcPr>
          <w:p>
            <w:pPr>
              <w:spacing w:after="0"/>
              <w:rPr>
                <w:sz w:val="19"/>
                <w:szCs w:val="19"/>
                <w:color w:val="auto"/>
              </w:rPr>
            </w:pPr>
          </w:p>
        </w:tc>
      </w:tr>
      <w:tr>
        <w:trPr>
          <w:trHeight w:val="236"/>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90158B"/>
            </w:tcBorders>
          </w:tcPr>
          <w:p>
            <w:pPr>
              <w:spacing w:after="0"/>
              <w:rPr>
                <w:sz w:val="20"/>
                <w:szCs w:val="20"/>
                <w:color w:val="auto"/>
              </w:rPr>
            </w:pPr>
          </w:p>
        </w:tc>
        <w:tc>
          <w:tcPr>
            <w:tcW w:w="1720" w:type="dxa"/>
            <w:vAlign w:val="bottom"/>
            <w:tcBorders>
              <w:bottom w:val="single" w:sz="8" w:color="90158B"/>
            </w:tcBorders>
            <w:gridSpan w:val="2"/>
          </w:tcPr>
          <w:p>
            <w:pPr>
              <w:ind w:left="20"/>
              <w:spacing w:after="0"/>
              <w:rPr>
                <w:sz w:val="20"/>
                <w:szCs w:val="20"/>
                <w:color w:val="auto"/>
              </w:rPr>
            </w:pPr>
            <w:r>
              <w:rPr>
                <w:rFonts w:ascii="Arial" w:cs="Arial" w:eastAsia="Arial" w:hAnsi="Arial"/>
                <w:sz w:val="16"/>
                <w:szCs w:val="16"/>
                <w:b w:val="1"/>
                <w:bCs w:val="1"/>
                <w:color w:val="auto"/>
              </w:rPr>
              <w:t>Intelligence &amp; Digital</w:t>
            </w:r>
          </w:p>
        </w:tc>
        <w:tc>
          <w:tcPr>
            <w:tcW w:w="500" w:type="dxa"/>
            <w:vAlign w:val="bottom"/>
            <w:tcBorders>
              <w:bottom w:val="single" w:sz="8" w:color="90158B"/>
            </w:tcBorders>
          </w:tcPr>
          <w:p>
            <w:pPr>
              <w:spacing w:after="0"/>
              <w:rPr>
                <w:sz w:val="20"/>
                <w:szCs w:val="20"/>
                <w:color w:val="auto"/>
              </w:rPr>
            </w:pPr>
          </w:p>
        </w:tc>
        <w:tc>
          <w:tcPr>
            <w:tcW w:w="1020" w:type="dxa"/>
            <w:vAlign w:val="bottom"/>
            <w:tcBorders>
              <w:bottom w:val="single" w:sz="8" w:color="90158B"/>
            </w:tcBorders>
            <w:gridSpan w:val="2"/>
          </w:tcPr>
          <w:p>
            <w:pPr>
              <w:ind w:left="400"/>
              <w:spacing w:after="0"/>
              <w:rPr>
                <w:sz w:val="20"/>
                <w:szCs w:val="20"/>
                <w:color w:val="auto"/>
              </w:rPr>
            </w:pPr>
            <w:r>
              <w:rPr>
                <w:rFonts w:ascii="Arial" w:cs="Arial" w:eastAsia="Arial" w:hAnsi="Arial"/>
                <w:sz w:val="16"/>
                <w:szCs w:val="16"/>
                <w:b w:val="1"/>
                <w:bCs w:val="1"/>
                <w:color w:val="auto"/>
              </w:rPr>
              <w:t>Health</w:t>
            </w:r>
          </w:p>
        </w:tc>
        <w:tc>
          <w:tcPr>
            <w:tcW w:w="420" w:type="dxa"/>
            <w:vAlign w:val="bottom"/>
            <w:tcBorders>
              <w:bottom w:val="single" w:sz="8" w:color="90158B"/>
            </w:tcBorders>
          </w:tcPr>
          <w:p>
            <w:pPr>
              <w:spacing w:after="0"/>
              <w:rPr>
                <w:sz w:val="20"/>
                <w:szCs w:val="20"/>
                <w:color w:val="auto"/>
              </w:rPr>
            </w:pPr>
          </w:p>
        </w:tc>
        <w:tc>
          <w:tcPr>
            <w:tcW w:w="1220" w:type="dxa"/>
            <w:vAlign w:val="bottom"/>
            <w:tcBorders>
              <w:bottom w:val="single" w:sz="8" w:color="90158B"/>
            </w:tcBorders>
            <w:gridSpan w:val="2"/>
          </w:tcPr>
          <w:p>
            <w:pPr>
              <w:ind w:left="320"/>
              <w:spacing w:after="0"/>
              <w:rPr>
                <w:sz w:val="20"/>
                <w:szCs w:val="20"/>
                <w:color w:val="auto"/>
              </w:rPr>
            </w:pPr>
            <w:r>
              <w:rPr>
                <w:rFonts w:ascii="Arial" w:cs="Arial" w:eastAsia="Arial" w:hAnsi="Arial"/>
                <w:sz w:val="16"/>
                <w:szCs w:val="16"/>
                <w:b w:val="1"/>
                <w:bCs w:val="1"/>
                <w:color w:val="auto"/>
              </w:rPr>
              <w:t>Homeland</w:t>
            </w:r>
          </w:p>
        </w:tc>
        <w:tc>
          <w:tcPr>
            <w:tcW w:w="720" w:type="dxa"/>
            <w:vAlign w:val="bottom"/>
            <w:tcBorders>
              <w:bottom w:val="single" w:sz="8" w:color="90158B"/>
            </w:tcBorders>
          </w:tcPr>
          <w:p>
            <w:pPr>
              <w:spacing w:after="0"/>
              <w:rPr>
                <w:sz w:val="20"/>
                <w:szCs w:val="20"/>
                <w:color w:val="auto"/>
              </w:rPr>
            </w:pPr>
          </w:p>
        </w:tc>
        <w:tc>
          <w:tcPr>
            <w:tcW w:w="1140" w:type="dxa"/>
            <w:vAlign w:val="bottom"/>
            <w:tcBorders>
              <w:bottom w:val="single" w:sz="8" w:color="90158B"/>
            </w:tcBorders>
            <w:gridSpan w:val="2"/>
          </w:tcPr>
          <w:p>
            <w:pPr>
              <w:ind w:left="400"/>
              <w:spacing w:after="0"/>
              <w:rPr>
                <w:sz w:val="20"/>
                <w:szCs w:val="20"/>
                <w:color w:val="auto"/>
              </w:rPr>
            </w:pPr>
            <w:r>
              <w:rPr>
                <w:rFonts w:ascii="Arial" w:cs="Arial" w:eastAsia="Arial" w:hAnsi="Arial"/>
                <w:sz w:val="16"/>
                <w:szCs w:val="16"/>
                <w:b w:val="1"/>
                <w:bCs w:val="1"/>
                <w:color w:val="auto"/>
              </w:rPr>
              <w:t>Defense</w:t>
            </w: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883</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r>
      <w:tr>
        <w:trPr>
          <w:trHeight w:val="234"/>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20" w:type="dxa"/>
            <w:vAlign w:val="bottom"/>
            <w:tcBorders>
              <w:bottom w:val="single" w:sz="8" w:color="DBDBDB"/>
            </w:tcBorders>
          </w:tcPr>
          <w:p>
            <w:pPr>
              <w:spacing w:after="0"/>
              <w:rPr>
                <w:sz w:val="20"/>
                <w:szCs w:val="20"/>
                <w:color w:val="auto"/>
              </w:rPr>
            </w:pPr>
          </w:p>
        </w:tc>
        <w:tc>
          <w:tcPr>
            <w:tcW w:w="16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9"/>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20" w:type="dxa"/>
            <w:vAlign w:val="bottom"/>
            <w:tcBorders>
              <w:bottom w:val="single" w:sz="8" w:color="DBDBDB"/>
            </w:tcBorders>
          </w:tcPr>
          <w:p>
            <w:pPr>
              <w:spacing w:after="0"/>
              <w:rPr>
                <w:sz w:val="20"/>
                <w:szCs w:val="20"/>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224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1,002</w:t>
            </w:r>
          </w:p>
        </w:tc>
      </w:tr>
      <w:tr>
        <w:trPr>
          <w:trHeight w:val="237"/>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DBDBDB"/>
            </w:tcBorders>
          </w:tcPr>
          <w:p>
            <w:pPr>
              <w:spacing w:after="0"/>
              <w:rPr>
                <w:sz w:val="20"/>
                <w:szCs w:val="20"/>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w:t>
            </w:r>
          </w:p>
        </w:tc>
      </w:tr>
      <w:tr>
        <w:trPr>
          <w:trHeight w:val="236"/>
        </w:trPr>
        <w:tc>
          <w:tcPr>
            <w:tcW w:w="32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20" w:type="dxa"/>
            <w:vAlign w:val="bottom"/>
            <w:tcBorders>
              <w:bottom w:val="single" w:sz="8" w:color="90158B"/>
            </w:tcBorders>
          </w:tcPr>
          <w:p>
            <w:pPr>
              <w:spacing w:after="0"/>
              <w:rPr>
                <w:sz w:val="20"/>
                <w:szCs w:val="20"/>
                <w:color w:val="auto"/>
              </w:rPr>
            </w:pPr>
          </w:p>
        </w:tc>
        <w:tc>
          <w:tcPr>
            <w:tcW w:w="16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90158B"/>
            </w:tcBorders>
          </w:tcPr>
          <w:p>
            <w:pPr>
              <w:spacing w:after="0"/>
              <w:rPr>
                <w:sz w:val="20"/>
                <w:szCs w:val="20"/>
                <w:color w:val="auto"/>
              </w:rPr>
            </w:pPr>
          </w:p>
        </w:tc>
        <w:tc>
          <w:tcPr>
            <w:tcW w:w="9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90158B"/>
            </w:tcBorders>
          </w:tcPr>
          <w:p>
            <w:pPr>
              <w:spacing w:after="0"/>
              <w:rPr>
                <w:sz w:val="20"/>
                <w:szCs w:val="20"/>
                <w:color w:val="auto"/>
              </w:rPr>
            </w:pPr>
          </w:p>
        </w:tc>
        <w:tc>
          <w:tcPr>
            <w:tcW w:w="112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90158B"/>
            </w:tcBorders>
          </w:tcPr>
          <w:p>
            <w:pPr>
              <w:spacing w:after="0"/>
              <w:rPr>
                <w:sz w:val="20"/>
                <w:szCs w:val="20"/>
                <w:color w:val="auto"/>
              </w:rPr>
            </w:pPr>
          </w:p>
        </w:tc>
        <w:tc>
          <w:tcPr>
            <w:tcW w:w="10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586</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2,843</w:t>
            </w:r>
          </w:p>
        </w:tc>
      </w:tr>
      <w:tr>
        <w:trPr>
          <w:trHeight w:val="237"/>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DBDBD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525</w:t>
            </w:r>
          </w:p>
        </w:tc>
      </w:tr>
      <w:tr>
        <w:trPr>
          <w:trHeight w:val="240"/>
        </w:trPr>
        <w:tc>
          <w:tcPr>
            <w:tcW w:w="32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6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shd w:val="clear" w:color="auto" w:fill="F4E8F3"/>
          </w:tcPr>
          <w:p>
            <w:pPr>
              <w:spacing w:after="0"/>
              <w:rPr>
                <w:sz w:val="20"/>
                <w:szCs w:val="20"/>
                <w:color w:val="auto"/>
              </w:rPr>
            </w:pPr>
          </w:p>
        </w:tc>
        <w:tc>
          <w:tcPr>
            <w:tcW w:w="780" w:type="dxa"/>
            <w:vAlign w:val="bottom"/>
            <w:tcBorders>
              <w:bottom w:val="single" w:sz="8" w:color="DBDBDB"/>
            </w:tcBorders>
            <w:shd w:val="clear" w:color="auto" w:fill="F4E8F3"/>
          </w:tcPr>
          <w:p>
            <w:pPr>
              <w:spacing w:after="0"/>
              <w:rPr>
                <w:sz w:val="20"/>
                <w:szCs w:val="20"/>
                <w:color w:val="auto"/>
              </w:rPr>
            </w:pPr>
          </w:p>
        </w:tc>
      </w:tr>
      <w:tr>
        <w:trPr>
          <w:trHeight w:val="233"/>
        </w:trPr>
        <w:tc>
          <w:tcPr>
            <w:tcW w:w="3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20" w:type="dxa"/>
            <w:vAlign w:val="bottom"/>
            <w:tcBorders>
              <w:bottom w:val="single" w:sz="8" w:color="DBDBDB"/>
            </w:tcBorders>
          </w:tcPr>
          <w:p>
            <w:pPr>
              <w:spacing w:after="0"/>
              <w:rPr>
                <w:sz w:val="20"/>
                <w:szCs w:val="20"/>
                <w:color w:val="auto"/>
              </w:rPr>
            </w:pPr>
          </w:p>
        </w:tc>
        <w:tc>
          <w:tcPr>
            <w:tcW w:w="16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20" w:type="dxa"/>
            <w:vAlign w:val="bottom"/>
            <w:tcBorders>
              <w:bottom w:val="single" w:sz="8" w:color="DBDBDB"/>
            </w:tcBorders>
          </w:tcPr>
          <w:p>
            <w:pPr>
              <w:spacing w:after="0"/>
              <w:rPr>
                <w:sz w:val="20"/>
                <w:szCs w:val="20"/>
                <w:color w:val="auto"/>
              </w:rPr>
            </w:pPr>
          </w:p>
        </w:tc>
        <w:tc>
          <w:tcPr>
            <w:tcW w:w="106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shd w:val="clear" w:color="auto" w:fill="F4E8F3"/>
          </w:tcPr>
          <w:p>
            <w:pPr>
              <w:spacing w:after="0"/>
              <w:rPr>
                <w:sz w:val="20"/>
                <w:szCs w:val="20"/>
                <w:color w:val="auto"/>
              </w:rPr>
            </w:pP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r>
      <w:tr>
        <w:trPr>
          <w:trHeight w:val="300"/>
        </w:trPr>
        <w:tc>
          <w:tcPr>
            <w:tcW w:w="320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Total operating income</w:t>
            </w:r>
          </w:p>
        </w:tc>
        <w:tc>
          <w:tcPr>
            <w:tcW w:w="120" w:type="dxa"/>
            <w:vAlign w:val="bottom"/>
            <w:tcBorders>
              <w:bottom w:val="single" w:sz="8" w:color="90158B"/>
            </w:tcBorders>
          </w:tcPr>
          <w:p>
            <w:pPr>
              <w:spacing w:after="0"/>
              <w:rPr>
                <w:sz w:val="24"/>
                <w:szCs w:val="24"/>
                <w:color w:val="auto"/>
              </w:rPr>
            </w:pPr>
          </w:p>
        </w:tc>
        <w:tc>
          <w:tcPr>
            <w:tcW w:w="16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500" w:type="dxa"/>
            <w:vAlign w:val="bottom"/>
            <w:tcBorders>
              <w:bottom w:val="single" w:sz="8" w:color="90158B"/>
            </w:tcBorders>
          </w:tcPr>
          <w:p>
            <w:pPr>
              <w:spacing w:after="0"/>
              <w:rPr>
                <w:sz w:val="24"/>
                <w:szCs w:val="24"/>
                <w:color w:val="auto"/>
              </w:rPr>
            </w:pPr>
          </w:p>
        </w:tc>
        <w:tc>
          <w:tcPr>
            <w:tcW w:w="9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420" w:type="dxa"/>
            <w:vAlign w:val="bottom"/>
            <w:tcBorders>
              <w:bottom w:val="single" w:sz="8" w:color="90158B"/>
            </w:tcBorders>
          </w:tcPr>
          <w:p>
            <w:pPr>
              <w:spacing w:after="0"/>
              <w:rPr>
                <w:sz w:val="24"/>
                <w:szCs w:val="24"/>
                <w:color w:val="auto"/>
              </w:rPr>
            </w:pPr>
          </w:p>
        </w:tc>
        <w:tc>
          <w:tcPr>
            <w:tcW w:w="1120" w:type="dxa"/>
            <w:vAlign w:val="bottom"/>
            <w:tcBorders>
              <w:bottom w:val="single" w:sz="8" w:color="90158B"/>
            </w:tcBorders>
          </w:tcPr>
          <w:p>
            <w:pPr>
              <w:spacing w:after="0"/>
              <w:rPr>
                <w:sz w:val="24"/>
                <w:szCs w:val="24"/>
                <w:color w:val="auto"/>
              </w:rPr>
            </w:pPr>
          </w:p>
        </w:tc>
        <w:tc>
          <w:tcPr>
            <w:tcW w:w="100" w:type="dxa"/>
            <w:vAlign w:val="bottom"/>
            <w:tcBorders>
              <w:bottom w:val="single" w:sz="8" w:color="90158B"/>
            </w:tcBorders>
          </w:tcPr>
          <w:p>
            <w:pPr>
              <w:spacing w:after="0"/>
              <w:rPr>
                <w:sz w:val="24"/>
                <w:szCs w:val="24"/>
                <w:color w:val="auto"/>
              </w:rPr>
            </w:pPr>
          </w:p>
        </w:tc>
        <w:tc>
          <w:tcPr>
            <w:tcW w:w="720" w:type="dxa"/>
            <w:vAlign w:val="bottom"/>
            <w:tcBorders>
              <w:bottom w:val="single" w:sz="8" w:color="90158B"/>
            </w:tcBorders>
          </w:tcPr>
          <w:p>
            <w:pPr>
              <w:spacing w:after="0"/>
              <w:rPr>
                <w:sz w:val="24"/>
                <w:szCs w:val="24"/>
                <w:color w:val="auto"/>
              </w:rPr>
            </w:pPr>
          </w:p>
        </w:tc>
        <w:tc>
          <w:tcPr>
            <w:tcW w:w="1060" w:type="dxa"/>
            <w:vAlign w:val="bottom"/>
            <w:tcBorders>
              <w:bottom w:val="single" w:sz="8" w:color="90158B"/>
            </w:tcBorders>
          </w:tcPr>
          <w:p>
            <w:pPr>
              <w:spacing w:after="0"/>
              <w:rPr>
                <w:sz w:val="24"/>
                <w:szCs w:val="24"/>
                <w:color w:val="auto"/>
              </w:rPr>
            </w:pPr>
          </w:p>
        </w:tc>
        <w:tc>
          <w:tcPr>
            <w:tcW w:w="80" w:type="dxa"/>
            <w:vAlign w:val="bottom"/>
            <w:tcBorders>
              <w:bottom w:val="single" w:sz="8" w:color="90158B"/>
            </w:tcBorders>
          </w:tcPr>
          <w:p>
            <w:pPr>
              <w:spacing w:after="0"/>
              <w:rPr>
                <w:sz w:val="24"/>
                <w:szCs w:val="24"/>
                <w:color w:val="auto"/>
              </w:rPr>
            </w:pPr>
          </w:p>
        </w:tc>
        <w:tc>
          <w:tcPr>
            <w:tcW w:w="400" w:type="dxa"/>
            <w:vAlign w:val="bottom"/>
            <w:tcBorders>
              <w:bottom w:val="single" w:sz="8" w:color="90158B"/>
            </w:tcBorders>
            <w:shd w:val="clear" w:color="auto" w:fill="F4E8F3"/>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90158B"/>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508</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4"/>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20" w:type="dxa"/>
            <w:vAlign w:val="bottom"/>
          </w:tcPr>
          <w:p>
            <w:pPr>
              <w:spacing w:after="0"/>
              <w:rPr>
                <w:sz w:val="19"/>
                <w:szCs w:val="19"/>
                <w:color w:val="auto"/>
              </w:rPr>
            </w:pPr>
          </w:p>
        </w:tc>
        <w:tc>
          <w:tcPr>
            <w:tcW w:w="180" w:type="dxa"/>
            <w:vAlign w:val="bottom"/>
            <w:tcBorders>
              <w:bottom w:val="single" w:sz="8" w:color="90158B"/>
            </w:tcBorders>
          </w:tcPr>
          <w:p>
            <w:pPr>
              <w:spacing w:after="0"/>
              <w:rPr>
                <w:sz w:val="19"/>
                <w:szCs w:val="19"/>
                <w:color w:val="auto"/>
              </w:rPr>
            </w:pPr>
          </w:p>
        </w:tc>
        <w:tc>
          <w:tcPr>
            <w:tcW w:w="1560" w:type="dxa"/>
            <w:vAlign w:val="bottom"/>
            <w:tcBorders>
              <w:bottom w:val="single" w:sz="8" w:color="90158B"/>
            </w:tcBorders>
          </w:tcPr>
          <w:p>
            <w:pPr>
              <w:spacing w:after="0"/>
              <w:rPr>
                <w:sz w:val="19"/>
                <w:szCs w:val="19"/>
                <w:color w:val="auto"/>
              </w:rPr>
            </w:pPr>
          </w:p>
        </w:tc>
        <w:tc>
          <w:tcPr>
            <w:tcW w:w="100" w:type="dxa"/>
            <w:vAlign w:val="bottom"/>
            <w:tcBorders>
              <w:bottom w:val="single" w:sz="8" w:color="90158B"/>
            </w:tcBorders>
          </w:tcPr>
          <w:p>
            <w:pPr>
              <w:spacing w:after="0"/>
              <w:rPr>
                <w:sz w:val="19"/>
                <w:szCs w:val="19"/>
                <w:color w:val="auto"/>
              </w:rPr>
            </w:pPr>
          </w:p>
        </w:tc>
        <w:tc>
          <w:tcPr>
            <w:tcW w:w="520" w:type="dxa"/>
            <w:vAlign w:val="bottom"/>
            <w:tcBorders>
              <w:bottom w:val="single" w:sz="8" w:color="90158B"/>
            </w:tcBorders>
          </w:tcPr>
          <w:p>
            <w:pPr>
              <w:spacing w:after="0"/>
              <w:rPr>
                <w:sz w:val="19"/>
                <w:szCs w:val="19"/>
                <w:color w:val="auto"/>
              </w:rPr>
            </w:pPr>
          </w:p>
        </w:tc>
        <w:tc>
          <w:tcPr>
            <w:tcW w:w="3320" w:type="dxa"/>
            <w:vAlign w:val="bottom"/>
            <w:tcBorders>
              <w:bottom w:val="single" w:sz="8" w:color="90158B"/>
            </w:tcBorders>
            <w:gridSpan w:val="6"/>
          </w:tcPr>
          <w:p>
            <w:pPr>
              <w:ind w:left="420"/>
              <w:spacing w:after="0"/>
              <w:rPr>
                <w:sz w:val="20"/>
                <w:szCs w:val="20"/>
                <w:color w:val="auto"/>
              </w:rPr>
            </w:pPr>
            <w:r>
              <w:rPr>
                <w:rFonts w:ascii="Arial" w:cs="Arial" w:eastAsia="Arial" w:hAnsi="Arial"/>
                <w:sz w:val="16"/>
                <w:szCs w:val="16"/>
                <w:color w:val="auto"/>
              </w:rPr>
              <w:t>Three Months Ended April 4, 2025</w:t>
            </w:r>
          </w:p>
        </w:tc>
        <w:tc>
          <w:tcPr>
            <w:tcW w:w="1080" w:type="dxa"/>
            <w:vAlign w:val="bottom"/>
            <w:tcBorders>
              <w:bottom w:val="single" w:sz="8" w:color="90158B"/>
            </w:tcBorders>
          </w:tcPr>
          <w:p>
            <w:pPr>
              <w:spacing w:after="0"/>
              <w:rPr>
                <w:sz w:val="19"/>
                <w:szCs w:val="19"/>
                <w:color w:val="auto"/>
              </w:rPr>
            </w:pPr>
          </w:p>
        </w:tc>
        <w:tc>
          <w:tcPr>
            <w:tcW w:w="80" w:type="dxa"/>
            <w:vAlign w:val="bottom"/>
            <w:tcBorders>
              <w:bottom w:val="single" w:sz="8" w:color="90158B"/>
            </w:tcBorders>
          </w:tcPr>
          <w:p>
            <w:pPr>
              <w:spacing w:after="0"/>
              <w:rPr>
                <w:sz w:val="19"/>
                <w:szCs w:val="19"/>
                <w:color w:val="auto"/>
              </w:rPr>
            </w:pPr>
          </w:p>
        </w:tc>
        <w:tc>
          <w:tcPr>
            <w:tcW w:w="400" w:type="dxa"/>
            <w:vAlign w:val="bottom"/>
            <w:tcBorders>
              <w:bottom w:val="single" w:sz="8" w:color="90158B"/>
            </w:tcBorders>
          </w:tcPr>
          <w:p>
            <w:pPr>
              <w:spacing w:after="0"/>
              <w:rPr>
                <w:sz w:val="19"/>
                <w:szCs w:val="19"/>
                <w:color w:val="auto"/>
              </w:rPr>
            </w:pPr>
          </w:p>
        </w:tc>
        <w:tc>
          <w:tcPr>
            <w:tcW w:w="780" w:type="dxa"/>
            <w:vAlign w:val="bottom"/>
            <w:tcBorders>
              <w:bottom w:val="single" w:sz="8" w:color="90158B"/>
            </w:tcBorders>
          </w:tcPr>
          <w:p>
            <w:pPr>
              <w:spacing w:after="0"/>
              <w:rPr>
                <w:sz w:val="19"/>
                <w:szCs w:val="19"/>
                <w:color w:val="auto"/>
              </w:rPr>
            </w:pPr>
          </w:p>
        </w:tc>
      </w:tr>
      <w:tr>
        <w:trPr>
          <w:trHeight w:val="236"/>
        </w:trPr>
        <w:tc>
          <w:tcPr>
            <w:tcW w:w="3220" w:type="dxa"/>
            <w:vAlign w:val="bottom"/>
            <w:tcBorders>
              <w:bottom w:val="single" w:sz="8" w:color="90158B"/>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90158B"/>
            </w:tcBorders>
          </w:tcPr>
          <w:p>
            <w:pPr>
              <w:spacing w:after="0"/>
              <w:rPr>
                <w:sz w:val="20"/>
                <w:szCs w:val="20"/>
                <w:color w:val="auto"/>
              </w:rPr>
            </w:pPr>
          </w:p>
        </w:tc>
        <w:tc>
          <w:tcPr>
            <w:tcW w:w="1660" w:type="dxa"/>
            <w:vAlign w:val="bottom"/>
            <w:tcBorders>
              <w:bottom w:val="single" w:sz="8" w:color="90158B"/>
            </w:tcBorders>
            <w:gridSpan w:val="2"/>
          </w:tcPr>
          <w:p>
            <w:pPr>
              <w:ind w:left="80"/>
              <w:spacing w:after="0"/>
              <w:rPr>
                <w:sz w:val="20"/>
                <w:szCs w:val="20"/>
                <w:color w:val="auto"/>
              </w:rPr>
            </w:pPr>
            <w:r>
              <w:rPr>
                <w:rFonts w:ascii="Arial" w:cs="Arial" w:eastAsia="Arial" w:hAnsi="Arial"/>
                <w:sz w:val="16"/>
                <w:szCs w:val="16"/>
                <w:color w:val="auto"/>
              </w:rPr>
              <w:t>Intelligence &amp; Digital</w:t>
            </w:r>
          </w:p>
        </w:tc>
        <w:tc>
          <w:tcPr>
            <w:tcW w:w="520" w:type="dxa"/>
            <w:vAlign w:val="bottom"/>
            <w:tcBorders>
              <w:bottom w:val="single" w:sz="8" w:color="90158B"/>
            </w:tcBorders>
          </w:tcPr>
          <w:p>
            <w:pPr>
              <w:spacing w:after="0"/>
              <w:rPr>
                <w:sz w:val="20"/>
                <w:szCs w:val="20"/>
                <w:color w:val="auto"/>
              </w:rPr>
            </w:pPr>
          </w:p>
        </w:tc>
        <w:tc>
          <w:tcPr>
            <w:tcW w:w="980" w:type="dxa"/>
            <w:vAlign w:val="bottom"/>
            <w:tcBorders>
              <w:bottom w:val="single" w:sz="8" w:color="90158B"/>
            </w:tcBorders>
            <w:gridSpan w:val="2"/>
          </w:tcPr>
          <w:p>
            <w:pPr>
              <w:ind w:left="400"/>
              <w:spacing w:after="0"/>
              <w:rPr>
                <w:sz w:val="20"/>
                <w:szCs w:val="20"/>
                <w:color w:val="auto"/>
              </w:rPr>
            </w:pPr>
            <w:r>
              <w:rPr>
                <w:rFonts w:ascii="Arial" w:cs="Arial" w:eastAsia="Arial" w:hAnsi="Arial"/>
                <w:sz w:val="16"/>
                <w:szCs w:val="16"/>
                <w:color w:val="auto"/>
              </w:rPr>
              <w:t>Health</w:t>
            </w:r>
          </w:p>
        </w:tc>
        <w:tc>
          <w:tcPr>
            <w:tcW w:w="460" w:type="dxa"/>
            <w:vAlign w:val="bottom"/>
            <w:tcBorders>
              <w:bottom w:val="single" w:sz="8" w:color="90158B"/>
            </w:tcBorders>
          </w:tcPr>
          <w:p>
            <w:pPr>
              <w:spacing w:after="0"/>
              <w:rPr>
                <w:sz w:val="20"/>
                <w:szCs w:val="20"/>
                <w:color w:val="auto"/>
              </w:rPr>
            </w:pPr>
          </w:p>
        </w:tc>
        <w:tc>
          <w:tcPr>
            <w:tcW w:w="1180" w:type="dxa"/>
            <w:vAlign w:val="bottom"/>
            <w:tcBorders>
              <w:bottom w:val="single" w:sz="8" w:color="90158B"/>
            </w:tcBorders>
            <w:gridSpan w:val="2"/>
          </w:tcPr>
          <w:p>
            <w:pPr>
              <w:ind w:left="340"/>
              <w:spacing w:after="0"/>
              <w:rPr>
                <w:sz w:val="20"/>
                <w:szCs w:val="20"/>
                <w:color w:val="auto"/>
              </w:rPr>
            </w:pPr>
            <w:r>
              <w:rPr>
                <w:rFonts w:ascii="Arial" w:cs="Arial" w:eastAsia="Arial" w:hAnsi="Arial"/>
                <w:sz w:val="16"/>
                <w:szCs w:val="16"/>
                <w:color w:val="auto"/>
              </w:rPr>
              <w:t>Homeland</w:t>
            </w:r>
          </w:p>
        </w:tc>
        <w:tc>
          <w:tcPr>
            <w:tcW w:w="700" w:type="dxa"/>
            <w:vAlign w:val="bottom"/>
            <w:tcBorders>
              <w:bottom w:val="single" w:sz="8" w:color="90158B"/>
            </w:tcBorders>
          </w:tcPr>
          <w:p>
            <w:pPr>
              <w:spacing w:after="0"/>
              <w:rPr>
                <w:sz w:val="20"/>
                <w:szCs w:val="20"/>
                <w:color w:val="auto"/>
              </w:rPr>
            </w:pPr>
          </w:p>
        </w:tc>
        <w:tc>
          <w:tcPr>
            <w:tcW w:w="1160" w:type="dxa"/>
            <w:vAlign w:val="bottom"/>
            <w:tcBorders>
              <w:bottom w:val="single" w:sz="8" w:color="90158B"/>
            </w:tcBorders>
            <w:gridSpan w:val="2"/>
          </w:tcPr>
          <w:p>
            <w:pPr>
              <w:ind w:left="440"/>
              <w:spacing w:after="0"/>
              <w:rPr>
                <w:sz w:val="20"/>
                <w:szCs w:val="20"/>
                <w:color w:val="auto"/>
              </w:rPr>
            </w:pPr>
            <w:r>
              <w:rPr>
                <w:rFonts w:ascii="Arial" w:cs="Arial" w:eastAsia="Arial" w:hAnsi="Arial"/>
                <w:sz w:val="16"/>
                <w:szCs w:val="16"/>
                <w:color w:val="auto"/>
              </w:rPr>
              <w:t>Defense</w:t>
            </w: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Total</w:t>
            </w:r>
          </w:p>
        </w:tc>
      </w:tr>
      <w:tr>
        <w:trPr>
          <w:trHeight w:val="237"/>
        </w:trPr>
        <w:tc>
          <w:tcPr>
            <w:tcW w:w="3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4,245</w:t>
            </w:r>
          </w:p>
        </w:tc>
      </w:tr>
      <w:tr>
        <w:trPr>
          <w:trHeight w:val="237"/>
        </w:trPr>
        <w:tc>
          <w:tcPr>
            <w:tcW w:w="3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spacing w:after="0"/>
              <w:rPr>
                <w:sz w:val="20"/>
                <w:szCs w:val="20"/>
                <w:color w:val="auto"/>
              </w:rPr>
            </w:pPr>
          </w:p>
        </w:tc>
      </w:tr>
      <w:tr>
        <w:trPr>
          <w:trHeight w:val="237"/>
        </w:trPr>
        <w:tc>
          <w:tcPr>
            <w:tcW w:w="3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Direct labor</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959</w:t>
            </w:r>
          </w:p>
        </w:tc>
      </w:tr>
      <w:tr>
        <w:trPr>
          <w:trHeight w:val="237"/>
        </w:trPr>
        <w:tc>
          <w:tcPr>
            <w:tcW w:w="3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spacing w:after="0"/>
              <w:rPr>
                <w:sz w:val="20"/>
                <w:szCs w:val="20"/>
                <w:color w:val="auto"/>
              </w:rPr>
            </w:pP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30</w:t>
            </w:r>
          </w:p>
        </w:tc>
      </w:tr>
      <w:tr>
        <w:trPr>
          <w:trHeight w:val="236"/>
        </w:trPr>
        <w:tc>
          <w:tcPr>
            <w:tcW w:w="32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Other segment expense</w:t>
            </w:r>
          </w:p>
        </w:tc>
        <w:tc>
          <w:tcPr>
            <w:tcW w:w="180" w:type="dxa"/>
            <w:vAlign w:val="bottom"/>
            <w:tcBorders>
              <w:bottom w:val="single" w:sz="8" w:color="90158B"/>
            </w:tcBorders>
          </w:tcPr>
          <w:p>
            <w:pPr>
              <w:spacing w:after="0"/>
              <w:rPr>
                <w:sz w:val="20"/>
                <w:szCs w:val="20"/>
                <w:color w:val="auto"/>
              </w:rPr>
            </w:pPr>
          </w:p>
        </w:tc>
        <w:tc>
          <w:tcPr>
            <w:tcW w:w="156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90158B"/>
            </w:tcBorders>
          </w:tcPr>
          <w:p>
            <w:pPr>
              <w:spacing w:after="0"/>
              <w:rPr>
                <w:sz w:val="20"/>
                <w:szCs w:val="20"/>
                <w:color w:val="auto"/>
              </w:rPr>
            </w:pPr>
          </w:p>
        </w:tc>
        <w:tc>
          <w:tcPr>
            <w:tcW w:w="90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688</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90158B"/>
            </w:tcBorders>
          </w:tcPr>
          <w:p>
            <w:pPr>
              <w:spacing w:after="0"/>
              <w:rPr>
                <w:sz w:val="20"/>
                <w:szCs w:val="20"/>
                <w:color w:val="auto"/>
              </w:rPr>
            </w:pPr>
          </w:p>
        </w:tc>
        <w:tc>
          <w:tcPr>
            <w:tcW w:w="10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90158B"/>
            </w:tcBorders>
          </w:tcPr>
          <w:p>
            <w:pPr>
              <w:spacing w:after="0"/>
              <w:rPr>
                <w:sz w:val="20"/>
                <w:szCs w:val="20"/>
                <w:color w:val="auto"/>
              </w:rPr>
            </w:pPr>
          </w:p>
        </w:tc>
        <w:tc>
          <w:tcPr>
            <w:tcW w:w="10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2,701</w:t>
            </w:r>
          </w:p>
        </w:tc>
      </w:tr>
      <w:tr>
        <w:trPr>
          <w:trHeight w:val="237"/>
        </w:trPr>
        <w:tc>
          <w:tcPr>
            <w:tcW w:w="3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Segment operating income</w:t>
            </w:r>
          </w:p>
        </w:tc>
        <w:tc>
          <w:tcPr>
            <w:tcW w:w="1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288</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DBDBD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555</w:t>
            </w:r>
          </w:p>
        </w:tc>
      </w:tr>
      <w:tr>
        <w:trPr>
          <w:trHeight w:val="243"/>
        </w:trPr>
        <w:tc>
          <w:tcPr>
            <w:tcW w:w="3220" w:type="dxa"/>
            <w:vAlign w:val="bottom"/>
            <w:tcBorders>
              <w:bottom w:val="single" w:sz="8" w:color="DBDBDB"/>
            </w:tcBorders>
          </w:tcPr>
          <w:p>
            <w:pPr>
              <w:spacing w:after="0"/>
              <w:rPr>
                <w:sz w:val="21"/>
                <w:szCs w:val="21"/>
                <w:color w:val="auto"/>
              </w:rPr>
            </w:pPr>
          </w:p>
        </w:tc>
        <w:tc>
          <w:tcPr>
            <w:tcW w:w="180" w:type="dxa"/>
            <w:vAlign w:val="bottom"/>
            <w:tcBorders>
              <w:bottom w:val="single" w:sz="8" w:color="DBDBDB"/>
            </w:tcBorders>
          </w:tcPr>
          <w:p>
            <w:pPr>
              <w:spacing w:after="0"/>
              <w:rPr>
                <w:sz w:val="21"/>
                <w:szCs w:val="21"/>
                <w:color w:val="auto"/>
              </w:rPr>
            </w:pPr>
          </w:p>
        </w:tc>
        <w:tc>
          <w:tcPr>
            <w:tcW w:w="156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520" w:type="dxa"/>
            <w:vAlign w:val="bottom"/>
            <w:tcBorders>
              <w:bottom w:val="single" w:sz="8" w:color="DBDBDB"/>
            </w:tcBorders>
          </w:tcPr>
          <w:p>
            <w:pPr>
              <w:spacing w:after="0"/>
              <w:rPr>
                <w:sz w:val="21"/>
                <w:szCs w:val="21"/>
                <w:color w:val="auto"/>
              </w:rPr>
            </w:pPr>
          </w:p>
        </w:tc>
        <w:tc>
          <w:tcPr>
            <w:tcW w:w="90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6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700" w:type="dxa"/>
            <w:vAlign w:val="bottom"/>
            <w:tcBorders>
              <w:bottom w:val="single" w:sz="8" w:color="DBDBDB"/>
            </w:tcBorders>
          </w:tcPr>
          <w:p>
            <w:pPr>
              <w:spacing w:after="0"/>
              <w:rPr>
                <w:sz w:val="21"/>
                <w:szCs w:val="21"/>
                <w:color w:val="auto"/>
              </w:rPr>
            </w:pPr>
          </w:p>
        </w:tc>
        <w:tc>
          <w:tcPr>
            <w:tcW w:w="108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400" w:type="dxa"/>
            <w:vAlign w:val="bottom"/>
            <w:tcBorders>
              <w:bottom w:val="single" w:sz="8" w:color="DBDBDB"/>
            </w:tcBorders>
          </w:tcPr>
          <w:p>
            <w:pPr>
              <w:spacing w:after="0"/>
              <w:rPr>
                <w:sz w:val="21"/>
                <w:szCs w:val="21"/>
                <w:color w:val="auto"/>
              </w:rPr>
            </w:pPr>
          </w:p>
        </w:tc>
        <w:tc>
          <w:tcPr>
            <w:tcW w:w="780" w:type="dxa"/>
            <w:vAlign w:val="bottom"/>
            <w:tcBorders>
              <w:bottom w:val="single" w:sz="8" w:color="DBDBDB"/>
            </w:tcBorders>
          </w:tcPr>
          <w:p>
            <w:pPr>
              <w:spacing w:after="0"/>
              <w:rPr>
                <w:sz w:val="21"/>
                <w:szCs w:val="21"/>
                <w:color w:val="auto"/>
              </w:rPr>
            </w:pPr>
          </w:p>
        </w:tc>
      </w:tr>
      <w:tr>
        <w:trPr>
          <w:trHeight w:val="230"/>
        </w:trPr>
        <w:tc>
          <w:tcPr>
            <w:tcW w:w="3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Corporate expense</w:t>
            </w:r>
          </w:p>
        </w:tc>
        <w:tc>
          <w:tcPr>
            <w:tcW w:w="180" w:type="dxa"/>
            <w:vAlign w:val="bottom"/>
            <w:tcBorders>
              <w:bottom w:val="single" w:sz="8" w:color="DBDBDB"/>
            </w:tcBorders>
          </w:tcPr>
          <w:p>
            <w:pPr>
              <w:spacing w:after="0"/>
              <w:rPr>
                <w:sz w:val="20"/>
                <w:szCs w:val="20"/>
                <w:color w:val="auto"/>
              </w:rPr>
            </w:pPr>
          </w:p>
        </w:tc>
        <w:tc>
          <w:tcPr>
            <w:tcW w:w="156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520" w:type="dxa"/>
            <w:vAlign w:val="bottom"/>
            <w:tcBorders>
              <w:bottom w:val="single" w:sz="8" w:color="DBDBDB"/>
            </w:tcBorders>
          </w:tcPr>
          <w:p>
            <w:pPr>
              <w:spacing w:after="0"/>
              <w:rPr>
                <w:sz w:val="20"/>
                <w:szCs w:val="20"/>
                <w:color w:val="auto"/>
              </w:rPr>
            </w:pPr>
          </w:p>
        </w:tc>
        <w:tc>
          <w:tcPr>
            <w:tcW w:w="90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700" w:type="dxa"/>
            <w:vAlign w:val="bottom"/>
            <w:tcBorders>
              <w:bottom w:val="single" w:sz="8" w:color="DBDBDB"/>
            </w:tcBorders>
          </w:tcPr>
          <w:p>
            <w:pPr>
              <w:spacing w:after="0"/>
              <w:rPr>
                <w:sz w:val="20"/>
                <w:szCs w:val="20"/>
                <w:color w:val="auto"/>
              </w:rPr>
            </w:pPr>
          </w:p>
        </w:tc>
        <w:tc>
          <w:tcPr>
            <w:tcW w:w="1080" w:type="dxa"/>
            <w:vAlign w:val="bottom"/>
            <w:tcBorders>
              <w:bottom w:val="single" w:sz="8" w:color="DBDBDB"/>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90158B"/>
            </w:tcBorders>
          </w:tcPr>
          <w:p>
            <w:pPr>
              <w:spacing w:after="0"/>
              <w:rPr>
                <w:sz w:val="20"/>
                <w:szCs w:val="20"/>
                <w:color w:val="auto"/>
              </w:rPr>
            </w:pP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322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90158B"/>
            </w:tcBorders>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90158B"/>
            </w:tcBorders>
          </w:tcPr>
          <w:p>
            <w:pPr>
              <w:jc w:val="right"/>
              <w:spacing w:after="0"/>
              <w:rPr>
                <w:sz w:val="20"/>
                <w:szCs w:val="20"/>
                <w:color w:val="auto"/>
              </w:rPr>
            </w:pPr>
            <w:r>
              <w:rPr>
                <w:rFonts w:ascii="Arial" w:cs="Arial" w:eastAsia="Arial" w:hAnsi="Arial"/>
                <w:sz w:val="16"/>
                <w:szCs w:val="16"/>
                <w:color w:val="auto"/>
              </w:rPr>
              <w:t>530</w:t>
            </w:r>
          </w:p>
        </w:tc>
      </w:tr>
      <w:tr>
        <w:trPr>
          <w:trHeight w:val="20"/>
        </w:trPr>
        <w:tc>
          <w:tcPr>
            <w:tcW w:w="3220" w:type="dxa"/>
            <w:vAlign w:val="bottom"/>
            <w:tcBorders>
              <w:bottom w:val="single" w:sz="8" w:color="90158B"/>
            </w:tcBorders>
          </w:tcPr>
          <w:p>
            <w:pPr>
              <w:spacing w:after="0" w:line="20" w:lineRule="exact"/>
              <w:rPr>
                <w:sz w:val="1"/>
                <w:szCs w:val="1"/>
                <w:color w:val="auto"/>
              </w:rPr>
            </w:pPr>
          </w:p>
        </w:tc>
        <w:tc>
          <w:tcPr>
            <w:tcW w:w="180" w:type="dxa"/>
            <w:vAlign w:val="bottom"/>
            <w:tcBorders>
              <w:bottom w:val="single" w:sz="8" w:color="90158B"/>
            </w:tcBorders>
          </w:tcPr>
          <w:p>
            <w:pPr>
              <w:spacing w:after="0" w:line="20" w:lineRule="exact"/>
              <w:rPr>
                <w:sz w:val="1"/>
                <w:szCs w:val="1"/>
                <w:color w:val="auto"/>
              </w:rPr>
            </w:pPr>
          </w:p>
        </w:tc>
        <w:tc>
          <w:tcPr>
            <w:tcW w:w="156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520" w:type="dxa"/>
            <w:vAlign w:val="bottom"/>
            <w:tcBorders>
              <w:bottom w:val="single" w:sz="8" w:color="90158B"/>
            </w:tcBorders>
          </w:tcPr>
          <w:p>
            <w:pPr>
              <w:spacing w:after="0" w:line="20" w:lineRule="exact"/>
              <w:rPr>
                <w:sz w:val="1"/>
                <w:szCs w:val="1"/>
                <w:color w:val="auto"/>
              </w:rPr>
            </w:pPr>
          </w:p>
        </w:tc>
        <w:tc>
          <w:tcPr>
            <w:tcW w:w="90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60" w:type="dxa"/>
            <w:vAlign w:val="bottom"/>
            <w:tcBorders>
              <w:bottom w:val="single" w:sz="8" w:color="90158B"/>
            </w:tcBorders>
          </w:tcPr>
          <w:p>
            <w:pPr>
              <w:spacing w:after="0" w:line="20" w:lineRule="exact"/>
              <w:rPr>
                <w:sz w:val="1"/>
                <w:szCs w:val="1"/>
                <w:color w:val="auto"/>
              </w:rPr>
            </w:pPr>
          </w:p>
        </w:tc>
        <w:tc>
          <w:tcPr>
            <w:tcW w:w="1080" w:type="dxa"/>
            <w:vAlign w:val="bottom"/>
            <w:tcBorders>
              <w:bottom w:val="single" w:sz="8" w:color="90158B"/>
            </w:tcBorders>
          </w:tcPr>
          <w:p>
            <w:pPr>
              <w:spacing w:after="0" w:line="20" w:lineRule="exact"/>
              <w:rPr>
                <w:sz w:val="1"/>
                <w:szCs w:val="1"/>
                <w:color w:val="auto"/>
              </w:rPr>
            </w:pPr>
          </w:p>
        </w:tc>
        <w:tc>
          <w:tcPr>
            <w:tcW w:w="100" w:type="dxa"/>
            <w:vAlign w:val="bottom"/>
            <w:tcBorders>
              <w:bottom w:val="single" w:sz="8" w:color="90158B"/>
            </w:tcBorders>
          </w:tcPr>
          <w:p>
            <w:pPr>
              <w:spacing w:after="0" w:line="20" w:lineRule="exact"/>
              <w:rPr>
                <w:sz w:val="1"/>
                <w:szCs w:val="1"/>
                <w:color w:val="auto"/>
              </w:rPr>
            </w:pPr>
          </w:p>
        </w:tc>
        <w:tc>
          <w:tcPr>
            <w:tcW w:w="700" w:type="dxa"/>
            <w:vAlign w:val="bottom"/>
            <w:tcBorders>
              <w:bottom w:val="single" w:sz="8" w:color="90158B"/>
            </w:tcBorders>
          </w:tcPr>
          <w:p>
            <w:pPr>
              <w:spacing w:after="0" w:line="20" w:lineRule="exact"/>
              <w:rPr>
                <w:sz w:val="1"/>
                <w:szCs w:val="1"/>
                <w:color w:val="auto"/>
              </w:rPr>
            </w:pPr>
          </w:p>
        </w:tc>
        <w:tc>
          <w:tcPr>
            <w:tcW w:w="1080" w:type="dxa"/>
            <w:vAlign w:val="bottom"/>
            <w:tcBorders>
              <w:bottom w:val="single" w:sz="8" w:color="90158B"/>
            </w:tcBorders>
          </w:tcPr>
          <w:p>
            <w:pPr>
              <w:spacing w:after="0" w:line="20" w:lineRule="exact"/>
              <w:rPr>
                <w:sz w:val="1"/>
                <w:szCs w:val="1"/>
                <w:color w:val="auto"/>
              </w:rPr>
            </w:pPr>
          </w:p>
        </w:tc>
        <w:tc>
          <w:tcPr>
            <w:tcW w:w="80" w:type="dxa"/>
            <w:vAlign w:val="bottom"/>
            <w:tcBorders>
              <w:bottom w:val="single" w:sz="8" w:color="90158B"/>
            </w:tcBorders>
          </w:tcPr>
          <w:p>
            <w:pPr>
              <w:spacing w:after="0" w:line="20" w:lineRule="exact"/>
              <w:rPr>
                <w:sz w:val="1"/>
                <w:szCs w:val="1"/>
                <w:color w:val="auto"/>
              </w:rPr>
            </w:pPr>
          </w:p>
        </w:tc>
        <w:tc>
          <w:tcPr>
            <w:tcW w:w="400" w:type="dxa"/>
            <w:vAlign w:val="bottom"/>
            <w:tcBorders>
              <w:bottom w:val="single" w:sz="8" w:color="90158B"/>
            </w:tcBorders>
          </w:tcPr>
          <w:p>
            <w:pPr>
              <w:spacing w:after="0" w:line="20" w:lineRule="exact"/>
              <w:rPr>
                <w:sz w:val="1"/>
                <w:szCs w:val="1"/>
                <w:color w:val="auto"/>
              </w:rPr>
            </w:pPr>
          </w:p>
        </w:tc>
        <w:tc>
          <w:tcPr>
            <w:tcW w:w="780" w:type="dxa"/>
            <w:vAlign w:val="bottom"/>
            <w:tcBorders>
              <w:bottom w:val="single" w:sz="8" w:color="90158B"/>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statement of operations performance measures used to evaluate segment performance are revenues and operating income. As a result, "Interest expense, net," "Other expense, net" and "Income tax expense" as reported in the condensed consolidated statements of operations are not allocated to our segments.</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Other segment expenses include direct program costs such as material and subcontractor expenses, as well as allocable indirect costs such as depreciation and Corporate compensation expenses, but excludes direct labor which is separately presented above. The Health and Defense segments also include equity earnings of non-consolidated subsidiaries within operating income.</w:t>
      </w:r>
    </w:p>
    <w:p>
      <w:pPr>
        <w:spacing w:after="0" w:line="5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Under U.S. Government Cost Accounting Standards, indirect costs including depreciation expense are collected in indirect cost pools, which are then collectively allocated to the reportable segments based on a representative causal or beneficial relationship of the costs in the pool to the costs in the base. As such, depreciation expense is not separately disclosed on the condensed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Asset information by segment is not a key measure of performance used by the CODM.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10–Commitments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LEGAL PROCEEDINGS</w:t>
      </w:r>
    </w:p>
    <w:p>
      <w:pPr>
        <w:spacing w:after="0" w:line="12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Government Investigations and Reviews</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Defense Contract Audit Agency</w:t>
      </w:r>
    </w:p>
    <w:p>
      <w:pPr>
        <w:spacing w:after="0" w:line="1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April 3, 2026, active indirect cost audits by the Defense Contract Audit Agency remain open for fiscal 2024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April 3, 2026, we believe we have adequately reserved for potential adjustments from audits or reviews of contract costs.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19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LEIDOS HOLDINGS,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NOTES TO CONDENSED CONSOLIDATED FINANCIAL STATEMENTS (UNAUDITED)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Other Government Investigations and Reviews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901588"/>
        </w:rPr>
        <w:t>COMMITMENTS</w:t>
      </w:r>
    </w:p>
    <w:p>
      <w:pPr>
        <w:spacing w:after="0" w:line="12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As of April 3, 2026, we have outstanding letters of credit of $114 million, principally related to performance guarantees on contracts and outstanding surety bonds with a notional amount of $153 million, principally related to performance and subcontractor payment bonds on contracts. The value of the surety bonds may vary due to changes in the underlying project status and/or contractual modifications.</w:t>
      </w:r>
    </w:p>
    <w:p>
      <w:pPr>
        <w:spacing w:after="0" w:line="5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As of April 3, 2026, we invested $6 million in an investment fund as a limited partner and have committed to invest an additional $94 million over the next five years. The timing of our capital contributions is uncertain.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April 3, 2026, the future expirations of the outstanding letters of credit and surety bonds were as follows: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Fiscal year ending </w:t>
      </w: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2026 (remainder of year)</w:t>
            </w:r>
          </w:p>
        </w:tc>
        <w:tc>
          <w:tcPr>
            <w:tcW w:w="46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136</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2028</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2030</w:t>
            </w:r>
          </w:p>
        </w:tc>
        <w:tc>
          <w:tcPr>
            <w:tcW w:w="4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101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2031 and thereafter</w:t>
            </w:r>
          </w:p>
        </w:tc>
        <w:tc>
          <w:tcPr>
            <w:tcW w:w="46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w:t>
            </w:r>
          </w:p>
        </w:tc>
      </w:tr>
      <w:tr>
        <w:trPr>
          <w:trHeight w:val="236"/>
        </w:trPr>
        <w:tc>
          <w:tcPr>
            <w:tcW w:w="10100" w:type="dxa"/>
            <w:vAlign w:val="bottom"/>
          </w:tcPr>
          <w:p>
            <w:pPr>
              <w:spacing w:after="0"/>
              <w:rPr>
                <w:sz w:val="20"/>
                <w:szCs w:val="20"/>
                <w:color w:val="auto"/>
              </w:rPr>
            </w:pPr>
          </w:p>
        </w:tc>
        <w:tc>
          <w:tcPr>
            <w:tcW w:w="460" w:type="dxa"/>
            <w:vAlign w:val="bottom"/>
            <w:tcBorders>
              <w:bottom w:val="single" w:sz="8" w:color="901588"/>
            </w:tcBorders>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267</w:t>
            </w:r>
          </w:p>
        </w:tc>
      </w:tr>
      <w:tr>
        <w:trPr>
          <w:trHeight w:val="21"/>
        </w:trPr>
        <w:tc>
          <w:tcPr>
            <w:tcW w:w="10100" w:type="dxa"/>
            <w:vAlign w:val="bottom"/>
            <w:tcBorders>
              <w:bottom w:val="single" w:sz="8" w:color="901588"/>
            </w:tcBorders>
          </w:tcPr>
          <w:p>
            <w:pPr>
              <w:spacing w:after="0" w:line="20" w:lineRule="exact"/>
              <w:rPr>
                <w:sz w:val="1"/>
                <w:szCs w:val="1"/>
                <w:color w:val="auto"/>
              </w:rPr>
            </w:pPr>
          </w:p>
        </w:tc>
        <w:tc>
          <w:tcPr>
            <w:tcW w:w="460" w:type="dxa"/>
            <w:vAlign w:val="bottom"/>
            <w:tcBorders>
              <w:bottom w:val="single" w:sz="8" w:color="901588"/>
            </w:tcBorders>
          </w:tcPr>
          <w:p>
            <w:pPr>
              <w:spacing w:after="0" w:line="20" w:lineRule="exact"/>
              <w:rPr>
                <w:sz w:val="1"/>
                <w:szCs w:val="1"/>
                <w:color w:val="auto"/>
              </w:rPr>
            </w:pPr>
          </w:p>
        </w:tc>
        <w:tc>
          <w:tcPr>
            <w:tcW w:w="680" w:type="dxa"/>
            <w:vAlign w:val="bottom"/>
            <w:tcBorders>
              <w:bottom w:val="single" w:sz="8" w:color="901588"/>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Note 11–Subsequent Events</w:t>
      </w:r>
    </w:p>
    <w:p>
      <w:pPr>
        <w:spacing w:after="0" w:line="11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On April 14, 2026, Leidos, Inc. entered into a Contribution and Equity Purchase Agreement with certain affiliates of Altaris, LLC to form a new joint venture combining the Security Enterprise Solutions and Industrial Automation businesses (“SES Business”) of Leidos with Analogic Corporation, a portfolio company of Altaris, LLC. Upon close, Leidos will contribute the SES Business to the joint venture in exchange for a 41.5% equity interest in the new joint venture. The transaction is expected to close in the second half of fiscal 2026, subject to the satisfaction or waiver of customary closing conditions.</w:t>
      </w:r>
    </w:p>
    <w:p>
      <w:pPr>
        <w:spacing w:after="0" w:line="200" w:lineRule="exact"/>
        <w:rPr>
          <w:sz w:val="20"/>
          <w:szCs w:val="20"/>
          <w:color w:val="auto"/>
        </w:rPr>
      </w:pPr>
    </w:p>
    <w:p>
      <w:pPr>
        <w:spacing w:after="0" w:line="390"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60"/>
        <w:spacing w:after="0" w:line="298" w:lineRule="auto"/>
        <w:rPr>
          <w:sz w:val="20"/>
          <w:szCs w:val="20"/>
          <w:color w:val="auto"/>
        </w:rPr>
      </w:pPr>
      <w:r>
        <w:rPr>
          <w:rFonts w:ascii="Arial" w:cs="Arial" w:eastAsia="Arial" w:hAnsi="Arial"/>
          <w:sz w:val="25"/>
          <w:szCs w:val="25"/>
          <w:b w:val="1"/>
          <w:bCs w:val="1"/>
          <w:color w:val="901588"/>
        </w:rPr>
        <w:t>Item 2. Management's Discussion and Analysis of Financial Condition and Results of Operations</w:t>
      </w:r>
    </w:p>
    <w:p>
      <w:pPr>
        <w:ind w:right="440"/>
        <w:spacing w:after="0" w:line="300" w:lineRule="auto"/>
        <w:rPr>
          <w:sz w:val="20"/>
          <w:szCs w:val="20"/>
          <w:color w:val="auto"/>
        </w:rPr>
      </w:pPr>
      <w:r>
        <w:rPr>
          <w:rFonts w:ascii="Arial" w:cs="Arial" w:eastAsia="Arial" w:hAnsi="Arial"/>
          <w:sz w:val="16"/>
          <w:szCs w:val="16"/>
          <w:i w:val="1"/>
          <w:iCs w:val="1"/>
          <w:color w:val="auto"/>
        </w:rPr>
        <w:t>The following discussion and analysis of Leidos Holdings, Inc.'s ("Leidos") financial condition, results of operations, and quantitative and qualitative discussion about business environment and trends should be read in conjunction with Leidos' condensed consolidated financial statements and related notes.</w:t>
      </w:r>
    </w:p>
    <w:p>
      <w:pPr>
        <w:spacing w:after="0" w:line="53"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the impact of our merger and acquisition activity, government budgets and spending, our business contingency plans, interest rates and uncertainties in tax due to new tax legislation or other regulatory developments. In some cases, forward-looking statements can be identified by words such as “will,” “expect,” “estimate,” “plan,” “potential,” “continue” or similar expressions. Such statements are not guarantees of future performance and involve risks and uncertainties and actual results may differ materially from those in the forward-looking statements as a result of various factors. Some of these factors include, but are not limited to, the risk factors set forth in our Annual Report on Form 10-K, as updated by the risk factor in this report under Part II, Item 1A. "Risk Factors" and as may be further updated in subsequent filings with the U.S. Securities and Exchange Commission.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indicated otherwise, references in this report to "we," "us" and "our" refer collectively to Leidos and its consolidated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Leidos is an industry and technology leader serving government and commercial customers with smarter, more efficient digital and mission innovations. Headquartered in Reston, Virginia, with 50,000 global employees, we pursue strategic growth across five pillars: space and maritime; energy infrastructure; digital modernization and cyber; mission software; and managed health services. Our customers include the U.S. Department of War (“DoW”), the U.S. Intelligence Community, the U.S. Department of Homeland Security, the Federal Aviation Administration, the Department of Veterans Affairs, and many other U.S. civilian, state and local government agencies, foreign government agencies and commercial businesses.</w:t>
      </w:r>
    </w:p>
    <w:p>
      <w:pPr>
        <w:spacing w:after="0" w:line="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Beginning in fiscal 2026, we realigned our business and operate in four reportable segments that are focused on specific, defined capability sets we bring to our customers. As a result of this change, prior year segment results and disclosures have been recast to reflect the current reportable segment structure. We now operate in the following reportable segments: Intelligence &amp; Digital, Health, Homeland and Defense. We also separately present the unallocable costs associated with corporate functions as Corporate (see "Note 9–Business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ENVIRONMENT AND TRENDS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U.S. GOVERNMENT MARKETS</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the three months ended April 3, 2026, and April 4, 2025, we generated approximately 86% and 87% respectively, of total revenues from contracts with the U.S. government.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59"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On April 30, 2026, Congress passed legislation to fund all non-immigration agencies and offices within the Department of Homeland Security agencies ending the government shutdown.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21</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INTERNATIONAL MARKETS</w:t>
      </w:r>
    </w:p>
    <w:p>
      <w:pPr>
        <w:spacing w:after="0" w:line="117" w:lineRule="exact"/>
        <w:rPr>
          <w:sz w:val="20"/>
          <w:szCs w:val="20"/>
          <w:color w:val="auto"/>
        </w:rPr>
      </w:pPr>
    </w:p>
    <w:p>
      <w:pPr>
        <w:ind w:right="440"/>
        <w:spacing w:after="0" w:line="292" w:lineRule="auto"/>
        <w:rPr>
          <w:sz w:val="20"/>
          <w:szCs w:val="20"/>
          <w:color w:val="auto"/>
        </w:rPr>
      </w:pPr>
      <w:r>
        <w:rPr>
          <w:rFonts w:ascii="Arial" w:cs="Arial" w:eastAsia="Arial" w:hAnsi="Arial"/>
          <w:sz w:val="16"/>
          <w:szCs w:val="16"/>
          <w:color w:val="auto"/>
        </w:rPr>
        <w:t>Sales to customers in international markets represented approximately 8% of total revenues for both the three months ended April 3, 2026, and April 4, 2025.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Changes in international trade policies, including higher tariffs on imported goods and materials, may increase the cost of certain goods necessary to fulfill our contractual requirements and for internal purposes. We expect to recover certain portions of the increase to the cost of goods through contractual measures. While we continue to evaluate the tariff environment and potential impacts of higher tariffs, we currently do not expect them to have a significant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gridSpan w:val="4"/>
          </w:tcPr>
          <w:p>
            <w:pPr>
              <w:spacing w:after="0"/>
              <w:rPr>
                <w:sz w:val="20"/>
                <w:szCs w:val="20"/>
                <w:color w:val="auto"/>
              </w:rPr>
            </w:pPr>
            <w:r>
              <w:rPr>
                <w:rFonts w:ascii="Arial" w:cs="Arial" w:eastAsia="Arial" w:hAnsi="Arial"/>
                <w:sz w:val="16"/>
                <w:szCs w:val="16"/>
                <w:color w:val="auto"/>
              </w:rPr>
              <w:t>The following table summarizes our condensed consolidated results of operations for the periods presented: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6740" w:type="dxa"/>
            <w:vAlign w:val="bottom"/>
          </w:tcPr>
          <w:p>
            <w:pPr>
              <w:spacing w:after="0"/>
              <w:rPr>
                <w:sz w:val="23"/>
                <w:szCs w:val="23"/>
                <w:color w:val="auto"/>
              </w:rPr>
            </w:pPr>
          </w:p>
        </w:tc>
        <w:tc>
          <w:tcPr>
            <w:tcW w:w="500" w:type="dxa"/>
            <w:vAlign w:val="bottom"/>
            <w:tcBorders>
              <w:bottom w:val="single" w:sz="8" w:color="901588"/>
            </w:tcBorders>
          </w:tcPr>
          <w:p>
            <w:pPr>
              <w:spacing w:after="0"/>
              <w:rPr>
                <w:sz w:val="23"/>
                <w:szCs w:val="23"/>
                <w:color w:val="auto"/>
              </w:rPr>
            </w:pPr>
          </w:p>
        </w:tc>
        <w:tc>
          <w:tcPr>
            <w:tcW w:w="820" w:type="dxa"/>
            <w:vAlign w:val="bottom"/>
            <w:tcBorders>
              <w:bottom w:val="single" w:sz="8" w:color="901588"/>
            </w:tcBorders>
          </w:tcPr>
          <w:p>
            <w:pPr>
              <w:spacing w:after="0"/>
              <w:rPr>
                <w:sz w:val="23"/>
                <w:szCs w:val="23"/>
                <w:color w:val="auto"/>
              </w:rPr>
            </w:pPr>
          </w:p>
        </w:tc>
        <w:tc>
          <w:tcPr>
            <w:tcW w:w="1920" w:type="dxa"/>
            <w:vAlign w:val="bottom"/>
            <w:tcBorders>
              <w:bottom w:val="single" w:sz="8" w:color="901588"/>
            </w:tcBorders>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tcBorders>
              <w:bottom w:val="single" w:sz="8" w:color="901588"/>
            </w:tcBorders>
          </w:tcPr>
          <w:p>
            <w:pPr>
              <w:spacing w:after="0"/>
              <w:rPr>
                <w:sz w:val="23"/>
                <w:szCs w:val="23"/>
                <w:color w:val="auto"/>
              </w:rPr>
            </w:pPr>
          </w:p>
        </w:tc>
      </w:tr>
      <w:tr>
        <w:trPr>
          <w:trHeight w:val="213"/>
        </w:trPr>
        <w:tc>
          <w:tcPr>
            <w:tcW w:w="6740" w:type="dxa"/>
            <w:vAlign w:val="bottom"/>
          </w:tcPr>
          <w:p>
            <w:pPr>
              <w:spacing w:after="0"/>
              <w:rPr>
                <w:sz w:val="18"/>
                <w:szCs w:val="18"/>
                <w:color w:val="auto"/>
              </w:rPr>
            </w:pPr>
          </w:p>
        </w:tc>
        <w:tc>
          <w:tcPr>
            <w:tcW w:w="500" w:type="dxa"/>
            <w:vAlign w:val="bottom"/>
            <w:shd w:val="clear" w:color="auto" w:fill="F4E8F3"/>
          </w:tcPr>
          <w:p>
            <w:pPr>
              <w:spacing w:after="0"/>
              <w:rPr>
                <w:sz w:val="18"/>
                <w:szCs w:val="18"/>
                <w:color w:val="auto"/>
              </w:rPr>
            </w:pPr>
          </w:p>
        </w:tc>
        <w:tc>
          <w:tcPr>
            <w:tcW w:w="9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6"/>
                <w:szCs w:val="16"/>
                <w:color w:val="auto"/>
              </w:rPr>
              <w:t>April 4,</w:t>
            </w:r>
          </w:p>
        </w:tc>
        <w:tc>
          <w:tcPr>
            <w:tcW w:w="1260" w:type="dxa"/>
            <w:vAlign w:val="bottom"/>
          </w:tcPr>
          <w:p>
            <w:pPr>
              <w:spacing w:after="0"/>
              <w:rPr>
                <w:sz w:val="18"/>
                <w:szCs w:val="18"/>
                <w:color w:val="auto"/>
              </w:rPr>
            </w:pPr>
          </w:p>
        </w:tc>
      </w:tr>
      <w:tr>
        <w:trPr>
          <w:trHeight w:val="226"/>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00" w:type="dxa"/>
            <w:vAlign w:val="bottom"/>
            <w:tcBorders>
              <w:bottom w:val="single" w:sz="8" w:color="901588"/>
            </w:tcBorders>
            <w:shd w:val="clear" w:color="auto" w:fill="F4E8F3"/>
          </w:tcPr>
          <w:p>
            <w:pPr>
              <w:spacing w:after="0"/>
              <w:rPr>
                <w:sz w:val="19"/>
                <w:szCs w:val="19"/>
                <w:color w:val="auto"/>
              </w:rPr>
            </w:pPr>
          </w:p>
        </w:tc>
        <w:tc>
          <w:tcPr>
            <w:tcW w:w="98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901588"/>
            </w:tcBorders>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901588"/>
            </w:tcBorders>
          </w:tcPr>
          <w:p>
            <w:pPr>
              <w:spacing w:after="0"/>
              <w:rPr>
                <w:sz w:val="19"/>
                <w:szCs w:val="19"/>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6"/>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B2B2B2"/>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4,400</w:t>
            </w:r>
          </w:p>
        </w:tc>
        <w:tc>
          <w:tcPr>
            <w:tcW w:w="160" w:type="dxa"/>
            <w:vAlign w:val="bottom"/>
            <w:tcBorders>
              <w:bottom w:val="single" w:sz="8" w:color="B2B2B2"/>
            </w:tcBorders>
            <w:shd w:val="clear" w:color="auto" w:fill="F4E8F3"/>
          </w:tcPr>
          <w:p>
            <w:pPr>
              <w:spacing w:after="0"/>
              <w:rPr>
                <w:sz w:val="20"/>
                <w:szCs w:val="20"/>
                <w:color w:val="auto"/>
              </w:rPr>
            </w:pPr>
          </w:p>
        </w:tc>
        <w:tc>
          <w:tcPr>
            <w:tcW w:w="620" w:type="dxa"/>
            <w:vAlign w:val="bottom"/>
            <w:tcBorders>
              <w:bottom w:val="single" w:sz="8" w:color="B2B2B2"/>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4,245</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508</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Non-operating expense, net</w:t>
            </w:r>
          </w:p>
        </w:tc>
        <w:tc>
          <w:tcPr>
            <w:tcW w:w="50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(79)</w:t>
            </w:r>
          </w:p>
        </w:tc>
        <w:tc>
          <w:tcPr>
            <w:tcW w:w="16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51.9%</w:t>
            </w:r>
          </w:p>
        </w:tc>
      </w:tr>
      <w:tr>
        <w:trPr>
          <w:trHeight w:val="237"/>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429</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901588"/>
            </w:tcBorders>
          </w:tcPr>
          <w:p>
            <w:pPr>
              <w:spacing w:after="0"/>
              <w:rPr>
                <w:sz w:val="20"/>
                <w:szCs w:val="20"/>
                <w:color w:val="auto"/>
              </w:rPr>
            </w:pPr>
          </w:p>
        </w:tc>
        <w:tc>
          <w:tcPr>
            <w:tcW w:w="82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(94)</w:t>
            </w:r>
          </w:p>
        </w:tc>
        <w:tc>
          <w:tcPr>
            <w:tcW w:w="160" w:type="dxa"/>
            <w:vAlign w:val="bottom"/>
            <w:tcBorders>
              <w:bottom w:val="single" w:sz="8" w:color="901588"/>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(16.8%)</w:t>
            </w:r>
          </w:p>
        </w:tc>
      </w:tr>
      <w:tr>
        <w:trPr>
          <w:trHeight w:val="236"/>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335</w:t>
            </w:r>
          </w:p>
        </w:tc>
        <w:tc>
          <w:tcPr>
            <w:tcW w:w="1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520" w:type="dxa"/>
            <w:vAlign w:val="bottom"/>
            <w:tcBorders>
              <w:bottom w:val="single" w:sz="8" w:color="B2B2B2"/>
            </w:tcBorders>
          </w:tcPr>
          <w:p>
            <w:pPr>
              <w:spacing w:after="0"/>
              <w:rPr>
                <w:sz w:val="20"/>
                <w:szCs w:val="20"/>
                <w:color w:val="auto"/>
              </w:rPr>
            </w:pPr>
          </w:p>
        </w:tc>
        <w:tc>
          <w:tcPr>
            <w:tcW w:w="10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income attributable to Leidos common stockholders</w:t>
            </w:r>
          </w:p>
        </w:tc>
        <w:tc>
          <w:tcPr>
            <w:tcW w:w="500" w:type="dxa"/>
            <w:vAlign w:val="bottom"/>
            <w:tcBorders>
              <w:bottom w:val="single" w:sz="8" w:color="B2B2B2"/>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328</w:t>
            </w:r>
          </w:p>
        </w:tc>
        <w:tc>
          <w:tcPr>
            <w:tcW w:w="1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3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B2B2B2"/>
            </w:tcBorders>
          </w:tcPr>
          <w:p>
            <w:pPr>
              <w:spacing w:after="0"/>
              <w:rPr>
                <w:sz w:val="20"/>
                <w:szCs w:val="20"/>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(9.6%)</w:t>
            </w:r>
          </w:p>
        </w:tc>
      </w:tr>
      <w:tr>
        <w:trPr>
          <w:trHeight w:val="237"/>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0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11.5%</w:t>
            </w:r>
          </w:p>
        </w:tc>
        <w:tc>
          <w:tcPr>
            <w:tcW w:w="100" w:type="dxa"/>
            <w:vAlign w:val="bottom"/>
            <w:tcBorders>
              <w:bottom w:val="single" w:sz="8" w:color="901588"/>
            </w:tcBorders>
          </w:tcPr>
          <w:p>
            <w:pPr>
              <w:spacing w:after="0"/>
              <w:rPr>
                <w:sz w:val="20"/>
                <w:szCs w:val="20"/>
                <w:color w:val="auto"/>
              </w:rPr>
            </w:pPr>
          </w:p>
        </w:tc>
        <w:tc>
          <w:tcPr>
            <w:tcW w:w="520" w:type="dxa"/>
            <w:vAlign w:val="bottom"/>
            <w:tcBorders>
              <w:bottom w:val="single" w:sz="8" w:color="901588"/>
            </w:tcBorders>
          </w:tcPr>
          <w:p>
            <w:pPr>
              <w:spacing w:after="0"/>
              <w:rPr>
                <w:sz w:val="20"/>
                <w:szCs w:val="20"/>
                <w:color w:val="auto"/>
              </w:rPr>
            </w:pPr>
          </w:p>
        </w:tc>
        <w:tc>
          <w:tcPr>
            <w:tcW w:w="1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i w:val="1"/>
                <w:iCs w:val="1"/>
                <w:color w:val="auto"/>
              </w:rPr>
              <w:t>12.5%</w:t>
            </w:r>
          </w:p>
        </w:tc>
        <w:tc>
          <w:tcPr>
            <w:tcW w:w="10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-1310640</wp:posOffset>
            </wp:positionV>
            <wp:extent cx="942975" cy="130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2975" cy="130302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SEGMENT AND CORPORATE RESULTS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190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tcBorders>
              <w:bottom w:val="single" w:sz="8" w:color="901588"/>
            </w:tcBorders>
          </w:tcPr>
          <w:p>
            <w:pPr>
              <w:spacing w:after="0"/>
              <w:rPr>
                <w:sz w:val="19"/>
                <w:szCs w:val="19"/>
                <w:color w:val="auto"/>
              </w:rPr>
            </w:pP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Intelligence &amp; Digital</w:t>
            </w:r>
          </w:p>
        </w:tc>
        <w:tc>
          <w:tcPr>
            <w:tcW w:w="500" w:type="dxa"/>
            <w:vAlign w:val="bottom"/>
            <w:shd w:val="clear" w:color="auto" w:fill="F4E8F3"/>
          </w:tcPr>
          <w:p>
            <w:pPr>
              <w:spacing w:after="0"/>
              <w:rPr>
                <w:sz w:val="17"/>
                <w:szCs w:val="17"/>
                <w:color w:val="auto"/>
              </w:rPr>
            </w:pPr>
          </w:p>
        </w:tc>
        <w:tc>
          <w:tcPr>
            <w:tcW w:w="100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6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April 4,</w:t>
            </w:r>
          </w:p>
        </w:tc>
        <w:tc>
          <w:tcPr>
            <w:tcW w:w="1260" w:type="dxa"/>
            <w:vAlign w:val="bottom"/>
          </w:tcPr>
          <w:p>
            <w:pPr>
              <w:spacing w:after="0"/>
              <w:rPr>
                <w:sz w:val="17"/>
                <w:szCs w:val="17"/>
                <w:color w:val="auto"/>
              </w:rPr>
            </w:pPr>
          </w:p>
        </w:tc>
      </w:tr>
      <w:tr>
        <w:trPr>
          <w:trHeight w:val="237"/>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0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B2B2B2"/>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1,513</w:t>
            </w:r>
          </w:p>
        </w:tc>
        <w:tc>
          <w:tcPr>
            <w:tcW w:w="160" w:type="dxa"/>
            <w:vAlign w:val="bottom"/>
            <w:tcBorders>
              <w:bottom w:val="single" w:sz="8" w:color="B2B2B2"/>
            </w:tcBorders>
            <w:shd w:val="clear" w:color="auto" w:fill="F4E8F3"/>
          </w:tcPr>
          <w:p>
            <w:pPr>
              <w:spacing w:after="0"/>
              <w:rPr>
                <w:sz w:val="20"/>
                <w:szCs w:val="20"/>
                <w:color w:val="auto"/>
              </w:rPr>
            </w:pPr>
          </w:p>
        </w:tc>
        <w:tc>
          <w:tcPr>
            <w:tcW w:w="620" w:type="dxa"/>
            <w:vAlign w:val="bottom"/>
            <w:tcBorders>
              <w:bottom w:val="single" w:sz="8" w:color="B2B2B2"/>
            </w:tcBorders>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1,408</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r>
      <w:tr>
        <w:trPr>
          <w:trHeight w:val="236"/>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146</w:t>
            </w:r>
          </w:p>
        </w:tc>
        <w:tc>
          <w:tcPr>
            <w:tcW w:w="1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ind w:right="199"/>
              <w:spacing w:after="0"/>
              <w:rPr>
                <w:sz w:val="20"/>
                <w:szCs w:val="20"/>
                <w:color w:val="auto"/>
              </w:rPr>
            </w:pPr>
            <w:r>
              <w:rPr>
                <w:rFonts w:ascii="Arial" w:cs="Arial" w:eastAsia="Arial" w:hAnsi="Arial"/>
                <w:sz w:val="16"/>
                <w:szCs w:val="16"/>
                <w:color w:val="auto"/>
              </w:rPr>
              <w:t>132</w:t>
            </w: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w:t>
            </w:r>
          </w:p>
        </w:tc>
      </w:tr>
      <w:tr>
        <w:trPr>
          <w:trHeight w:val="237"/>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0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9.6%</w:t>
            </w:r>
          </w:p>
        </w:tc>
        <w:tc>
          <w:tcPr>
            <w:tcW w:w="62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19"/>
              <w:spacing w:after="0"/>
              <w:rPr>
                <w:sz w:val="20"/>
                <w:szCs w:val="20"/>
                <w:color w:val="auto"/>
              </w:rPr>
            </w:pPr>
            <w:r>
              <w:rPr>
                <w:rFonts w:ascii="Arial" w:cs="Arial" w:eastAsia="Arial" w:hAnsi="Arial"/>
                <w:sz w:val="16"/>
                <w:szCs w:val="16"/>
                <w:i w:val="1"/>
                <w:iCs w:val="1"/>
                <w:color w:val="auto"/>
              </w:rPr>
              <w:t>9.4%</w:t>
            </w:r>
          </w:p>
        </w:tc>
        <w:tc>
          <w:tcPr>
            <w:tcW w:w="126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-496570</wp:posOffset>
            </wp:positionV>
            <wp:extent cx="951230" cy="488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230" cy="488950"/>
                    </a:xfrm>
                    <a:prstGeom prst="rect">
                      <a:avLst/>
                    </a:prstGeom>
                    <a:noFill/>
                  </pic:spPr>
                </pic:pic>
              </a:graphicData>
            </a:graphic>
          </wp:anchor>
        </w:drawing>
      </w:r>
    </w:p>
    <w:p>
      <w:pPr>
        <w:spacing w:after="0" w:line="168" w:lineRule="exact"/>
        <w:rPr>
          <w:sz w:val="20"/>
          <w:szCs w:val="20"/>
          <w:color w:val="auto"/>
        </w:rPr>
      </w:pPr>
    </w:p>
    <w:p>
      <w:pPr>
        <w:ind w:right="560"/>
        <w:spacing w:after="0" w:line="292" w:lineRule="auto"/>
        <w:rPr>
          <w:sz w:val="20"/>
          <w:szCs w:val="20"/>
          <w:color w:val="auto"/>
        </w:rPr>
      </w:pPr>
      <w:r>
        <w:rPr>
          <w:rFonts w:ascii="Arial" w:cs="Arial" w:eastAsia="Arial" w:hAnsi="Arial"/>
          <w:sz w:val="16"/>
          <w:szCs w:val="16"/>
          <w:color w:val="auto"/>
        </w:rPr>
        <w:t>The increase in revenues for the three months ended April 3, 2026, as compared to the three months ended April 4, 2025, was primarily attributable to program wins and $22 million recognized from the acquisition of Kudu Dynamics, partially offset by the completion of programs and a net decrease in volumes.</w:t>
      </w:r>
    </w:p>
    <w:p>
      <w:pPr>
        <w:spacing w:after="0" w:line="98" w:lineRule="exact"/>
        <w:rPr>
          <w:sz w:val="20"/>
          <w:szCs w:val="20"/>
          <w:color w:val="auto"/>
        </w:rPr>
      </w:pPr>
    </w:p>
    <w:p>
      <w:pPr>
        <w:ind w:right="940"/>
        <w:spacing w:after="0" w:line="304" w:lineRule="auto"/>
        <w:rPr>
          <w:sz w:val="20"/>
          <w:szCs w:val="20"/>
          <w:color w:val="auto"/>
        </w:rPr>
      </w:pPr>
      <w:r>
        <w:rPr>
          <w:rFonts w:ascii="Arial" w:cs="Arial" w:eastAsia="Arial" w:hAnsi="Arial"/>
          <w:sz w:val="16"/>
          <w:szCs w:val="16"/>
          <w:color w:val="auto"/>
        </w:rPr>
        <w:t>The increase in operating income for the three months ended April 3, 2026, as compared to the three months ended April 4, 2025, was primarily attributable to program wins and improved efficiencies, partially offset by a net decrease in volumes and the completion of programs.</w:t>
      </w:r>
    </w:p>
    <w:p>
      <w:pPr>
        <w:spacing w:after="0" w:line="200" w:lineRule="exact"/>
        <w:rPr>
          <w:sz w:val="20"/>
          <w:szCs w:val="20"/>
          <w:color w:val="auto"/>
        </w:rPr>
      </w:pPr>
    </w:p>
    <w:p>
      <w:pPr>
        <w:spacing w:after="0" w:line="378"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2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840" w:type="dxa"/>
            <w:vAlign w:val="bottom"/>
            <w:tcBorders>
              <w:bottom w:val="single" w:sz="8" w:color="901588"/>
            </w:tcBorders>
          </w:tcPr>
          <w:p>
            <w:pPr>
              <w:spacing w:after="0"/>
              <w:rPr>
                <w:sz w:val="19"/>
                <w:szCs w:val="19"/>
                <w:color w:val="auto"/>
              </w:rPr>
            </w:pPr>
          </w:p>
        </w:tc>
        <w:tc>
          <w:tcPr>
            <w:tcW w:w="190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1280" w:type="dxa"/>
            <w:vAlign w:val="bottom"/>
            <w:tcBorders>
              <w:bottom w:val="single" w:sz="8" w:color="901588"/>
            </w:tcBorders>
          </w:tcPr>
          <w:p>
            <w:pPr>
              <w:spacing w:after="0"/>
              <w:rPr>
                <w:sz w:val="19"/>
                <w:szCs w:val="19"/>
                <w:color w:val="auto"/>
              </w:rPr>
            </w:pPr>
          </w:p>
        </w:tc>
      </w:tr>
      <w:tr>
        <w:trPr>
          <w:trHeight w:val="202"/>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Health</w:t>
            </w:r>
          </w:p>
        </w:tc>
        <w:tc>
          <w:tcPr>
            <w:tcW w:w="500" w:type="dxa"/>
            <w:vAlign w:val="bottom"/>
            <w:shd w:val="clear" w:color="auto" w:fill="F4E8F3"/>
          </w:tcPr>
          <w:p>
            <w:pPr>
              <w:spacing w:after="0"/>
              <w:rPr>
                <w:sz w:val="17"/>
                <w:szCs w:val="17"/>
                <w:color w:val="auto"/>
              </w:rPr>
            </w:pPr>
          </w:p>
        </w:tc>
        <w:tc>
          <w:tcPr>
            <w:tcW w:w="100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6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April 4,</w:t>
            </w:r>
          </w:p>
        </w:tc>
        <w:tc>
          <w:tcPr>
            <w:tcW w:w="1280" w:type="dxa"/>
            <w:vAlign w:val="bottom"/>
          </w:tcPr>
          <w:p>
            <w:pPr>
              <w:spacing w:after="0"/>
              <w:rPr>
                <w:sz w:val="17"/>
                <w:szCs w:val="17"/>
                <w:color w:val="auto"/>
              </w:rPr>
            </w:pPr>
          </w:p>
        </w:tc>
      </w:tr>
      <w:tr>
        <w:trPr>
          <w:trHeight w:val="237"/>
        </w:trPr>
        <w:tc>
          <w:tcPr>
            <w:tcW w:w="67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00" w:type="dxa"/>
            <w:vAlign w:val="bottom"/>
            <w:tcBorders>
              <w:bottom w:val="single" w:sz="8" w:color="901588"/>
            </w:tcBorders>
            <w:shd w:val="clear" w:color="auto" w:fill="F4E8F3"/>
          </w:tcPr>
          <w:p>
            <w:pPr>
              <w:spacing w:after="0"/>
              <w:rPr>
                <w:sz w:val="20"/>
                <w:szCs w:val="20"/>
                <w:color w:val="auto"/>
              </w:rPr>
            </w:pPr>
          </w:p>
        </w:tc>
        <w:tc>
          <w:tcPr>
            <w:tcW w:w="100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2025</w:t>
            </w: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1,188</w:t>
            </w:r>
          </w:p>
        </w:tc>
        <w:tc>
          <w:tcPr>
            <w:tcW w:w="160" w:type="dxa"/>
            <w:vAlign w:val="bottom"/>
            <w:tcBorders>
              <w:bottom w:val="single" w:sz="8" w:color="B2B2B2"/>
            </w:tcBorders>
            <w:shd w:val="clear" w:color="auto" w:fill="F4E8F3"/>
          </w:tcPr>
          <w:p>
            <w:pPr>
              <w:spacing w:after="0"/>
              <w:rPr>
                <w:sz w:val="20"/>
                <w:szCs w:val="20"/>
                <w:color w:val="auto"/>
              </w:rPr>
            </w:pPr>
          </w:p>
        </w:tc>
        <w:tc>
          <w:tcPr>
            <w:tcW w:w="620" w:type="dxa"/>
            <w:vAlign w:val="bottom"/>
            <w:tcBorders>
              <w:bottom w:val="single" w:sz="8" w:color="B2B2B2"/>
            </w:tcBorders>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1,188</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tcPr>
          <w:p>
            <w:pPr>
              <w:spacing w:after="0"/>
              <w:rPr>
                <w:sz w:val="20"/>
                <w:szCs w:val="20"/>
                <w:color w:val="auto"/>
              </w:rPr>
            </w:pP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284</w:t>
            </w:r>
          </w:p>
        </w:tc>
        <w:tc>
          <w:tcPr>
            <w:tcW w:w="160" w:type="dxa"/>
            <w:vAlign w:val="bottom"/>
            <w:tcBorders>
              <w:bottom w:val="single" w:sz="8" w:color="B2B2B2"/>
            </w:tcBorders>
          </w:tcPr>
          <w:p>
            <w:pPr>
              <w:spacing w:after="0"/>
              <w:rPr>
                <w:sz w:val="20"/>
                <w:szCs w:val="20"/>
                <w:color w:val="auto"/>
              </w:rPr>
            </w:pPr>
          </w:p>
        </w:tc>
        <w:tc>
          <w:tcPr>
            <w:tcW w:w="620" w:type="dxa"/>
            <w:vAlign w:val="bottom"/>
            <w:tcBorders>
              <w:bottom w:val="single" w:sz="8" w:color="B2B2B2"/>
            </w:tcBorders>
          </w:tcPr>
          <w:p>
            <w:pPr>
              <w:spacing w:after="0"/>
              <w:rPr>
                <w:sz w:val="20"/>
                <w:szCs w:val="20"/>
                <w:color w:val="auto"/>
              </w:rPr>
            </w:pPr>
          </w:p>
        </w:tc>
        <w:tc>
          <w:tcPr>
            <w:tcW w:w="112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288</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672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0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23.9%</w:t>
            </w:r>
          </w:p>
        </w:tc>
        <w:tc>
          <w:tcPr>
            <w:tcW w:w="620" w:type="dxa"/>
            <w:vAlign w:val="bottom"/>
            <w:tcBorders>
              <w:bottom w:val="single" w:sz="8" w:color="901588"/>
            </w:tcBorders>
          </w:tcPr>
          <w:p>
            <w:pPr>
              <w:spacing w:after="0"/>
              <w:rPr>
                <w:sz w:val="20"/>
                <w:szCs w:val="20"/>
                <w:color w:val="auto"/>
              </w:rPr>
            </w:pPr>
          </w:p>
        </w:tc>
        <w:tc>
          <w:tcPr>
            <w:tcW w:w="112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i w:val="1"/>
                <w:iCs w:val="1"/>
                <w:color w:val="auto"/>
              </w:rPr>
              <w:t>24.2%</w:t>
            </w:r>
          </w:p>
        </w:tc>
        <w:tc>
          <w:tcPr>
            <w:tcW w:w="128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-496570</wp:posOffset>
            </wp:positionV>
            <wp:extent cx="951230" cy="488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230" cy="488315"/>
                    </a:xfrm>
                    <a:prstGeom prst="rect">
                      <a:avLst/>
                    </a:prstGeom>
                    <a:noFill/>
                  </pic:spPr>
                </pic:pic>
              </a:graphicData>
            </a:graphic>
          </wp:anchor>
        </w:drawing>
      </w:r>
    </w:p>
    <w:p>
      <w:pPr>
        <w:spacing w:after="0" w:line="27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Revenues remained consistent while operating income slightly decreased for the three months ended April 3, 2026, as compared to the three months ended April 4, 2025. This was primarily attributable to a net decrease in volumes, offset by net write-ups on certain programs within the managed health services business.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00" w:type="dxa"/>
            <w:vAlign w:val="bottom"/>
          </w:tcPr>
          <w:p>
            <w:pPr>
              <w:spacing w:after="0"/>
              <w:rPr>
                <w:sz w:val="19"/>
                <w:szCs w:val="19"/>
                <w:color w:val="auto"/>
              </w:rPr>
            </w:pPr>
          </w:p>
        </w:tc>
        <w:tc>
          <w:tcPr>
            <w:tcW w:w="520" w:type="dxa"/>
            <w:vAlign w:val="bottom"/>
            <w:tcBorders>
              <w:bottom w:val="single" w:sz="8" w:color="901588"/>
            </w:tcBorders>
          </w:tcPr>
          <w:p>
            <w:pPr>
              <w:spacing w:after="0"/>
              <w:rPr>
                <w:sz w:val="19"/>
                <w:szCs w:val="19"/>
                <w:color w:val="auto"/>
              </w:rPr>
            </w:pPr>
          </w:p>
        </w:tc>
        <w:tc>
          <w:tcPr>
            <w:tcW w:w="960" w:type="dxa"/>
            <w:vAlign w:val="bottom"/>
            <w:tcBorders>
              <w:bottom w:val="single" w:sz="8" w:color="901588"/>
            </w:tcBorders>
          </w:tcPr>
          <w:p>
            <w:pPr>
              <w:spacing w:after="0"/>
              <w:rPr>
                <w:sz w:val="19"/>
                <w:szCs w:val="19"/>
                <w:color w:val="auto"/>
              </w:rPr>
            </w:pPr>
          </w:p>
        </w:tc>
        <w:tc>
          <w:tcPr>
            <w:tcW w:w="1780" w:type="dxa"/>
            <w:vAlign w:val="bottom"/>
            <w:tcBorders>
              <w:bottom w:val="single" w:sz="8" w:color="901588"/>
            </w:tcBorders>
            <w:gridSpan w:val="2"/>
          </w:tcPr>
          <w:p>
            <w:pPr>
              <w:jc w:val="right"/>
              <w:ind w:right="99"/>
              <w:spacing w:after="0"/>
              <w:rPr>
                <w:sz w:val="20"/>
                <w:szCs w:val="20"/>
                <w:color w:val="auto"/>
              </w:rPr>
            </w:pPr>
            <w:r>
              <w:rPr>
                <w:rFonts w:ascii="Arial" w:cs="Arial" w:eastAsia="Arial" w:hAnsi="Arial"/>
                <w:sz w:val="16"/>
                <w:szCs w:val="16"/>
                <w:b w:val="1"/>
                <w:bCs w:val="1"/>
                <w:color w:val="auto"/>
                <w:w w:val="99"/>
              </w:rPr>
              <w:t>Three Months Ended</w:t>
            </w:r>
          </w:p>
        </w:tc>
        <w:tc>
          <w:tcPr>
            <w:tcW w:w="1280" w:type="dxa"/>
            <w:vAlign w:val="bottom"/>
            <w:tcBorders>
              <w:bottom w:val="single" w:sz="8" w:color="901588"/>
            </w:tcBorders>
          </w:tcPr>
          <w:p>
            <w:pPr>
              <w:spacing w:after="0"/>
              <w:rPr>
                <w:sz w:val="19"/>
                <w:szCs w:val="19"/>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Homeland</w:t>
            </w:r>
          </w:p>
        </w:tc>
        <w:tc>
          <w:tcPr>
            <w:tcW w:w="520" w:type="dxa"/>
            <w:vAlign w:val="bottom"/>
            <w:shd w:val="clear" w:color="auto" w:fill="F4E8F3"/>
          </w:tcPr>
          <w:p>
            <w:pPr>
              <w:spacing w:after="0"/>
              <w:rPr>
                <w:sz w:val="18"/>
                <w:szCs w:val="18"/>
                <w:color w:val="auto"/>
              </w:rPr>
            </w:pPr>
          </w:p>
        </w:tc>
        <w:tc>
          <w:tcPr>
            <w:tcW w:w="96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68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April 4,</w:t>
            </w:r>
          </w:p>
        </w:tc>
        <w:tc>
          <w:tcPr>
            <w:tcW w:w="1280" w:type="dxa"/>
            <w:vAlign w:val="bottom"/>
          </w:tcPr>
          <w:p>
            <w:pPr>
              <w:spacing w:after="0"/>
              <w:rPr>
                <w:sz w:val="18"/>
                <w:szCs w:val="18"/>
                <w:color w:val="auto"/>
              </w:rPr>
            </w:pPr>
          </w:p>
        </w:tc>
      </w:tr>
      <w:tr>
        <w:trPr>
          <w:trHeight w:val="226"/>
        </w:trPr>
        <w:tc>
          <w:tcPr>
            <w:tcW w:w="67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20" w:type="dxa"/>
            <w:vAlign w:val="bottom"/>
            <w:tcBorders>
              <w:bottom w:val="single" w:sz="8" w:color="901588"/>
            </w:tcBorders>
            <w:shd w:val="clear" w:color="auto" w:fill="F4E8F3"/>
          </w:tcPr>
          <w:p>
            <w:pPr>
              <w:spacing w:after="0"/>
              <w:rPr>
                <w:sz w:val="19"/>
                <w:szCs w:val="19"/>
                <w:color w:val="auto"/>
              </w:rPr>
            </w:pPr>
          </w:p>
        </w:tc>
        <w:tc>
          <w:tcPr>
            <w:tcW w:w="9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901588"/>
            </w:tcBorders>
          </w:tcPr>
          <w:p>
            <w:pPr>
              <w:spacing w:after="0"/>
              <w:rPr>
                <w:sz w:val="19"/>
                <w:szCs w:val="19"/>
                <w:color w:val="auto"/>
              </w:rPr>
            </w:pPr>
          </w:p>
        </w:tc>
        <w:tc>
          <w:tcPr>
            <w:tcW w:w="110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2025</w:t>
            </w: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7"/>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2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2B2B2"/>
            </w:tcBorders>
            <w:shd w:val="clear" w:color="auto" w:fill="F4E8F3"/>
          </w:tcPr>
          <w:p>
            <w:pPr>
              <w:jc w:val="right"/>
              <w:ind w:right="119"/>
              <w:spacing w:after="0"/>
              <w:rPr>
                <w:sz w:val="20"/>
                <w:szCs w:val="20"/>
                <w:color w:val="auto"/>
              </w:rPr>
            </w:pPr>
            <w:r>
              <w:rPr>
                <w:rFonts w:ascii="Arial" w:cs="Arial" w:eastAsia="Arial" w:hAnsi="Arial"/>
                <w:sz w:val="16"/>
                <w:szCs w:val="16"/>
                <w:b w:val="1"/>
                <w:bCs w:val="1"/>
                <w:color w:val="auto"/>
              </w:rPr>
              <w:t>816</w:t>
            </w:r>
          </w:p>
        </w:tc>
        <w:tc>
          <w:tcPr>
            <w:tcW w:w="680" w:type="dxa"/>
            <w:vAlign w:val="bottom"/>
            <w:tcBorders>
              <w:bottom w:val="single" w:sz="8" w:color="B2B2B2"/>
            </w:tcBorders>
          </w:tcPr>
          <w:p>
            <w:pPr>
              <w:jc w:val="right"/>
              <w:ind w:right="3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770</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6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20" w:type="dxa"/>
            <w:vAlign w:val="bottom"/>
            <w:tcBorders>
              <w:bottom w:val="single" w:sz="8" w:color="B2B2B2"/>
            </w:tcBorders>
          </w:tcPr>
          <w:p>
            <w:pPr>
              <w:spacing w:after="0"/>
              <w:rPr>
                <w:sz w:val="20"/>
                <w:szCs w:val="20"/>
                <w:color w:val="auto"/>
              </w:rPr>
            </w:pPr>
          </w:p>
        </w:tc>
        <w:tc>
          <w:tcPr>
            <w:tcW w:w="960" w:type="dxa"/>
            <w:vAlign w:val="bottom"/>
            <w:tcBorders>
              <w:bottom w:val="single" w:sz="8" w:color="B2B2B2"/>
            </w:tcBorders>
          </w:tcPr>
          <w:p>
            <w:pPr>
              <w:jc w:val="right"/>
              <w:ind w:right="119"/>
              <w:spacing w:after="0"/>
              <w:rPr>
                <w:sz w:val="20"/>
                <w:szCs w:val="20"/>
                <w:color w:val="auto"/>
              </w:rPr>
            </w:pPr>
            <w:r>
              <w:rPr>
                <w:rFonts w:ascii="Arial" w:cs="Arial" w:eastAsia="Arial" w:hAnsi="Arial"/>
                <w:sz w:val="16"/>
                <w:szCs w:val="16"/>
                <w:b w:val="1"/>
                <w:bCs w:val="1"/>
                <w:color w:val="auto"/>
              </w:rPr>
              <w:t>33</w:t>
            </w:r>
          </w:p>
        </w:tc>
        <w:tc>
          <w:tcPr>
            <w:tcW w:w="680" w:type="dxa"/>
            <w:vAlign w:val="bottom"/>
            <w:tcBorders>
              <w:bottom w:val="single" w:sz="8" w:color="B2B2B2"/>
            </w:tcBorders>
          </w:tcPr>
          <w:p>
            <w:pPr>
              <w:spacing w:after="0"/>
              <w:rPr>
                <w:sz w:val="20"/>
                <w:szCs w:val="20"/>
                <w:color w:val="auto"/>
              </w:rPr>
            </w:pPr>
          </w:p>
        </w:tc>
        <w:tc>
          <w:tcPr>
            <w:tcW w:w="1100" w:type="dxa"/>
            <w:vAlign w:val="bottom"/>
            <w:tcBorders>
              <w:bottom w:val="single" w:sz="8" w:color="B2B2B2"/>
            </w:tcBorders>
          </w:tcPr>
          <w:p>
            <w:pPr>
              <w:jc w:val="right"/>
              <w:ind w:right="259"/>
              <w:spacing w:after="0"/>
              <w:rPr>
                <w:sz w:val="20"/>
                <w:szCs w:val="20"/>
                <w:color w:val="auto"/>
              </w:rPr>
            </w:pPr>
            <w:r>
              <w:rPr>
                <w:rFonts w:ascii="Arial" w:cs="Arial" w:eastAsia="Arial" w:hAnsi="Arial"/>
                <w:sz w:val="16"/>
                <w:szCs w:val="16"/>
                <w:color w:val="auto"/>
              </w:rPr>
              <w:t>61</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670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20" w:type="dxa"/>
            <w:vAlign w:val="bottom"/>
            <w:tcBorders>
              <w:bottom w:val="single" w:sz="8" w:color="901588"/>
            </w:tcBorders>
          </w:tcPr>
          <w:p>
            <w:pPr>
              <w:spacing w:after="0"/>
              <w:rPr>
                <w:sz w:val="20"/>
                <w:szCs w:val="20"/>
                <w:color w:val="auto"/>
              </w:rPr>
            </w:pPr>
          </w:p>
        </w:tc>
        <w:tc>
          <w:tcPr>
            <w:tcW w:w="96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i w:val="1"/>
                <w:iCs w:val="1"/>
                <w:color w:val="auto"/>
              </w:rPr>
              <w:t>4.0%</w:t>
            </w:r>
          </w:p>
        </w:tc>
        <w:tc>
          <w:tcPr>
            <w:tcW w:w="680" w:type="dxa"/>
            <w:vAlign w:val="bottom"/>
            <w:tcBorders>
              <w:bottom w:val="single" w:sz="8" w:color="901588"/>
            </w:tcBorders>
          </w:tcPr>
          <w:p>
            <w:pPr>
              <w:spacing w:after="0"/>
              <w:rPr>
                <w:sz w:val="20"/>
                <w:szCs w:val="20"/>
                <w:color w:val="auto"/>
              </w:rPr>
            </w:pPr>
          </w:p>
        </w:tc>
        <w:tc>
          <w:tcPr>
            <w:tcW w:w="110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i w:val="1"/>
                <w:iCs w:val="1"/>
                <w:color w:val="auto"/>
              </w:rPr>
              <w:t>7.9%</w:t>
            </w:r>
          </w:p>
        </w:tc>
        <w:tc>
          <w:tcPr>
            <w:tcW w:w="128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-496570</wp:posOffset>
            </wp:positionV>
            <wp:extent cx="942975" cy="488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2975" cy="488950"/>
                    </a:xfrm>
                    <a:prstGeom prst="rect">
                      <a:avLst/>
                    </a:prstGeom>
                    <a:noFill/>
                  </pic:spPr>
                </pic:pic>
              </a:graphicData>
            </a:graphic>
          </wp:anchor>
        </w:drawing>
      </w:r>
    </w:p>
    <w:p>
      <w:pPr>
        <w:spacing w:after="0" w:line="168"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The increase in revenues for the three months ended April 3, 2026, as compared to the three months ended April 4, 2025, was primarily attributable to a net increase in volumes, $23 million favorable impact from exchange rate movements, program wins and $11 million recognized from the acquisition of Entrust. The increase was partially offset by net write-downs on certain programs.</w:t>
      </w:r>
    </w:p>
    <w:p>
      <w:pPr>
        <w:spacing w:after="0" w:line="9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decrease in operating income for the three months ended April 3, 2026, as compared to the three months ended April 4, 2025, was primarily attributable to an increase of $25 million in acquisition, integration and restructuring costs, driven by the Entrust transaction and net write-downs on certain programs. The decrease was partially offset by a net increase in volumes.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4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820" w:type="dxa"/>
            <w:vAlign w:val="bottom"/>
            <w:tcBorders>
              <w:bottom w:val="single" w:sz="8" w:color="901588"/>
            </w:tcBorders>
          </w:tcPr>
          <w:p>
            <w:pPr>
              <w:spacing w:after="0"/>
              <w:rPr>
                <w:sz w:val="19"/>
                <w:szCs w:val="19"/>
                <w:color w:val="auto"/>
              </w:rPr>
            </w:pPr>
          </w:p>
        </w:tc>
        <w:tc>
          <w:tcPr>
            <w:tcW w:w="1900" w:type="dxa"/>
            <w:vAlign w:val="bottom"/>
            <w:tcBorders>
              <w:bottom w:val="single" w:sz="8" w:color="901588"/>
            </w:tcBorders>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1280" w:type="dxa"/>
            <w:vAlign w:val="bottom"/>
            <w:tcBorders>
              <w:bottom w:val="single" w:sz="8" w:color="901588"/>
            </w:tcBorders>
          </w:tcPr>
          <w:p>
            <w:pPr>
              <w:spacing w:after="0"/>
              <w:rPr>
                <w:sz w:val="19"/>
                <w:szCs w:val="19"/>
                <w:color w:val="auto"/>
              </w:rPr>
            </w:pP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Defense</w:t>
            </w:r>
          </w:p>
        </w:tc>
        <w:tc>
          <w:tcPr>
            <w:tcW w:w="500" w:type="dxa"/>
            <w:vAlign w:val="bottom"/>
            <w:shd w:val="clear" w:color="auto" w:fill="F4E8F3"/>
          </w:tcPr>
          <w:p>
            <w:pPr>
              <w:spacing w:after="0"/>
              <w:rPr>
                <w:sz w:val="17"/>
                <w:szCs w:val="17"/>
                <w:color w:val="auto"/>
              </w:rPr>
            </w:pPr>
          </w:p>
        </w:tc>
        <w:tc>
          <w:tcPr>
            <w:tcW w:w="980" w:type="dxa"/>
            <w:vAlign w:val="bottom"/>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6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April 4,</w:t>
            </w:r>
          </w:p>
        </w:tc>
        <w:tc>
          <w:tcPr>
            <w:tcW w:w="1280" w:type="dxa"/>
            <w:vAlign w:val="bottom"/>
          </w:tcPr>
          <w:p>
            <w:pPr>
              <w:spacing w:after="0"/>
              <w:rPr>
                <w:sz w:val="17"/>
                <w:szCs w:val="17"/>
                <w:color w:val="auto"/>
              </w:rPr>
            </w:pPr>
          </w:p>
        </w:tc>
      </w:tr>
      <w:tr>
        <w:trPr>
          <w:trHeight w:val="237"/>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500" w:type="dxa"/>
            <w:vAlign w:val="bottom"/>
            <w:tcBorders>
              <w:bottom w:val="single" w:sz="8" w:color="901588"/>
            </w:tcBorders>
            <w:shd w:val="clear" w:color="auto" w:fill="F4E8F3"/>
          </w:tcPr>
          <w:p>
            <w:pPr>
              <w:spacing w:after="0"/>
              <w:rPr>
                <w:sz w:val="20"/>
                <w:szCs w:val="20"/>
                <w:color w:val="auto"/>
              </w:rPr>
            </w:pPr>
          </w:p>
        </w:tc>
        <w:tc>
          <w:tcPr>
            <w:tcW w:w="980" w:type="dxa"/>
            <w:vAlign w:val="bottom"/>
            <w:tcBorders>
              <w:bottom w:val="single" w:sz="8" w:color="901588"/>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color w:val="auto"/>
              </w:rPr>
              <w:t>2025</w:t>
            </w:r>
          </w:p>
        </w:tc>
        <w:tc>
          <w:tcPr>
            <w:tcW w:w="128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w:t>
            </w:r>
          </w:p>
        </w:tc>
        <w:tc>
          <w:tcPr>
            <w:tcW w:w="500" w:type="dxa"/>
            <w:vAlign w:val="bottom"/>
            <w:tcBorders>
              <w:bottom w:val="single" w:sz="8" w:color="B2B2B2"/>
            </w:tcBorders>
            <w:shd w:val="clear" w:color="auto" w:fill="F4E8F3"/>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883</w:t>
            </w:r>
          </w:p>
        </w:tc>
        <w:tc>
          <w:tcPr>
            <w:tcW w:w="160" w:type="dxa"/>
            <w:vAlign w:val="bottom"/>
            <w:tcBorders>
              <w:bottom w:val="single" w:sz="8" w:color="B2B2B2"/>
            </w:tcBorders>
            <w:shd w:val="clear" w:color="auto" w:fill="F4E8F3"/>
          </w:tcPr>
          <w:p>
            <w:pPr>
              <w:spacing w:after="0"/>
              <w:rPr>
                <w:sz w:val="20"/>
                <w:szCs w:val="20"/>
                <w:color w:val="auto"/>
              </w:rPr>
            </w:pPr>
          </w:p>
        </w:tc>
        <w:tc>
          <w:tcPr>
            <w:tcW w:w="660" w:type="dxa"/>
            <w:vAlign w:val="bottom"/>
            <w:tcBorders>
              <w:bottom w:val="single" w:sz="8" w:color="B2B2B2"/>
            </w:tcBorders>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879</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0.5%</w:t>
            </w:r>
          </w:p>
        </w:tc>
      </w:tr>
      <w:tr>
        <w:trPr>
          <w:trHeight w:val="236"/>
        </w:trPr>
        <w:tc>
          <w:tcPr>
            <w:tcW w:w="6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tcPr>
          <w:p>
            <w:pPr>
              <w:spacing w:after="0"/>
              <w:rPr>
                <w:sz w:val="20"/>
                <w:szCs w:val="20"/>
                <w:color w:val="auto"/>
              </w:rPr>
            </w:pP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62</w:t>
            </w:r>
          </w:p>
        </w:tc>
        <w:tc>
          <w:tcPr>
            <w:tcW w:w="160" w:type="dxa"/>
            <w:vAlign w:val="bottom"/>
            <w:tcBorders>
              <w:bottom w:val="single" w:sz="8" w:color="B2B2B2"/>
            </w:tcBorders>
          </w:tcPr>
          <w:p>
            <w:pPr>
              <w:spacing w:after="0"/>
              <w:rPr>
                <w:sz w:val="20"/>
                <w:szCs w:val="20"/>
                <w:color w:val="auto"/>
              </w:rPr>
            </w:pPr>
          </w:p>
        </w:tc>
        <w:tc>
          <w:tcPr>
            <w:tcW w:w="660" w:type="dxa"/>
            <w:vAlign w:val="bottom"/>
            <w:tcBorders>
              <w:bottom w:val="single" w:sz="8" w:color="B2B2B2"/>
            </w:tcBorders>
          </w:tcPr>
          <w:p>
            <w:pPr>
              <w:spacing w:after="0"/>
              <w:rPr>
                <w:sz w:val="20"/>
                <w:szCs w:val="20"/>
                <w:color w:val="auto"/>
              </w:rPr>
            </w:pPr>
          </w:p>
        </w:tc>
        <w:tc>
          <w:tcPr>
            <w:tcW w:w="1080" w:type="dxa"/>
            <w:vAlign w:val="bottom"/>
            <w:tcBorders>
              <w:bottom w:val="single" w:sz="8" w:color="B2B2B2"/>
            </w:tcBorders>
          </w:tcPr>
          <w:p>
            <w:pPr>
              <w:jc w:val="right"/>
              <w:ind w:right="219"/>
              <w:spacing w:after="0"/>
              <w:rPr>
                <w:sz w:val="20"/>
                <w:szCs w:val="20"/>
                <w:color w:val="auto"/>
              </w:rPr>
            </w:pPr>
            <w:r>
              <w:rPr>
                <w:rFonts w:ascii="Arial" w:cs="Arial" w:eastAsia="Arial" w:hAnsi="Arial"/>
                <w:sz w:val="16"/>
                <w:szCs w:val="16"/>
                <w:color w:val="auto"/>
              </w:rPr>
              <w:t>74</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(16.2%)</w:t>
            </w:r>
          </w:p>
        </w:tc>
      </w:tr>
      <w:tr>
        <w:trPr>
          <w:trHeight w:val="237"/>
        </w:trPr>
        <w:tc>
          <w:tcPr>
            <w:tcW w:w="6740" w:type="dxa"/>
            <w:vAlign w:val="bottom"/>
            <w:tcBorders>
              <w:bottom w:val="single" w:sz="8" w:color="901588"/>
            </w:tcBorders>
          </w:tcPr>
          <w:p>
            <w:pPr>
              <w:ind w:left="20"/>
              <w:spacing w:after="0"/>
              <w:rPr>
                <w:sz w:val="20"/>
                <w:szCs w:val="20"/>
                <w:color w:val="auto"/>
              </w:rPr>
            </w:pPr>
            <w:r>
              <w:rPr>
                <w:rFonts w:ascii="Arial" w:cs="Arial" w:eastAsia="Arial" w:hAnsi="Arial"/>
                <w:sz w:val="16"/>
                <w:szCs w:val="16"/>
                <w:i w:val="1"/>
                <w:iCs w:val="1"/>
                <w:color w:val="auto"/>
              </w:rPr>
              <w:t>Operating margin</w:t>
            </w:r>
          </w:p>
        </w:tc>
        <w:tc>
          <w:tcPr>
            <w:tcW w:w="500" w:type="dxa"/>
            <w:vAlign w:val="bottom"/>
            <w:tcBorders>
              <w:bottom w:val="single" w:sz="8" w:color="901588"/>
            </w:tcBorders>
          </w:tcPr>
          <w:p>
            <w:pPr>
              <w:spacing w:after="0"/>
              <w:rPr>
                <w:sz w:val="20"/>
                <w:szCs w:val="20"/>
                <w:color w:val="auto"/>
              </w:rPr>
            </w:pPr>
          </w:p>
        </w:tc>
        <w:tc>
          <w:tcPr>
            <w:tcW w:w="980" w:type="dxa"/>
            <w:vAlign w:val="bottom"/>
            <w:tcBorders>
              <w:bottom w:val="single" w:sz="8" w:color="901588"/>
            </w:tcBorders>
            <w:gridSpan w:val="2"/>
          </w:tcPr>
          <w:p>
            <w:pPr>
              <w:jc w:val="right"/>
              <w:spacing w:after="0"/>
              <w:rPr>
                <w:sz w:val="20"/>
                <w:szCs w:val="20"/>
                <w:color w:val="auto"/>
              </w:rPr>
            </w:pPr>
            <w:r>
              <w:rPr>
                <w:rFonts w:ascii="Arial" w:cs="Arial" w:eastAsia="Arial" w:hAnsi="Arial"/>
                <w:sz w:val="16"/>
                <w:szCs w:val="16"/>
                <w:b w:val="1"/>
                <w:bCs w:val="1"/>
                <w:i w:val="1"/>
                <w:iCs w:val="1"/>
                <w:color w:val="auto"/>
              </w:rPr>
              <w:t>7.0%</w:t>
            </w:r>
          </w:p>
        </w:tc>
        <w:tc>
          <w:tcPr>
            <w:tcW w:w="660" w:type="dxa"/>
            <w:vAlign w:val="bottom"/>
            <w:tcBorders>
              <w:bottom w:val="single" w:sz="8" w:color="901588"/>
            </w:tcBorders>
          </w:tcPr>
          <w:p>
            <w:pPr>
              <w:spacing w:after="0"/>
              <w:rPr>
                <w:sz w:val="20"/>
                <w:szCs w:val="20"/>
                <w:color w:val="auto"/>
              </w:rPr>
            </w:pPr>
          </w:p>
        </w:tc>
        <w:tc>
          <w:tcPr>
            <w:tcW w:w="10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i w:val="1"/>
                <w:iCs w:val="1"/>
                <w:color w:val="auto"/>
              </w:rPr>
              <w:t>8.4%</w:t>
            </w:r>
          </w:p>
        </w:tc>
        <w:tc>
          <w:tcPr>
            <w:tcW w:w="1280" w:type="dxa"/>
            <w:vAlign w:val="bottom"/>
            <w:tcBorders>
              <w:bottom w:val="single" w:sz="8" w:color="90158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-496570</wp:posOffset>
            </wp:positionV>
            <wp:extent cx="942975" cy="4889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2975" cy="488950"/>
                    </a:xfrm>
                    <a:prstGeom prst="rect">
                      <a:avLst/>
                    </a:prstGeom>
                    <a:noFill/>
                  </pic:spPr>
                </pic:pic>
              </a:graphicData>
            </a:graphic>
          </wp:anchor>
        </w:drawing>
      </w:r>
    </w:p>
    <w:p>
      <w:pPr>
        <w:spacing w:after="0" w:line="155"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The increase in revenues for the three months ended April 3, 2026, as compared to the three months ended April 4, 2025, was primarily attributable to program wins, partially offset by completion of certain contracts.</w:t>
      </w:r>
    </w:p>
    <w:p>
      <w:pPr>
        <w:spacing w:after="0" w:line="4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decrease in operating income for the three months ended April 3, 2026, as compared to the three months ended April 4, 2025, was primarily attributable to the completion of contracts and write-downs on certain programs in the current year, partially offset by program wins.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40" w:type="dxa"/>
            <w:vAlign w:val="bottom"/>
          </w:tcPr>
          <w:p>
            <w:pPr>
              <w:spacing w:after="0"/>
              <w:rPr>
                <w:sz w:val="19"/>
                <w:szCs w:val="19"/>
                <w:color w:val="auto"/>
              </w:rPr>
            </w:pPr>
          </w:p>
        </w:tc>
        <w:tc>
          <w:tcPr>
            <w:tcW w:w="460" w:type="dxa"/>
            <w:vAlign w:val="bottom"/>
            <w:tcBorders>
              <w:bottom w:val="single" w:sz="8" w:color="901588"/>
            </w:tcBorders>
          </w:tcPr>
          <w:p>
            <w:pPr>
              <w:spacing w:after="0"/>
              <w:rPr>
                <w:sz w:val="19"/>
                <w:szCs w:val="19"/>
                <w:color w:val="auto"/>
              </w:rPr>
            </w:pPr>
          </w:p>
        </w:tc>
        <w:tc>
          <w:tcPr>
            <w:tcW w:w="2580" w:type="dxa"/>
            <w:vAlign w:val="bottom"/>
            <w:tcBorders>
              <w:bottom w:val="single" w:sz="8" w:color="901588"/>
            </w:tcBorders>
            <w:gridSpan w:val="3"/>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1260" w:type="dxa"/>
            <w:vAlign w:val="bottom"/>
            <w:tcBorders>
              <w:bottom w:val="single" w:sz="8" w:color="901588"/>
            </w:tcBorders>
          </w:tcPr>
          <w:p>
            <w:pPr>
              <w:spacing w:after="0"/>
              <w:rPr>
                <w:sz w:val="19"/>
                <w:szCs w:val="19"/>
                <w:color w:val="auto"/>
              </w:rPr>
            </w:pPr>
          </w:p>
        </w:tc>
      </w:tr>
      <w:tr>
        <w:trPr>
          <w:trHeight w:val="202"/>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Corporate</w:t>
            </w:r>
          </w:p>
        </w:tc>
        <w:tc>
          <w:tcPr>
            <w:tcW w:w="460" w:type="dxa"/>
            <w:vAlign w:val="bottom"/>
            <w:shd w:val="clear" w:color="auto" w:fill="F4E8F3"/>
          </w:tcPr>
          <w:p>
            <w:pPr>
              <w:spacing w:after="0"/>
              <w:rPr>
                <w:sz w:val="17"/>
                <w:szCs w:val="17"/>
                <w:color w:val="auto"/>
              </w:rPr>
            </w:pPr>
          </w:p>
        </w:tc>
        <w:tc>
          <w:tcPr>
            <w:tcW w:w="9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6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April 4,</w:t>
            </w:r>
          </w:p>
        </w:tc>
        <w:tc>
          <w:tcPr>
            <w:tcW w:w="1260" w:type="dxa"/>
            <w:vAlign w:val="bottom"/>
          </w:tcPr>
          <w:p>
            <w:pPr>
              <w:spacing w:after="0"/>
              <w:rPr>
                <w:sz w:val="17"/>
                <w:szCs w:val="17"/>
                <w:color w:val="auto"/>
              </w:rPr>
            </w:pPr>
          </w:p>
        </w:tc>
      </w:tr>
      <w:tr>
        <w:trPr>
          <w:trHeight w:val="237"/>
        </w:trPr>
        <w:tc>
          <w:tcPr>
            <w:tcW w:w="69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(dollars in millions)</w:t>
            </w:r>
          </w:p>
        </w:tc>
        <w:tc>
          <w:tcPr>
            <w:tcW w:w="460" w:type="dxa"/>
            <w:vAlign w:val="bottom"/>
            <w:tcBorders>
              <w:bottom w:val="single" w:sz="8" w:color="901588"/>
            </w:tcBorders>
            <w:shd w:val="clear" w:color="auto" w:fill="F4E8F3"/>
          </w:tcPr>
          <w:p>
            <w:pPr>
              <w:spacing w:after="0"/>
              <w:rPr>
                <w:sz w:val="20"/>
                <w:szCs w:val="20"/>
                <w:color w:val="auto"/>
              </w:rPr>
            </w:pP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901588"/>
            </w:tcBorders>
          </w:tcPr>
          <w:p>
            <w:pPr>
              <w:spacing w:after="0"/>
              <w:rPr>
                <w:sz w:val="20"/>
                <w:szCs w:val="20"/>
                <w:color w:val="auto"/>
              </w:rPr>
            </w:pPr>
          </w:p>
        </w:tc>
        <w:tc>
          <w:tcPr>
            <w:tcW w:w="1060" w:type="dxa"/>
            <w:vAlign w:val="bottom"/>
            <w:tcBorders>
              <w:bottom w:val="single" w:sz="8" w:color="901588"/>
            </w:tcBorders>
          </w:tcPr>
          <w:p>
            <w:pPr>
              <w:jc w:val="right"/>
              <w:ind w:right="59"/>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Percent change</w:t>
            </w:r>
          </w:p>
        </w:tc>
      </w:tr>
      <w:tr>
        <w:trPr>
          <w:trHeight w:val="239"/>
        </w:trPr>
        <w:tc>
          <w:tcPr>
            <w:tcW w:w="69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Operating loss</w:t>
            </w:r>
          </w:p>
        </w:tc>
        <w:tc>
          <w:tcPr>
            <w:tcW w:w="460" w:type="dxa"/>
            <w:vAlign w:val="bottom"/>
            <w:tcBorders>
              <w:bottom w:val="single" w:sz="8" w:color="901588"/>
            </w:tcBorders>
            <w:shd w:val="clear" w:color="auto" w:fill="F4E8F3"/>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w:t>
            </w:r>
          </w:p>
        </w:tc>
        <w:tc>
          <w:tcPr>
            <w:tcW w:w="600" w:type="dxa"/>
            <w:vAlign w:val="bottom"/>
            <w:tcBorders>
              <w:bottom w:val="single" w:sz="8" w:color="901588"/>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901588"/>
            </w:tcBorders>
          </w:tcPr>
          <w:p>
            <w:pPr>
              <w:jc w:val="right"/>
              <w:ind w:right="79"/>
              <w:spacing w:after="0"/>
              <w:rPr>
                <w:sz w:val="20"/>
                <w:szCs w:val="20"/>
                <w:color w:val="auto"/>
              </w:rPr>
            </w:pPr>
            <w:r>
              <w:rPr>
                <w:rFonts w:ascii="Arial" w:cs="Arial" w:eastAsia="Arial" w:hAnsi="Arial"/>
                <w:sz w:val="16"/>
                <w:szCs w:val="16"/>
                <w:color w:val="auto"/>
              </w:rPr>
              <w:t>(25)</w:t>
            </w:r>
          </w:p>
        </w:tc>
        <w:tc>
          <w:tcPr>
            <w:tcW w:w="12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(32.0%)</w:t>
            </w:r>
          </w:p>
        </w:tc>
      </w:tr>
    </w:tbl>
    <w:p>
      <w:pPr>
        <w:spacing w:after="0" w:line="175"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decrease in operating loss for the three months ended April 3, 2026, as compared to the three months ended April 4, 2025, was primarily attributable to a $15 million insurance reimbursement for legal costs incurred prior to fiscal 2026, partially offset by an increase in acquisition and integration costs.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NON-OPERATING EXPENSE, NET</w:t>
      </w:r>
    </w:p>
    <w:p>
      <w:pPr>
        <w:spacing w:after="0" w:line="131"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Non-operating expense, net for the three months ended April 3, 2026, was $79 million as compared to $52 million for the three months ended April 4, 2025. The increase was primarily driven by a $23 million settlement loss from the buy-out of our UK defined benefit pension plan and increased interest expense from the termination of our senior unsecured bridge loan facility and issuance of our $600 million and $800 million senior notes.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9320"/>
        <w:spacing w:after="0"/>
        <w:tabs>
          <w:tab w:leader="none" w:pos="11040" w:val="left"/>
        </w:tabs>
        <w:rPr>
          <w:sz w:val="20"/>
          <w:szCs w:val="20"/>
          <w:color w:val="auto"/>
        </w:rPr>
      </w:pPr>
      <w:r>
        <w:rPr>
          <w:rFonts w:ascii="Arial" w:cs="Arial" w:eastAsia="Arial" w:hAnsi="Arial"/>
          <w:sz w:val="14"/>
          <w:szCs w:val="14"/>
          <w:b w:val="1"/>
          <w:bCs w:val="1"/>
          <w:color w:val="901588"/>
        </w:rPr>
        <w:t>Leidos Holdings, Inc.</w:t>
      </w:r>
      <w:r>
        <w:rPr>
          <w:sz w:val="20"/>
          <w:szCs w:val="20"/>
          <w:color w:val="auto"/>
        </w:rPr>
        <w:tab/>
      </w:r>
      <w:r>
        <w:rPr>
          <w:rFonts w:ascii="Arial" w:cs="Arial" w:eastAsia="Arial" w:hAnsi="Arial"/>
          <w:sz w:val="14"/>
          <w:szCs w:val="14"/>
          <w:b w:val="1"/>
          <w:bCs w:val="1"/>
          <w:color w:val="90158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PROVISION FOR INCOME TAXES</w:t>
      </w:r>
    </w:p>
    <w:p>
      <w:pPr>
        <w:spacing w:after="0" w:line="117" w:lineRule="exact"/>
        <w:rPr>
          <w:sz w:val="20"/>
          <w:szCs w:val="20"/>
          <w:color w:val="auto"/>
        </w:rPr>
      </w:pPr>
    </w:p>
    <w:p>
      <w:pPr>
        <w:jc w:val="both"/>
        <w:ind w:right="240"/>
        <w:spacing w:after="0" w:line="292" w:lineRule="auto"/>
        <w:rPr>
          <w:sz w:val="20"/>
          <w:szCs w:val="20"/>
          <w:color w:val="auto"/>
        </w:rPr>
      </w:pPr>
      <w:r>
        <w:rPr>
          <w:rFonts w:ascii="Arial" w:cs="Arial" w:eastAsia="Arial" w:hAnsi="Arial"/>
          <w:sz w:val="16"/>
          <w:szCs w:val="16"/>
          <w:color w:val="auto"/>
        </w:rPr>
        <w:t>For the three months ended April 3, 2026, our effective tax rate was 21.9% compared to 23.6% for the three months ended April 4, 2025. The decrease to the effective tax rate was primarily due to an increase in net excess tax benefits related to employee stock-based payment transactions and a decrease in unrecognized tax benefits.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BOOKINGS AND BACKLOG</w:t>
      </w:r>
    </w:p>
    <w:p>
      <w:pPr>
        <w:spacing w:after="0" w:line="11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We recorded net bookings worth an estimated $3.3 billion during the three months ended April 3, 2026, as compared to $2.1 billion for the three months ended April 4, 2025.</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value of our total backlog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Pr>
          <w:p>
            <w:pPr>
              <w:spacing w:after="0"/>
              <w:rPr>
                <w:sz w:val="21"/>
                <w:szCs w:val="21"/>
                <w:color w:val="auto"/>
              </w:rPr>
            </w:pP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80" w:type="dxa"/>
            <w:vAlign w:val="bottom"/>
            <w:tcBorders>
              <w:bottom w:val="single" w:sz="8" w:color="901588"/>
            </w:tcBorders>
            <w:shd w:val="clear" w:color="auto" w:fill="F4E8F3"/>
          </w:tcPr>
          <w:p>
            <w:pPr>
              <w:spacing w:after="0"/>
              <w:rPr>
                <w:sz w:val="21"/>
                <w:szCs w:val="21"/>
                <w:color w:val="auto"/>
              </w:rPr>
            </w:pPr>
          </w:p>
        </w:tc>
        <w:tc>
          <w:tcPr>
            <w:tcW w:w="160" w:type="dxa"/>
            <w:vAlign w:val="bottom"/>
            <w:tcBorders>
              <w:bottom w:val="single" w:sz="8" w:color="901588"/>
            </w:tcBorders>
            <w:shd w:val="clear" w:color="auto" w:fill="F4E8F3"/>
          </w:tcPr>
          <w:p>
            <w:pPr>
              <w:spacing w:after="0"/>
              <w:rPr>
                <w:sz w:val="21"/>
                <w:szCs w:val="21"/>
                <w:color w:val="auto"/>
              </w:rPr>
            </w:pPr>
          </w:p>
        </w:tc>
        <w:tc>
          <w:tcPr>
            <w:tcW w:w="1280" w:type="dxa"/>
            <w:vAlign w:val="bottom"/>
            <w:tcBorders>
              <w:bottom w:val="single" w:sz="8" w:color="901588"/>
            </w:tcBorders>
            <w:gridSpan w:val="2"/>
            <w:shd w:val="clear" w:color="auto" w:fill="F4E8F3"/>
          </w:tcPr>
          <w:p>
            <w:pPr>
              <w:ind w:left="40"/>
              <w:spacing w:after="0"/>
              <w:rPr>
                <w:sz w:val="20"/>
                <w:szCs w:val="20"/>
                <w:color w:val="auto"/>
              </w:rPr>
            </w:pPr>
            <w:r>
              <w:rPr>
                <w:rFonts w:ascii="Arial" w:cs="Arial" w:eastAsia="Arial" w:hAnsi="Arial"/>
                <w:sz w:val="16"/>
                <w:szCs w:val="16"/>
                <w:b w:val="1"/>
                <w:bCs w:val="1"/>
                <w:color w:val="auto"/>
              </w:rPr>
              <w:t>April 3, 2026</w:t>
            </w:r>
          </w:p>
        </w:tc>
        <w:tc>
          <w:tcPr>
            <w:tcW w:w="420" w:type="dxa"/>
            <w:vAlign w:val="bottom"/>
            <w:tcBorders>
              <w:bottom w:val="single" w:sz="8" w:color="901588"/>
            </w:tcBorders>
            <w:shd w:val="clear" w:color="auto" w:fill="F4E8F3"/>
          </w:tcPr>
          <w:p>
            <w:pPr>
              <w:spacing w:after="0"/>
              <w:rPr>
                <w:sz w:val="21"/>
                <w:szCs w:val="21"/>
                <w:color w:val="auto"/>
              </w:rPr>
            </w:pPr>
          </w:p>
        </w:tc>
        <w:tc>
          <w:tcPr>
            <w:tcW w:w="900" w:type="dxa"/>
            <w:vAlign w:val="bottom"/>
            <w:tcBorders>
              <w:bottom w:val="single" w:sz="8" w:color="901588"/>
            </w:tcBorders>
            <w:shd w:val="clear" w:color="auto" w:fill="F4E8F3"/>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c>
          <w:tcPr>
            <w:tcW w:w="100" w:type="dxa"/>
            <w:vAlign w:val="bottom"/>
            <w:tcBorders>
              <w:bottom w:val="single" w:sz="8" w:color="901588"/>
            </w:tcBorders>
          </w:tcPr>
          <w:p>
            <w:pPr>
              <w:spacing w:after="0"/>
              <w:rPr>
                <w:sz w:val="21"/>
                <w:szCs w:val="21"/>
                <w:color w:val="auto"/>
              </w:rPr>
            </w:pPr>
          </w:p>
        </w:tc>
        <w:tc>
          <w:tcPr>
            <w:tcW w:w="160" w:type="dxa"/>
            <w:vAlign w:val="bottom"/>
            <w:tcBorders>
              <w:bottom w:val="single" w:sz="8" w:color="901588"/>
            </w:tcBorders>
          </w:tcPr>
          <w:p>
            <w:pPr>
              <w:spacing w:after="0"/>
              <w:rPr>
                <w:sz w:val="21"/>
                <w:szCs w:val="21"/>
                <w:color w:val="auto"/>
              </w:rPr>
            </w:pPr>
          </w:p>
        </w:tc>
        <w:tc>
          <w:tcPr>
            <w:tcW w:w="1260" w:type="dxa"/>
            <w:vAlign w:val="bottom"/>
            <w:tcBorders>
              <w:bottom w:val="single" w:sz="8" w:color="901588"/>
            </w:tcBorders>
            <w:gridSpan w:val="2"/>
          </w:tcPr>
          <w:p>
            <w:pPr>
              <w:ind w:left="60"/>
              <w:spacing w:after="0"/>
              <w:rPr>
                <w:sz w:val="20"/>
                <w:szCs w:val="20"/>
                <w:color w:val="auto"/>
              </w:rPr>
            </w:pPr>
            <w:r>
              <w:rPr>
                <w:rFonts w:ascii="Arial" w:cs="Arial" w:eastAsia="Arial" w:hAnsi="Arial"/>
                <w:sz w:val="16"/>
                <w:szCs w:val="16"/>
                <w:color w:val="auto"/>
              </w:rPr>
              <w:t>April 4, 2025</w:t>
            </w:r>
          </w:p>
        </w:tc>
        <w:tc>
          <w:tcPr>
            <w:tcW w:w="440" w:type="dxa"/>
            <w:vAlign w:val="bottom"/>
            <w:tcBorders>
              <w:bottom w:val="single" w:sz="8" w:color="901588"/>
            </w:tcBorders>
          </w:tcPr>
          <w:p>
            <w:pPr>
              <w:spacing w:after="0"/>
              <w:rPr>
                <w:sz w:val="21"/>
                <w:szCs w:val="21"/>
                <w:color w:val="auto"/>
              </w:rPr>
            </w:pPr>
          </w:p>
        </w:tc>
        <w:tc>
          <w:tcPr>
            <w:tcW w:w="900" w:type="dxa"/>
            <w:vAlign w:val="bottom"/>
            <w:tcBorders>
              <w:bottom w:val="single" w:sz="8" w:color="901588"/>
            </w:tcBorders>
          </w:tcPr>
          <w:p>
            <w:pPr>
              <w:spacing w:after="0"/>
              <w:rPr>
                <w:sz w:val="21"/>
                <w:szCs w:val="21"/>
                <w:color w:val="auto"/>
              </w:rPr>
            </w:pPr>
          </w:p>
        </w:tc>
      </w:tr>
      <w:tr>
        <w:trPr>
          <w:trHeight w:val="23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center"/>
              <w:ind w:left="219"/>
              <w:spacing w:after="0"/>
              <w:rPr>
                <w:sz w:val="20"/>
                <w:szCs w:val="20"/>
                <w:color w:val="auto"/>
              </w:rPr>
            </w:pPr>
            <w:r>
              <w:rPr>
                <w:rFonts w:ascii="Arial" w:cs="Arial" w:eastAsia="Arial" w:hAnsi="Arial"/>
                <w:sz w:val="16"/>
                <w:szCs w:val="16"/>
                <w:color w:val="auto"/>
              </w:rPr>
              <w:t>Funded</w:t>
            </w:r>
          </w:p>
        </w:tc>
        <w:tc>
          <w:tcPr>
            <w:tcW w:w="80" w:type="dxa"/>
            <w:vAlign w:val="bottom"/>
            <w:tcBorders>
              <w:bottom w:val="single" w:sz="8" w:color="901588"/>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280" w:type="dxa"/>
            <w:vAlign w:val="bottom"/>
            <w:tcBorders>
              <w:bottom w:val="single" w:sz="8" w:color="901588"/>
            </w:tcBorders>
            <w:gridSpan w:val="2"/>
            <w:shd w:val="clear" w:color="auto" w:fill="F4E8F3"/>
          </w:tcPr>
          <w:p>
            <w:pPr>
              <w:ind w:left="460"/>
              <w:spacing w:after="0"/>
              <w:rPr>
                <w:sz w:val="20"/>
                <w:szCs w:val="20"/>
                <w:color w:val="auto"/>
              </w:rPr>
            </w:pPr>
            <w:r>
              <w:rPr>
                <w:rFonts w:ascii="Arial" w:cs="Arial" w:eastAsia="Arial" w:hAnsi="Arial"/>
                <w:sz w:val="16"/>
                <w:szCs w:val="16"/>
                <w:color w:val="auto"/>
              </w:rPr>
              <w:t>Unfunded</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901588"/>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1000" w:type="dxa"/>
            <w:vAlign w:val="bottom"/>
            <w:tcBorders>
              <w:bottom w:val="single" w:sz="8" w:color="901588"/>
            </w:tcBorders>
            <w:gridSpan w:val="2"/>
          </w:tcPr>
          <w:p>
            <w:pPr>
              <w:ind w:left="340"/>
              <w:spacing w:after="0"/>
              <w:rPr>
                <w:sz w:val="20"/>
                <w:szCs w:val="20"/>
                <w:color w:val="auto"/>
              </w:rPr>
            </w:pPr>
            <w:r>
              <w:rPr>
                <w:rFonts w:ascii="Arial" w:cs="Arial" w:eastAsia="Arial" w:hAnsi="Arial"/>
                <w:sz w:val="16"/>
                <w:szCs w:val="16"/>
                <w:color w:val="auto"/>
              </w:rPr>
              <w:t>Funded</w:t>
            </w:r>
          </w:p>
        </w:tc>
        <w:tc>
          <w:tcPr>
            <w:tcW w:w="160" w:type="dxa"/>
            <w:vAlign w:val="bottom"/>
            <w:tcBorders>
              <w:bottom w:val="single" w:sz="8" w:color="901588"/>
            </w:tcBorders>
          </w:tcPr>
          <w:p>
            <w:pPr>
              <w:spacing w:after="0"/>
              <w:rPr>
                <w:sz w:val="20"/>
                <w:szCs w:val="20"/>
                <w:color w:val="auto"/>
              </w:rPr>
            </w:pPr>
          </w:p>
        </w:tc>
        <w:tc>
          <w:tcPr>
            <w:tcW w:w="1260" w:type="dxa"/>
            <w:vAlign w:val="bottom"/>
            <w:tcBorders>
              <w:bottom w:val="single" w:sz="8" w:color="901588"/>
            </w:tcBorders>
            <w:gridSpan w:val="2"/>
          </w:tcPr>
          <w:p>
            <w:pPr>
              <w:ind w:left="440"/>
              <w:spacing w:after="0"/>
              <w:rPr>
                <w:sz w:val="20"/>
                <w:szCs w:val="20"/>
                <w:color w:val="auto"/>
              </w:rPr>
            </w:pPr>
            <w:r>
              <w:rPr>
                <w:rFonts w:ascii="Arial" w:cs="Arial" w:eastAsia="Arial" w:hAnsi="Arial"/>
                <w:sz w:val="16"/>
                <w:szCs w:val="16"/>
                <w:color w:val="auto"/>
              </w:rPr>
              <w:t>Unfunded</w:t>
            </w: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Total</w:t>
            </w:r>
          </w:p>
        </w:tc>
      </w:tr>
      <w:tr>
        <w:trPr>
          <w:trHeight w:val="239"/>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Intelligence &amp; Digital</w:t>
            </w:r>
          </w:p>
        </w:tc>
        <w:tc>
          <w:tcPr>
            <w:tcW w:w="420" w:type="dxa"/>
            <w:vAlign w:val="bottom"/>
            <w:tcBorders>
              <w:bottom w:val="single" w:sz="8" w:color="B2B2B2"/>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2B2B2"/>
            </w:tcBorders>
            <w:shd w:val="clear" w:color="auto" w:fill="F4E8F3"/>
          </w:tcPr>
          <w:p>
            <w:pPr>
              <w:jc w:val="center"/>
              <w:ind w:left="259"/>
              <w:spacing w:after="0"/>
              <w:rPr>
                <w:sz w:val="20"/>
                <w:szCs w:val="20"/>
                <w:color w:val="auto"/>
              </w:rPr>
            </w:pPr>
            <w:r>
              <w:rPr>
                <w:rFonts w:ascii="Arial" w:cs="Arial" w:eastAsia="Arial" w:hAnsi="Arial"/>
                <w:sz w:val="16"/>
                <w:szCs w:val="16"/>
                <w:b w:val="1"/>
                <w:bCs w:val="1"/>
                <w:color w:val="auto"/>
                <w:w w:val="99"/>
              </w:rPr>
              <w:t>1,882</w:t>
            </w:r>
          </w:p>
        </w:tc>
        <w:tc>
          <w:tcPr>
            <w:tcW w:w="240" w:type="dxa"/>
            <w:vAlign w:val="bottom"/>
            <w:tcBorders>
              <w:bottom w:val="single" w:sz="8" w:color="B2B2B2"/>
            </w:tcBorders>
            <w:gridSpan w:val="2"/>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17,453</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19,335</w:t>
            </w:r>
          </w:p>
        </w:tc>
        <w:tc>
          <w:tcPr>
            <w:tcW w:w="520" w:type="dxa"/>
            <w:vAlign w:val="bottom"/>
            <w:tcBorders>
              <w:bottom w:val="single" w:sz="8" w:color="B2B2B2"/>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15,603</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17,348</w:t>
            </w:r>
          </w:p>
        </w:tc>
      </w:tr>
      <w:tr>
        <w:trPr>
          <w:trHeight w:val="236"/>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Health</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center"/>
              <w:ind w:left="259"/>
              <w:spacing w:after="0"/>
              <w:rPr>
                <w:sz w:val="20"/>
                <w:szCs w:val="20"/>
                <w:color w:val="auto"/>
              </w:rPr>
            </w:pPr>
            <w:r>
              <w:rPr>
                <w:rFonts w:ascii="Arial" w:cs="Arial" w:eastAsia="Arial" w:hAnsi="Arial"/>
                <w:sz w:val="16"/>
                <w:szCs w:val="16"/>
                <w:b w:val="1"/>
                <w:bCs w:val="1"/>
                <w:color w:val="auto"/>
                <w:w w:val="99"/>
              </w:rPr>
              <w:t>1,760</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4,800</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6,560</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7,431</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8,263</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Homeland</w:t>
            </w: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center"/>
              <w:ind w:left="259"/>
              <w:spacing w:after="0"/>
              <w:rPr>
                <w:sz w:val="20"/>
                <w:szCs w:val="20"/>
                <w:color w:val="auto"/>
              </w:rPr>
            </w:pPr>
            <w:r>
              <w:rPr>
                <w:rFonts w:ascii="Arial" w:cs="Arial" w:eastAsia="Arial" w:hAnsi="Arial"/>
                <w:sz w:val="16"/>
                <w:szCs w:val="16"/>
                <w:b w:val="1"/>
                <w:bCs w:val="1"/>
                <w:color w:val="auto"/>
                <w:w w:val="99"/>
              </w:rPr>
              <w:t>3,304</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B2B2B2"/>
            </w:tcBorders>
            <w:shd w:val="clear" w:color="auto" w:fill="F4E8F3"/>
          </w:tcPr>
          <w:p>
            <w:pPr>
              <w:spacing w:after="0"/>
              <w:rPr>
                <w:sz w:val="20"/>
                <w:szCs w:val="20"/>
                <w:color w:val="auto"/>
              </w:rPr>
            </w:pPr>
          </w:p>
        </w:tc>
        <w:tc>
          <w:tcPr>
            <w:tcW w:w="118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6,580</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B2B2B2"/>
            </w:tcBorders>
            <w:shd w:val="clear" w:color="auto" w:fill="F4E8F3"/>
          </w:tcPr>
          <w:p>
            <w:pPr>
              <w:spacing w:after="0"/>
              <w:rPr>
                <w:sz w:val="20"/>
                <w:szCs w:val="20"/>
                <w:color w:val="auto"/>
              </w:rPr>
            </w:pPr>
          </w:p>
        </w:tc>
        <w:tc>
          <w:tcPr>
            <w:tcW w:w="9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9,884</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B2B2B2"/>
            </w:tcBorders>
          </w:tcPr>
          <w:p>
            <w:pPr>
              <w:spacing w:after="0"/>
              <w:rPr>
                <w:sz w:val="20"/>
                <w:szCs w:val="20"/>
                <w:color w:val="auto"/>
              </w:rPr>
            </w:pP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7,357</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B2B2B2"/>
            </w:tcBorders>
          </w:tcPr>
          <w:p>
            <w:pPr>
              <w:spacing w:after="0"/>
              <w:rPr>
                <w:sz w:val="20"/>
                <w:szCs w:val="20"/>
                <w:color w:val="auto"/>
              </w:rPr>
            </w:pP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9,974</w:t>
            </w:r>
          </w:p>
        </w:tc>
      </w:tr>
      <w:tr>
        <w:trPr>
          <w:trHeight w:val="237"/>
        </w:trPr>
        <w:tc>
          <w:tcPr>
            <w:tcW w:w="2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Defense</w:t>
            </w: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center"/>
              <w:ind w:left="259"/>
              <w:spacing w:after="0"/>
              <w:rPr>
                <w:sz w:val="20"/>
                <w:szCs w:val="20"/>
                <w:color w:val="auto"/>
              </w:rPr>
            </w:pPr>
            <w:r>
              <w:rPr>
                <w:rFonts w:ascii="Arial" w:cs="Arial" w:eastAsia="Arial" w:hAnsi="Arial"/>
                <w:sz w:val="16"/>
                <w:szCs w:val="16"/>
                <w:b w:val="1"/>
                <w:bCs w:val="1"/>
                <w:color w:val="auto"/>
                <w:w w:val="99"/>
              </w:rPr>
              <w:t>2,652</w:t>
            </w:r>
          </w:p>
        </w:tc>
        <w:tc>
          <w:tcPr>
            <w:tcW w:w="80" w:type="dxa"/>
            <w:vAlign w:val="bottom"/>
            <w:tcBorders>
              <w:bottom w:val="single" w:sz="8" w:color="B2B2B2"/>
            </w:tcBorders>
            <w:shd w:val="clear" w:color="auto" w:fill="F4E8F3"/>
          </w:tcPr>
          <w:p>
            <w:pPr>
              <w:spacing w:after="0"/>
              <w:rPr>
                <w:sz w:val="20"/>
                <w:szCs w:val="20"/>
                <w:color w:val="auto"/>
              </w:rPr>
            </w:pPr>
          </w:p>
        </w:tc>
        <w:tc>
          <w:tcPr>
            <w:tcW w:w="160" w:type="dxa"/>
            <w:vAlign w:val="bottom"/>
            <w:tcBorders>
              <w:bottom w:val="single" w:sz="8" w:color="901588"/>
            </w:tcBorders>
            <w:shd w:val="clear" w:color="auto" w:fill="F4E8F3"/>
          </w:tcPr>
          <w:p>
            <w:pPr>
              <w:spacing w:after="0"/>
              <w:rPr>
                <w:sz w:val="20"/>
                <w:szCs w:val="20"/>
                <w:color w:val="auto"/>
              </w:rPr>
            </w:pP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9,938</w:t>
            </w:r>
          </w:p>
        </w:tc>
        <w:tc>
          <w:tcPr>
            <w:tcW w:w="100" w:type="dxa"/>
            <w:vAlign w:val="bottom"/>
            <w:tcBorders>
              <w:bottom w:val="single" w:sz="8" w:color="B2B2B2"/>
            </w:tcBorders>
            <w:shd w:val="clear" w:color="auto" w:fill="F4E8F3"/>
          </w:tcPr>
          <w:p>
            <w:pPr>
              <w:spacing w:after="0"/>
              <w:rPr>
                <w:sz w:val="20"/>
                <w:szCs w:val="20"/>
                <w:color w:val="auto"/>
              </w:rPr>
            </w:pPr>
          </w:p>
        </w:tc>
        <w:tc>
          <w:tcPr>
            <w:tcW w:w="420" w:type="dxa"/>
            <w:vAlign w:val="bottom"/>
            <w:tcBorders>
              <w:bottom w:val="single" w:sz="8" w:color="901588"/>
            </w:tcBorders>
            <w:shd w:val="clear" w:color="auto" w:fill="F4E8F3"/>
          </w:tcPr>
          <w:p>
            <w:pPr>
              <w:spacing w:after="0"/>
              <w:rPr>
                <w:sz w:val="20"/>
                <w:szCs w:val="20"/>
                <w:color w:val="auto"/>
              </w:rPr>
            </w:pP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12,590</w:t>
            </w:r>
          </w:p>
        </w:tc>
        <w:tc>
          <w:tcPr>
            <w:tcW w:w="100" w:type="dxa"/>
            <w:vAlign w:val="bottom"/>
            <w:tcBorders>
              <w:bottom w:val="single" w:sz="8" w:color="B2B2B2"/>
            </w:tcBorders>
          </w:tcPr>
          <w:p>
            <w:pPr>
              <w:spacing w:after="0"/>
              <w:rPr>
                <w:sz w:val="20"/>
                <w:szCs w:val="20"/>
                <w:color w:val="auto"/>
              </w:rPr>
            </w:pPr>
          </w:p>
        </w:tc>
        <w:tc>
          <w:tcPr>
            <w:tcW w:w="42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B2B2B2"/>
            </w:tcBorders>
          </w:tcPr>
          <w:p>
            <w:pPr>
              <w:spacing w:after="0"/>
              <w:rPr>
                <w:sz w:val="20"/>
                <w:szCs w:val="20"/>
                <w:color w:val="auto"/>
              </w:rPr>
            </w:pPr>
          </w:p>
        </w:tc>
        <w:tc>
          <w:tcPr>
            <w:tcW w:w="160" w:type="dxa"/>
            <w:vAlign w:val="bottom"/>
            <w:tcBorders>
              <w:bottom w:val="single" w:sz="8" w:color="901588"/>
            </w:tcBorders>
          </w:tcPr>
          <w:p>
            <w:pPr>
              <w:spacing w:after="0"/>
              <w:rPr>
                <w:sz w:val="20"/>
                <w:szCs w:val="20"/>
                <w:color w:val="auto"/>
              </w:rPr>
            </w:pP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8,576</w:t>
            </w:r>
          </w:p>
        </w:tc>
        <w:tc>
          <w:tcPr>
            <w:tcW w:w="100" w:type="dxa"/>
            <w:vAlign w:val="bottom"/>
            <w:tcBorders>
              <w:bottom w:val="single" w:sz="8" w:color="B2B2B2"/>
            </w:tcBorders>
          </w:tcPr>
          <w:p>
            <w:pPr>
              <w:spacing w:after="0"/>
              <w:rPr>
                <w:sz w:val="20"/>
                <w:szCs w:val="20"/>
                <w:color w:val="auto"/>
              </w:rPr>
            </w:pPr>
          </w:p>
        </w:tc>
        <w:tc>
          <w:tcPr>
            <w:tcW w:w="440" w:type="dxa"/>
            <w:vAlign w:val="bottom"/>
            <w:tcBorders>
              <w:bottom w:val="single" w:sz="8" w:color="901588"/>
            </w:tcBorders>
          </w:tcPr>
          <w:p>
            <w:pPr>
              <w:spacing w:after="0"/>
              <w:rPr>
                <w:sz w:val="20"/>
                <w:szCs w:val="20"/>
                <w:color w:val="auto"/>
              </w:rPr>
            </w:pP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10,711</w:t>
            </w:r>
          </w:p>
        </w:tc>
      </w:tr>
      <w:tr>
        <w:trPr>
          <w:trHeight w:val="300"/>
        </w:trPr>
        <w:tc>
          <w:tcPr>
            <w:tcW w:w="280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901588"/>
            </w:tcBorders>
            <w:shd w:val="clear" w:color="auto" w:fill="F4E8F3"/>
          </w:tcPr>
          <w:p>
            <w:pPr>
              <w:jc w:val="right"/>
              <w:ind w:right="2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901588"/>
            </w:tcBorders>
            <w:shd w:val="clear" w:color="auto" w:fill="F4E8F3"/>
          </w:tcPr>
          <w:p>
            <w:pPr>
              <w:jc w:val="center"/>
              <w:ind w:left="259"/>
              <w:spacing w:after="0"/>
              <w:rPr>
                <w:sz w:val="20"/>
                <w:szCs w:val="20"/>
                <w:color w:val="auto"/>
              </w:rPr>
            </w:pPr>
            <w:r>
              <w:rPr>
                <w:rFonts w:ascii="Arial" w:cs="Arial" w:eastAsia="Arial" w:hAnsi="Arial"/>
                <w:sz w:val="16"/>
                <w:szCs w:val="16"/>
                <w:b w:val="1"/>
                <w:bCs w:val="1"/>
                <w:color w:val="auto"/>
                <w:w w:val="99"/>
              </w:rPr>
              <w:t>9,598</w:t>
            </w:r>
          </w:p>
        </w:tc>
        <w:tc>
          <w:tcPr>
            <w:tcW w:w="80" w:type="dxa"/>
            <w:vAlign w:val="bottom"/>
            <w:tcBorders>
              <w:bottom w:val="single" w:sz="8" w:color="901588"/>
            </w:tcBorders>
            <w:shd w:val="clear" w:color="auto" w:fill="F4E8F3"/>
          </w:tcPr>
          <w:p>
            <w:pPr>
              <w:spacing w:after="0"/>
              <w:rPr>
                <w:sz w:val="24"/>
                <w:szCs w:val="24"/>
                <w:color w:val="auto"/>
              </w:rPr>
            </w:pPr>
          </w:p>
        </w:tc>
        <w:tc>
          <w:tcPr>
            <w:tcW w:w="16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38,771</w:t>
            </w:r>
          </w:p>
        </w:tc>
        <w:tc>
          <w:tcPr>
            <w:tcW w:w="100" w:type="dxa"/>
            <w:vAlign w:val="bottom"/>
            <w:tcBorders>
              <w:bottom w:val="single" w:sz="8" w:color="901588"/>
            </w:tcBorders>
            <w:shd w:val="clear" w:color="auto" w:fill="F4E8F3"/>
          </w:tcPr>
          <w:p>
            <w:pPr>
              <w:spacing w:after="0"/>
              <w:rPr>
                <w:sz w:val="24"/>
                <w:szCs w:val="24"/>
                <w:color w:val="auto"/>
              </w:rPr>
            </w:pPr>
          </w:p>
        </w:tc>
        <w:tc>
          <w:tcPr>
            <w:tcW w:w="420" w:type="dxa"/>
            <w:vAlign w:val="bottom"/>
            <w:tcBorders>
              <w:bottom w:val="single" w:sz="8" w:color="901588"/>
            </w:tcBorders>
            <w:shd w:val="clear" w:color="auto" w:fill="F4E8F3"/>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48,369</w:t>
            </w:r>
          </w:p>
        </w:tc>
        <w:tc>
          <w:tcPr>
            <w:tcW w:w="520" w:type="dxa"/>
            <w:vAlign w:val="bottom"/>
            <w:tcBorders>
              <w:bottom w:val="single" w:sz="8" w:color="901588"/>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7,329</w:t>
            </w:r>
          </w:p>
        </w:tc>
        <w:tc>
          <w:tcPr>
            <w:tcW w:w="100" w:type="dxa"/>
            <w:vAlign w:val="bottom"/>
            <w:tcBorders>
              <w:bottom w:val="single" w:sz="8" w:color="901588"/>
            </w:tcBorders>
          </w:tcPr>
          <w:p>
            <w:pPr>
              <w:spacing w:after="0"/>
              <w:rPr>
                <w:sz w:val="24"/>
                <w:szCs w:val="24"/>
                <w:color w:val="auto"/>
              </w:rPr>
            </w:pPr>
          </w:p>
        </w:tc>
        <w:tc>
          <w:tcPr>
            <w:tcW w:w="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38,967</w:t>
            </w:r>
          </w:p>
        </w:tc>
        <w:tc>
          <w:tcPr>
            <w:tcW w:w="100" w:type="dxa"/>
            <w:vAlign w:val="bottom"/>
            <w:tcBorders>
              <w:bottom w:val="single" w:sz="8" w:color="901588"/>
            </w:tcBorders>
          </w:tcPr>
          <w:p>
            <w:pPr>
              <w:spacing w:after="0"/>
              <w:rPr>
                <w:sz w:val="24"/>
                <w:szCs w:val="24"/>
                <w:color w:val="auto"/>
              </w:rPr>
            </w:pPr>
          </w:p>
        </w:tc>
        <w:tc>
          <w:tcPr>
            <w:tcW w:w="440" w:type="dxa"/>
            <w:vAlign w:val="bottom"/>
            <w:tcBorders>
              <w:bottom w:val="single" w:sz="8" w:color="901588"/>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46,296</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Backlog at April 3, 2026, includes $371 million acquired through the acquisition of Entrust within the Homeland reportable segment.</w:t>
      </w:r>
    </w:p>
    <w:p>
      <w:pPr>
        <w:spacing w:after="0" w:line="12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Backlog represents the revenues we expect to recognize under negotiated contracts and unissued task orders on sole source IDIQ contracts, to the extent we believe their execution and funding to be probable. Backlog does not include potential task orders expected to be awarded under multiple award IDIQ contracts.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Backlog estimates are subject to change and may be affected by factors including modifications of contracts and foreign currency movements.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OVERVIEW OF LIQUIDITY</w:t>
      </w:r>
    </w:p>
    <w:p>
      <w:pPr>
        <w:spacing w:after="0" w:line="13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As of April 3, 2026, we had $457 million in cash and cash equivalents. We have a senior unsecured revolving credit facility which can provide up to $1.5 billion in additional borrowing, if required. As of April 3, 2026, and January 2, 2026, there were no borrowings outstanding under the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We had outstanding debt of $6.3 billion and $4.6 billion at April 3, 2026, and January 2, 2026 respectively. In March 2026, we issued and sold $600 million</w:t>
      </w:r>
    </w:p>
    <w:p>
      <w:pPr>
        <w:spacing w:after="0" w:line="3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4.10% and $800 million 5.00% senior unsecured notes maturing in March 2029 and March 2036, respectively. The annual interest rate is payable on a semi-annual basis. The proceeds from the notes were used to fund a portion of the consideration payable in connection with the acquisition of Entrust and for general corporate purposes.</w:t>
      </w:r>
    </w:p>
    <w:p>
      <w:pPr>
        <w:spacing w:after="0" w:line="7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We have a commercial paper program in which we may issue short-term unsecured commercial paper notes ("Commercial Paper Notes") and have maturities of up to 397 days from the date of issuance. As of April 3, 2026, we had $300 million of Commercial Paper Notes outstanding. As of January 2, 2026, we did not have any Commercial Paper Notes outstanding.</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made $5 million and $529 million principal payments on our long-term debt during the three months ended April 3, 2026 and April 4, 2025,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activity for the three months ended April 4, 2025, included a $500 million payment to discharge the $500 million notes due May 2025.</w:t>
      </w:r>
    </w:p>
    <w:p>
      <w:pPr>
        <w:spacing w:after="0" w:line="140"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Our senior unsecured revolving credit facility, Commercial Paper Notes, senior unsecured term loan and notes outstanding as of April 3, 2026, contain financial covenants and customary restrictive covenants. We were in compliance with all financial covenants as of April 3, 2026.</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We paid dividends of $55 million and $53 million during the three months ended April 3, 2026, and April 4, 2025,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Stock repurchases of Leidos common stock may be made on the open market or in privately negotiated transactions with third parties including through accelerated share repurchase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59" w:lineRule="exact"/>
        <w:rPr>
          <w:sz w:val="20"/>
          <w:szCs w:val="20"/>
          <w:color w:val="auto"/>
        </w:rPr>
      </w:pPr>
    </w:p>
    <w:p>
      <w:pPr>
        <w:jc w:val="both"/>
        <w:ind w:right="340"/>
        <w:spacing w:after="0" w:line="292" w:lineRule="auto"/>
        <w:rPr>
          <w:sz w:val="20"/>
          <w:szCs w:val="20"/>
          <w:color w:val="auto"/>
        </w:rPr>
      </w:pPr>
      <w:r>
        <w:rPr>
          <w:rFonts w:ascii="Arial" w:cs="Arial" w:eastAsia="Arial" w:hAnsi="Arial"/>
          <w:sz w:val="16"/>
          <w:szCs w:val="16"/>
          <w:color w:val="auto"/>
        </w:rPr>
        <w:t>We made open market repurchases of our common stock for an aggregate purchase price of $200 million during the three months ended April 3, 2026. During the three months ended April 4, 2025, we did not make any open market repurchases; however, we repurchased $500 million of shares under an accelerated share repurchase agreement.</w:t>
      </w:r>
    </w:p>
    <w:p>
      <w:pPr>
        <w:spacing w:after="0" w:line="71"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During the three months ended April 3, 2026, we invested $6 million in an investment fund as a limited partner, In connection with this investment, we have committed to invest an additional $94 million over the next five years. We expect to fund this investment with cash on hand and cash generated through our operations.</w:t>
      </w:r>
    </w:p>
    <w:p>
      <w:pPr>
        <w:spacing w:after="0" w:line="7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SUMMARY OF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20"/>
                <w:szCs w:val="20"/>
                <w:color w:val="auto"/>
              </w:rPr>
            </w:pPr>
            <w:r>
              <w:rPr>
                <w:rFonts w:ascii="Arial" w:cs="Arial" w:eastAsia="Arial" w:hAnsi="Arial"/>
                <w:sz w:val="16"/>
                <w:szCs w:val="16"/>
                <w:color w:val="auto"/>
              </w:rPr>
              <w:t>The following table summarizes cash flow information for the periods presented:</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8"/>
        </w:trPr>
        <w:tc>
          <w:tcPr>
            <w:tcW w:w="8120" w:type="dxa"/>
            <w:vAlign w:val="bottom"/>
          </w:tcPr>
          <w:p>
            <w:pPr>
              <w:spacing w:after="0"/>
              <w:rPr>
                <w:sz w:val="23"/>
                <w:szCs w:val="23"/>
                <w:color w:val="auto"/>
              </w:rPr>
            </w:pPr>
          </w:p>
        </w:tc>
        <w:tc>
          <w:tcPr>
            <w:tcW w:w="440" w:type="dxa"/>
            <w:vAlign w:val="bottom"/>
            <w:tcBorders>
              <w:bottom w:val="single" w:sz="8" w:color="901588"/>
            </w:tcBorders>
          </w:tcPr>
          <w:p>
            <w:pPr>
              <w:spacing w:after="0"/>
              <w:rPr>
                <w:sz w:val="23"/>
                <w:szCs w:val="23"/>
                <w:color w:val="auto"/>
              </w:rPr>
            </w:pPr>
          </w:p>
        </w:tc>
        <w:tc>
          <w:tcPr>
            <w:tcW w:w="2040" w:type="dxa"/>
            <w:vAlign w:val="bottom"/>
            <w:tcBorders>
              <w:bottom w:val="single" w:sz="8" w:color="901588"/>
            </w:tcBorders>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901588"/>
            </w:tcBorders>
          </w:tcPr>
          <w:p>
            <w:pPr>
              <w:spacing w:after="0"/>
              <w:rPr>
                <w:sz w:val="23"/>
                <w:szCs w:val="23"/>
                <w:color w:val="auto"/>
              </w:rPr>
            </w:pPr>
          </w:p>
        </w:tc>
      </w:tr>
      <w:tr>
        <w:trPr>
          <w:trHeight w:val="213"/>
        </w:trPr>
        <w:tc>
          <w:tcPr>
            <w:tcW w:w="8120" w:type="dxa"/>
            <w:vAlign w:val="bottom"/>
          </w:tcPr>
          <w:p>
            <w:pPr>
              <w:spacing w:after="0"/>
              <w:rPr>
                <w:sz w:val="18"/>
                <w:szCs w:val="18"/>
                <w:color w:val="auto"/>
              </w:rPr>
            </w:pPr>
          </w:p>
        </w:tc>
        <w:tc>
          <w:tcPr>
            <w:tcW w:w="440" w:type="dxa"/>
            <w:vAlign w:val="bottom"/>
            <w:shd w:val="clear" w:color="auto" w:fill="F4E8F3"/>
          </w:tcPr>
          <w:p>
            <w:pPr>
              <w:spacing w:after="0"/>
              <w:rPr>
                <w:sz w:val="18"/>
                <w:szCs w:val="18"/>
                <w:color w:val="auto"/>
              </w:rPr>
            </w:pPr>
          </w:p>
        </w:tc>
        <w:tc>
          <w:tcPr>
            <w:tcW w:w="112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April 4,</w:t>
            </w:r>
          </w:p>
        </w:tc>
      </w:tr>
      <w:tr>
        <w:trPr>
          <w:trHeight w:val="22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901588"/>
            </w:tcBorders>
            <w:shd w:val="clear" w:color="auto" w:fill="F4E8F3"/>
          </w:tcPr>
          <w:p>
            <w:pPr>
              <w:spacing w:after="0"/>
              <w:rPr>
                <w:sz w:val="19"/>
                <w:szCs w:val="19"/>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920" w:type="dxa"/>
            <w:vAlign w:val="bottom"/>
            <w:tcBorders>
              <w:bottom w:val="single" w:sz="8" w:color="901588"/>
            </w:tcBorders>
          </w:tcPr>
          <w:p>
            <w:pPr>
              <w:spacing w:after="0"/>
              <w:rPr>
                <w:sz w:val="19"/>
                <w:szCs w:val="19"/>
                <w:color w:val="auto"/>
              </w:rPr>
            </w:pPr>
          </w:p>
        </w:tc>
        <w:tc>
          <w:tcPr>
            <w:tcW w:w="6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2025</w:t>
            </w:r>
          </w:p>
        </w:tc>
      </w:tr>
      <w:tr>
        <w:trPr>
          <w:trHeight w:val="236"/>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40" w:type="dxa"/>
            <w:vAlign w:val="bottom"/>
            <w:tcBorders>
              <w:bottom w:val="single" w:sz="8" w:color="B2B2B2"/>
            </w:tcBorders>
            <w:shd w:val="clear" w:color="auto" w:fill="F4E8F3"/>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301</w:t>
            </w:r>
          </w:p>
        </w:tc>
        <w:tc>
          <w:tcPr>
            <w:tcW w:w="920" w:type="dxa"/>
            <w:vAlign w:val="bottom"/>
            <w:tcBorders>
              <w:bottom w:val="single" w:sz="8" w:color="B2B2B2"/>
            </w:tcBorders>
          </w:tcPr>
          <w:p>
            <w:pPr>
              <w:jc w:val="right"/>
              <w:ind w:right="6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8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Borders>
              <w:bottom w:val="single" w:sz="8" w:color="B2B2B2"/>
            </w:tcBorders>
            <w:shd w:val="clear" w:color="auto" w:fill="F4E8F3"/>
          </w:tcPr>
          <w:p>
            <w:pPr>
              <w:spacing w:after="0"/>
              <w:rPr>
                <w:sz w:val="20"/>
                <w:szCs w:val="20"/>
                <w:color w:val="auto"/>
              </w:rPr>
            </w:pPr>
          </w:p>
        </w:tc>
        <w:tc>
          <w:tcPr>
            <w:tcW w:w="112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(2,359)</w:t>
            </w:r>
          </w:p>
        </w:tc>
        <w:tc>
          <w:tcPr>
            <w:tcW w:w="920" w:type="dxa"/>
            <w:vAlign w:val="bottom"/>
            <w:tcBorders>
              <w:bottom w:val="single" w:sz="8" w:color="B2B2B2"/>
            </w:tcBorders>
          </w:tcPr>
          <w:p>
            <w:pPr>
              <w:spacing w:after="0"/>
              <w:rPr>
                <w:sz w:val="20"/>
                <w:szCs w:val="20"/>
                <w:color w:val="auto"/>
              </w:rPr>
            </w:pPr>
          </w:p>
        </w:tc>
        <w:tc>
          <w:tcPr>
            <w:tcW w:w="6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236"/>
        </w:trPr>
        <w:tc>
          <w:tcPr>
            <w:tcW w:w="8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440" w:type="dxa"/>
            <w:vAlign w:val="bottom"/>
            <w:tcBorders>
              <w:bottom w:val="single" w:sz="8" w:color="901588"/>
            </w:tcBorders>
            <w:shd w:val="clear" w:color="auto" w:fill="F4E8F3"/>
          </w:tcPr>
          <w:p>
            <w:pPr>
              <w:spacing w:after="0"/>
              <w:rPr>
                <w:sz w:val="20"/>
                <w:szCs w:val="20"/>
                <w:color w:val="auto"/>
              </w:rPr>
            </w:pPr>
          </w:p>
        </w:tc>
        <w:tc>
          <w:tcPr>
            <w:tcW w:w="112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1,393</w:t>
            </w:r>
          </w:p>
        </w:tc>
        <w:tc>
          <w:tcPr>
            <w:tcW w:w="920" w:type="dxa"/>
            <w:vAlign w:val="bottom"/>
            <w:tcBorders>
              <w:bottom w:val="single" w:sz="8" w:color="901588"/>
            </w:tcBorders>
          </w:tcPr>
          <w:p>
            <w:pPr>
              <w:spacing w:after="0"/>
              <w:rPr>
                <w:sz w:val="20"/>
                <w:szCs w:val="20"/>
                <w:color w:val="auto"/>
              </w:rPr>
            </w:pPr>
          </w:p>
        </w:tc>
        <w:tc>
          <w:tcPr>
            <w:tcW w:w="6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(110)</w:t>
            </w:r>
          </w:p>
        </w:tc>
      </w:tr>
    </w:tbl>
    <w:p>
      <w:pPr>
        <w:spacing w:after="0" w:line="18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Net cash provided by operating activities increased $243 million during the three months ended April 3, 2026, when compared to the prior year quarter. The increase was primarily due to favorable changes in working capital.</w:t>
      </w:r>
    </w:p>
    <w:p>
      <w:pPr>
        <w:spacing w:after="0" w:line="3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auto"/>
        </w:rPr>
        <w:t>Net cash used in investing activities increased $2,337 million for the three months ended April 3, 2026, when compared to the prior year quarter. The increase was primarily due to $2,338 million of net cash paid in connection with the acquisition of Entrust.</w:t>
      </w:r>
    </w:p>
    <w:p>
      <w:pPr>
        <w:spacing w:after="0" w:line="3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Net cash provided by financing activities increased $1,503 million for the three months ended April 3, 2026, when compared to the prior year quarter. The increase was primarily due a net increase of $1,216 million in cash inflows from debt activity, consisting of proceeds from debt issuances and payments for borrowings and debt issuance costs. The increase was also related to a $300 million net decrease in stock repurchases primarily attributable to the prior year accelerated share repurchase activities.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have outstanding performance guarantees and cross-indemnity agreements in connection with certain aspects of our business and future commitments related to an investment fund. We also have letters of credit outstanding principally related to performance guarantees on contracts and surety bonds outstanding principally related to performance and subcontractor payment bonds as described in "Note 10–Commitments and Contingencies" of the notes to the condensed consolidated financial statements contained within this Quarterly Report on Form 10-Q. These arrangements have not had, and management does not believe it is likely that they will in the future have, a material effect on our liquidity, capital expenditures or capital resources, operations or financial condition.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GUARANTOR AND ISSUER OF GUARANTEED SECURITIES</w:t>
      </w:r>
    </w:p>
    <w:p>
      <w:pPr>
        <w:spacing w:after="0" w:line="1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Leidos Holdings, Inc. (“Guarantor”) has fully and unconditionally guaranteed the debt securities of its subsidiary, Leidos, Inc. (“Issuer”), that were issued pursuant to transactions that were registered under the Securities Act of 1933, as amended (collectively, the “Registered Notes”). The following is a list of the Registered Notes guaranteed by Leidos Holdings, Inc.</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Registered Notes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$600 million 4.100% notes, due March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4.375% notes, due May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5.400% notes, due March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$750 million 5.750% notes, due March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million 5.500% notes, due March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$800 million 5.000% notes, due March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5.500% notes, due July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Additionally, Leidos, Inc. has fully and unconditionally guaranteed debt securities of Leidos Holding, Inc. that were issued pursuant to transactions that programs were not registered under the Securities Act of 1933, as amended. The following is a list of unregistered debt securities guaranteed by Leidos, Inc.</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 million 5.950% notes, due December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BALANCE SHEET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20" w:type="dxa"/>
            <w:vAlign w:val="bottom"/>
          </w:tcPr>
          <w:p>
            <w:pPr>
              <w:spacing w:after="0"/>
              <w:rPr>
                <w:sz w:val="17"/>
                <w:szCs w:val="17"/>
                <w:color w:val="auto"/>
              </w:rPr>
            </w:pPr>
          </w:p>
        </w:tc>
        <w:tc>
          <w:tcPr>
            <w:tcW w:w="780" w:type="dxa"/>
            <w:vAlign w:val="bottom"/>
            <w:shd w:val="clear" w:color="auto" w:fill="F4E8F3"/>
          </w:tcPr>
          <w:p>
            <w:pPr>
              <w:spacing w:after="0"/>
              <w:rPr>
                <w:sz w:val="17"/>
                <w:szCs w:val="17"/>
                <w:color w:val="auto"/>
              </w:rPr>
            </w:pPr>
          </w:p>
        </w:tc>
        <w:tc>
          <w:tcPr>
            <w:tcW w:w="12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January 2,</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901588"/>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2026</w:t>
            </w:r>
          </w:p>
        </w:tc>
      </w:tr>
      <w:tr>
        <w:trPr>
          <w:trHeight w:val="239"/>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assets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2,348</w:t>
            </w:r>
          </w:p>
        </w:tc>
        <w:tc>
          <w:tcPr>
            <w:tcW w:w="760" w:type="dxa"/>
            <w:vAlign w:val="bottom"/>
            <w:tcBorders>
              <w:bottom w:val="single" w:sz="8" w:color="B2B2B2"/>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3,036</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Goodwill</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5,666</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5,666</w:t>
            </w:r>
          </w:p>
        </w:tc>
      </w:tr>
      <w:tr>
        <w:trPr>
          <w:trHeight w:val="237"/>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assets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1,224</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1,250</w:t>
            </w:r>
          </w:p>
        </w:tc>
      </w:tr>
      <w:tr>
        <w:trPr>
          <w:trHeight w:val="236"/>
        </w:trPr>
        <w:tc>
          <w:tcPr>
            <w:tcW w:w="71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780" w:type="dxa"/>
            <w:vAlign w:val="bottom"/>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9,238</w:t>
            </w:r>
          </w:p>
        </w:tc>
        <w:tc>
          <w:tcPr>
            <w:tcW w:w="7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9,952</w:t>
            </w:r>
          </w:p>
        </w:tc>
      </w:tr>
      <w:tr>
        <w:trPr>
          <w:trHeight w:val="240"/>
        </w:trPr>
        <w:tc>
          <w:tcPr>
            <w:tcW w:w="7120" w:type="dxa"/>
            <w:vAlign w:val="bottom"/>
            <w:tcBorders>
              <w:top w:val="single" w:sz="8" w:color="B2B2B2"/>
              <w:bottom w:val="single" w:sz="8" w:color="B2B2B2"/>
            </w:tcBorders>
          </w:tcPr>
          <w:p>
            <w:pPr>
              <w:spacing w:after="0"/>
              <w:rPr>
                <w:sz w:val="20"/>
                <w:szCs w:val="20"/>
                <w:color w:val="auto"/>
              </w:rPr>
            </w:pPr>
          </w:p>
        </w:tc>
        <w:tc>
          <w:tcPr>
            <w:tcW w:w="780" w:type="dxa"/>
            <w:vAlign w:val="bottom"/>
            <w:tcBorders>
              <w:top w:val="single" w:sz="8" w:color="901588"/>
              <w:bottom w:val="single" w:sz="8" w:color="B2B2B2"/>
            </w:tcBorders>
            <w:shd w:val="clear" w:color="auto" w:fill="F4E8F3"/>
          </w:tcPr>
          <w:p>
            <w:pPr>
              <w:spacing w:after="0"/>
              <w:rPr>
                <w:sz w:val="20"/>
                <w:szCs w:val="20"/>
                <w:color w:val="auto"/>
              </w:rPr>
            </w:pPr>
          </w:p>
        </w:tc>
        <w:tc>
          <w:tcPr>
            <w:tcW w:w="1240" w:type="dxa"/>
            <w:vAlign w:val="bottom"/>
            <w:tcBorders>
              <w:top w:val="single" w:sz="8" w:color="901588"/>
              <w:bottom w:val="single" w:sz="8" w:color="B2B2B2"/>
            </w:tcBorders>
            <w:shd w:val="clear" w:color="auto" w:fill="F4E8F3"/>
          </w:tcPr>
          <w:p>
            <w:pPr>
              <w:spacing w:after="0"/>
              <w:rPr>
                <w:sz w:val="20"/>
                <w:szCs w:val="20"/>
                <w:color w:val="auto"/>
              </w:rPr>
            </w:pPr>
          </w:p>
        </w:tc>
        <w:tc>
          <w:tcPr>
            <w:tcW w:w="80" w:type="dxa"/>
            <w:vAlign w:val="bottom"/>
            <w:tcBorders>
              <w:top w:val="single" w:sz="8" w:color="B2B2B2"/>
              <w:bottom w:val="single" w:sz="8" w:color="B2B2B2"/>
            </w:tcBorders>
          </w:tcPr>
          <w:p>
            <w:pPr>
              <w:spacing w:after="0"/>
              <w:rPr>
                <w:sz w:val="20"/>
                <w:szCs w:val="20"/>
                <w:color w:val="auto"/>
              </w:rPr>
            </w:pPr>
          </w:p>
        </w:tc>
        <w:tc>
          <w:tcPr>
            <w:tcW w:w="680" w:type="dxa"/>
            <w:vAlign w:val="bottom"/>
            <w:tcBorders>
              <w:top w:val="single" w:sz="8" w:color="901588"/>
              <w:bottom w:val="single" w:sz="8" w:color="B2B2B2"/>
            </w:tcBorders>
          </w:tcPr>
          <w:p>
            <w:pPr>
              <w:spacing w:after="0"/>
              <w:rPr>
                <w:sz w:val="20"/>
                <w:szCs w:val="20"/>
                <w:color w:val="auto"/>
              </w:rPr>
            </w:pPr>
          </w:p>
        </w:tc>
        <w:tc>
          <w:tcPr>
            <w:tcW w:w="1340" w:type="dxa"/>
            <w:vAlign w:val="bottom"/>
            <w:tcBorders>
              <w:top w:val="single" w:sz="8" w:color="901588"/>
              <w:bottom w:val="single" w:sz="8" w:color="B2B2B2"/>
            </w:tcBorders>
          </w:tcPr>
          <w:p>
            <w:pPr>
              <w:spacing w:after="0"/>
              <w:rPr>
                <w:sz w:val="20"/>
                <w:szCs w:val="20"/>
                <w:color w:val="auto"/>
              </w:rPr>
            </w:pPr>
          </w:p>
        </w:tc>
      </w:tr>
      <w:tr>
        <w:trPr>
          <w:trHeight w:val="233"/>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Total current liabilities</w:t>
            </w:r>
          </w:p>
        </w:tc>
        <w:tc>
          <w:tcPr>
            <w:tcW w:w="780" w:type="dxa"/>
            <w:vAlign w:val="bottom"/>
            <w:tcBorders>
              <w:bottom w:val="single" w:sz="8" w:color="B2B2B2"/>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2,184</w:t>
            </w:r>
          </w:p>
        </w:tc>
        <w:tc>
          <w:tcPr>
            <w:tcW w:w="760" w:type="dxa"/>
            <w:vAlign w:val="bottom"/>
            <w:tcBorders>
              <w:bottom w:val="single" w:sz="8" w:color="B2B2B2"/>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1,954</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6,014</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4,628</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Intercompany payables</w:t>
            </w:r>
          </w:p>
        </w:tc>
        <w:tc>
          <w:tcPr>
            <w:tcW w:w="780" w:type="dxa"/>
            <w:vAlign w:val="bottom"/>
            <w:tcBorders>
              <w:bottom w:val="single" w:sz="8" w:color="B2B2B2"/>
            </w:tcBorders>
            <w:shd w:val="clear" w:color="auto" w:fill="F4E8F3"/>
          </w:tcPr>
          <w:p>
            <w:pPr>
              <w:spacing w:after="0"/>
              <w:rPr>
                <w:sz w:val="20"/>
                <w:szCs w:val="20"/>
                <w:color w:val="auto"/>
              </w:rPr>
            </w:pPr>
          </w:p>
        </w:tc>
        <w:tc>
          <w:tcPr>
            <w:tcW w:w="124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5,020</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4,706</w:t>
            </w:r>
          </w:p>
        </w:tc>
      </w:tr>
      <w:tr>
        <w:trPr>
          <w:trHeight w:val="236"/>
        </w:trPr>
        <w:tc>
          <w:tcPr>
            <w:tcW w:w="71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Other long-term liabilities</w:t>
            </w:r>
          </w:p>
        </w:tc>
        <w:tc>
          <w:tcPr>
            <w:tcW w:w="780" w:type="dxa"/>
            <w:vAlign w:val="bottom"/>
            <w:tcBorders>
              <w:bottom w:val="single" w:sz="8" w:color="901588"/>
            </w:tcBorders>
            <w:shd w:val="clear" w:color="auto" w:fill="F4E8F3"/>
          </w:tcPr>
          <w:p>
            <w:pPr>
              <w:spacing w:after="0"/>
              <w:rPr>
                <w:sz w:val="20"/>
                <w:szCs w:val="20"/>
                <w:color w:val="auto"/>
              </w:rPr>
            </w:pP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949</w:t>
            </w:r>
          </w:p>
        </w:tc>
        <w:tc>
          <w:tcPr>
            <w:tcW w:w="80" w:type="dxa"/>
            <w:vAlign w:val="bottom"/>
            <w:tcBorders>
              <w:bottom w:val="single" w:sz="8" w:color="B2B2B2"/>
            </w:tcBorders>
          </w:tcPr>
          <w:p>
            <w:pPr>
              <w:spacing w:after="0"/>
              <w:rPr>
                <w:sz w:val="20"/>
                <w:szCs w:val="20"/>
                <w:color w:val="auto"/>
              </w:rPr>
            </w:pPr>
          </w:p>
        </w:tc>
        <w:tc>
          <w:tcPr>
            <w:tcW w:w="680" w:type="dxa"/>
            <w:vAlign w:val="bottom"/>
            <w:tcBorders>
              <w:bottom w:val="single" w:sz="8" w:color="901588"/>
            </w:tcBorders>
          </w:tcPr>
          <w:p>
            <w:pPr>
              <w:spacing w:after="0"/>
              <w:rPr>
                <w:sz w:val="20"/>
                <w:szCs w:val="20"/>
                <w:color w:val="auto"/>
              </w:rPr>
            </w:pP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942</w:t>
            </w:r>
          </w:p>
        </w:tc>
      </w:tr>
      <w:tr>
        <w:trPr>
          <w:trHeight w:val="237"/>
        </w:trPr>
        <w:tc>
          <w:tcPr>
            <w:tcW w:w="712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Total liabilities</w:t>
            </w:r>
          </w:p>
        </w:tc>
        <w:tc>
          <w:tcPr>
            <w:tcW w:w="780" w:type="dxa"/>
            <w:vAlign w:val="bottom"/>
            <w:tcBorders>
              <w:bottom w:val="single" w:sz="8" w:color="901588"/>
            </w:tcBorders>
            <w:shd w:val="clear" w:color="auto" w:fill="F4E8F3"/>
          </w:tcPr>
          <w:p>
            <w:pPr>
              <w:jc w:val="right"/>
              <w:ind w:right="5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14,167</w:t>
            </w:r>
          </w:p>
        </w:tc>
        <w:tc>
          <w:tcPr>
            <w:tcW w:w="760" w:type="dxa"/>
            <w:vAlign w:val="bottom"/>
            <w:tcBorders>
              <w:bottom w:val="single" w:sz="8" w:color="901588"/>
            </w:tcBorders>
            <w:gridSpan w:val="2"/>
          </w:tcPr>
          <w:p>
            <w:pPr>
              <w:jc w:val="right"/>
              <w:ind w:right="5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12,230</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B15BAC"/>
        </w:rPr>
        <w:t>STATEMENT OF OPERATIONS INFORMATION FOR THE GUARANTOR AND ISSUER OF REGISTERED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40" w:type="dxa"/>
            <w:vAlign w:val="bottom"/>
          </w:tcPr>
          <w:p>
            <w:pPr>
              <w:spacing w:after="0"/>
              <w:rPr>
                <w:sz w:val="19"/>
                <w:szCs w:val="19"/>
                <w:color w:val="auto"/>
              </w:rPr>
            </w:pPr>
          </w:p>
        </w:tc>
        <w:tc>
          <w:tcPr>
            <w:tcW w:w="500" w:type="dxa"/>
            <w:vAlign w:val="bottom"/>
            <w:tcBorders>
              <w:bottom w:val="single" w:sz="8" w:color="901588"/>
            </w:tcBorders>
          </w:tcPr>
          <w:p>
            <w:pPr>
              <w:spacing w:after="0"/>
              <w:rPr>
                <w:sz w:val="19"/>
                <w:szCs w:val="19"/>
                <w:color w:val="auto"/>
              </w:rPr>
            </w:pPr>
          </w:p>
        </w:tc>
        <w:tc>
          <w:tcPr>
            <w:tcW w:w="200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Three Months Ended</w:t>
            </w:r>
          </w:p>
        </w:tc>
      </w:tr>
      <w:tr>
        <w:trPr>
          <w:trHeight w:val="199"/>
        </w:trPr>
        <w:tc>
          <w:tcPr>
            <w:tcW w:w="8740" w:type="dxa"/>
            <w:vAlign w:val="bottom"/>
          </w:tcPr>
          <w:p>
            <w:pPr>
              <w:spacing w:after="0"/>
              <w:rPr>
                <w:sz w:val="17"/>
                <w:szCs w:val="17"/>
                <w:color w:val="auto"/>
              </w:rPr>
            </w:pPr>
          </w:p>
        </w:tc>
        <w:tc>
          <w:tcPr>
            <w:tcW w:w="500" w:type="dxa"/>
            <w:vAlign w:val="bottom"/>
            <w:shd w:val="clear" w:color="auto" w:fill="F4E8F3"/>
          </w:tcPr>
          <w:p>
            <w:pPr>
              <w:spacing w:after="0"/>
              <w:rPr>
                <w:sz w:val="17"/>
                <w:szCs w:val="17"/>
                <w:color w:val="auto"/>
              </w:rPr>
            </w:pPr>
          </w:p>
        </w:tc>
        <w:tc>
          <w:tcPr>
            <w:tcW w:w="2000" w:type="dxa"/>
            <w:vAlign w:val="bottom"/>
            <w:shd w:val="clear" w:color="auto" w:fill="F4E8F3"/>
          </w:tcPr>
          <w:p>
            <w:pPr>
              <w:jc w:val="right"/>
              <w:spacing w:after="0"/>
              <w:rPr>
                <w:sz w:val="20"/>
                <w:szCs w:val="20"/>
                <w:color w:val="auto"/>
              </w:rPr>
            </w:pPr>
            <w:r>
              <w:rPr>
                <w:rFonts w:ascii="Arial" w:cs="Arial" w:eastAsia="Arial" w:hAnsi="Arial"/>
                <w:sz w:val="16"/>
                <w:szCs w:val="16"/>
                <w:b w:val="1"/>
                <w:bCs w:val="1"/>
                <w:color w:val="auto"/>
              </w:rPr>
              <w:t>April 3,</w:t>
            </w:r>
          </w:p>
        </w:tc>
      </w:tr>
      <w:tr>
        <w:trPr>
          <w:trHeight w:val="237"/>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(in millions)</w:t>
            </w:r>
          </w:p>
        </w:tc>
        <w:tc>
          <w:tcPr>
            <w:tcW w:w="500" w:type="dxa"/>
            <w:vAlign w:val="bottom"/>
            <w:tcBorders>
              <w:bottom w:val="single" w:sz="8" w:color="901588"/>
            </w:tcBorders>
            <w:shd w:val="clear" w:color="auto" w:fill="F4E8F3"/>
          </w:tcPr>
          <w:p>
            <w:pPr>
              <w:spacing w:after="0"/>
              <w:rPr>
                <w:sz w:val="20"/>
                <w:szCs w:val="20"/>
                <w:color w:val="auto"/>
              </w:rPr>
            </w:pPr>
          </w:p>
        </w:tc>
        <w:tc>
          <w:tcPr>
            <w:tcW w:w="2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2026</w:t>
            </w:r>
          </w:p>
        </w:tc>
      </w:tr>
      <w:tr>
        <w:trPr>
          <w:trHeight w:val="239"/>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Revenues, net</w:t>
            </w:r>
          </w:p>
        </w:tc>
        <w:tc>
          <w:tcPr>
            <w:tcW w:w="500" w:type="dxa"/>
            <w:vAlign w:val="bottom"/>
            <w:tcBorders>
              <w:bottom w:val="single" w:sz="8" w:color="B2B2B2"/>
            </w:tcBorders>
            <w:shd w:val="clear" w:color="auto" w:fill="F4E8F3"/>
          </w:tcPr>
          <w:p>
            <w:pPr>
              <w:jc w:val="right"/>
              <w:ind w:right="299"/>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2,702</w:t>
            </w:r>
          </w:p>
        </w:tc>
      </w:tr>
      <w:tr>
        <w:trPr>
          <w:trHeight w:val="237"/>
        </w:trPr>
        <w:tc>
          <w:tcPr>
            <w:tcW w:w="874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Borders>
              <w:bottom w:val="single" w:sz="8" w:color="B2B2B2"/>
            </w:tcBorders>
            <w:shd w:val="clear" w:color="auto" w:fill="F4E8F3"/>
          </w:tcPr>
          <w:p>
            <w:pPr>
              <w:spacing w:after="0"/>
              <w:rPr>
                <w:sz w:val="20"/>
                <w:szCs w:val="20"/>
                <w:color w:val="auto"/>
              </w:rPr>
            </w:pPr>
          </w:p>
        </w:tc>
        <w:tc>
          <w:tcPr>
            <w:tcW w:w="2000" w:type="dxa"/>
            <w:vAlign w:val="bottom"/>
            <w:tcBorders>
              <w:bottom w:val="single" w:sz="8" w:color="B2B2B2"/>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190</w:t>
            </w:r>
          </w:p>
        </w:tc>
      </w:tr>
      <w:tr>
        <w:trPr>
          <w:trHeight w:val="237"/>
        </w:trPr>
        <w:tc>
          <w:tcPr>
            <w:tcW w:w="8740" w:type="dxa"/>
            <w:vAlign w:val="bottom"/>
            <w:tcBorders>
              <w:bottom w:val="single" w:sz="8" w:color="901588"/>
            </w:tcBorders>
          </w:tcPr>
          <w:p>
            <w:pPr>
              <w:ind w:left="20"/>
              <w:spacing w:after="0"/>
              <w:rPr>
                <w:sz w:val="20"/>
                <w:szCs w:val="20"/>
                <w:color w:val="auto"/>
              </w:rPr>
            </w:pPr>
            <w:r>
              <w:rPr>
                <w:rFonts w:ascii="Arial" w:cs="Arial" w:eastAsia="Arial" w:hAnsi="Arial"/>
                <w:sz w:val="16"/>
                <w:szCs w:val="16"/>
                <w:color w:val="auto"/>
              </w:rPr>
              <w:t>Net loss attributable to Leidos common stockholders</w:t>
            </w:r>
          </w:p>
        </w:tc>
        <w:tc>
          <w:tcPr>
            <w:tcW w:w="500" w:type="dxa"/>
            <w:vAlign w:val="bottom"/>
            <w:tcBorders>
              <w:bottom w:val="single" w:sz="8" w:color="901588"/>
            </w:tcBorders>
            <w:shd w:val="clear" w:color="auto" w:fill="F4E8F3"/>
          </w:tcPr>
          <w:p>
            <w:pPr>
              <w:spacing w:after="0"/>
              <w:rPr>
                <w:sz w:val="20"/>
                <w:szCs w:val="20"/>
                <w:color w:val="auto"/>
              </w:rPr>
            </w:pPr>
          </w:p>
        </w:tc>
        <w:tc>
          <w:tcPr>
            <w:tcW w:w="2000" w:type="dxa"/>
            <w:vAlign w:val="bottom"/>
            <w:tcBorders>
              <w:bottom w:val="single" w:sz="8" w:color="901588"/>
            </w:tcBorders>
            <w:shd w:val="clear" w:color="auto" w:fill="F4E8F3"/>
          </w:tcPr>
          <w:p>
            <w:pPr>
              <w:jc w:val="right"/>
              <w:spacing w:after="0"/>
              <w:rPr>
                <w:sz w:val="20"/>
                <w:szCs w:val="20"/>
                <w:color w:val="auto"/>
              </w:rPr>
            </w:pPr>
            <w:r>
              <w:rPr>
                <w:rFonts w:ascii="Arial" w:cs="Arial" w:eastAsia="Arial" w:hAnsi="Arial"/>
                <w:sz w:val="16"/>
                <w:szCs w:val="16"/>
                <w:b w:val="1"/>
                <w:bCs w:val="1"/>
                <w:color w:val="auto"/>
              </w:rPr>
              <w:t>(18)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12"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We are subject to a number of reviews, investigations, claims, lawsuits, other uncertainties and future obligations related to our business. For a discussion of these items, see "Note 10–Commitments and Contingencies" of the notes to the condensed consolidated financial statements contained within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1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material changes to our critical accounting policies, estimates or judgments that would have a significant impact on earnings during the period covered by this report from those discussed in our Annual Report on Form 10-K for the year ended January 2, 2026.</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AND ISSUED ACCOUNTING STANDARDS</w:t>
      </w:r>
    </w:p>
    <w:p>
      <w:pPr>
        <w:spacing w:after="0" w:line="11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For a discussion of these items, see "Note 1–Basis of Presentation and Summary of Significant Accounting Policies" of the notes to the condensed consolidated financial statements contained within this Quarterly Report on Form 10-Q.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27</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Quantitative and Qualitative Disclosures About Market Risk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market risk exposure from those discussed in our Annual Report on Form 10-K for the year ended January 2, 2026.</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1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April 3, 2026.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May 23, 2025, and March 27, 2026, we completed the acquisitions of Kudu Dynamics and Entrust, respectively. We are in the process of integrating Entrust into our system of internal control over financial reporting. As of April 3, 2026, we completed the integration of Kudu Dynamics into our controls over financial reporting.</w:t>
      </w:r>
    </w:p>
    <w:p>
      <w:pPr>
        <w:spacing w:after="0" w:line="50"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Other than the foregoing, there have been no changes in our internal control over financial reporting during the quarter ended April 3,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auto"/>
        </w:rPr>
        <w:t>Part II—Other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 Legal Proceedings</w:t>
      </w:r>
    </w:p>
    <w:p>
      <w:pPr>
        <w:spacing w:after="0" w:line="128"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We have furnished information relating to legal proceedings, and any investigations and reviews that we are involved with in "Note 10–Commitments and Contingencies" of the notes to the condensed consolidated financial statements contained within this Quarterly Report on Form 10-Q.</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1A. Risk Factors</w:t>
      </w:r>
    </w:p>
    <w:p>
      <w:pPr>
        <w:spacing w:after="0" w:line="141"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There were no material changes to the risks described in Part I, Item 1A "Risk Factors" in our Annual Report on Form 10-K for the year ended January 2, 2026.</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2. Unregistered Sales of Equity Securities and Use of Proceeds</w:t>
      </w:r>
    </w:p>
    <w:p>
      <w:pPr>
        <w:spacing w:after="0" w:line="141" w:lineRule="exact"/>
        <w:rPr>
          <w:sz w:val="20"/>
          <w:szCs w:val="20"/>
          <w:color w:val="auto"/>
        </w:rPr>
      </w:pPr>
    </w:p>
    <w:p>
      <w:pPr>
        <w:ind w:left="540" w:hanging="273"/>
        <w:spacing w:after="0"/>
        <w:tabs>
          <w:tab w:leader="none" w:pos="540" w:val="left"/>
        </w:tabs>
        <w:numPr>
          <w:ilvl w:val="0"/>
          <w:numId w:val="20"/>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13" w:lineRule="exact"/>
        <w:rPr>
          <w:rFonts w:ascii="Arial" w:cs="Arial" w:eastAsia="Arial" w:hAnsi="Arial"/>
          <w:sz w:val="13"/>
          <w:szCs w:val="13"/>
          <w:b w:val="1"/>
          <w:bCs w:val="1"/>
          <w:color w:val="auto"/>
        </w:rPr>
      </w:pPr>
    </w:p>
    <w:p>
      <w:pPr>
        <w:ind w:left="540" w:hanging="273"/>
        <w:spacing w:after="0"/>
        <w:tabs>
          <w:tab w:leader="none" w:pos="540" w:val="left"/>
        </w:tabs>
        <w:numPr>
          <w:ilvl w:val="0"/>
          <w:numId w:val="20"/>
        </w:numPr>
        <w:rPr>
          <w:rFonts w:ascii="Arial" w:cs="Arial" w:eastAsia="Arial" w:hAnsi="Arial"/>
          <w:sz w:val="13"/>
          <w:szCs w:val="13"/>
          <w:b w:val="1"/>
          <w:bCs w:val="1"/>
          <w:color w:val="auto"/>
        </w:rPr>
      </w:pPr>
      <w:r>
        <w:rPr>
          <w:rFonts w:ascii="Arial" w:cs="Arial" w:eastAsia="Arial" w:hAnsi="Arial"/>
          <w:sz w:val="16"/>
          <w:szCs w:val="16"/>
          <w:color w:val="auto"/>
        </w:rPr>
        <w:t>None</w:t>
      </w:r>
    </w:p>
    <w:p>
      <w:pPr>
        <w:spacing w:after="0" w:line="126" w:lineRule="exact"/>
        <w:rPr>
          <w:rFonts w:ascii="Arial" w:cs="Arial" w:eastAsia="Arial" w:hAnsi="Arial"/>
          <w:sz w:val="13"/>
          <w:szCs w:val="13"/>
          <w:b w:val="1"/>
          <w:bCs w:val="1"/>
          <w:color w:val="auto"/>
        </w:rPr>
      </w:pPr>
    </w:p>
    <w:p>
      <w:pPr>
        <w:ind w:left="540" w:hanging="273"/>
        <w:spacing w:after="0"/>
        <w:tabs>
          <w:tab w:leader="none" w:pos="540" w:val="left"/>
        </w:tabs>
        <w:numPr>
          <w:ilvl w:val="0"/>
          <w:numId w:val="20"/>
        </w:numPr>
        <w:rPr>
          <w:rFonts w:ascii="Arial" w:cs="Arial" w:eastAsia="Arial" w:hAnsi="Arial"/>
          <w:sz w:val="13"/>
          <w:szCs w:val="13"/>
          <w:b w:val="1"/>
          <w:bCs w:val="1"/>
          <w:color w:val="auto"/>
        </w:rPr>
      </w:pPr>
      <w:r>
        <w:rPr>
          <w:rFonts w:ascii="Arial" w:cs="Arial" w:eastAsia="Arial" w:hAnsi="Arial"/>
          <w:sz w:val="16"/>
          <w:szCs w:val="16"/>
          <w:color w:val="auto"/>
        </w:rPr>
        <w:t>Purchases of Equity Securities by the Issuer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repurchases of our common stock during the quarter ended April 3,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218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Shares (or Units)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Maximum Number</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Total Number</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Purchased as Part of</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of Shares (or Units)</w:t>
            </w:r>
          </w:p>
        </w:tc>
      </w:tr>
      <w:tr>
        <w:trPr>
          <w:trHeight w:val="189"/>
        </w:trPr>
        <w:tc>
          <w:tcPr>
            <w:tcW w:w="37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6"/>
                <w:szCs w:val="16"/>
                <w:b w:val="1"/>
                <w:bCs w:val="1"/>
                <w:color w:val="auto"/>
              </w:rPr>
              <w:t>of Shares</w:t>
            </w:r>
            <w:r>
              <w:rPr>
                <w:rFonts w:ascii="Arial" w:cs="Arial" w:eastAsia="Arial" w:hAnsi="Arial"/>
                <w:sz w:val="21"/>
                <w:szCs w:val="21"/>
                <w:b w:val="1"/>
                <w:bCs w:val="1"/>
                <w:color w:val="auto"/>
                <w:vertAlign w:val="superscript"/>
              </w:rPr>
              <w:t>(1)</w:t>
            </w:r>
          </w:p>
        </w:tc>
        <w:tc>
          <w:tcPr>
            <w:tcW w:w="32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Publicly Announced</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that May Yet Be</w:t>
            </w:r>
          </w:p>
        </w:tc>
      </w:tr>
      <w:tr>
        <w:trPr>
          <w:trHeight w:val="203"/>
        </w:trPr>
        <w:tc>
          <w:tcPr>
            <w:tcW w:w="37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(or Units)</w:t>
            </w:r>
          </w:p>
        </w:tc>
        <w:tc>
          <w:tcPr>
            <w:tcW w:w="3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Paid per</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Repurchase Plans</w:t>
            </w: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Purchased Under the</w:t>
            </w:r>
          </w:p>
        </w:tc>
      </w:tr>
      <w:tr>
        <w:trPr>
          <w:trHeight w:val="244"/>
        </w:trPr>
        <w:tc>
          <w:tcPr>
            <w:tcW w:w="372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Purchased</w:t>
            </w:r>
          </w:p>
        </w:tc>
        <w:tc>
          <w:tcPr>
            <w:tcW w:w="320" w:type="dxa"/>
            <w:vAlign w:val="bottom"/>
            <w:tcBorders>
              <w:bottom w:val="single" w:sz="8" w:color="901588"/>
            </w:tcBorders>
          </w:tcPr>
          <w:p>
            <w:pPr>
              <w:spacing w:after="0"/>
              <w:rPr>
                <w:sz w:val="21"/>
                <w:szCs w:val="21"/>
                <w:color w:val="auto"/>
              </w:rPr>
            </w:pPr>
          </w:p>
        </w:tc>
        <w:tc>
          <w:tcPr>
            <w:tcW w:w="1380" w:type="dxa"/>
            <w:vAlign w:val="bottom"/>
            <w:tcBorders>
              <w:bottom w:val="single" w:sz="8" w:color="901588"/>
            </w:tcBorders>
          </w:tcPr>
          <w:p>
            <w:pPr>
              <w:jc w:val="right"/>
              <w:ind w:right="39"/>
              <w:spacing w:after="0"/>
              <w:rPr>
                <w:sz w:val="20"/>
                <w:szCs w:val="20"/>
                <w:color w:val="auto"/>
              </w:rPr>
            </w:pPr>
            <w:r>
              <w:rPr>
                <w:rFonts w:ascii="Arial" w:cs="Arial" w:eastAsia="Arial" w:hAnsi="Arial"/>
                <w:sz w:val="16"/>
                <w:szCs w:val="16"/>
                <w:b w:val="1"/>
                <w:bCs w:val="1"/>
                <w:color w:val="auto"/>
              </w:rPr>
              <w:t>Share (or Unit)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or Programs</w:t>
            </w:r>
            <w:r>
              <w:rPr>
                <w:rFonts w:ascii="Arial" w:cs="Arial" w:eastAsia="Arial" w:hAnsi="Arial"/>
                <w:sz w:val="21"/>
                <w:szCs w:val="21"/>
                <w:b w:val="1"/>
                <w:bCs w:val="1"/>
                <w:color w:val="auto"/>
                <w:vertAlign w:val="superscript"/>
              </w:rPr>
              <w:t>(2)</w:t>
            </w:r>
          </w:p>
        </w:tc>
        <w:tc>
          <w:tcPr>
            <w:tcW w:w="2180" w:type="dxa"/>
            <w:vAlign w:val="bottom"/>
            <w:tcBorders>
              <w:bottom w:val="single" w:sz="8" w:color="901588"/>
            </w:tcBorders>
          </w:tcPr>
          <w:p>
            <w:pPr>
              <w:jc w:val="right"/>
              <w:spacing w:after="0"/>
              <w:rPr>
                <w:sz w:val="20"/>
                <w:szCs w:val="20"/>
                <w:color w:val="auto"/>
              </w:rPr>
            </w:pPr>
            <w:r>
              <w:rPr>
                <w:rFonts w:ascii="Arial" w:cs="Arial" w:eastAsia="Arial" w:hAnsi="Arial"/>
                <w:sz w:val="16"/>
                <w:szCs w:val="16"/>
                <w:b w:val="1"/>
                <w:bCs w:val="1"/>
                <w:color w:val="auto"/>
              </w:rPr>
              <w:t>Plans or Programs</w:t>
            </w:r>
            <w:r>
              <w:rPr>
                <w:rFonts w:ascii="Arial" w:cs="Arial" w:eastAsia="Arial" w:hAnsi="Arial"/>
                <w:sz w:val="21"/>
                <w:szCs w:val="21"/>
                <w:b w:val="1"/>
                <w:bCs w:val="1"/>
                <w:color w:val="auto"/>
                <w:vertAlign w:val="superscript"/>
              </w:rPr>
              <w:t>(2)</w:t>
            </w:r>
          </w:p>
        </w:tc>
      </w:tr>
      <w:tr>
        <w:trPr>
          <w:trHeight w:val="230"/>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January 3, 2026 - January 31,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1,655,694</w:t>
            </w:r>
          </w:p>
        </w:tc>
      </w:tr>
      <w:tr>
        <w:trPr>
          <w:trHeight w:val="236"/>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February 1, 2026 - February 28,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425,634</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173.13</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425,634</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1,230,060</w:t>
            </w:r>
          </w:p>
        </w:tc>
      </w:tr>
      <w:tr>
        <w:trPr>
          <w:trHeight w:val="237"/>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March 1, 2026 - March 31, 2026</w:t>
            </w:r>
          </w:p>
        </w:tc>
        <w:tc>
          <w:tcPr>
            <w:tcW w:w="14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717,592</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176.02</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717,592</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512,468</w:t>
            </w:r>
          </w:p>
        </w:tc>
      </w:tr>
      <w:tr>
        <w:trPr>
          <w:trHeight w:val="236"/>
        </w:trPr>
        <w:tc>
          <w:tcPr>
            <w:tcW w:w="372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April 1, 2026 - April 3, 2026</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2B2B2"/>
            </w:tcBorders>
          </w:tcPr>
          <w:p>
            <w:pPr>
              <w:spacing w:after="0"/>
              <w:rPr>
                <w:sz w:val="20"/>
                <w:szCs w:val="20"/>
                <w:color w:val="auto"/>
              </w:rPr>
            </w:pPr>
          </w:p>
        </w:tc>
        <w:tc>
          <w:tcPr>
            <w:tcW w:w="1380" w:type="dxa"/>
            <w:vAlign w:val="bottom"/>
            <w:tcBorders>
              <w:bottom w:val="single" w:sz="8" w:color="B2B2B2"/>
            </w:tcBorders>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512,468</w:t>
            </w:r>
          </w:p>
        </w:tc>
      </w:tr>
      <w:tr>
        <w:trPr>
          <w:trHeight w:val="243"/>
        </w:trPr>
        <w:tc>
          <w:tcPr>
            <w:tcW w:w="372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1,143,226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174.94</w:t>
            </w:r>
          </w:p>
        </w:tc>
        <w:tc>
          <w:tcPr>
            <w:tcW w:w="2040" w:type="dxa"/>
            <w:vAlign w:val="bottom"/>
            <w:tcBorders>
              <w:bottom w:val="single" w:sz="8" w:color="901588"/>
            </w:tcBorders>
          </w:tcPr>
          <w:p>
            <w:pPr>
              <w:jc w:val="right"/>
              <w:spacing w:after="0"/>
              <w:rPr>
                <w:sz w:val="20"/>
                <w:szCs w:val="20"/>
                <w:color w:val="auto"/>
              </w:rPr>
            </w:pPr>
            <w:r>
              <w:rPr>
                <w:rFonts w:ascii="Arial" w:cs="Arial" w:eastAsia="Arial" w:hAnsi="Arial"/>
                <w:sz w:val="16"/>
                <w:szCs w:val="16"/>
                <w:color w:val="auto"/>
              </w:rPr>
              <w:t>1,143,226</w:t>
            </w:r>
          </w:p>
        </w:tc>
        <w:tc>
          <w:tcPr>
            <w:tcW w:w="2180" w:type="dxa"/>
            <w:vAlign w:val="bottom"/>
          </w:tcPr>
          <w:p>
            <w:pPr>
              <w:spacing w:after="0"/>
              <w:rPr>
                <w:sz w:val="21"/>
                <w:szCs w:val="21"/>
                <w:color w:val="auto"/>
              </w:rPr>
            </w:pPr>
          </w:p>
        </w:tc>
      </w:tr>
      <w:tr>
        <w:trPr>
          <w:trHeight w:val="20"/>
        </w:trPr>
        <w:tc>
          <w:tcPr>
            <w:tcW w:w="3720" w:type="dxa"/>
            <w:vAlign w:val="bottom"/>
            <w:tcBorders>
              <w:bottom w:val="single" w:sz="8" w:color="901588"/>
            </w:tcBorders>
          </w:tcPr>
          <w:p>
            <w:pPr>
              <w:spacing w:after="0" w:line="20" w:lineRule="exact"/>
              <w:rPr>
                <w:sz w:val="1"/>
                <w:szCs w:val="1"/>
                <w:color w:val="auto"/>
              </w:rPr>
            </w:pPr>
          </w:p>
        </w:tc>
        <w:tc>
          <w:tcPr>
            <w:tcW w:w="1440" w:type="dxa"/>
            <w:vAlign w:val="bottom"/>
            <w:tcBorders>
              <w:bottom w:val="single" w:sz="8" w:color="901588"/>
            </w:tcBorders>
          </w:tcPr>
          <w:p>
            <w:pPr>
              <w:spacing w:after="0" w:line="20" w:lineRule="exact"/>
              <w:rPr>
                <w:sz w:val="1"/>
                <w:szCs w:val="1"/>
                <w:color w:val="auto"/>
              </w:rPr>
            </w:pPr>
          </w:p>
        </w:tc>
        <w:tc>
          <w:tcPr>
            <w:tcW w:w="320" w:type="dxa"/>
            <w:vAlign w:val="bottom"/>
            <w:tcBorders>
              <w:bottom w:val="single" w:sz="8" w:color="901588"/>
            </w:tcBorders>
          </w:tcPr>
          <w:p>
            <w:pPr>
              <w:spacing w:after="0" w:line="20" w:lineRule="exact"/>
              <w:rPr>
                <w:sz w:val="1"/>
                <w:szCs w:val="1"/>
                <w:color w:val="auto"/>
              </w:rPr>
            </w:pPr>
          </w:p>
        </w:tc>
        <w:tc>
          <w:tcPr>
            <w:tcW w:w="1380" w:type="dxa"/>
            <w:vAlign w:val="bottom"/>
            <w:tcBorders>
              <w:bottom w:val="single" w:sz="8" w:color="901588"/>
            </w:tcBorders>
          </w:tcPr>
          <w:p>
            <w:pPr>
              <w:spacing w:after="0" w:line="20" w:lineRule="exact"/>
              <w:rPr>
                <w:sz w:val="1"/>
                <w:szCs w:val="1"/>
                <w:color w:val="auto"/>
              </w:rPr>
            </w:pPr>
          </w:p>
        </w:tc>
        <w:tc>
          <w:tcPr>
            <w:tcW w:w="2040" w:type="dxa"/>
            <w:vAlign w:val="bottom"/>
            <w:tcBorders>
              <w:bottom w:val="single" w:sz="8" w:color="901588"/>
            </w:tcBorders>
          </w:tcPr>
          <w:p>
            <w:pPr>
              <w:spacing w:after="0" w:line="20" w:lineRule="exact"/>
              <w:rPr>
                <w:sz w:val="1"/>
                <w:szCs w:val="1"/>
                <w:color w:val="auto"/>
              </w:rPr>
            </w:pPr>
          </w:p>
        </w:tc>
        <w:tc>
          <w:tcPr>
            <w:tcW w:w="2180" w:type="dxa"/>
            <w:vAlign w:val="bottom"/>
            <w:tcBorders>
              <w:bottom w:val="single" w:sz="8" w:color="901588"/>
            </w:tcBorders>
          </w:tcPr>
          <w:p>
            <w:pPr>
              <w:spacing w:after="0" w:line="20" w:lineRule="exact"/>
              <w:rPr>
                <w:sz w:val="1"/>
                <w:szCs w:val="1"/>
                <w:color w:val="auto"/>
              </w:rPr>
            </w:pPr>
          </w:p>
        </w:tc>
      </w:tr>
    </w:tbl>
    <w:p>
      <w:pPr>
        <w:spacing w:after="0" w:line="119"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The total number of shares purchased includes shares surrendered to satisfy statutory tax withholding obligations related to vesting of restricted stock units.</w:t>
      </w:r>
    </w:p>
    <w:p>
      <w:pPr>
        <w:spacing w:after="0" w:line="63" w:lineRule="exact"/>
        <w:rPr>
          <w:rFonts w:ascii="Arial" w:cs="Arial" w:eastAsia="Arial" w:hAnsi="Arial"/>
          <w:sz w:val="19"/>
          <w:szCs w:val="19"/>
          <w:color w:val="auto"/>
          <w:vertAlign w:val="superscript"/>
        </w:rPr>
      </w:pPr>
    </w:p>
    <w:p>
      <w:pPr>
        <w:ind w:left="260" w:right="60" w:hanging="252"/>
        <w:spacing w:after="0" w:line="254" w:lineRule="auto"/>
        <w:tabs>
          <w:tab w:leader="none" w:pos="263" w:val="left"/>
        </w:tabs>
        <w:numPr>
          <w:ilvl w:val="0"/>
          <w:numId w:val="21"/>
        </w:numPr>
        <w:rPr>
          <w:rFonts w:ascii="Arial" w:cs="Arial" w:eastAsia="Arial" w:hAnsi="Arial"/>
          <w:sz w:val="15"/>
          <w:szCs w:val="15"/>
          <w:color w:val="auto"/>
          <w:vertAlign w:val="superscript"/>
        </w:rPr>
      </w:pPr>
      <w:r>
        <w:rPr>
          <w:rFonts w:ascii="Arial" w:cs="Arial" w:eastAsia="Arial" w:hAnsi="Arial"/>
          <w:sz w:val="12"/>
          <w:szCs w:val="12"/>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replaces the previous share repurchase authorization announced in February 2018.</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3. Defaults Upon Senior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4. Mine Safety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29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TRADING ARRANGEMENT</w:t>
      </w:r>
    </w:p>
    <w:p>
      <w:pPr>
        <w:spacing w:after="0" w:line="112"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During the three months ended April 3, 2026, no director or officer of the Company adopted, modified or terminated a “Rule 10b5-1 trading arrangement” or “non-Rule 10b5-1 trading arrangement,” as each term is defined in Item 408(c) of Regulation S-K.</w:t>
      </w:r>
    </w:p>
    <w:p>
      <w:pPr>
        <w:spacing w:after="0" w:line="200" w:lineRule="exact"/>
        <w:rPr>
          <w:sz w:val="20"/>
          <w:szCs w:val="20"/>
          <w:color w:val="auto"/>
        </w:rPr>
      </w:pPr>
    </w:p>
    <w:p>
      <w:pPr>
        <w:spacing w:after="0" w:line="366" w:lineRule="exact"/>
        <w:rPr>
          <w:sz w:val="20"/>
          <w:szCs w:val="20"/>
          <w:color w:val="auto"/>
        </w:rPr>
      </w:pPr>
    </w:p>
    <w:p>
      <w:pPr>
        <w:ind w:left="480" w:hanging="454"/>
        <w:spacing w:after="0"/>
        <w:tabs>
          <w:tab w:leader="none" w:pos="480" w:val="left"/>
        </w:tabs>
        <w:numPr>
          <w:ilvl w:val="0"/>
          <w:numId w:val="22"/>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901588"/>
        </w:rPr>
        <w:t>Item 6.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400" w:type="dxa"/>
            <w:vAlign w:val="bottom"/>
          </w:tcPr>
          <w:p>
            <w:pPr>
              <w:spacing w:after="0"/>
              <w:rPr>
                <w:sz w:val="16"/>
                <w:szCs w:val="16"/>
                <w:color w:val="auto"/>
              </w:rPr>
            </w:pPr>
          </w:p>
        </w:tc>
      </w:tr>
      <w:tr>
        <w:trPr>
          <w:trHeight w:val="240"/>
        </w:trPr>
        <w:tc>
          <w:tcPr>
            <w:tcW w:w="840" w:type="dxa"/>
            <w:vAlign w:val="bottom"/>
            <w:tcBorders>
              <w:bottom w:val="single" w:sz="8" w:color="901588"/>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400" w:type="dxa"/>
            <w:vAlign w:val="bottom"/>
            <w:tcBorders>
              <w:bottom w:val="single" w:sz="8" w:color="901588"/>
            </w:tcBorders>
          </w:tcPr>
          <w:p>
            <w:pPr>
              <w:ind w:left="180"/>
              <w:spacing w:after="0"/>
              <w:rPr>
                <w:sz w:val="20"/>
                <w:szCs w:val="20"/>
                <w:color w:val="auto"/>
              </w:rPr>
            </w:pPr>
            <w:r>
              <w:rPr>
                <w:rFonts w:ascii="Arial" w:cs="Arial" w:eastAsia="Arial" w:hAnsi="Arial"/>
                <w:sz w:val="16"/>
                <w:szCs w:val="16"/>
                <w:b w:val="1"/>
                <w:bCs w:val="1"/>
                <w:color w:val="auto"/>
              </w:rPr>
              <w:t>Description of Exhibit</w:t>
            </w:r>
          </w:p>
        </w:tc>
      </w:tr>
      <w:tr>
        <w:trPr>
          <w:trHeight w:val="225"/>
        </w:trPr>
        <w:tc>
          <w:tcPr>
            <w:tcW w:w="840" w:type="dxa"/>
            <w:vAlign w:val="bottom"/>
          </w:tcPr>
          <w:p>
            <w:pPr>
              <w:ind w:left="20"/>
              <w:spacing w:after="0"/>
              <w:rPr>
                <w:sz w:val="20"/>
                <w:szCs w:val="20"/>
                <w:color w:val="auto"/>
              </w:rPr>
            </w:pPr>
            <w:r>
              <w:rPr>
                <w:rFonts w:ascii="Arial" w:cs="Arial" w:eastAsia="Arial" w:hAnsi="Arial"/>
                <w:sz w:val="16"/>
                <w:szCs w:val="16"/>
                <w:color w:val="auto"/>
              </w:rPr>
              <w:t>4.1</w:t>
            </w:r>
          </w:p>
        </w:tc>
        <w:tc>
          <w:tcPr>
            <w:tcW w:w="10400" w:type="dxa"/>
            <w:vAlign w:val="bottom"/>
          </w:tcPr>
          <w:p>
            <w:pPr>
              <w:ind w:left="180"/>
              <w:spacing w:after="0"/>
              <w:rPr>
                <w:rFonts w:ascii="Arial" w:cs="Arial" w:eastAsia="Arial" w:hAnsi="Arial"/>
                <w:sz w:val="16"/>
                <w:szCs w:val="16"/>
                <w:color w:val="90158B"/>
              </w:rPr>
            </w:pPr>
            <w:hyperlink r:id="rId76">
              <w:r>
                <w:rPr>
                  <w:rFonts w:ascii="Arial" w:cs="Arial" w:eastAsia="Arial" w:hAnsi="Arial"/>
                  <w:sz w:val="16"/>
                  <w:szCs w:val="16"/>
                  <w:color w:val="90158B"/>
                </w:rPr>
                <w:t>Officers' Certificate of Leidos, Inc., dated as of March 2, 2026. Incorporated by reference to Exhibit 4.1 to our Current Report on Form 8-K filed</w:t>
              </w:r>
            </w:hyperlink>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B"/>
              </w:rPr>
            </w:pPr>
            <w:hyperlink r:id="rId76">
              <w:r>
                <w:rPr>
                  <w:rFonts w:ascii="Arial" w:cs="Arial" w:eastAsia="Arial" w:hAnsi="Arial"/>
                  <w:sz w:val="16"/>
                  <w:szCs w:val="16"/>
                  <w:color w:val="90158B"/>
                </w:rPr>
                <w:t>with the SEC on March 3, 2026.</w:t>
              </w:r>
            </w:hyperlink>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1"/>
        </w:trPr>
        <w:tc>
          <w:tcPr>
            <w:tcW w:w="840" w:type="dxa"/>
            <w:vAlign w:val="bottom"/>
          </w:tcPr>
          <w:p>
            <w:pPr>
              <w:ind w:left="20"/>
              <w:spacing w:after="0"/>
              <w:rPr>
                <w:sz w:val="20"/>
                <w:szCs w:val="20"/>
                <w:color w:val="auto"/>
              </w:rPr>
            </w:pPr>
            <w:r>
              <w:rPr>
                <w:rFonts w:ascii="Arial" w:cs="Arial" w:eastAsia="Arial" w:hAnsi="Arial"/>
                <w:sz w:val="16"/>
                <w:szCs w:val="16"/>
                <w:color w:val="auto"/>
              </w:rPr>
              <w:t>4.2</w:t>
            </w:r>
          </w:p>
        </w:tc>
        <w:tc>
          <w:tcPr>
            <w:tcW w:w="10400" w:type="dxa"/>
            <w:vAlign w:val="bottom"/>
          </w:tcPr>
          <w:p>
            <w:pPr>
              <w:ind w:left="180"/>
              <w:spacing w:after="0"/>
              <w:rPr>
                <w:sz w:val="20"/>
                <w:szCs w:val="20"/>
                <w:color w:val="auto"/>
              </w:rPr>
            </w:pPr>
            <w:r>
              <w:rPr>
                <w:rFonts w:ascii="Arial" w:cs="Arial" w:eastAsia="Arial" w:hAnsi="Arial"/>
                <w:sz w:val="16"/>
                <w:szCs w:val="16"/>
                <w:color w:val="901588"/>
              </w:rPr>
              <w:t>Form of Global Note representing Leidos, Inc.'s 4.100% Notes due 2029. Included in Exhibit 4.1 and incorporated by reference to Exhibit 4.2</w:t>
            </w:r>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sz w:val="20"/>
                <w:szCs w:val="20"/>
                <w:color w:val="auto"/>
              </w:rPr>
            </w:pPr>
            <w:r>
              <w:rPr>
                <w:rFonts w:ascii="Arial" w:cs="Arial" w:eastAsia="Arial" w:hAnsi="Arial"/>
                <w:sz w:val="16"/>
                <w:szCs w:val="16"/>
                <w:color w:val="901588"/>
              </w:rPr>
              <w:t>to our Current Report on Form 8-K filed with the SEC on March 3, 2026.</w:t>
            </w:r>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2"/>
        </w:trPr>
        <w:tc>
          <w:tcPr>
            <w:tcW w:w="840" w:type="dxa"/>
            <w:vAlign w:val="bottom"/>
          </w:tcPr>
          <w:p>
            <w:pPr>
              <w:ind w:left="20"/>
              <w:spacing w:after="0"/>
              <w:rPr>
                <w:sz w:val="20"/>
                <w:szCs w:val="20"/>
                <w:color w:val="auto"/>
              </w:rPr>
            </w:pPr>
            <w:r>
              <w:rPr>
                <w:rFonts w:ascii="Arial" w:cs="Arial" w:eastAsia="Arial" w:hAnsi="Arial"/>
                <w:sz w:val="16"/>
                <w:szCs w:val="16"/>
                <w:color w:val="auto"/>
              </w:rPr>
              <w:t>4.3</w:t>
            </w:r>
          </w:p>
        </w:tc>
        <w:tc>
          <w:tcPr>
            <w:tcW w:w="10400" w:type="dxa"/>
            <w:vAlign w:val="bottom"/>
          </w:tcPr>
          <w:p>
            <w:pPr>
              <w:ind w:left="180"/>
              <w:spacing w:after="0"/>
              <w:rPr>
                <w:sz w:val="20"/>
                <w:szCs w:val="20"/>
                <w:color w:val="auto"/>
              </w:rPr>
            </w:pPr>
            <w:r>
              <w:rPr>
                <w:rFonts w:ascii="Arial" w:cs="Arial" w:eastAsia="Arial" w:hAnsi="Arial"/>
                <w:sz w:val="16"/>
                <w:szCs w:val="16"/>
                <w:color w:val="901588"/>
              </w:rPr>
              <w:t>Form of Global Note representing Leidos, Inc.'s 5.000% Notes due 2036. Included in Exhibit 4.1 and incorporated by reference to Exhibit 4.3</w:t>
            </w:r>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sz w:val="20"/>
                <w:szCs w:val="20"/>
                <w:color w:val="auto"/>
              </w:rPr>
            </w:pPr>
            <w:r>
              <w:rPr>
                <w:rFonts w:ascii="Arial" w:cs="Arial" w:eastAsia="Arial" w:hAnsi="Arial"/>
                <w:sz w:val="16"/>
                <w:szCs w:val="16"/>
                <w:color w:val="901588"/>
              </w:rPr>
              <w:t>to our Current Report on Form 8-K filed with the SEC on March 3, 2026.</w:t>
            </w:r>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1"/>
        </w:trPr>
        <w:tc>
          <w:tcPr>
            <w:tcW w:w="840" w:type="dxa"/>
            <w:vAlign w:val="bottom"/>
          </w:tcPr>
          <w:p>
            <w:pPr>
              <w:ind w:left="20"/>
              <w:spacing w:after="0"/>
              <w:rPr>
                <w:sz w:val="20"/>
                <w:szCs w:val="20"/>
                <w:color w:val="auto"/>
              </w:rPr>
            </w:pPr>
            <w:r>
              <w:rPr>
                <w:rFonts w:ascii="Arial" w:cs="Arial" w:eastAsia="Arial" w:hAnsi="Arial"/>
                <w:sz w:val="16"/>
                <w:szCs w:val="16"/>
                <w:color w:val="auto"/>
              </w:rPr>
              <w:t>10.1</w:t>
            </w:r>
          </w:p>
        </w:tc>
        <w:tc>
          <w:tcPr>
            <w:tcW w:w="10400" w:type="dxa"/>
            <w:vAlign w:val="bottom"/>
          </w:tcPr>
          <w:p>
            <w:pPr>
              <w:ind w:left="180"/>
              <w:spacing w:after="0"/>
              <w:rPr>
                <w:rFonts w:ascii="Arial" w:cs="Arial" w:eastAsia="Arial" w:hAnsi="Arial"/>
                <w:sz w:val="16"/>
                <w:szCs w:val="16"/>
                <w:color w:val="901588"/>
              </w:rPr>
            </w:pPr>
            <w:hyperlink r:id="rId77">
              <w:r>
                <w:rPr>
                  <w:rFonts w:ascii="Arial" w:cs="Arial" w:eastAsia="Arial" w:hAnsi="Arial"/>
                  <w:sz w:val="16"/>
                  <w:szCs w:val="16"/>
                  <w:color w:val="901588"/>
                </w:rPr>
                <w:t>Stock Purchase Agreement, dated January 23, 2026, by and among Leidos, Inc., KENE Holdings, L.P. and KENE Parent, Inc. Incorporated by</w:t>
              </w:r>
            </w:hyperlink>
          </w:p>
        </w:tc>
      </w:tr>
      <w:tr>
        <w:trPr>
          <w:trHeight w:val="216"/>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8"/>
              </w:rPr>
            </w:pPr>
            <w:hyperlink r:id="rId77">
              <w:r>
                <w:rPr>
                  <w:rFonts w:ascii="Arial" w:cs="Arial" w:eastAsia="Arial" w:hAnsi="Arial"/>
                  <w:sz w:val="16"/>
                  <w:szCs w:val="16"/>
                  <w:color w:val="901588"/>
                </w:rPr>
                <w:t>reference to Exhibit 10.1 to our Current Report on Form 8-K filed with the SEC on January 26, 2026.</w:t>
              </w:r>
            </w:hyperlink>
          </w:p>
        </w:tc>
      </w:tr>
      <w:tr>
        <w:trPr>
          <w:trHeight w:val="83"/>
        </w:trPr>
        <w:tc>
          <w:tcPr>
            <w:tcW w:w="840" w:type="dxa"/>
            <w:vAlign w:val="bottom"/>
            <w:tcBorders>
              <w:bottom w:val="single" w:sz="8" w:color="B2B2B2"/>
            </w:tcBorders>
          </w:tcPr>
          <w:p>
            <w:pPr>
              <w:spacing w:after="0"/>
              <w:rPr>
                <w:sz w:val="7"/>
                <w:szCs w:val="7"/>
                <w:color w:val="auto"/>
              </w:rPr>
            </w:pPr>
          </w:p>
        </w:tc>
        <w:tc>
          <w:tcPr>
            <w:tcW w:w="10400" w:type="dxa"/>
            <w:vAlign w:val="bottom"/>
            <w:tcBorders>
              <w:bottom w:val="single" w:sz="8" w:color="B2B2B2"/>
            </w:tcBorders>
          </w:tcPr>
          <w:p>
            <w:pPr>
              <w:spacing w:after="0"/>
              <w:rPr>
                <w:sz w:val="7"/>
                <w:szCs w:val="7"/>
                <w:color w:val="auto"/>
              </w:rPr>
            </w:pPr>
          </w:p>
        </w:tc>
      </w:tr>
      <w:tr>
        <w:trPr>
          <w:trHeight w:val="261"/>
        </w:trPr>
        <w:tc>
          <w:tcPr>
            <w:tcW w:w="840" w:type="dxa"/>
            <w:vAlign w:val="bottom"/>
          </w:tcPr>
          <w:p>
            <w:pPr>
              <w:ind w:left="20"/>
              <w:spacing w:after="0"/>
              <w:rPr>
                <w:sz w:val="20"/>
                <w:szCs w:val="20"/>
                <w:color w:val="auto"/>
              </w:rPr>
            </w:pPr>
            <w:r>
              <w:rPr>
                <w:rFonts w:ascii="Arial" w:cs="Arial" w:eastAsia="Arial" w:hAnsi="Arial"/>
                <w:sz w:val="16"/>
                <w:szCs w:val="16"/>
                <w:color w:val="auto"/>
              </w:rPr>
              <w:t>10.2</w:t>
            </w:r>
          </w:p>
        </w:tc>
        <w:tc>
          <w:tcPr>
            <w:tcW w:w="10400" w:type="dxa"/>
            <w:vAlign w:val="bottom"/>
          </w:tcPr>
          <w:p>
            <w:pPr>
              <w:ind w:left="180"/>
              <w:spacing w:after="0"/>
              <w:rPr>
                <w:rFonts w:ascii="Arial" w:cs="Arial" w:eastAsia="Arial" w:hAnsi="Arial"/>
                <w:sz w:val="16"/>
                <w:szCs w:val="16"/>
                <w:color w:val="901588"/>
              </w:rPr>
            </w:pPr>
            <w:hyperlink r:id="rId78">
              <w:r>
                <w:rPr>
                  <w:rFonts w:ascii="Arial" w:cs="Arial" w:eastAsia="Arial" w:hAnsi="Arial"/>
                  <w:sz w:val="16"/>
                  <w:szCs w:val="16"/>
                  <w:color w:val="901588"/>
                </w:rPr>
                <w:t>Restatement Agreement, dated as of February 12, 2026, by and among Leidos Holdings, Inc., Leidos, Inc., the guarantors party thereto, the</w:t>
              </w:r>
            </w:hyperlink>
          </w:p>
        </w:tc>
      </w:tr>
      <w:tr>
        <w:trPr>
          <w:trHeight w:val="204"/>
        </w:trPr>
        <w:tc>
          <w:tcPr>
            <w:tcW w:w="840" w:type="dxa"/>
            <w:vAlign w:val="bottom"/>
          </w:tcPr>
          <w:p>
            <w:pPr>
              <w:spacing w:after="0"/>
              <w:rPr>
                <w:sz w:val="17"/>
                <w:szCs w:val="17"/>
                <w:color w:val="auto"/>
              </w:rPr>
            </w:pPr>
          </w:p>
        </w:tc>
        <w:tc>
          <w:tcPr>
            <w:tcW w:w="10400" w:type="dxa"/>
            <w:vAlign w:val="bottom"/>
          </w:tcPr>
          <w:p>
            <w:pPr>
              <w:ind w:left="180"/>
              <w:spacing w:after="0"/>
              <w:rPr>
                <w:rFonts w:ascii="Arial" w:cs="Arial" w:eastAsia="Arial" w:hAnsi="Arial"/>
                <w:sz w:val="16"/>
                <w:szCs w:val="16"/>
                <w:color w:val="901588"/>
              </w:rPr>
            </w:pPr>
            <w:hyperlink r:id="rId78">
              <w:r>
                <w:rPr>
                  <w:rFonts w:ascii="Arial" w:cs="Arial" w:eastAsia="Arial" w:hAnsi="Arial"/>
                  <w:sz w:val="16"/>
                  <w:szCs w:val="16"/>
                  <w:color w:val="901588"/>
                </w:rPr>
                <w:t>lenders party thereto and Citibank, N.A., as administrative agent. Incorporated by reference to Exhibit 10.1 to our Current Report on Form 8-K</w:t>
              </w:r>
            </w:hyperlink>
          </w:p>
        </w:tc>
      </w:tr>
      <w:tr>
        <w:trPr>
          <w:trHeight w:val="215"/>
        </w:trPr>
        <w:tc>
          <w:tcPr>
            <w:tcW w:w="840" w:type="dxa"/>
            <w:vAlign w:val="bottom"/>
          </w:tcPr>
          <w:p>
            <w:pPr>
              <w:spacing w:after="0"/>
              <w:rPr>
                <w:sz w:val="18"/>
                <w:szCs w:val="18"/>
                <w:color w:val="auto"/>
              </w:rPr>
            </w:pPr>
          </w:p>
        </w:tc>
        <w:tc>
          <w:tcPr>
            <w:tcW w:w="10400" w:type="dxa"/>
            <w:vAlign w:val="bottom"/>
          </w:tcPr>
          <w:p>
            <w:pPr>
              <w:ind w:left="180"/>
              <w:spacing w:after="0"/>
              <w:rPr>
                <w:rFonts w:ascii="Arial" w:cs="Arial" w:eastAsia="Arial" w:hAnsi="Arial"/>
                <w:sz w:val="16"/>
                <w:szCs w:val="16"/>
                <w:color w:val="901588"/>
              </w:rPr>
            </w:pPr>
            <w:hyperlink r:id="rId78">
              <w:r>
                <w:rPr>
                  <w:rFonts w:ascii="Arial" w:cs="Arial" w:eastAsia="Arial" w:hAnsi="Arial"/>
                  <w:sz w:val="16"/>
                  <w:szCs w:val="16"/>
                  <w:color w:val="901588"/>
                </w:rPr>
                <w:t>filed with the SEC on February 17, 2026.</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1020" w:hanging="994"/>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901588"/>
        </w:rPr>
        <w:t>List of Guarantors and Subsidiary Issuers of Guaranteed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31.2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Section 302 of the Sarbanes-Oxley Act of 2002.</w:t>
            </w:r>
          </w:p>
        </w:tc>
      </w:tr>
      <w:tr>
        <w:trPr>
          <w:trHeight w:val="97"/>
        </w:trPr>
        <w:tc>
          <w:tcPr>
            <w:tcW w:w="680" w:type="dxa"/>
            <w:vAlign w:val="bottom"/>
            <w:tcBorders>
              <w:bottom w:val="single" w:sz="8" w:color="B2B2B2"/>
            </w:tcBorders>
          </w:tcPr>
          <w:p>
            <w:pPr>
              <w:spacing w:after="0"/>
              <w:rPr>
                <w:sz w:val="8"/>
                <w:szCs w:val="8"/>
                <w:color w:val="auto"/>
              </w:rPr>
            </w:pPr>
          </w:p>
        </w:tc>
        <w:tc>
          <w:tcPr>
            <w:tcW w:w="10560" w:type="dxa"/>
            <w:vAlign w:val="bottom"/>
            <w:tcBorders>
              <w:bottom w:val="single" w:sz="8" w:color="B2B2B2"/>
            </w:tcBorders>
          </w:tcPr>
          <w:p>
            <w:pPr>
              <w:spacing w:after="0"/>
              <w:rPr>
                <w:sz w:val="8"/>
                <w:szCs w:val="8"/>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32.1</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Chief Executive Officer pursuant to 18 U.S.C. Section 1350, as adopted pursuant to Section 906 of the Sarbanes-Oxley Act of</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2002.</w:t>
            </w:r>
          </w:p>
        </w:tc>
      </w:tr>
      <w:tr>
        <w:trPr>
          <w:trHeight w:val="83"/>
        </w:trPr>
        <w:tc>
          <w:tcPr>
            <w:tcW w:w="680" w:type="dxa"/>
            <w:vAlign w:val="bottom"/>
            <w:tcBorders>
              <w:bottom w:val="single" w:sz="8" w:color="B2B2B2"/>
            </w:tcBorders>
          </w:tcPr>
          <w:p>
            <w:pPr>
              <w:spacing w:after="0"/>
              <w:rPr>
                <w:sz w:val="7"/>
                <w:szCs w:val="7"/>
                <w:color w:val="auto"/>
              </w:rPr>
            </w:pPr>
          </w:p>
        </w:tc>
        <w:tc>
          <w:tcPr>
            <w:tcW w:w="10560" w:type="dxa"/>
            <w:vAlign w:val="bottom"/>
            <w:tcBorders>
              <w:bottom w:val="single" w:sz="8" w:color="B2B2B2"/>
            </w:tcBorders>
          </w:tcPr>
          <w:p>
            <w:pPr>
              <w:spacing w:after="0"/>
              <w:rPr>
                <w:sz w:val="7"/>
                <w:szCs w:val="7"/>
                <w:color w:val="auto"/>
              </w:rPr>
            </w:pPr>
          </w:p>
        </w:tc>
      </w:tr>
      <w:tr>
        <w:trPr>
          <w:trHeight w:val="262"/>
        </w:trPr>
        <w:tc>
          <w:tcPr>
            <w:tcW w:w="680" w:type="dxa"/>
            <w:vAlign w:val="bottom"/>
          </w:tcPr>
          <w:p>
            <w:pPr>
              <w:jc w:val="right"/>
              <w:ind w:right="259"/>
              <w:spacing w:after="0"/>
              <w:rPr>
                <w:sz w:val="20"/>
                <w:szCs w:val="20"/>
                <w:color w:val="auto"/>
              </w:rPr>
            </w:pPr>
            <w:r>
              <w:rPr>
                <w:rFonts w:ascii="Arial" w:cs="Arial" w:eastAsia="Arial" w:hAnsi="Arial"/>
                <w:sz w:val="16"/>
                <w:szCs w:val="16"/>
                <w:color w:val="auto"/>
              </w:rPr>
              <w:t>32.2</w:t>
            </w:r>
          </w:p>
        </w:tc>
        <w:tc>
          <w:tcPr>
            <w:tcW w:w="10560" w:type="dxa"/>
            <w:vAlign w:val="bottom"/>
          </w:tcPr>
          <w:p>
            <w:pPr>
              <w:ind w:left="340"/>
              <w:spacing w:after="0"/>
              <w:rPr>
                <w:sz w:val="20"/>
                <w:szCs w:val="20"/>
                <w:color w:val="auto"/>
              </w:rPr>
            </w:pPr>
            <w:r>
              <w:rPr>
                <w:rFonts w:ascii="Arial" w:cs="Arial" w:eastAsia="Arial" w:hAnsi="Arial"/>
                <w:sz w:val="16"/>
                <w:szCs w:val="16"/>
                <w:color w:val="901588"/>
              </w:rPr>
              <w:t>Certification of Executive Vice President and Chief Financial Officer pursuant to 18 U.S.C. Section 1350, as adopted pursuant to Section 906</w:t>
            </w:r>
          </w:p>
        </w:tc>
      </w:tr>
      <w:tr>
        <w:trPr>
          <w:trHeight w:val="216"/>
        </w:trPr>
        <w:tc>
          <w:tcPr>
            <w:tcW w:w="68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6"/>
                <w:szCs w:val="16"/>
                <w:color w:val="901588"/>
              </w:rPr>
              <w:t>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0" w:lineRule="exact"/>
        <w:rPr>
          <w:sz w:val="20"/>
          <w:szCs w:val="20"/>
          <w:color w:val="auto"/>
        </w:rPr>
      </w:pPr>
    </w:p>
    <w:p>
      <w:pPr>
        <w:ind w:left="1020" w:right="360" w:hanging="994"/>
        <w:spacing w:after="0" w:line="32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901588"/>
        </w:rPr>
        <w:t>Interactive Data File.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p>
      <w:pPr>
        <w:ind w:left="1020" w:right="160" w:hanging="994"/>
        <w:spacing w:after="0" w:line="32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901588"/>
        </w:rPr>
        <w:t>Cover Page Interactive Data File.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20"/>
              <w:spacing w:after="0"/>
              <w:rPr>
                <w:sz w:val="20"/>
                <w:szCs w:val="20"/>
                <w:color w:val="auto"/>
              </w:rPr>
            </w:pPr>
            <w:r>
              <w:rPr>
                <w:rFonts w:ascii="Arial" w:cs="Arial" w:eastAsia="Arial" w:hAnsi="Arial"/>
                <w:sz w:val="14"/>
                <w:szCs w:val="14"/>
                <w:b w:val="1"/>
                <w:bCs w:val="1"/>
                <w:color w:val="901588"/>
              </w:rPr>
              <w:t>Leidos Holdings, Inc.</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901588"/>
              </w:rPr>
              <w:t>31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B15BAC"/>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B15BAC"/>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auto"/>
        </w:rPr>
        <w:t>Signatures</w:t>
      </w:r>
    </w:p>
    <w:p>
      <w:pPr>
        <w:spacing w:after="0" w:line="3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Date: May 5,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Leidos Holdings, Inc.</w:t>
      </w:r>
    </w:p>
    <w:p>
      <w:pPr>
        <w:spacing w:after="0" w:line="28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39947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33"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Christopher R. Cage</w:t>
      </w:r>
    </w:p>
    <w:p>
      <w:pPr>
        <w:spacing w:after="0" w:line="57"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4"/>
          <w:szCs w:val="14"/>
          <w:b w:val="1"/>
          <w:bCs w:val="1"/>
          <w:i w:val="1"/>
          <w:iCs w:val="1"/>
          <w:color w:val="auto"/>
        </w:rPr>
        <w:t>and as a duly authorized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b w:val="1"/>
          <w:bCs w:val="1"/>
          <w:color w:val="901588"/>
        </w:rPr>
      </w:pPr>
      <w:r>
        <w:rPr>
          <w:rFonts w:ascii="Arial" w:cs="Arial" w:eastAsia="Arial" w:hAnsi="Arial"/>
          <w:sz w:val="14"/>
          <w:szCs w:val="14"/>
          <w:color w:val="auto"/>
        </w:rPr>
        <w:t>Leidos Holdings, Inc.</w:t>
      </w:r>
    </w:p>
    <w:p>
      <w:pPr>
        <w:sectPr>
          <w:pgSz w:w="11900" w:h="16838" w:orient="portrait"/>
          <w:cols w:equalWidth="0" w:num="1">
            <w:col w:w="11220"/>
          </w:cols>
          <w:pgMar w:left="320" w:top="233"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 ("Guarantor") has fully and unconditionally guaranteed the debt securities of its subsidiary, Leidos, Inc. ("Issuer"), that</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were issued pursuant to transactions that were registered under the Securities Act of 1933, as amended (collectively, the “Registered Notes”). The following is a list of the Registered Notes guaranteed by Leidos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Registered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$600 million 4.100% notes, due March 2029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$750 million 4.375% notes, due May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2.300% notes, due February 2031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5.400% notes, due March 2032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million 5.750% notes, due March 2033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5.500% notes, due March 2035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million 5.000% notes, due March 2036</w:t>
      </w:r>
    </w:p>
    <w:p>
      <w:pPr>
        <w:spacing w:after="0" w:line="9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$250 million 7.125% notes, due July 2032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$300 million 5.500% notes, due July 2033</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 million 5.950% notes, due December 2040</w:t>
      </w:r>
    </w:p>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April 3, 2026,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April 3, 2026,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connection with the Quarterly Report of Leidos Holdings, Inc. ("Leidos") on Form 10-Q for the period ended April 3, 2026,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99"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Thomas A. Bell</w:t>
      </w:r>
    </w:p>
    <w:p>
      <w:pPr>
        <w:ind w:left="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10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Quarterly Report of Leidos Holdings, Inc. ("Leidos") on Form 10-Q for the period ended April 3, 2026,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Christopher R. Cage</w:t>
      </w:r>
    </w:p>
    <w:p>
      <w:pPr>
        <w:ind w:left="6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4"/>
      <w:numFmt w:val="bullet"/>
      <w:start w:val="1"/>
    </w:lvl>
  </w:abstractNum>
  <w:abstractNum w:abstractNumId="4">
    <w:nsid w:val="519B500D"/>
    <w:multiLevelType w:val="hybridMultilevel"/>
    <w:lvl w:ilvl="0">
      <w:lvlJc w:val="left"/>
      <w:lvlText w:val="6"/>
      <w:numFmt w:val="bullet"/>
      <w:start w:val="1"/>
    </w:lvl>
  </w:abstractNum>
  <w:abstractNum w:abstractNumId="5">
    <w:nsid w:val="431BD7B7"/>
    <w:multiLevelType w:val="hybridMultilevel"/>
    <w:lvl w:ilvl="0">
      <w:lvlJc w:val="left"/>
      <w:lvlText w:val="8"/>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6"/>
    </w:lvl>
  </w:abstractNum>
  <w:abstractNum w:abstractNumId="13">
    <w:nsid w:val="721DA317"/>
    <w:multiLevelType w:val="hybridMultilevel"/>
    <w:lvl w:ilvl="0">
      <w:lvlJc w:val="left"/>
      <w:lvlText w:val="%1"/>
      <w:numFmt w:val="decimal"/>
      <w:start w:val="18"/>
    </w:lvl>
  </w:abstractNum>
  <w:abstractNum w:abstractNumId="14">
    <w:nsid w:val="2443A858"/>
    <w:multiLevelType w:val="hybridMultilevel"/>
    <w:lvl w:ilvl="0">
      <w:lvlJc w:val="left"/>
      <w:lvlText w:val="%1"/>
      <w:numFmt w:val="decimal"/>
      <w:start w:val="20"/>
    </w:lvl>
  </w:abstractNum>
  <w:abstractNum w:abstractNumId="15">
    <w:nsid w:val="2D1D5AE9"/>
    <w:multiLevelType w:val="hybridMultilevel"/>
    <w:lvl w:ilvl="0">
      <w:lvlJc w:val="left"/>
      <w:lvlText w:val="%1"/>
      <w:numFmt w:val="decimal"/>
      <w:start w:val="22"/>
    </w:lvl>
  </w:abstractNum>
  <w:abstractNum w:abstractNumId="16">
    <w:nsid w:val="6763845E"/>
    <w:multiLevelType w:val="hybridMultilevel"/>
    <w:lvl w:ilvl="0">
      <w:lvlJc w:val="left"/>
      <w:lvlText w:val="%1"/>
      <w:numFmt w:val="decimal"/>
      <w:start w:val="24"/>
    </w:lvl>
  </w:abstractNum>
  <w:abstractNum w:abstractNumId="17">
    <w:nsid w:val="75A2A8D4"/>
    <w:multiLevelType w:val="hybridMultilevel"/>
    <w:lvl w:ilvl="0">
      <w:lvlJc w:val="left"/>
      <w:lvlText w:val="%1"/>
      <w:numFmt w:val="decimal"/>
      <w:start w:val="26"/>
    </w:lvl>
  </w:abstractNum>
  <w:abstractNum w:abstractNumId="18">
    <w:nsid w:val="8EDBDAB"/>
    <w:multiLevelType w:val="hybridMultilevel"/>
    <w:lvl w:ilvl="0">
      <w:lvlJc w:val="left"/>
      <w:lvlText w:val="%1"/>
      <w:numFmt w:val="decimal"/>
      <w:start w:val="28"/>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30"/>
    </w:lvl>
  </w:abstractNum>
  <w:abstractNum w:abstractNumId="22">
    <w:nsid w:val="189A769B"/>
    <w:multiLevelType w:val="hybridMultilevel"/>
    <w:lvl w:ilvl="0">
      <w:lvlJc w:val="left"/>
      <w:lvlText w:val="%1"/>
      <w:numFmt w:val="decimal"/>
      <w:start w:val="22"/>
    </w:lvl>
  </w:abstractNum>
  <w:abstractNum w:abstractNumId="23">
    <w:nsid w:val="54E49EB4"/>
    <w:multiLevelType w:val="hybridMultilevel"/>
    <w:lvl w:ilvl="0">
      <w:lvlJc w:val="left"/>
      <w:lvlText w:val="%1"/>
      <w:numFmt w:val="decimal"/>
      <w:start w:val="101"/>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76" Type="http://schemas.openxmlformats.org/officeDocument/2006/relationships/hyperlink" Target="https://www.sec.gov/Archives/edgar/data/1336920/000119312526085897/d39266dex41.htm" TargetMode="External"/><Relationship Id="rId77" Type="http://schemas.openxmlformats.org/officeDocument/2006/relationships/hyperlink" Target="https://www.sec.gov/Archives/edgar/data/1336920/000119312526021627/d11290dex101.htm" TargetMode="External"/><Relationship Id="rId78" Type="http://schemas.openxmlformats.org/officeDocument/2006/relationships/hyperlink" Target="https://www.sec.gov/Archives/edgar/data/1336920/000119312526055113/d624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2026-05-05T09:53:58Z</dcterms:created>
  <dcterms:modified xsi:type="dcterms:W3CDTF">2026-05-05T09:53:58Z</dcterms:modified>
</cp:coreProperties>
</file>