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ind w:left="3620"/>
        <w:spacing w:after="0"/>
        <w:rPr>
          <w:sz w:val="20"/>
          <w:szCs w:val="20"/>
          <w:color w:val="auto"/>
        </w:rPr>
      </w:pPr>
      <w:r>
        <w:rPr>
          <w:rFonts w:ascii="Arial" w:cs="Arial" w:eastAsia="Arial" w:hAnsi="Arial"/>
          <w:sz w:val="13"/>
          <w:szCs w:val="13"/>
          <w:color w:val="auto"/>
        </w:rPr>
        <w:t>__________________________________________________________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10-K</w:t>
      </w:r>
    </w:p>
    <w:p>
      <w:pPr>
        <w:spacing w:after="0" w:line="3" w:lineRule="exact"/>
        <w:rPr>
          <w:sz w:val="24"/>
          <w:szCs w:val="24"/>
          <w:color w:val="auto"/>
        </w:rPr>
      </w:pPr>
    </w:p>
    <w:p>
      <w:pPr>
        <w:ind w:left="3620"/>
        <w:spacing w:after="0"/>
        <w:rPr>
          <w:sz w:val="20"/>
          <w:szCs w:val="20"/>
          <w:color w:val="auto"/>
        </w:rPr>
      </w:pPr>
      <w:r>
        <w:rPr>
          <w:rFonts w:ascii="Arial" w:cs="Arial" w:eastAsia="Arial" w:hAnsi="Arial"/>
          <w:sz w:val="13"/>
          <w:szCs w:val="13"/>
          <w:color w:val="auto"/>
        </w:rPr>
        <w:t>__________________________________________________________</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67" w:lineRule="exact"/>
        <w:rPr>
          <w:sz w:val="24"/>
          <w:szCs w:val="24"/>
          <w:color w:val="auto"/>
        </w:rPr>
      </w:pPr>
    </w:p>
    <w:p>
      <w:pPr>
        <w:ind w:left="4340" w:right="4040" w:hanging="4332"/>
        <w:spacing w:after="0"/>
        <w:tabs>
          <w:tab w:leader="none" w:pos="272"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January 30,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 w:lineRule="exact"/>
        <w:rPr>
          <w:sz w:val="24"/>
          <w:szCs w:val="24"/>
          <w:color w:val="auto"/>
        </w:rPr>
      </w:pPr>
    </w:p>
    <w:p>
      <w:pPr>
        <w:ind w:left="240" w:hanging="232"/>
        <w:spacing w:after="0"/>
        <w:tabs>
          <w:tab w:leader="none" w:pos="24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420"/>
          </w:cols>
          <w:pgMar w:left="240" w:top="498" w:right="239" w:bottom="1440" w:gutter="0" w:footer="0" w:header="0"/>
        </w:sectPr>
      </w:pPr>
    </w:p>
    <w:p>
      <w:pPr>
        <w:spacing w:after="0" w:line="200" w:lineRule="exact"/>
        <w:rPr>
          <w:sz w:val="24"/>
          <w:szCs w:val="24"/>
          <w:color w:val="auto"/>
        </w:rPr>
      </w:pPr>
    </w:p>
    <w:p>
      <w:pPr>
        <w:spacing w:after="0" w:line="283" w:lineRule="exact"/>
        <w:rPr>
          <w:sz w:val="24"/>
          <w:szCs w:val="24"/>
          <w:color w:val="auto"/>
        </w:rPr>
      </w:pPr>
    </w:p>
    <w:p>
      <w:pPr>
        <w:ind w:left="220" w:hanging="15"/>
        <w:spacing w:after="0" w:line="285" w:lineRule="auto"/>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97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4"/>
          <w:szCs w:val="24"/>
          <w:color w:val="auto"/>
        </w:rPr>
      </w:pPr>
    </w:p>
    <w:p>
      <w:pPr>
        <w:ind w:left="300"/>
        <w:spacing w:after="0"/>
        <w:rPr>
          <w:sz w:val="20"/>
          <w:szCs w:val="20"/>
          <w:color w:val="auto"/>
        </w:rPr>
      </w:pPr>
      <w:r>
        <w:rPr>
          <w:rFonts w:ascii="Arial" w:cs="Arial" w:eastAsia="Arial" w:hAnsi="Arial"/>
          <w:sz w:val="14"/>
          <w:szCs w:val="14"/>
          <w:b w:val="1"/>
          <w:bCs w:val="1"/>
          <w:color w:val="auto"/>
        </w:rPr>
        <w:t>001-33072</w:t>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300"/>
        <w:spacing w:after="0"/>
        <w:rPr>
          <w:sz w:val="20"/>
          <w:szCs w:val="20"/>
          <w:color w:val="auto"/>
        </w:rPr>
      </w:pPr>
      <w:r>
        <w:rPr>
          <w:rFonts w:ascii="Arial" w:cs="Arial" w:eastAsia="Arial" w:hAnsi="Arial"/>
          <w:sz w:val="14"/>
          <w:szCs w:val="14"/>
          <w:b w:val="1"/>
          <w:bCs w:val="1"/>
          <w:color w:val="auto"/>
        </w:rPr>
        <w:t>000-12771</w:t>
      </w:r>
    </w:p>
    <w:p>
      <w:pPr>
        <w:spacing w:after="0" w:line="20" w:lineRule="exact"/>
        <w:rPr>
          <w:sz w:val="24"/>
          <w:szCs w:val="24"/>
          <w:color w:val="auto"/>
        </w:rPr>
      </w:pPr>
      <w:r>
        <w:rPr>
          <w:sz w:val="24"/>
          <w:szCs w:val="24"/>
          <w:color w:val="auto"/>
        </w:rPr>
        <w:br w:type="column"/>
      </w:r>
    </w:p>
    <w:p>
      <w:pPr>
        <w:jc w:val="center"/>
        <w:ind w:right="1380"/>
        <w:spacing w:after="0"/>
        <w:rPr>
          <w:sz w:val="20"/>
          <w:szCs w:val="20"/>
          <w:color w:val="auto"/>
        </w:rPr>
      </w:pPr>
      <w:r>
        <w:rPr>
          <w:rFonts w:ascii="Arial" w:cs="Arial" w:eastAsia="Arial" w:hAnsi="Arial"/>
          <w:sz w:val="14"/>
          <w:szCs w:val="14"/>
          <w:color w:val="auto"/>
        </w:rPr>
        <w:t>For the transition period from to</w:t>
      </w:r>
    </w:p>
    <w:p>
      <w:pPr>
        <w:ind w:left="2240"/>
        <w:spacing w:after="0"/>
        <w:rPr>
          <w:sz w:val="20"/>
          <w:szCs w:val="20"/>
          <w:color w:val="auto"/>
        </w:rPr>
      </w:pPr>
      <w:r>
        <w:rPr>
          <w:rFonts w:ascii="Arial" w:cs="Arial" w:eastAsia="Arial" w:hAnsi="Arial"/>
          <w:sz w:val="14"/>
          <w:szCs w:val="14"/>
          <w:color w:val="auto"/>
        </w:rPr>
        <w:t>__________________________________________________________</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State or jurisdiction of</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tc>
        <w:tc>
          <w:tcPr>
            <w:tcW w:w="12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Incorporation</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36"/>
        </w:trPr>
        <w:tc>
          <w:tcPr>
            <w:tcW w:w="6060" w:type="dxa"/>
            <w:vAlign w:val="bottom"/>
          </w:tcPr>
          <w:p>
            <w:pPr>
              <w:jc w:val="center"/>
              <w:spacing w:after="0"/>
              <w:rPr>
                <w:sz w:val="20"/>
                <w:szCs w:val="20"/>
                <w:color w:val="auto"/>
              </w:rPr>
            </w:pPr>
            <w:r>
              <w:rPr>
                <w:rFonts w:ascii="Arial" w:cs="Arial" w:eastAsia="Arial" w:hAnsi="Arial"/>
                <w:sz w:val="25"/>
                <w:szCs w:val="25"/>
                <w:b w:val="1"/>
                <w:bCs w:val="1"/>
                <w:color w:val="auto"/>
              </w:rPr>
              <w:t>Leidos Holdings, Inc.</w:t>
            </w:r>
          </w:p>
        </w:tc>
        <w:tc>
          <w:tcPr>
            <w:tcW w:w="120" w:type="dxa"/>
            <w:vAlign w:val="bottom"/>
          </w:tcPr>
          <w:p>
            <w:pPr>
              <w:spacing w:after="0"/>
              <w:rPr>
                <w:sz w:val="24"/>
                <w:szCs w:val="24"/>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color w:val="auto"/>
              </w:rPr>
              <w:t>Delaware</w:t>
            </w:r>
          </w:p>
        </w:tc>
        <w:tc>
          <w:tcPr>
            <w:tcW w:w="1700" w:type="dxa"/>
            <w:vAlign w:val="bottom"/>
          </w:tcPr>
          <w:p>
            <w:pPr>
              <w:jc w:val="center"/>
              <w:spacing w:after="0"/>
              <w:rPr>
                <w:sz w:val="20"/>
                <w:szCs w:val="20"/>
                <w:color w:val="auto"/>
              </w:rPr>
            </w:pPr>
            <w:r>
              <w:rPr>
                <w:rFonts w:ascii="Arial" w:cs="Arial" w:eastAsia="Arial" w:hAnsi="Arial"/>
                <w:sz w:val="14"/>
                <w:szCs w:val="14"/>
                <w:color w:val="auto"/>
              </w:rPr>
              <w:t>20-3562868</w:t>
            </w:r>
          </w:p>
        </w:tc>
      </w:tr>
      <w:tr>
        <w:trPr>
          <w:trHeight w:val="273"/>
        </w:trPr>
        <w:tc>
          <w:tcPr>
            <w:tcW w:w="6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11951 Freedom Drive, Reston, Virginia 20190</w:t>
            </w: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0"/>
        </w:trPr>
        <w:tc>
          <w:tcPr>
            <w:tcW w:w="6060" w:type="dxa"/>
            <w:vAlign w:val="bottom"/>
          </w:tcPr>
          <w:p>
            <w:pPr>
              <w:jc w:val="center"/>
              <w:spacing w:after="0"/>
              <w:rPr>
                <w:sz w:val="20"/>
                <w:szCs w:val="20"/>
                <w:color w:val="auto"/>
              </w:rPr>
            </w:pPr>
            <w:r>
              <w:rPr>
                <w:rFonts w:ascii="Arial" w:cs="Arial" w:eastAsia="Arial" w:hAnsi="Arial"/>
                <w:sz w:val="14"/>
                <w:szCs w:val="14"/>
                <w:b w:val="1"/>
                <w:bCs w:val="1"/>
                <w:color w:val="auto"/>
              </w:rPr>
              <w:t>(571) 526-6000</w:t>
            </w:r>
          </w:p>
        </w:tc>
        <w:tc>
          <w:tcPr>
            <w:tcW w:w="1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45"/>
        </w:trPr>
        <w:tc>
          <w:tcPr>
            <w:tcW w:w="6180" w:type="dxa"/>
            <w:vAlign w:val="bottom"/>
            <w:gridSpan w:val="2"/>
          </w:tcPr>
          <w:p>
            <w:pPr>
              <w:jc w:val="center"/>
              <w:ind w:right="120"/>
              <w:spacing w:after="0"/>
              <w:rPr>
                <w:sz w:val="20"/>
                <w:szCs w:val="20"/>
                <w:color w:val="auto"/>
              </w:rPr>
            </w:pPr>
            <w:r>
              <w:rPr>
                <w:rFonts w:ascii="Arial" w:cs="Arial" w:eastAsia="Arial" w:hAnsi="Arial"/>
                <w:sz w:val="25"/>
                <w:szCs w:val="25"/>
                <w:b w:val="1"/>
                <w:bCs w:val="1"/>
                <w:color w:val="auto"/>
              </w:rPr>
              <w:t>Leidos, Inc.</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color w:val="auto"/>
              </w:rPr>
              <w:t>Delaware</w:t>
            </w:r>
          </w:p>
        </w:tc>
        <w:tc>
          <w:tcPr>
            <w:tcW w:w="1700" w:type="dxa"/>
            <w:vAlign w:val="bottom"/>
          </w:tcPr>
          <w:p>
            <w:pPr>
              <w:jc w:val="center"/>
              <w:spacing w:after="0"/>
              <w:rPr>
                <w:sz w:val="20"/>
                <w:szCs w:val="20"/>
                <w:color w:val="auto"/>
              </w:rPr>
            </w:pPr>
            <w:r>
              <w:rPr>
                <w:rFonts w:ascii="Arial" w:cs="Arial" w:eastAsia="Arial" w:hAnsi="Arial"/>
                <w:sz w:val="14"/>
                <w:szCs w:val="14"/>
                <w:color w:val="auto"/>
              </w:rPr>
              <w:t>95-3630868</w:t>
            </w:r>
          </w:p>
        </w:tc>
      </w:tr>
      <w:tr>
        <w:trPr>
          <w:trHeight w:val="277"/>
        </w:trPr>
        <w:tc>
          <w:tcPr>
            <w:tcW w:w="6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11951 Freedom Drive, Reston, Virginia 20190</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80"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(571) 526-6000</w:t>
      </w:r>
    </w:p>
    <w:p>
      <w:pPr>
        <w:spacing w:after="0" w:line="29"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2" w:lineRule="exact"/>
        <w:rPr>
          <w:sz w:val="24"/>
          <w:szCs w:val="24"/>
          <w:color w:val="auto"/>
        </w:rPr>
      </w:pPr>
    </w:p>
    <w:p>
      <w:pPr>
        <w:sectPr>
          <w:pgSz w:w="11900" w:h="16838" w:orient="portrait"/>
          <w:cols w:equalWidth="0" w:num="2">
            <w:col w:w="1060" w:space="320"/>
            <w:col w:w="10040"/>
          </w:cols>
          <w:pgMar w:left="240" w:top="498" w:right="2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3"/>
          </w:tcPr>
          <w:p>
            <w:pPr>
              <w:jc w:val="center"/>
              <w:ind w:right="1788"/>
              <w:spacing w:after="0"/>
              <w:rPr>
                <w:sz w:val="20"/>
                <w:szCs w:val="20"/>
                <w:color w:val="auto"/>
              </w:rPr>
            </w:pPr>
            <w:r>
              <w:rPr>
                <w:rFonts w:ascii="Arial" w:cs="Arial" w:eastAsia="Arial" w:hAnsi="Arial"/>
                <w:sz w:val="14"/>
                <w:szCs w:val="14"/>
                <w:b w:val="1"/>
                <w:bCs w:val="1"/>
                <w:color w:val="auto"/>
              </w:rPr>
              <w:t>Title of each class</w:t>
            </w:r>
          </w:p>
        </w:tc>
        <w:tc>
          <w:tcPr>
            <w:tcW w:w="1800" w:type="dxa"/>
            <w:vAlign w:val="bottom"/>
          </w:tcPr>
          <w:p>
            <w:pPr>
              <w:spacing w:after="0"/>
              <w:rPr>
                <w:sz w:val="14"/>
                <w:szCs w:val="14"/>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2200" w:type="dxa"/>
            <w:vAlign w:val="bottom"/>
            <w:gridSpan w:val="3"/>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r>
      <w:tr>
        <w:trPr>
          <w:trHeight w:val="223"/>
        </w:trPr>
        <w:tc>
          <w:tcPr>
            <w:tcW w:w="528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rPr>
              <w:t>Leidos Holdings, Inc. Common Stock, Par Value $.0001 Per Share</w:t>
            </w:r>
          </w:p>
        </w:tc>
        <w:tc>
          <w:tcPr>
            <w:tcW w:w="180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New York Stock Exchange</w:t>
            </w:r>
          </w:p>
        </w:tc>
      </w:tr>
      <w:tr>
        <w:trPr>
          <w:trHeight w:val="162"/>
        </w:trPr>
        <w:tc>
          <w:tcPr>
            <w:tcW w:w="1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740" w:type="dxa"/>
            <w:vAlign w:val="bottom"/>
            <w:gridSpan w:val="3"/>
          </w:tcPr>
          <w:p>
            <w:pPr>
              <w:jc w:val="center"/>
              <w:ind w:right="2088"/>
              <w:spacing w:after="0"/>
              <w:rPr>
                <w:sz w:val="20"/>
                <w:szCs w:val="20"/>
                <w:color w:val="auto"/>
              </w:rPr>
            </w:pPr>
            <w:r>
              <w:rPr>
                <w:rFonts w:ascii="Arial" w:cs="Arial" w:eastAsia="Arial" w:hAnsi="Arial"/>
                <w:sz w:val="14"/>
                <w:szCs w:val="14"/>
                <w:b w:val="1"/>
                <w:bCs w:val="1"/>
                <w:color w:val="auto"/>
              </w:rPr>
              <w:t>Securities registered pursuant to Section 12(g) of the Act:</w:t>
            </w:r>
          </w:p>
        </w:tc>
      </w:tr>
      <w:tr>
        <w:trPr>
          <w:trHeight w:val="157"/>
        </w:trPr>
        <w:tc>
          <w:tcPr>
            <w:tcW w:w="1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80" w:type="dxa"/>
            <w:vAlign w:val="bottom"/>
            <w:gridSpan w:val="2"/>
          </w:tcPr>
          <w:p>
            <w:pPr>
              <w:jc w:val="center"/>
              <w:ind w:right="3928"/>
              <w:spacing w:after="0" w:line="157" w:lineRule="exact"/>
              <w:rPr>
                <w:sz w:val="20"/>
                <w:szCs w:val="20"/>
                <w:color w:val="auto"/>
              </w:rPr>
            </w:pPr>
            <w:r>
              <w:rPr>
                <w:rFonts w:ascii="Arial" w:cs="Arial" w:eastAsia="Arial" w:hAnsi="Arial"/>
                <w:sz w:val="14"/>
                <w:szCs w:val="14"/>
                <w:b w:val="1"/>
                <w:bCs w:val="1"/>
                <w:color w:val="auto"/>
              </w:rPr>
              <w:t>None</w:t>
            </w:r>
          </w:p>
        </w:tc>
      </w:tr>
      <w:tr>
        <w:trPr>
          <w:trHeight w:val="182"/>
        </w:trPr>
        <w:tc>
          <w:tcPr>
            <w:tcW w:w="1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580" w:type="dxa"/>
            <w:vAlign w:val="bottom"/>
            <w:gridSpan w:val="4"/>
          </w:tcPr>
          <w:p>
            <w:pPr>
              <w:jc w:val="center"/>
              <w:ind w:right="1248"/>
              <w:spacing w:after="0"/>
              <w:rPr>
                <w:sz w:val="20"/>
                <w:szCs w:val="20"/>
                <w:color w:val="auto"/>
              </w:rPr>
            </w:pPr>
            <w:r>
              <w:rPr>
                <w:rFonts w:ascii="Arial" w:cs="Arial" w:eastAsia="Arial" w:hAnsi="Arial"/>
                <w:sz w:val="14"/>
                <w:szCs w:val="14"/>
                <w:color w:val="auto"/>
                <w:w w:val="92"/>
              </w:rPr>
              <w:t>________________________________________________________</w:t>
            </w:r>
          </w:p>
        </w:tc>
      </w:tr>
      <w:tr>
        <w:trPr>
          <w:trHeight w:val="317"/>
        </w:trPr>
        <w:tc>
          <w:tcPr>
            <w:tcW w:w="10160" w:type="dxa"/>
            <w:vAlign w:val="bottom"/>
            <w:gridSpan w:val="8"/>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r>
      <w:tr>
        <w:trPr>
          <w:trHeight w:val="176"/>
        </w:trPr>
        <w:tc>
          <w:tcPr>
            <w:tcW w:w="2020" w:type="dxa"/>
            <w:vAlign w:val="bottom"/>
            <w:gridSpan w:val="2"/>
          </w:tcPr>
          <w:p>
            <w:pPr>
              <w:ind w:left="660"/>
              <w:spacing w:after="0"/>
              <w:rPr>
                <w:sz w:val="20"/>
                <w:szCs w:val="20"/>
                <w:color w:val="auto"/>
              </w:rPr>
            </w:pPr>
            <w:r>
              <w:rPr>
                <w:rFonts w:ascii="Arial" w:cs="Arial" w:eastAsia="Arial" w:hAnsi="Arial"/>
                <w:sz w:val="14"/>
                <w:szCs w:val="14"/>
                <w:color w:val="auto"/>
              </w:rPr>
              <w:t>Leidos Holdings, Inc.</w:t>
            </w:r>
          </w:p>
        </w:tc>
        <w:tc>
          <w:tcPr>
            <w:tcW w:w="560" w:type="dxa"/>
            <w:vAlign w:val="bottom"/>
            <w:gridSpan w:val="2"/>
          </w:tcPr>
          <w:p>
            <w:pPr>
              <w:ind w:left="120"/>
              <w:spacing w:after="0"/>
              <w:rPr>
                <w:sz w:val="20"/>
                <w:szCs w:val="20"/>
                <w:color w:val="auto"/>
              </w:rPr>
            </w:pPr>
            <w:r>
              <w:rPr>
                <w:rFonts w:ascii="Arial" w:cs="Arial" w:eastAsia="Arial" w:hAnsi="Arial"/>
                <w:sz w:val="14"/>
                <w:szCs w:val="14"/>
                <w:color w:val="auto"/>
              </w:rPr>
              <w:t>Yes x</w:t>
            </w:r>
          </w:p>
        </w:tc>
        <w:tc>
          <w:tcPr>
            <w:tcW w:w="2700" w:type="dxa"/>
            <w:vAlign w:val="bottom"/>
            <w:gridSpan w:val="2"/>
          </w:tcPr>
          <w:p>
            <w:pPr>
              <w:jc w:val="center"/>
              <w:ind w:right="2168"/>
              <w:spacing w:after="0"/>
              <w:rPr>
                <w:sz w:val="20"/>
                <w:szCs w:val="20"/>
                <w:color w:val="auto"/>
              </w:rPr>
            </w:pPr>
            <w:r>
              <w:rPr>
                <w:rFonts w:ascii="Arial" w:cs="Arial" w:eastAsia="Arial" w:hAnsi="Arial"/>
                <w:sz w:val="14"/>
                <w:szCs w:val="14"/>
                <w:color w:val="auto"/>
              </w:rPr>
              <w:t>No o</w:t>
            </w:r>
          </w:p>
        </w:tc>
        <w:tc>
          <w:tcPr>
            <w:tcW w:w="18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2"/>
        </w:trPr>
        <w:tc>
          <w:tcPr>
            <w:tcW w:w="1480" w:type="dxa"/>
            <w:vAlign w:val="bottom"/>
          </w:tcPr>
          <w:p>
            <w:pPr>
              <w:ind w:left="660"/>
              <w:spacing w:after="0"/>
              <w:rPr>
                <w:sz w:val="20"/>
                <w:szCs w:val="20"/>
                <w:color w:val="auto"/>
              </w:rPr>
            </w:pPr>
            <w:r>
              <w:rPr>
                <w:rFonts w:ascii="Arial" w:cs="Arial" w:eastAsia="Arial" w:hAnsi="Arial"/>
                <w:sz w:val="14"/>
                <w:szCs w:val="14"/>
                <w:color w:val="auto"/>
              </w:rPr>
              <w:t>Leidos, Inc.</w:t>
            </w:r>
          </w:p>
        </w:tc>
        <w:tc>
          <w:tcPr>
            <w:tcW w:w="540" w:type="dxa"/>
            <w:vAlign w:val="bottom"/>
          </w:tcPr>
          <w:p>
            <w:pPr>
              <w:ind w:left="60"/>
              <w:spacing w:after="0"/>
              <w:rPr>
                <w:sz w:val="20"/>
                <w:szCs w:val="20"/>
                <w:color w:val="auto"/>
              </w:rPr>
            </w:pPr>
            <w:r>
              <w:rPr>
                <w:rFonts w:ascii="Arial" w:cs="Arial" w:eastAsia="Arial" w:hAnsi="Arial"/>
                <w:sz w:val="14"/>
                <w:szCs w:val="14"/>
                <w:color w:val="auto"/>
              </w:rPr>
              <w:t>Yes x</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No o</w:t>
            </w: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209"/>
        </w:trPr>
        <w:tc>
          <w:tcPr>
            <w:tcW w:w="10160" w:type="dxa"/>
            <w:vAlign w:val="bottom"/>
            <w:gridSpan w:val="8"/>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r>
      <w:tr>
        <w:trPr>
          <w:trHeight w:val="176"/>
        </w:trPr>
        <w:tc>
          <w:tcPr>
            <w:tcW w:w="2020" w:type="dxa"/>
            <w:vAlign w:val="bottom"/>
            <w:gridSpan w:val="2"/>
          </w:tcPr>
          <w:p>
            <w:pPr>
              <w:ind w:left="660"/>
              <w:spacing w:after="0"/>
              <w:rPr>
                <w:sz w:val="20"/>
                <w:szCs w:val="20"/>
                <w:color w:val="auto"/>
              </w:rPr>
            </w:pPr>
            <w:r>
              <w:rPr>
                <w:rFonts w:ascii="Arial" w:cs="Arial" w:eastAsia="Arial" w:hAnsi="Arial"/>
                <w:sz w:val="14"/>
                <w:szCs w:val="14"/>
                <w:color w:val="auto"/>
              </w:rPr>
              <w:t>Leidos Holdings, Inc.</w:t>
            </w:r>
          </w:p>
        </w:tc>
        <w:tc>
          <w:tcPr>
            <w:tcW w:w="560" w:type="dxa"/>
            <w:vAlign w:val="bottom"/>
            <w:gridSpan w:val="2"/>
          </w:tcPr>
          <w:p>
            <w:pPr>
              <w:ind w:left="120"/>
              <w:spacing w:after="0"/>
              <w:rPr>
                <w:sz w:val="20"/>
                <w:szCs w:val="20"/>
                <w:color w:val="auto"/>
              </w:rPr>
            </w:pPr>
            <w:r>
              <w:rPr>
                <w:rFonts w:ascii="Arial" w:cs="Arial" w:eastAsia="Arial" w:hAnsi="Arial"/>
                <w:sz w:val="14"/>
                <w:szCs w:val="14"/>
                <w:color w:val="auto"/>
              </w:rPr>
              <w:t>Yes o</w:t>
            </w:r>
          </w:p>
        </w:tc>
        <w:tc>
          <w:tcPr>
            <w:tcW w:w="2700" w:type="dxa"/>
            <w:vAlign w:val="bottom"/>
            <w:gridSpan w:val="2"/>
          </w:tcPr>
          <w:p>
            <w:pPr>
              <w:jc w:val="center"/>
              <w:ind w:right="2168"/>
              <w:spacing w:after="0"/>
              <w:rPr>
                <w:sz w:val="20"/>
                <w:szCs w:val="20"/>
                <w:color w:val="auto"/>
              </w:rPr>
            </w:pPr>
            <w:r>
              <w:rPr>
                <w:rFonts w:ascii="Arial" w:cs="Arial" w:eastAsia="Arial" w:hAnsi="Arial"/>
                <w:sz w:val="14"/>
                <w:szCs w:val="14"/>
                <w:color w:val="auto"/>
              </w:rPr>
              <w:t>No x</w:t>
            </w:r>
          </w:p>
        </w:tc>
        <w:tc>
          <w:tcPr>
            <w:tcW w:w="18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182"/>
        </w:trPr>
        <w:tc>
          <w:tcPr>
            <w:tcW w:w="1480" w:type="dxa"/>
            <w:vAlign w:val="bottom"/>
          </w:tcPr>
          <w:p>
            <w:pPr>
              <w:ind w:left="660"/>
              <w:spacing w:after="0"/>
              <w:rPr>
                <w:sz w:val="20"/>
                <w:szCs w:val="20"/>
                <w:color w:val="auto"/>
              </w:rPr>
            </w:pPr>
            <w:r>
              <w:rPr>
                <w:rFonts w:ascii="Arial" w:cs="Arial" w:eastAsia="Arial" w:hAnsi="Arial"/>
                <w:sz w:val="14"/>
                <w:szCs w:val="14"/>
                <w:color w:val="auto"/>
              </w:rPr>
              <w:t>Leidos, Inc.</w:t>
            </w:r>
          </w:p>
        </w:tc>
        <w:tc>
          <w:tcPr>
            <w:tcW w:w="540" w:type="dxa"/>
            <w:vAlign w:val="bottom"/>
          </w:tcPr>
          <w:p>
            <w:pPr>
              <w:ind w:left="60"/>
              <w:spacing w:after="0"/>
              <w:rPr>
                <w:sz w:val="20"/>
                <w:szCs w:val="20"/>
                <w:color w:val="auto"/>
              </w:rPr>
            </w:pPr>
            <w:r>
              <w:rPr>
                <w:rFonts w:ascii="Arial" w:cs="Arial" w:eastAsia="Arial" w:hAnsi="Arial"/>
                <w:sz w:val="14"/>
                <w:szCs w:val="14"/>
                <w:color w:val="auto"/>
              </w:rPr>
              <w:t>Yes o</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No x</w:t>
            </w:r>
          </w:p>
        </w:tc>
        <w:tc>
          <w:tcPr>
            <w:tcW w:w="8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080" w:type="dxa"/>
            <w:vAlign w:val="bottom"/>
          </w:tcPr>
          <w:p>
            <w:pPr>
              <w:spacing w:after="0"/>
              <w:rPr>
                <w:sz w:val="15"/>
                <w:szCs w:val="15"/>
                <w:color w:val="auto"/>
              </w:rPr>
            </w:pPr>
          </w:p>
        </w:tc>
      </w:tr>
    </w:tbl>
    <w:p>
      <w:pPr>
        <w:spacing w:after="0" w:line="57" w:lineRule="exact"/>
        <w:rPr>
          <w:sz w:val="24"/>
          <w:szCs w:val="24"/>
          <w:color w:val="auto"/>
        </w:rPr>
      </w:pPr>
    </w:p>
    <w:p>
      <w:pPr>
        <w:ind w:right="280"/>
        <w:spacing w:after="0" w:line="2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660"/>
        <w:spacing w:after="0"/>
        <w:tabs>
          <w:tab w:leader="none" w:pos="2120" w:val="left"/>
          <w:tab w:leader="none" w:pos="2640" w:val="left"/>
        </w:tabs>
        <w:rPr>
          <w:sz w:val="20"/>
          <w:szCs w:val="20"/>
          <w:color w:val="auto"/>
        </w:rPr>
      </w:pPr>
      <w:r>
        <w:rPr>
          <w:rFonts w:ascii="Arial" w:cs="Arial" w:eastAsia="Arial" w:hAnsi="Arial"/>
          <w:sz w:val="14"/>
          <w:szCs w:val="14"/>
          <w:color w:val="auto"/>
        </w:rPr>
        <w:t>Leidos Holdings, Inc.</w:t>
        <w:tab/>
        <w:t>Yes x</w:t>
        <w:tab/>
        <w:t>No o</w:t>
      </w:r>
    </w:p>
    <w:p>
      <w:pPr>
        <w:spacing w:after="0" w:line="11" w:lineRule="exact"/>
        <w:rPr>
          <w:sz w:val="24"/>
          <w:szCs w:val="24"/>
          <w:color w:val="auto"/>
        </w:rPr>
      </w:pPr>
    </w:p>
    <w:p>
      <w:pPr>
        <w:ind w:left="660"/>
        <w:spacing w:after="0"/>
        <w:tabs>
          <w:tab w:leader="none" w:pos="1520" w:val="left"/>
          <w:tab w:leader="none" w:pos="2040" w:val="left"/>
        </w:tabs>
        <w:rPr>
          <w:sz w:val="20"/>
          <w:szCs w:val="20"/>
          <w:color w:val="auto"/>
        </w:rPr>
      </w:pPr>
      <w:r>
        <w:rPr>
          <w:rFonts w:ascii="Arial" w:cs="Arial" w:eastAsia="Arial" w:hAnsi="Arial"/>
          <w:sz w:val="14"/>
          <w:szCs w:val="14"/>
          <w:color w:val="auto"/>
        </w:rPr>
        <w:t>Leidos, Inc.</w:t>
        <w:tab/>
        <w:t>Yes x</w:t>
        <w:tab/>
        <w:t>No o</w:t>
      </w:r>
    </w:p>
    <w:p>
      <w:pPr>
        <w:spacing w:after="0" w:line="72" w:lineRule="exact"/>
        <w:rPr>
          <w:sz w:val="24"/>
          <w:szCs w:val="24"/>
          <w:color w:val="auto"/>
        </w:rPr>
      </w:pPr>
    </w:p>
    <w:p>
      <w:pPr>
        <w:ind w:right="80"/>
        <w:spacing w:after="0" w:line="241"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660"/>
        <w:spacing w:after="0"/>
        <w:tabs>
          <w:tab w:leader="none" w:pos="2120" w:val="left"/>
          <w:tab w:leader="none" w:pos="2640" w:val="left"/>
        </w:tabs>
        <w:rPr>
          <w:sz w:val="20"/>
          <w:szCs w:val="20"/>
          <w:color w:val="auto"/>
        </w:rPr>
      </w:pPr>
      <w:r>
        <w:rPr>
          <w:rFonts w:ascii="Arial" w:cs="Arial" w:eastAsia="Arial" w:hAnsi="Arial"/>
          <w:sz w:val="14"/>
          <w:szCs w:val="14"/>
          <w:color w:val="auto"/>
        </w:rPr>
        <w:t>Leidos Holdings, Inc.</w:t>
        <w:tab/>
        <w:t>Yes x</w:t>
        <w:tab/>
        <w:t>No o</w:t>
      </w:r>
    </w:p>
    <w:p>
      <w:pPr>
        <w:spacing w:after="0" w:line="11" w:lineRule="exact"/>
        <w:rPr>
          <w:sz w:val="24"/>
          <w:szCs w:val="24"/>
          <w:color w:val="auto"/>
        </w:rPr>
      </w:pPr>
    </w:p>
    <w:p>
      <w:pPr>
        <w:ind w:left="660"/>
        <w:spacing w:after="0"/>
        <w:tabs>
          <w:tab w:leader="none" w:pos="1520" w:val="left"/>
          <w:tab w:leader="none" w:pos="2040" w:val="left"/>
        </w:tabs>
        <w:rPr>
          <w:sz w:val="20"/>
          <w:szCs w:val="20"/>
          <w:color w:val="auto"/>
        </w:rPr>
      </w:pPr>
      <w:r>
        <w:rPr>
          <w:rFonts w:ascii="Arial" w:cs="Arial" w:eastAsia="Arial" w:hAnsi="Arial"/>
          <w:sz w:val="14"/>
          <w:szCs w:val="14"/>
          <w:color w:val="auto"/>
        </w:rPr>
        <w:t>Leidos, Inc.</w:t>
        <w:tab/>
        <w:t>Yes x</w:t>
        <w:tab/>
        <w:t>No o</w:t>
      </w:r>
    </w:p>
    <w:p>
      <w:pPr>
        <w:spacing w:after="0" w:line="72" w:lineRule="exact"/>
        <w:rPr>
          <w:sz w:val="24"/>
          <w:szCs w:val="24"/>
          <w:color w:val="auto"/>
        </w:rPr>
      </w:pPr>
    </w:p>
    <w:p>
      <w:pPr>
        <w:ind w:right="140"/>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46"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right="3440"/>
        <w:spacing w:after="0" w:line="295" w:lineRule="auto"/>
        <w:rPr>
          <w:sz w:val="20"/>
          <w:szCs w:val="20"/>
          <w:color w:val="auto"/>
        </w:rPr>
      </w:pPr>
      <w:r>
        <w:rPr>
          <w:rFonts w:ascii="Arial" w:cs="Arial" w:eastAsia="Arial" w:hAnsi="Arial"/>
          <w:sz w:val="14"/>
          <w:szCs w:val="14"/>
          <w:color w:val="auto"/>
        </w:rPr>
        <w:t xml:space="preserve">Leidos Holdings, Inc. Large accelerated filer </w:t>
      </w:r>
      <w:r>
        <w:rPr>
          <w:rFonts w:ascii="Arial" w:cs="Arial" w:eastAsia="Arial" w:hAnsi="Arial"/>
          <w:sz w:val="18"/>
          <w:szCs w:val="18"/>
          <w:color w:val="auto"/>
        </w:rPr>
        <w:t>x</w:t>
      </w:r>
      <w:r>
        <w:rPr>
          <w:rFonts w:ascii="Arial" w:cs="Arial" w:eastAsia="Arial" w:hAnsi="Arial"/>
          <w:sz w:val="14"/>
          <w:szCs w:val="14"/>
          <w:color w:val="auto"/>
        </w:rPr>
        <w:t xml:space="preserve"> Accelerated filer o Non-accelerated filer o Smaller reporting company o Leidos, Inc. Large accelerated filer o Accelerated filer o Non-accelerated filer x Smaller reporting company o</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1" w:lineRule="exact"/>
        <w:rPr>
          <w:sz w:val="24"/>
          <w:szCs w:val="24"/>
          <w:color w:val="auto"/>
        </w:rPr>
      </w:pPr>
    </w:p>
    <w:p>
      <w:pPr>
        <w:ind w:left="660"/>
        <w:spacing w:after="0"/>
        <w:tabs>
          <w:tab w:leader="none" w:pos="2120" w:val="left"/>
          <w:tab w:leader="none" w:pos="2640" w:val="left"/>
        </w:tabs>
        <w:rPr>
          <w:sz w:val="20"/>
          <w:szCs w:val="20"/>
          <w:color w:val="auto"/>
        </w:rPr>
      </w:pPr>
      <w:r>
        <w:rPr>
          <w:rFonts w:ascii="Arial" w:cs="Arial" w:eastAsia="Arial" w:hAnsi="Arial"/>
          <w:sz w:val="14"/>
          <w:szCs w:val="14"/>
          <w:color w:val="auto"/>
        </w:rPr>
        <w:t>Leidos Holdings, Inc.</w:t>
        <w:tab/>
        <w:t>Yes o</w:t>
        <w:tab/>
        <w:t>No x</w:t>
      </w:r>
    </w:p>
    <w:p>
      <w:pPr>
        <w:spacing w:after="0" w:line="11" w:lineRule="exact"/>
        <w:rPr>
          <w:sz w:val="24"/>
          <w:szCs w:val="24"/>
          <w:color w:val="auto"/>
        </w:rPr>
      </w:pPr>
    </w:p>
    <w:p>
      <w:pPr>
        <w:ind w:left="660"/>
        <w:spacing w:after="0"/>
        <w:tabs>
          <w:tab w:leader="none" w:pos="1520" w:val="left"/>
          <w:tab w:leader="none" w:pos="2040" w:val="left"/>
        </w:tabs>
        <w:rPr>
          <w:sz w:val="20"/>
          <w:szCs w:val="20"/>
          <w:color w:val="auto"/>
        </w:rPr>
      </w:pPr>
      <w:r>
        <w:rPr>
          <w:rFonts w:ascii="Arial" w:cs="Arial" w:eastAsia="Arial" w:hAnsi="Arial"/>
          <w:sz w:val="14"/>
          <w:szCs w:val="14"/>
          <w:color w:val="auto"/>
        </w:rPr>
        <w:t>Leidos, Inc.</w:t>
        <w:tab/>
        <w:t>Yes o</w:t>
        <w:tab/>
        <w:t>No x</w:t>
      </w:r>
    </w:p>
    <w:p>
      <w:pPr>
        <w:spacing w:after="0" w:line="72" w:lineRule="exact"/>
        <w:rPr>
          <w:sz w:val="24"/>
          <w:szCs w:val="24"/>
          <w:color w:val="auto"/>
        </w:rPr>
      </w:pPr>
    </w:p>
    <w:p>
      <w:pPr>
        <w:ind w:right="240"/>
        <w:spacing w:after="0" w:line="250" w:lineRule="auto"/>
        <w:rPr>
          <w:sz w:val="20"/>
          <w:szCs w:val="20"/>
          <w:color w:val="auto"/>
        </w:rPr>
      </w:pPr>
      <w:r>
        <w:rPr>
          <w:rFonts w:ascii="Arial" w:cs="Arial" w:eastAsia="Arial" w:hAnsi="Arial"/>
          <w:sz w:val="14"/>
          <w:szCs w:val="14"/>
          <w:color w:val="auto"/>
        </w:rPr>
        <w:t>As of August 1, 2014, which was the last business day of the registrant's most recently completed second fiscal quarter and prior to the separation transaction described herein, the aggregate market value of Leidos Holdings, Inc. common stock (based upon the closing price of the stock on the New York Stock Exchange) held by non-affiliates of the registrant was $2,701,960,753.</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each registrant’s classes of common stock as of March 16, 2015 was as follows:</w:t>
      </w:r>
    </w:p>
    <w:p>
      <w:pPr>
        <w:spacing w:after="0" w:line="163" w:lineRule="exact"/>
        <w:rPr>
          <w:sz w:val="24"/>
          <w:szCs w:val="24"/>
          <w:color w:val="auto"/>
        </w:rPr>
      </w:pPr>
    </w:p>
    <w:p>
      <w:pPr>
        <w:ind w:left="660"/>
        <w:spacing w:after="0"/>
        <w:tabs>
          <w:tab w:leader="none" w:pos="4760" w:val="left"/>
        </w:tabs>
        <w:rPr>
          <w:sz w:val="20"/>
          <w:szCs w:val="20"/>
          <w:color w:val="auto"/>
        </w:rPr>
      </w:pPr>
      <w:r>
        <w:rPr>
          <w:rFonts w:ascii="Arial" w:cs="Arial" w:eastAsia="Arial" w:hAnsi="Arial"/>
          <w:sz w:val="14"/>
          <w:szCs w:val="14"/>
          <w:color w:val="auto"/>
        </w:rPr>
        <w:t>Leidos Holdings, Inc.</w:t>
      </w:r>
      <w:r>
        <w:rPr>
          <w:sz w:val="20"/>
          <w:szCs w:val="20"/>
          <w:color w:val="auto"/>
        </w:rPr>
        <w:tab/>
      </w:r>
      <w:r>
        <w:rPr>
          <w:rFonts w:ascii="Arial" w:cs="Arial" w:eastAsia="Arial" w:hAnsi="Arial"/>
          <w:sz w:val="14"/>
          <w:szCs w:val="14"/>
          <w:color w:val="auto"/>
        </w:rPr>
        <w:t>74,124,812 shares of common stock ($.0001 par value per share)</w:t>
      </w:r>
    </w:p>
    <w:p>
      <w:pPr>
        <w:spacing w:after="0" w:line="55" w:lineRule="exact"/>
        <w:rPr>
          <w:sz w:val="24"/>
          <w:szCs w:val="24"/>
          <w:color w:val="auto"/>
        </w:rPr>
      </w:pPr>
    </w:p>
    <w:p>
      <w:pPr>
        <w:ind w:left="660"/>
        <w:spacing w:after="0"/>
        <w:tabs>
          <w:tab w:leader="none" w:pos="4760" w:val="left"/>
        </w:tabs>
        <w:rPr>
          <w:sz w:val="20"/>
          <w:szCs w:val="20"/>
          <w:color w:val="auto"/>
        </w:rPr>
      </w:pPr>
      <w:r>
        <w:rPr>
          <w:rFonts w:ascii="Arial" w:cs="Arial" w:eastAsia="Arial" w:hAnsi="Arial"/>
          <w:sz w:val="14"/>
          <w:szCs w:val="14"/>
          <w:color w:val="auto"/>
        </w:rPr>
        <w:t>Leidos, Inc.</w:t>
      </w:r>
      <w:r>
        <w:rPr>
          <w:sz w:val="20"/>
          <w:szCs w:val="20"/>
          <w:color w:val="auto"/>
        </w:rPr>
        <w:tab/>
      </w:r>
      <w:r>
        <w:rPr>
          <w:rFonts w:ascii="Arial" w:cs="Arial" w:eastAsia="Arial" w:hAnsi="Arial"/>
          <w:sz w:val="14"/>
          <w:szCs w:val="14"/>
          <w:color w:val="auto"/>
        </w:rPr>
        <w:t>5,000 shares of common stock ($.01 par value per share) held by Leidos Holdings,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160"/>
        <w:spacing w:after="0" w:line="258" w:lineRule="auto"/>
        <w:rPr>
          <w:sz w:val="20"/>
          <w:szCs w:val="20"/>
          <w:color w:val="auto"/>
        </w:rPr>
      </w:pPr>
      <w:r>
        <w:rPr>
          <w:rFonts w:ascii="Arial" w:cs="Arial" w:eastAsia="Arial" w:hAnsi="Arial"/>
          <w:sz w:val="14"/>
          <w:szCs w:val="14"/>
          <w:color w:val="auto"/>
        </w:rPr>
        <w:t>Portions of Leidos Holdings, Inc.’s definitive Proxy Statement for the 2015 Annual Meeting of Stockholders are incorporated by reference in Part III of this Annual Report on Form 10-K.</w:t>
      </w:r>
    </w:p>
    <w:p>
      <w:pPr>
        <w:sectPr>
          <w:pgSz w:w="11900" w:h="16838" w:orient="portrait"/>
          <w:cols w:equalWidth="0" w:num="1">
            <w:col w:w="11420"/>
          </w:cols>
          <w:pgMar w:left="240" w:top="498"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Annual Report on Form 10-K is a combined report being filed by Leidos Holdings, Inc. (“Leidos”) and Leidos, Inc. Leidos is a holding company and Leidos, Inc. is a direct, 100%-owned subsidiary of Leidos. Each of Leidos and Leidos, Inc. is filing on its own behalf all of the information contained in this report that relates to such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consolidated financial statements for each company, along with combined notes to the consolidated financial statements, are included in this report. Unless indicated otherwise, references in this report to the “Company”, “we”, “us” and “our” refer collectively to Leidos Holdings, Inc., Leidos, Inc. and its consolidated subsidiaries.</w:t>
      </w:r>
    </w:p>
    <w:p>
      <w:pPr>
        <w:sectPr>
          <w:pgSz w:w="11900" w:h="16838" w:orient="portrait"/>
          <w:cols w:equalWidth="0" w:num="1">
            <w:col w:w="11400"/>
          </w:cols>
          <w:pgMar w:left="240" w:top="36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080" w:type="dxa"/>
            <w:vAlign w:val="bottom"/>
          </w:tcPr>
          <w:p>
            <w:pPr>
              <w:spacing w:after="0"/>
              <w:rPr>
                <w:sz w:val="18"/>
                <w:szCs w:val="18"/>
                <w:color w:val="auto"/>
              </w:rPr>
            </w:pPr>
          </w:p>
        </w:tc>
        <w:tc>
          <w:tcPr>
            <w:tcW w:w="9480" w:type="dxa"/>
            <w:vAlign w:val="bottom"/>
          </w:tcPr>
          <w:p>
            <w:pPr>
              <w:jc w:val="center"/>
              <w:ind w:right="210"/>
              <w:spacing w:after="0"/>
              <w:rPr>
                <w:sz w:val="20"/>
                <w:szCs w:val="20"/>
                <w:color w:val="auto"/>
              </w:rPr>
            </w:pPr>
            <w:r>
              <w:rPr>
                <w:rFonts w:ascii="Arial" w:cs="Arial" w:eastAsia="Arial" w:hAnsi="Arial"/>
                <w:sz w:val="18"/>
                <w:szCs w:val="18"/>
                <w:b w:val="1"/>
                <w:bCs w:val="1"/>
                <w:color w:val="auto"/>
              </w:rPr>
              <w:t>LEIDOS HOLDINGS, INC.</w:t>
            </w:r>
          </w:p>
        </w:tc>
        <w:tc>
          <w:tcPr>
            <w:tcW w:w="7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80" w:type="dxa"/>
            <w:vAlign w:val="bottom"/>
          </w:tcPr>
          <w:p>
            <w:pPr>
              <w:jc w:val="center"/>
              <w:ind w:right="210"/>
              <w:spacing w:after="0"/>
              <w:rPr>
                <w:sz w:val="20"/>
                <w:szCs w:val="20"/>
                <w:color w:val="auto"/>
              </w:rPr>
            </w:pPr>
            <w:r>
              <w:rPr>
                <w:rFonts w:ascii="Arial" w:cs="Arial" w:eastAsia="Arial" w:hAnsi="Arial"/>
                <w:sz w:val="18"/>
                <w:szCs w:val="18"/>
                <w:b w:val="1"/>
                <w:bCs w:val="1"/>
                <w:color w:val="auto"/>
              </w:rPr>
              <w:t>LEIDOS, INC.</w:t>
            </w:r>
          </w:p>
        </w:tc>
        <w:tc>
          <w:tcPr>
            <w:tcW w:w="76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80" w:type="dxa"/>
            <w:vAlign w:val="bottom"/>
          </w:tcPr>
          <w:p>
            <w:pPr>
              <w:jc w:val="center"/>
              <w:ind w:right="210"/>
              <w:spacing w:after="0"/>
              <w:rPr>
                <w:sz w:val="20"/>
                <w:szCs w:val="20"/>
                <w:color w:val="auto"/>
              </w:rPr>
            </w:pPr>
            <w:r>
              <w:rPr>
                <w:rFonts w:ascii="Arial" w:cs="Arial" w:eastAsia="Arial" w:hAnsi="Arial"/>
                <w:sz w:val="18"/>
                <w:szCs w:val="18"/>
                <w:b w:val="1"/>
                <w:bCs w:val="1"/>
                <w:color w:val="auto"/>
              </w:rPr>
              <w:t>FORM 10-K</w:t>
            </w:r>
          </w:p>
        </w:tc>
        <w:tc>
          <w:tcPr>
            <w:tcW w:w="76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p>
        </w:tc>
        <w:tc>
          <w:tcPr>
            <w:tcW w:w="9480" w:type="dxa"/>
            <w:vAlign w:val="bottom"/>
          </w:tcPr>
          <w:p>
            <w:pPr>
              <w:jc w:val="center"/>
              <w:ind w:right="19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0"/>
                <w:szCs w:val="20"/>
                <w:color w:val="auto"/>
              </w:rPr>
            </w:pPr>
          </w:p>
        </w:tc>
      </w:tr>
      <w:tr>
        <w:trPr>
          <w:trHeight w:val="879"/>
        </w:trPr>
        <w:tc>
          <w:tcPr>
            <w:tcW w:w="108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55"/>
        </w:trPr>
        <w:tc>
          <w:tcPr>
            <w:tcW w:w="1080" w:type="dxa"/>
            <w:vAlign w:val="bottom"/>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4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tcPr>
          <w:p>
            <w:pPr>
              <w:ind w:left="18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7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tcPr>
          <w:p>
            <w:pPr>
              <w:ind w:left="180"/>
              <w:spacing w:after="0"/>
              <w:rPr>
                <w:rFonts w:ascii="Arial" w:cs="Arial" w:eastAsia="Arial" w:hAnsi="Arial"/>
                <w:sz w:val="18"/>
                <w:szCs w:val="18"/>
                <w:color w:val="auto"/>
              </w:rPr>
            </w:pPr>
            <w:hyperlink w:anchor="page14">
              <w:r>
                <w:rPr>
                  <w:rFonts w:ascii="Arial" w:cs="Arial" w:eastAsia="Arial" w:hAnsi="Arial"/>
                  <w:sz w:val="18"/>
                  <w:szCs w:val="18"/>
                  <w:color w:val="auto"/>
                </w:rPr>
                <w:t>Risk Factors</w:t>
              </w:r>
            </w:hyperlink>
          </w:p>
        </w:tc>
        <w:tc>
          <w:tcPr>
            <w:tcW w:w="760" w:type="dxa"/>
            <w:vAlign w:val="bottom"/>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12</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1B.</w:t>
            </w:r>
          </w:p>
        </w:tc>
        <w:tc>
          <w:tcPr>
            <w:tcW w:w="948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Unresolved Staff Comments</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Properties</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Legal Proceedings</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tcPr>
          <w:p>
            <w:pPr>
              <w:ind w:left="180"/>
              <w:spacing w:after="0"/>
              <w:rPr>
                <w:rFonts w:ascii="Arial" w:cs="Arial" w:eastAsia="Arial" w:hAnsi="Arial"/>
                <w:sz w:val="18"/>
                <w:szCs w:val="18"/>
                <w:color w:val="auto"/>
              </w:rPr>
            </w:pPr>
            <w:hyperlink w:anchor="page32">
              <w:r>
                <w:rPr>
                  <w:rFonts w:ascii="Arial" w:cs="Arial" w:eastAsia="Arial" w:hAnsi="Arial"/>
                  <w:sz w:val="18"/>
                  <w:szCs w:val="18"/>
                  <w:color w:val="auto"/>
                </w:rPr>
                <w:t>Mine Safety Disclosures</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29</w:t>
              </w:r>
            </w:hyperlink>
          </w:p>
        </w:tc>
      </w:tr>
      <w:tr>
        <w:trPr>
          <w:trHeight w:val="446"/>
        </w:trPr>
        <w:tc>
          <w:tcPr>
            <w:tcW w:w="10560" w:type="dxa"/>
            <w:vAlign w:val="bottom"/>
            <w:gridSpan w:val="2"/>
          </w:tcPr>
          <w:p>
            <w:pPr>
              <w:spacing w:after="0"/>
              <w:rPr>
                <w:rFonts w:ascii="Arial" w:cs="Arial" w:eastAsia="Arial" w:hAnsi="Arial"/>
                <w:sz w:val="18"/>
                <w:szCs w:val="18"/>
                <w:b w:val="1"/>
                <w:bCs w:val="1"/>
                <w:color w:val="auto"/>
              </w:rPr>
            </w:pPr>
            <w:hyperlink w:anchor="page32">
              <w:r>
                <w:rPr>
                  <w:rFonts w:ascii="Arial" w:cs="Arial" w:eastAsia="Arial" w:hAnsi="Arial"/>
                  <w:sz w:val="18"/>
                  <w:szCs w:val="18"/>
                  <w:b w:val="1"/>
                  <w:bCs w:val="1"/>
                  <w:color w:val="auto"/>
                </w:rPr>
                <w:t>Executive and Other Key Officers of the Registrant</w:t>
              </w:r>
            </w:hyperlink>
          </w:p>
        </w:tc>
        <w:tc>
          <w:tcPr>
            <w:tcW w:w="7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Part II</w:t>
              </w:r>
            </w:hyperlink>
          </w:p>
        </w:tc>
        <w:tc>
          <w:tcPr>
            <w:tcW w:w="9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tcPr>
          <w:p>
            <w:pPr>
              <w:ind w:left="180"/>
              <w:spacing w:after="0"/>
              <w:rPr>
                <w:rFonts w:ascii="Arial" w:cs="Arial" w:eastAsia="Arial" w:hAnsi="Arial"/>
                <w:sz w:val="18"/>
                <w:szCs w:val="18"/>
                <w:color w:val="auto"/>
              </w:rPr>
            </w:pPr>
            <w:hyperlink w:anchor="page35">
              <w:r>
                <w:rPr>
                  <w:rFonts w:ascii="Arial" w:cs="Arial" w:eastAsia="Arial" w:hAnsi="Arial"/>
                  <w:sz w:val="18"/>
                  <w:szCs w:val="18"/>
                  <w:color w:val="auto"/>
                </w:rPr>
                <w:t>Market for Registrant’s Common Equity, Related Stockholder Matters and Issuer Purchases of Equity Securities</w:t>
              </w:r>
            </w:hyperlink>
          </w:p>
        </w:tc>
        <w:tc>
          <w:tcPr>
            <w:tcW w:w="76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32</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tcPr>
          <w:p>
            <w:pPr>
              <w:ind w:left="180"/>
              <w:spacing w:after="0"/>
              <w:rPr>
                <w:rFonts w:ascii="Arial" w:cs="Arial" w:eastAsia="Arial" w:hAnsi="Arial"/>
                <w:sz w:val="18"/>
                <w:szCs w:val="18"/>
                <w:color w:val="auto"/>
              </w:rPr>
            </w:pPr>
            <w:hyperlink w:anchor="page37">
              <w:r>
                <w:rPr>
                  <w:rFonts w:ascii="Arial" w:cs="Arial" w:eastAsia="Arial" w:hAnsi="Arial"/>
                  <w:sz w:val="18"/>
                  <w:szCs w:val="18"/>
                  <w:color w:val="auto"/>
                </w:rPr>
                <w:t>Selected Financial Data</w:t>
              </w:r>
            </w:hyperlink>
          </w:p>
        </w:tc>
        <w:tc>
          <w:tcPr>
            <w:tcW w:w="7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34</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7.</w:t>
            </w:r>
          </w:p>
        </w:tc>
        <w:tc>
          <w:tcPr>
            <w:tcW w:w="9480" w:type="dxa"/>
            <w:vAlign w:val="bottom"/>
          </w:tcPr>
          <w:p>
            <w:pPr>
              <w:ind w:left="180"/>
              <w:spacing w:after="0"/>
              <w:rPr>
                <w:rFonts w:ascii="Arial" w:cs="Arial" w:eastAsia="Arial" w:hAnsi="Arial"/>
                <w:sz w:val="18"/>
                <w:szCs w:val="18"/>
                <w:color w:val="auto"/>
              </w:rPr>
            </w:pPr>
            <w:hyperlink w:anchor="page38">
              <w:r>
                <w:rPr>
                  <w:rFonts w:ascii="Arial" w:cs="Arial" w:eastAsia="Arial" w:hAnsi="Arial"/>
                  <w:sz w:val="18"/>
                  <w:szCs w:val="18"/>
                  <w:color w:val="auto"/>
                </w:rPr>
                <w:t>Management’s Discussion and Analysis of Financial Condition and Results of Operations</w:t>
              </w:r>
            </w:hyperlink>
          </w:p>
        </w:tc>
        <w:tc>
          <w:tcPr>
            <w:tcW w:w="7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480" w:type="dxa"/>
            <w:vAlign w:val="bottom"/>
          </w:tcPr>
          <w:p>
            <w:pPr>
              <w:ind w:left="180"/>
              <w:spacing w:after="0"/>
              <w:rPr>
                <w:rFonts w:ascii="Arial" w:cs="Arial" w:eastAsia="Arial" w:hAnsi="Arial"/>
                <w:sz w:val="18"/>
                <w:szCs w:val="18"/>
                <w:color w:val="auto"/>
              </w:rPr>
            </w:pPr>
            <w:hyperlink w:anchor="page62">
              <w:r>
                <w:rPr>
                  <w:rFonts w:ascii="Arial" w:cs="Arial" w:eastAsia="Arial" w:hAnsi="Arial"/>
                  <w:sz w:val="18"/>
                  <w:szCs w:val="18"/>
                  <w:color w:val="auto"/>
                </w:rPr>
                <w:t>Quantitative and Qualitative Disclosures About Market Risk</w:t>
              </w:r>
            </w:hyperlink>
          </w:p>
        </w:tc>
        <w:tc>
          <w:tcPr>
            <w:tcW w:w="7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59</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8.</w:t>
            </w:r>
          </w:p>
        </w:tc>
        <w:tc>
          <w:tcPr>
            <w:tcW w:w="9480" w:type="dxa"/>
            <w:vAlign w:val="bottom"/>
          </w:tcPr>
          <w:p>
            <w:pPr>
              <w:ind w:left="180"/>
              <w:spacing w:after="0"/>
              <w:rPr>
                <w:rFonts w:ascii="Arial" w:cs="Arial" w:eastAsia="Arial" w:hAnsi="Arial"/>
                <w:sz w:val="18"/>
                <w:szCs w:val="18"/>
                <w:color w:val="auto"/>
              </w:rPr>
            </w:pPr>
            <w:hyperlink w:anchor="page63">
              <w:r>
                <w:rPr>
                  <w:rFonts w:ascii="Arial" w:cs="Arial" w:eastAsia="Arial" w:hAnsi="Arial"/>
                  <w:sz w:val="18"/>
                  <w:szCs w:val="18"/>
                  <w:color w:val="auto"/>
                </w:rPr>
                <w:t>Financial Statements and Supplementary Data</w:t>
              </w:r>
            </w:hyperlink>
          </w:p>
        </w:tc>
        <w:tc>
          <w:tcPr>
            <w:tcW w:w="7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480" w:type="dxa"/>
            <w:vAlign w:val="bottom"/>
          </w:tcPr>
          <w:p>
            <w:pPr>
              <w:ind w:left="180"/>
              <w:spacing w:after="0"/>
              <w:rPr>
                <w:rFonts w:ascii="Arial" w:cs="Arial" w:eastAsia="Arial" w:hAnsi="Arial"/>
                <w:sz w:val="18"/>
                <w:szCs w:val="18"/>
                <w:color w:val="auto"/>
              </w:rPr>
            </w:pPr>
            <w:hyperlink w:anchor="page63">
              <w:r>
                <w:rPr>
                  <w:rFonts w:ascii="Arial" w:cs="Arial" w:eastAsia="Arial" w:hAnsi="Arial"/>
                  <w:sz w:val="18"/>
                  <w:szCs w:val="18"/>
                  <w:color w:val="auto"/>
                </w:rPr>
                <w:t>Changes in and Disagreements with Accountants on Accounting and Financial Disclosure</w:t>
              </w:r>
            </w:hyperlink>
          </w:p>
        </w:tc>
        <w:tc>
          <w:tcPr>
            <w:tcW w:w="7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60</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9A.</w:t>
            </w:r>
          </w:p>
        </w:tc>
        <w:tc>
          <w:tcPr>
            <w:tcW w:w="9480" w:type="dxa"/>
            <w:vAlign w:val="bottom"/>
          </w:tcPr>
          <w:p>
            <w:pPr>
              <w:ind w:left="180"/>
              <w:spacing w:after="0"/>
              <w:rPr>
                <w:rFonts w:ascii="Arial" w:cs="Arial" w:eastAsia="Arial" w:hAnsi="Arial"/>
                <w:sz w:val="18"/>
                <w:szCs w:val="18"/>
                <w:color w:val="auto"/>
              </w:rPr>
            </w:pPr>
            <w:hyperlink w:anchor="page63">
              <w:r>
                <w:rPr>
                  <w:rFonts w:ascii="Arial" w:cs="Arial" w:eastAsia="Arial" w:hAnsi="Arial"/>
                  <w:sz w:val="18"/>
                  <w:szCs w:val="18"/>
                  <w:color w:val="auto"/>
                </w:rPr>
                <w:t>Controls and Procedures</w:t>
              </w:r>
            </w:hyperlink>
          </w:p>
        </w:tc>
        <w:tc>
          <w:tcPr>
            <w:tcW w:w="7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480" w:type="dxa"/>
            <w:vAlign w:val="bottom"/>
          </w:tcPr>
          <w:p>
            <w:pPr>
              <w:ind w:left="180"/>
              <w:spacing w:after="0"/>
              <w:rPr>
                <w:rFonts w:ascii="Arial" w:cs="Arial" w:eastAsia="Arial" w:hAnsi="Arial"/>
                <w:sz w:val="18"/>
                <w:szCs w:val="18"/>
                <w:color w:val="auto"/>
              </w:rPr>
            </w:pPr>
            <w:hyperlink w:anchor="page66">
              <w:r>
                <w:rPr>
                  <w:rFonts w:ascii="Arial" w:cs="Arial" w:eastAsia="Arial" w:hAnsi="Arial"/>
                  <w:sz w:val="18"/>
                  <w:szCs w:val="18"/>
                  <w:color w:val="auto"/>
                </w:rPr>
                <w:t>Other Information</w:t>
              </w:r>
            </w:hyperlink>
          </w:p>
        </w:tc>
        <w:tc>
          <w:tcPr>
            <w:tcW w:w="76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64</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67">
              <w:r>
                <w:rPr>
                  <w:rFonts w:ascii="Arial" w:cs="Arial" w:eastAsia="Arial" w:hAnsi="Arial"/>
                  <w:sz w:val="18"/>
                  <w:szCs w:val="18"/>
                  <w:b w:val="1"/>
                  <w:bCs w:val="1"/>
                  <w:color w:val="auto"/>
                </w:rPr>
                <w:t>Part III</w:t>
              </w:r>
            </w:hyperlink>
          </w:p>
        </w:tc>
        <w:tc>
          <w:tcPr>
            <w:tcW w:w="9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10.</w:t>
            </w:r>
          </w:p>
        </w:tc>
        <w:tc>
          <w:tcPr>
            <w:tcW w:w="9480" w:type="dxa"/>
            <w:vAlign w:val="bottom"/>
          </w:tcPr>
          <w:p>
            <w:pPr>
              <w:ind w:left="180"/>
              <w:spacing w:after="0"/>
              <w:rPr>
                <w:rFonts w:ascii="Arial" w:cs="Arial" w:eastAsia="Arial" w:hAnsi="Arial"/>
                <w:sz w:val="18"/>
                <w:szCs w:val="18"/>
                <w:color w:val="auto"/>
              </w:rPr>
            </w:pPr>
            <w:hyperlink w:anchor="page68">
              <w:r>
                <w:rPr>
                  <w:rFonts w:ascii="Arial" w:cs="Arial" w:eastAsia="Arial" w:hAnsi="Arial"/>
                  <w:sz w:val="18"/>
                  <w:szCs w:val="18"/>
                  <w:color w:val="auto"/>
                </w:rPr>
                <w:t>Directors, Executive Officers and Corporate Governance</w:t>
              </w:r>
            </w:hyperlink>
          </w:p>
        </w:tc>
        <w:tc>
          <w:tcPr>
            <w:tcW w:w="7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480" w:type="dxa"/>
            <w:vAlign w:val="bottom"/>
          </w:tcPr>
          <w:p>
            <w:pPr>
              <w:ind w:left="180"/>
              <w:spacing w:after="0"/>
              <w:rPr>
                <w:rFonts w:ascii="Arial" w:cs="Arial" w:eastAsia="Arial" w:hAnsi="Arial"/>
                <w:sz w:val="18"/>
                <w:szCs w:val="18"/>
                <w:color w:val="auto"/>
              </w:rPr>
            </w:pPr>
            <w:hyperlink w:anchor="page68">
              <w:r>
                <w:rPr>
                  <w:rFonts w:ascii="Arial" w:cs="Arial" w:eastAsia="Arial" w:hAnsi="Arial"/>
                  <w:sz w:val="18"/>
                  <w:szCs w:val="18"/>
                  <w:color w:val="auto"/>
                </w:rPr>
                <w:t>Executive Compensation</w:t>
              </w:r>
            </w:hyperlink>
          </w:p>
        </w:tc>
        <w:tc>
          <w:tcPr>
            <w:tcW w:w="7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12.</w:t>
            </w:r>
          </w:p>
        </w:tc>
        <w:tc>
          <w:tcPr>
            <w:tcW w:w="9480" w:type="dxa"/>
            <w:vAlign w:val="bottom"/>
          </w:tcPr>
          <w:p>
            <w:pPr>
              <w:ind w:left="180"/>
              <w:spacing w:after="0"/>
              <w:rPr>
                <w:rFonts w:ascii="Arial" w:cs="Arial" w:eastAsia="Arial" w:hAnsi="Arial"/>
                <w:sz w:val="18"/>
                <w:szCs w:val="18"/>
                <w:color w:val="auto"/>
              </w:rPr>
            </w:pPr>
            <w:hyperlink w:anchor="page68">
              <w:r>
                <w:rPr>
                  <w:rFonts w:ascii="Arial" w:cs="Arial" w:eastAsia="Arial" w:hAnsi="Arial"/>
                  <w:sz w:val="18"/>
                  <w:szCs w:val="18"/>
                  <w:color w:val="auto"/>
                </w:rPr>
                <w:t>Security Ownership of Certain Beneficial Owners and Management and Related Stockholder Matters</w:t>
              </w:r>
            </w:hyperlink>
          </w:p>
        </w:tc>
        <w:tc>
          <w:tcPr>
            <w:tcW w:w="76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480" w:type="dxa"/>
            <w:vAlign w:val="bottom"/>
          </w:tcPr>
          <w:p>
            <w:pPr>
              <w:ind w:left="180"/>
              <w:spacing w:after="0"/>
              <w:rPr>
                <w:rFonts w:ascii="Arial" w:cs="Arial" w:eastAsia="Arial" w:hAnsi="Arial"/>
                <w:sz w:val="18"/>
                <w:szCs w:val="18"/>
                <w:color w:val="auto"/>
              </w:rPr>
            </w:pPr>
            <w:hyperlink w:anchor="page70">
              <w:r>
                <w:rPr>
                  <w:rFonts w:ascii="Arial" w:cs="Arial" w:eastAsia="Arial" w:hAnsi="Arial"/>
                  <w:sz w:val="18"/>
                  <w:szCs w:val="18"/>
                  <w:color w:val="auto"/>
                </w:rPr>
                <w:t>Certain Relationships and Related Transactions, and Director Independence</w:t>
              </w:r>
            </w:hyperlink>
          </w:p>
        </w:tc>
        <w:tc>
          <w:tcPr>
            <w:tcW w:w="7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14.</w:t>
            </w:r>
          </w:p>
        </w:tc>
        <w:tc>
          <w:tcPr>
            <w:tcW w:w="9480" w:type="dxa"/>
            <w:vAlign w:val="bottom"/>
          </w:tcPr>
          <w:p>
            <w:pPr>
              <w:ind w:left="180"/>
              <w:spacing w:after="0"/>
              <w:rPr>
                <w:rFonts w:ascii="Arial" w:cs="Arial" w:eastAsia="Arial" w:hAnsi="Arial"/>
                <w:sz w:val="18"/>
                <w:szCs w:val="18"/>
                <w:color w:val="auto"/>
              </w:rPr>
            </w:pPr>
            <w:hyperlink w:anchor="page70">
              <w:r>
                <w:rPr>
                  <w:rFonts w:ascii="Arial" w:cs="Arial" w:eastAsia="Arial" w:hAnsi="Arial"/>
                  <w:sz w:val="18"/>
                  <w:szCs w:val="18"/>
                  <w:color w:val="auto"/>
                </w:rPr>
                <w:t>Principal Accounting Fees and Services</w:t>
              </w:r>
            </w:hyperlink>
          </w:p>
        </w:tc>
        <w:tc>
          <w:tcPr>
            <w:tcW w:w="7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70">
              <w:r>
                <w:rPr>
                  <w:rFonts w:ascii="Arial" w:cs="Arial" w:eastAsia="Arial" w:hAnsi="Arial"/>
                  <w:sz w:val="18"/>
                  <w:szCs w:val="18"/>
                  <w:b w:val="1"/>
                  <w:bCs w:val="1"/>
                  <w:color w:val="auto"/>
                </w:rPr>
                <w:t>Part IV</w:t>
              </w:r>
            </w:hyperlink>
          </w:p>
        </w:tc>
        <w:tc>
          <w:tcPr>
            <w:tcW w:w="9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480" w:type="dxa"/>
            <w:vAlign w:val="bottom"/>
          </w:tcPr>
          <w:p>
            <w:pPr>
              <w:ind w:left="180"/>
              <w:spacing w:after="0"/>
              <w:rPr>
                <w:rFonts w:ascii="Arial" w:cs="Arial" w:eastAsia="Arial" w:hAnsi="Arial"/>
                <w:sz w:val="18"/>
                <w:szCs w:val="18"/>
                <w:color w:val="auto"/>
              </w:rPr>
            </w:pPr>
            <w:hyperlink w:anchor="page71">
              <w:r>
                <w:rPr>
                  <w:rFonts w:ascii="Arial" w:cs="Arial" w:eastAsia="Arial" w:hAnsi="Arial"/>
                  <w:sz w:val="18"/>
                  <w:szCs w:val="18"/>
                  <w:color w:val="auto"/>
                </w:rPr>
                <w:t>Exhibits, Financial Statement Schedules</w:t>
              </w:r>
            </w:hyperlink>
          </w:p>
        </w:tc>
        <w:tc>
          <w:tcPr>
            <w:tcW w:w="7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68</w:t>
              </w:r>
            </w:hyperlink>
          </w:p>
        </w:tc>
      </w:tr>
      <w:tr>
        <w:trPr>
          <w:trHeight w:val="446"/>
        </w:trPr>
        <w:tc>
          <w:tcPr>
            <w:tcW w:w="1080" w:type="dxa"/>
            <w:vAlign w:val="bottom"/>
          </w:tcPr>
          <w:p>
            <w:pPr>
              <w:spacing w:after="0"/>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Signatures</w:t>
              </w:r>
            </w:hyperlink>
          </w:p>
        </w:tc>
        <w:tc>
          <w:tcPr>
            <w:tcW w:w="9480" w:type="dxa"/>
            <w:vAlign w:val="bottom"/>
          </w:tcPr>
          <w:p>
            <w:pPr>
              <w:spacing w:after="0"/>
              <w:rPr>
                <w:sz w:val="24"/>
                <w:szCs w:val="24"/>
                <w:color w:val="auto"/>
              </w:rPr>
            </w:pPr>
          </w:p>
        </w:tc>
        <w:tc>
          <w:tcPr>
            <w:tcW w:w="76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72</w:t>
              </w:r>
            </w:hyperlink>
          </w:p>
        </w:tc>
      </w:tr>
      <w:tr>
        <w:trPr>
          <w:trHeight w:val="446"/>
        </w:trPr>
        <w:tc>
          <w:tcPr>
            <w:tcW w:w="10560" w:type="dxa"/>
            <w:vAlign w:val="bottom"/>
            <w:gridSpan w:val="2"/>
          </w:tcPr>
          <w:p>
            <w:pPr>
              <w:spacing w:after="0"/>
              <w:rPr>
                <w:rFonts w:ascii="Arial" w:cs="Arial" w:eastAsia="Arial" w:hAnsi="Arial"/>
                <w:sz w:val="18"/>
                <w:szCs w:val="18"/>
                <w:b w:val="1"/>
                <w:bCs w:val="1"/>
                <w:color w:val="auto"/>
              </w:rPr>
            </w:pPr>
            <w:hyperlink w:anchor="page75">
              <w:r>
                <w:rPr>
                  <w:rFonts w:ascii="Arial" w:cs="Arial" w:eastAsia="Arial" w:hAnsi="Arial"/>
                  <w:sz w:val="18"/>
                  <w:szCs w:val="18"/>
                  <w:b w:val="1"/>
                  <w:bCs w:val="1"/>
                  <w:color w:val="auto"/>
                </w:rPr>
                <w:t>Index to Consolidated Financial Statements</w:t>
              </w:r>
            </w:hyperlink>
          </w:p>
        </w:tc>
        <w:tc>
          <w:tcPr>
            <w:tcW w:w="76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F-1</w:t>
              </w:r>
            </w:hyperlink>
          </w:p>
        </w:tc>
      </w:tr>
    </w:tbl>
    <w:p>
      <w:pPr>
        <w:sectPr>
          <w:pgSz w:w="11900" w:h="16838" w:orient="portrait"/>
          <w:cols w:equalWidth="0" w:num="1">
            <w:col w:w="11320"/>
          </w:cols>
          <w:pgMar w:left="280" w:top="118"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Leidos Holdings, Inc. ("Leidos") is a holding company. Its principal operating company, Leidos, Inc. was formed in 1969 by a small group of scientists led by physicist Dr. Robert Beyster. Since our founding 46 years ago, we have applied our expertise in science, research and engineering in rapidly evolving technologies and markets to solve complex problems of national concern.</w:t>
      </w:r>
    </w:p>
    <w:p>
      <w:pPr>
        <w:spacing w:after="0" w:line="21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Leidos is an applied technology company delivering solutions and services that leverage expertise in the national security, health and engineering markets. We bring domain-specific capability to each of our markets, including imagery and signals intelligence, advanced sensing phenomenology, intelligence collection methods, life sciences and power grid engineering. In addition to market-specific capability, we have three core areas of technical expertise: data analytics, systems engineering and cybersecurity. Customer needs in our markets span these three core areas of expertise, enabling cross-market innovations for our entire customer set. We provide these solutions and services to government and commercial customers, both domestically and internationally. Leidos' technically advanced solutions have enabled us to build strong ties with our key customers. These customers include agencies of the U.S. Department of Defense ("DoD"), the intelligence community, the U.S. Department of Homeland Security ("DHS"), other U.S. Government civil agencies, state and local government agencies, and government agencies of U.S. allies abroad. With a focus on delivering mission-critical solutions, Leidos generates over 79% of our total revenues from U.S. Government contracts. A majority of that work supports the U.S. intelligence community.</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Building on our foundation in offering innovative services and solutions to U.S. Government customers, Leidos is expanding into international government and broader commercial markets. By leveraging expertise in multiple disciplines, tailoring our solutions to the particular needs of our targeted markets, and using advanced analytics, we work to securely deliver solutions that not only meet customers’ current goals, but also support their future endeavors.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27, 2013 (the "Distribution Date"), Leidos completed the spin-off of our technical services and enterprise information technology services business into an independent, publicly traded company named Science Applications International Corporation ("New SAIC"). The separation was effected through a tax-free distribution to Leidos' stockholders of 100% of the shares of New SAIC's common stock. On the Distribution Date, New SAIC's common stock was distributed, on a pro rata basis, to Leidos' stockholders of record as of the close of business on September 19, 2013, the record date. Each holder of Leidos common stock received one share of New SAIC common stock for every seven shares of Leidos common stock held on the record date. Prior to the Distribution Date, Leidos Holdings, Inc. was named SAIC, Inc. and Leidos, Inc. was named Science Applications International Corporation.</w:t>
      </w:r>
    </w:p>
    <w:p>
      <w:pPr>
        <w:spacing w:after="0" w:line="153"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As a result of the spin-off, the assets, liabilities, results of operations, and cash flows of New SAIC have been classified as discontinued operations for all periods presented. References to financial data are to our continuing operations, unless otherwise noted.</w:t>
      </w:r>
    </w:p>
    <w:p>
      <w:pPr>
        <w:spacing w:after="0" w:line="14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Immediately following the spin-off, Leidos effectuated a one-for-four reverse stock split of its shares of common stock, so that every four shares of Leidos common stock issued and outstanding were combined and converted into one share of Leidos common stock. Each reference to the number of shares outstanding or per share amounts has been adjusted to reflect the reverse stock split for all periods presented.</w:t>
      </w:r>
    </w:p>
    <w:p>
      <w:pPr>
        <w:spacing w:after="0" w:line="14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14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use the terms “Company,” “we,” “us,” and “our” to refer collectively to Leidos Holdings, Inc., Leidos, Inc., and its consolidated subsidiaries. Unless otherwise noted, references to fiscal years are to fiscal years ended the Friday closest to January 31. For example, fiscal 2015 began on February 1, 2014 and ended on January 30, 2015.</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w:t>
      </w:r>
    </w:p>
    <w:p>
      <w:pPr>
        <w:sectPr>
          <w:pgSz w:w="11900" w:h="16838" w:orient="portrait"/>
          <w:cols w:equalWidth="0" w:num="1">
            <w:col w:w="11400"/>
          </w:cols>
          <w:pgMar w:left="240" w:top="495"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business is aligned into three reportable segments: National Security Solutions (NSS); Health and Engineering (HES); and Corporate and Other. While each reportable segment is organized around the markets served and the nature of the products and services provided to customers in those markets, we provide a wide array of scientific, engineering, and technical services and solutions across these reportable segments.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Security Solutions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National Security Solutions provides solutions and systems for air, land, sea, space and cyberspace for the U.S. intelligence community, the DoD, the military services, the DHS and government agencies of U.S. allies abroad. Our solutions deliver technology, large scale intelligence systems, command and control, data analytics, cybersecurity, logistics, and intelligence analysis and operations support to critical missions around the world. Major customers of National Security Solutions include national and military intelligence agencies, and other federal, civilian and commercial customers in the national security complex. National Security Solutions represented 71%, 70%, and 72% of total revenues for fiscal 2015, 2014, and 2013, respectively.</w:t>
      </w:r>
    </w:p>
    <w:p>
      <w:pPr>
        <w:spacing w:after="0" w:line="155"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Our national security business is focused on rapidly providing cost effective solutions and services to the ever changing missions of our customers in the areas of technology, intelligence and cybersecurity.</w:t>
      </w:r>
    </w:p>
    <w:p>
      <w:pPr>
        <w:spacing w:after="0" w:line="120" w:lineRule="exact"/>
        <w:rPr>
          <w:sz w:val="20"/>
          <w:szCs w:val="20"/>
          <w:color w:val="auto"/>
        </w:rPr>
      </w:pPr>
    </w:p>
    <w:p>
      <w:pPr>
        <w:ind w:left="660" w:right="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Technology - </w:t>
      </w:r>
      <w:r>
        <w:rPr>
          <w:rFonts w:ascii="Arial" w:cs="Arial" w:eastAsia="Arial" w:hAnsi="Arial"/>
          <w:sz w:val="18"/>
          <w:szCs w:val="18"/>
          <w:color w:val="auto"/>
        </w:rPr>
        <w:t>We have a history of successfully delivering a wide range of technology capabilities rapidly. We provide solutions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arms control and the intelligence agencies and the DoD service arms, including the Defense Advanced Research Projects Agency ("DARPA"). This group focuses largely on distributed autonomous capabilities and systems, tying software and data capabilities together. We were an early developer of the first full spectrum Intelligence, Surveillance, and Reconnaissance ("ISR") capability and placed it in theater during recent conflicts.</w:t>
      </w:r>
    </w:p>
    <w:p>
      <w:pPr>
        <w:spacing w:after="0" w:line="12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Intelligence - </w:t>
      </w:r>
      <w:r>
        <w:rPr>
          <w:rFonts w:ascii="Arial" w:cs="Arial" w:eastAsia="Arial" w:hAnsi="Arial"/>
          <w:sz w:val="18"/>
          <w:szCs w:val="18"/>
          <w:color w:val="auto"/>
        </w:rPr>
        <w:t>We offer intelligence services and solutions and are deeply embedded in our customer's most important missions.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systems development and operations support around the globe. We have over a decade of experience dealing with large data ingest, structured and unstructured data, modern cloud processing tools and agile development. We are supporting the army's migration of intelligence applications and infrastructure into the cloud and are providing cloud computing architectures to the intelligence and the defense communities.</w:t>
      </w:r>
    </w:p>
    <w:p>
      <w:pPr>
        <w:spacing w:after="0" w:line="125" w:lineRule="exact"/>
        <w:rPr>
          <w:rFonts w:ascii="Arial" w:cs="Arial" w:eastAsia="Arial" w:hAnsi="Arial"/>
          <w:sz w:val="18"/>
          <w:szCs w:val="18"/>
          <w:color w:val="auto"/>
        </w:rPr>
      </w:pPr>
    </w:p>
    <w:p>
      <w:pPr>
        <w:ind w:left="660" w:right="160" w:hanging="328"/>
        <w:spacing w:after="0" w:line="269"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Cybersecurity - </w:t>
      </w:r>
      <w:r>
        <w:rPr>
          <w:rFonts w:ascii="Arial" w:cs="Arial" w:eastAsia="Arial" w:hAnsi="Arial"/>
          <w:sz w:val="18"/>
          <w:szCs w:val="18"/>
          <w:color w:val="auto"/>
        </w:rPr>
        <w:t>We offer cybersecurity solutions that detect and manage the most sophisticated cyber threats. Our solutions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 management systems to protect transmitted data, development tools to exploit cyber intelligence, and programs to build comprehensive situational awareness on our nation's military and intelligence networks.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Engineering</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Health and Engineering businesses capitalize on our knowledge and experience in technology and innovation. Major customers of Health and Engineering primarily include the U.S. federal government, state and local governmental agencies, foreign governments, hospitals, and commercial enterprises in various industries. Health and Engineering represented 29%, 30%, and 28% of total revenues for fiscal 2015, 2014, and 2013, respectively.</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Health business provides services and solutions to commercial hospitals and the DoD as well as conducting research and development for U.S. Government and Commercial enterprises in the life sciences field. Our healthcare business is focused on improving the overall availability and quality of data and services that ultimately improves the quality of care while lowering cost for our customers.</w:t>
      </w:r>
    </w:p>
    <w:p>
      <w:pPr>
        <w:spacing w:after="0" w:line="126" w:lineRule="exact"/>
        <w:rPr>
          <w:sz w:val="20"/>
          <w:szCs w:val="20"/>
          <w:color w:val="auto"/>
        </w:rPr>
      </w:pPr>
    </w:p>
    <w:p>
      <w:pPr>
        <w:ind w:left="660" w:right="20" w:hanging="328"/>
        <w:spacing w:after="0" w:line="26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Federal Health - </w:t>
      </w:r>
      <w:r>
        <w:rPr>
          <w:rFonts w:ascii="Arial" w:cs="Arial" w:eastAsia="Arial" w:hAnsi="Arial"/>
          <w:sz w:val="18"/>
          <w:szCs w:val="18"/>
          <w:color w:val="auto"/>
        </w:rPr>
        <w:t>We developed, fielded and currently maintain a full end-to-end EHR system and numerous behavior health services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beyond the clinic - for the DoD. Within the DoD, we serve the Defense Health Agency, which provides healthcare to active duty and retired military personnel and their</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2</w:t>
      </w:r>
    </w:p>
    <w:p>
      <w:pPr>
        <w:sectPr>
          <w:pgSz w:w="11900" w:h="16838" w:orient="portrait"/>
          <w:cols w:equalWidth="0" w:num="1">
            <w:col w:w="11380"/>
          </w:cols>
          <w:pgMar w:left="240" w:top="495" w:right="2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right="380"/>
        <w:spacing w:after="0" w:line="309" w:lineRule="auto"/>
        <w:rPr>
          <w:sz w:val="20"/>
          <w:szCs w:val="20"/>
          <w:color w:val="auto"/>
        </w:rPr>
      </w:pPr>
      <w:r>
        <w:rPr>
          <w:rFonts w:ascii="Arial" w:cs="Arial" w:eastAsia="Arial" w:hAnsi="Arial"/>
          <w:sz w:val="18"/>
          <w:szCs w:val="18"/>
          <w:color w:val="auto"/>
        </w:rPr>
        <w:t>dependents. We strive to improve the availability, quality, and cost effectiveness of healthcare for our military service members and their families.</w:t>
      </w:r>
    </w:p>
    <w:p>
      <w:pPr>
        <w:spacing w:after="0" w:line="93" w:lineRule="exact"/>
        <w:rPr>
          <w:sz w:val="20"/>
          <w:szCs w:val="20"/>
          <w:color w:val="auto"/>
        </w:rPr>
      </w:pPr>
    </w:p>
    <w:p>
      <w:pPr>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 Health - </w:t>
      </w:r>
      <w:r>
        <w:rPr>
          <w:rFonts w:ascii="Arial" w:cs="Arial" w:eastAsia="Arial" w:hAnsi="Arial"/>
          <w:sz w:val="18"/>
          <w:szCs w:val="18"/>
          <w:color w:val="auto"/>
        </w:rPr>
        <w:t>We implement and optimize Electronic Health Record ("EHR") systems at commercial hospitals. In addition,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consulting services and operational support focused on high-level initiatives including health care legislation for Meaningful Use and ICD-10 transition, IT strategy, revenue cycle management, accountable care transformation, risk management, technology infrastructure, and project management. Our teams are staffed with clinical subject matter experts who draw upon their deep experience and knowledge of healthcare and IT systems.</w:t>
      </w:r>
    </w:p>
    <w:p>
      <w:pPr>
        <w:spacing w:after="0" w:line="125" w:lineRule="exact"/>
        <w:rPr>
          <w:rFonts w:ascii="Arial" w:cs="Arial" w:eastAsia="Arial" w:hAnsi="Arial"/>
          <w:sz w:val="18"/>
          <w:szCs w:val="18"/>
          <w:color w:val="auto"/>
        </w:rPr>
      </w:pPr>
    </w:p>
    <w:p>
      <w:pPr>
        <w:ind w:left="660" w:right="3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Life Sciences - </w:t>
      </w:r>
      <w:r>
        <w:rPr>
          <w:rFonts w:ascii="Arial" w:cs="Arial" w:eastAsia="Arial" w:hAnsi="Arial"/>
          <w:sz w:val="18"/>
          <w:szCs w:val="18"/>
          <w:color w:val="auto"/>
        </w:rPr>
        <w:t>We provide Life Science research and development support to the National Institute of Health, Center for Disease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Army Medical Research community, commercial biotech companies and the Frederick National Laboratory for Cancer Research where we employ about 1,800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15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Our Engineering business leverages technology and skills in process engineering, engineering design and systems integration to create innovative and cost effective solutions for our customers. We carry out our engineering business in five key areas of expertise:</w:t>
      </w:r>
    </w:p>
    <w:p>
      <w:pPr>
        <w:spacing w:after="0" w:line="120" w:lineRule="exact"/>
        <w:rPr>
          <w:sz w:val="20"/>
          <w:szCs w:val="20"/>
          <w:color w:val="auto"/>
        </w:rPr>
      </w:pPr>
    </w:p>
    <w:p>
      <w:pPr>
        <w:ind w:left="660" w:right="1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Process Industries Engineering - </w:t>
      </w:r>
      <w:r>
        <w:rPr>
          <w:rFonts w:ascii="Arial" w:cs="Arial" w:eastAsia="Arial" w:hAnsi="Arial"/>
          <w:sz w:val="18"/>
          <w:szCs w:val="18"/>
          <w:color w:val="auto"/>
        </w:rPr>
        <w:t>We provide process industries engineering services and solutions to a large US market for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programs for key clients across a number of industries, including mid-tier refineries and large industrial companies. We exploit use of Building Information Modeling as a design tool and to manage the complexities of the systems we design and build. Our leadership in the use of these tools allows us to manage and design complex process systems as efficiently as possible.</w:t>
      </w:r>
    </w:p>
    <w:p>
      <w:pPr>
        <w:spacing w:after="0" w:line="122"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Products - </w:t>
      </w:r>
      <w:r>
        <w:rPr>
          <w:rFonts w:ascii="Arial" w:cs="Arial" w:eastAsia="Arial" w:hAnsi="Arial"/>
          <w:sz w:val="18"/>
          <w:szCs w:val="18"/>
          <w:color w:val="auto"/>
        </w:rPr>
        <w:t>We provide security products, services and solutions that leverage our design, integration and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technologies to build small footprint, minimally-intrusive secure commerce systems for our customers. Our VACIS systems enable the rapid scanning of vehicles and cargo using patented technology that produces a high-quality image using a low radiation dose while using less space and processing higher volumes of cars and trucks than other scanning systems. Our Reveal line of explosive detection systems for checked airline baggage pioneered the “reduced size” segment of this market, with small, flexible systems that can be installed at airport check-in counters. We also have a line of radiation detection systems, which are used today at ports, border crossings, and industrial facilities around the world - including most ports and border crossings in the United States.</w:t>
      </w:r>
    </w:p>
    <w:p>
      <w:pPr>
        <w:spacing w:after="0" w:line="129"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 Grid Engineering - </w:t>
      </w:r>
      <w:r>
        <w:rPr>
          <w:rFonts w:ascii="Arial" w:cs="Arial" w:eastAsia="Arial" w:hAnsi="Arial"/>
          <w:sz w:val="18"/>
          <w:szCs w:val="18"/>
          <w:color w:val="auto"/>
        </w:rPr>
        <w:t>We provide power grid engineering services and solutions to a broad customer set and have unique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including a Smart Grid as a Service ("SGS") solution. We are working with energy companies to develop analytical products that fully exploit the data enabled by smart grid technology. We provide engineering and consulting to electric utilities and transmission companies. Our focus is on engineering design of the grid from distribution through transmission, and significant substation design and upgrade work. We provide physical and cybersecurity for our utility customers as part of our substantive offerings. We also administer energy efficiency programs for states and utilities and provide an array of consulting services for utilities.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3</w:t>
      </w:r>
    </w:p>
    <w:p>
      <w:pPr>
        <w:sectPr>
          <w:pgSz w:w="11900" w:h="16838" w:orient="portrait"/>
          <w:cols w:equalWidth="0" w:num="1">
            <w:col w:w="11420"/>
          </w:cols>
          <w:pgMar w:left="240" w:top="49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Federal Environmental and Engineering - </w:t>
      </w:r>
      <w:r>
        <w:rPr>
          <w:rFonts w:ascii="Arial" w:cs="Arial" w:eastAsia="Arial" w:hAnsi="Arial"/>
          <w:sz w:val="18"/>
          <w:szCs w:val="18"/>
          <w:color w:val="auto"/>
        </w:rPr>
        <w:t>We provide consulting and engineering, primarily for the DoD. We support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the National Environmental Policy Act ("NEPA") as well as other permitting activities. We also have specialty consulting associated with specific environmental issues, such as underwater environmental issues, radiologic clean up, risk assessment training ranges and other specific needs. We support site cleanup and remediation efforts. The other portion of this business is engineering design and build, where we design high-content facilities such as unique testing facilities and training centers.</w:t>
      </w:r>
    </w:p>
    <w:p>
      <w:pPr>
        <w:spacing w:after="0" w:line="1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Valuation Consulting - </w:t>
      </w:r>
      <w:r>
        <w:rPr>
          <w:rFonts w:ascii="Arial" w:cs="Arial" w:eastAsia="Arial" w:hAnsi="Arial"/>
          <w:sz w:val="18"/>
          <w:szCs w:val="18"/>
          <w:color w:val="auto"/>
        </w:rPr>
        <w:t>We provide transaction and asset valuation services for the power industry. Our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are the large lending institutions that require a comprehensive assessment of proposed projects for financing. Our analysts study technologies, designs, operational plans, fuel needs and financial trends in power markets to evaluate the viability of projects. We also provide oversight work at projects site on behalf of lenders or owners.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93" w:lineRule="exact"/>
        <w:rPr>
          <w:sz w:val="20"/>
          <w:szCs w:val="20"/>
          <w:color w:val="auto"/>
        </w:rPr>
      </w:pPr>
    </w:p>
    <w:p>
      <w:pPr>
        <w:ind w:right="800"/>
        <w:spacing w:after="0" w:line="256" w:lineRule="auto"/>
        <w:rPr>
          <w:sz w:val="20"/>
          <w:szCs w:val="20"/>
          <w:color w:val="auto"/>
        </w:rPr>
      </w:pPr>
      <w:r>
        <w:rPr>
          <w:rFonts w:ascii="Arial" w:cs="Arial" w:eastAsia="Arial" w:hAnsi="Arial"/>
          <w:sz w:val="18"/>
          <w:szCs w:val="18"/>
          <w:color w:val="auto"/>
        </w:rPr>
        <w:t>The Corporate and Other business segment includes the operations of various corporate activities, certain expense items that are not reimbursed by our U.S. Government customers and certain other revenue and expense items excluded from a reportable segment’s performance. Corporate and Other represented an immaterial percentage of revenue for fiscal 2015, 2014, and 2013.</w:t>
      </w:r>
    </w:p>
    <w:p>
      <w:pPr>
        <w:spacing w:after="0" w:line="148"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For additional information regarding our reportable segments, see “Management’s Discussion and Analysis of Financial Condition and Results of Operations” in Part II and Note 18 of the combined notes to consolidated financial statements contained within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five fiscal years, we have completed 7 acquisitions. The most notable acquisitions were as follows:</w:t>
      </w:r>
    </w:p>
    <w:p>
      <w:pPr>
        <w:spacing w:after="0" w:line="171" w:lineRule="exact"/>
        <w:rPr>
          <w:sz w:val="20"/>
          <w:szCs w:val="20"/>
          <w:color w:val="auto"/>
        </w:rPr>
      </w:pPr>
    </w:p>
    <w:p>
      <w:pPr>
        <w:ind w:left="660" w:right="4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2014, we gained 100% control of a special purpose limited liability company, Plainfield Renewable Energy LLC ("Plainfield"), formed to create a renewable energy project. The Plainfield Renewable Energy Project involves the design, construction, and financing of a 37.5 megawatt biomass-fueled power plant in Plainfield, Connecticut. The acquisition was effected by a consensual foreclosure agreement pursuant to which the project owners agreed to transfer to us all of their equity interest in Plainfield in full satisfaction of certain secured obligations owed by the project owner to us. The foreclosure agreement constituted a change in control and was accounted for as a business combination.</w:t>
      </w:r>
    </w:p>
    <w:p>
      <w:pPr>
        <w:spacing w:after="0" w:line="154" w:lineRule="exact"/>
        <w:rPr>
          <w:rFonts w:ascii="Arial" w:cs="Arial" w:eastAsia="Arial" w:hAnsi="Arial"/>
          <w:sz w:val="18"/>
          <w:szCs w:val="18"/>
          <w:color w:val="auto"/>
        </w:rPr>
      </w:pPr>
    </w:p>
    <w:p>
      <w:pPr>
        <w:ind w:left="660" w:right="52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2013, we acquired maxIT Healthcare Holdings, Inc. ("maxIT"), a provider of clinical, business and information technology services primarily to commercial hospital groups and other medical delivery organizations. This acquisition by our Health and Engineering segment expanded our commercial consulting practice in Electronic Health Record ("EHR") implementation and optimization and strengthened our capabilities to provide these services to our federal healthcare customers as those customers migrate to commercial off-the-shelf EHR applications.</w:t>
      </w:r>
    </w:p>
    <w:p>
      <w:pPr>
        <w:spacing w:after="0" w:line="151" w:lineRule="exact"/>
        <w:rPr>
          <w:rFonts w:ascii="Arial" w:cs="Arial" w:eastAsia="Arial" w:hAnsi="Arial"/>
          <w:sz w:val="18"/>
          <w:szCs w:val="18"/>
          <w:color w:val="auto"/>
        </w:rPr>
      </w:pPr>
    </w:p>
    <w:p>
      <w:pPr>
        <w:ind w:left="660" w:right="1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fiscal 2012, we acquired Vitalize Consulting Solutions, Inc. ("Vitalize"), a provider of clinical, business and information technology services for healthcare enterprises. This acquisition by our Health and Engineering segment expanded our capabilities in both federal and commercial markets to help customers address EHR implementation and optimization demand.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4</w:t>
      </w:r>
    </w:p>
    <w:p>
      <w:pPr>
        <w:sectPr>
          <w:pgSz w:w="11900" w:h="16838" w:orient="portrait"/>
          <w:cols w:equalWidth="0" w:num="1">
            <w:col w:w="11420"/>
          </w:cols>
          <w:pgMar w:left="240" w:top="49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14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fiscal 2011, we acquired Reveal Imaging Technologies, Inc. ("Reveal"), a provider of threat detection products and services. This acquisition by our Health and Engineering segment enhanced our homeland security solutions portfolio by adding U.S. Transportation Security Administration certified explosive detection systems for checked baggage screening to our passenger and cargo inspections systems product offerings.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Dispositions</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From time to time, we divest or management may commit to plans to divest of non-strategic components of our business. During the last five fiscal years, our most notable dispositions included:</w:t>
      </w:r>
    </w:p>
    <w:p>
      <w:pPr>
        <w:spacing w:after="0" w:line="142" w:lineRule="exact"/>
        <w:rPr>
          <w:sz w:val="20"/>
          <w:szCs w:val="20"/>
          <w:color w:val="auto"/>
        </w:rPr>
      </w:pPr>
    </w:p>
    <w:p>
      <w:pPr>
        <w:ind w:left="660" w:right="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fiscal 2014, we committed to plans to dispose of Cloudshield, which was historically included in our National Security Solutions segment, primarily focused on producing a suite of cybersecurity hardware and associated software and services. The sale transaction was completed in February 2015.</w:t>
      </w:r>
    </w:p>
    <w:p>
      <w:pPr>
        <w:spacing w:after="0" w:line="147" w:lineRule="exact"/>
        <w:rPr>
          <w:rFonts w:ascii="Arial" w:cs="Arial" w:eastAsia="Arial" w:hAnsi="Arial"/>
          <w:sz w:val="18"/>
          <w:szCs w:val="18"/>
          <w:color w:val="auto"/>
        </w:rPr>
      </w:pPr>
    </w:p>
    <w:p>
      <w:pPr>
        <w:ind w:left="660" w:right="6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fiscal 2013, we completed the sale of certain components of our business, which were historically included in our Health and Engineering segment, primarily focused on providing operational test and evaluation services to U.S. Government customers.</w:t>
      </w:r>
    </w:p>
    <w:p>
      <w:pPr>
        <w:spacing w:after="0" w:line="142" w:lineRule="exact"/>
        <w:rPr>
          <w:rFonts w:ascii="Arial" w:cs="Arial" w:eastAsia="Arial" w:hAnsi="Arial"/>
          <w:sz w:val="18"/>
          <w:szCs w:val="18"/>
          <w:color w:val="auto"/>
        </w:rPr>
      </w:pPr>
    </w:p>
    <w:p>
      <w:pPr>
        <w:ind w:left="660" w:right="740" w:hanging="328"/>
        <w:spacing w:after="0" w:line="291"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fiscal 2012, we completed the sale of certain components of our business which were historically included in our Health and Engineering segment, primarily focused on providing information technology services to international oil and gas companies.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Substantially all of our revenues are generated in the United States. Our total revenues are largely attributable to prime contracts or to subcontracts with other contractors engaged in work for the U.S. Government, with remaining being customers across a variety of commercial markets including healthcare, energy, manufacturing and transportation. Within the U.S. Government, our revenues are diversified across many agencies, including various intelligence agencies, the U.S. Army, Navy and Air Force, research agencies like DARPA, DHS, NASA and others.</w:t>
      </w:r>
    </w:p>
    <w:p>
      <w:pPr>
        <w:spacing w:after="0" w:line="150"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percentage of total revenues for the U.S. Government its agencies and other customers comprising more than 10% of total revenues in any of the three years ended January 30, 2015, January 31, 2014, and January 31, 2013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Year Ended</w:t>
            </w:r>
          </w:p>
        </w:tc>
        <w:tc>
          <w:tcPr>
            <w:tcW w:w="1340" w:type="dxa"/>
            <w:vAlign w:val="bottom"/>
            <w:tcBorders>
              <w:bottom w:val="single" w:sz="8" w:color="auto"/>
            </w:tcBorders>
          </w:tcPr>
          <w:p>
            <w:pPr>
              <w:spacing w:after="0"/>
              <w:rPr>
                <w:sz w:val="15"/>
                <w:szCs w:val="15"/>
                <w:color w:val="auto"/>
              </w:rPr>
            </w:pPr>
          </w:p>
        </w:tc>
      </w:tr>
      <w:tr>
        <w:trPr>
          <w:trHeight w:val="175"/>
        </w:trPr>
        <w:tc>
          <w:tcPr>
            <w:tcW w:w="6900" w:type="dxa"/>
            <w:vAlign w:val="bottom"/>
          </w:tcPr>
          <w:p>
            <w:pPr>
              <w:spacing w:after="0"/>
              <w:rPr>
                <w:sz w:val="15"/>
                <w:szCs w:val="15"/>
                <w:color w:val="auto"/>
              </w:rPr>
            </w:pPr>
          </w:p>
        </w:tc>
        <w:tc>
          <w:tcPr>
            <w:tcW w:w="1640" w:type="dxa"/>
            <w:vAlign w:val="bottom"/>
          </w:tcPr>
          <w:p>
            <w:pPr>
              <w:jc w:val="right"/>
              <w:ind w:right="456"/>
              <w:spacing w:after="0"/>
              <w:rPr>
                <w:sz w:val="20"/>
                <w:szCs w:val="20"/>
                <w:color w:val="auto"/>
              </w:rPr>
            </w:pPr>
            <w:r>
              <w:rPr>
                <w:rFonts w:ascii="Arial" w:cs="Arial" w:eastAsia="Arial" w:hAnsi="Arial"/>
                <w:sz w:val="14"/>
                <w:szCs w:val="14"/>
                <w:b w:val="1"/>
                <w:bCs w:val="1"/>
                <w:color w:val="auto"/>
              </w:rPr>
              <w:t>January 30,</w:t>
            </w:r>
          </w:p>
        </w:tc>
        <w:tc>
          <w:tcPr>
            <w:tcW w:w="1540" w:type="dxa"/>
            <w:vAlign w:val="bottom"/>
          </w:tcPr>
          <w:p>
            <w:pPr>
              <w:jc w:val="right"/>
              <w:ind w:right="478"/>
              <w:spacing w:after="0"/>
              <w:rPr>
                <w:sz w:val="20"/>
                <w:szCs w:val="20"/>
                <w:color w:val="auto"/>
              </w:rPr>
            </w:pPr>
            <w:r>
              <w:rPr>
                <w:rFonts w:ascii="Arial" w:cs="Arial" w:eastAsia="Arial" w:hAnsi="Arial"/>
                <w:sz w:val="14"/>
                <w:szCs w:val="14"/>
                <w:color w:val="auto"/>
              </w:rPr>
              <w:t>January 31,</w:t>
            </w:r>
          </w:p>
        </w:tc>
        <w:tc>
          <w:tcPr>
            <w:tcW w:w="1340" w:type="dxa"/>
            <w:vAlign w:val="bottom"/>
          </w:tcPr>
          <w:p>
            <w:pPr>
              <w:jc w:val="right"/>
              <w:ind w:right="276"/>
              <w:spacing w:after="0"/>
              <w:rPr>
                <w:sz w:val="20"/>
                <w:szCs w:val="20"/>
                <w:color w:val="auto"/>
              </w:rPr>
            </w:pPr>
            <w:r>
              <w:rPr>
                <w:rFonts w:ascii="Arial" w:cs="Arial" w:eastAsia="Arial" w:hAnsi="Arial"/>
                <w:sz w:val="14"/>
                <w:szCs w:val="14"/>
                <w:color w:val="auto"/>
              </w:rPr>
              <w:t>January 31,</w:t>
            </w:r>
          </w:p>
        </w:tc>
      </w:tr>
      <w:tr>
        <w:trPr>
          <w:trHeight w:val="196"/>
        </w:trPr>
        <w:tc>
          <w:tcPr>
            <w:tcW w:w="69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15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color w:val="auto"/>
              </w:rPr>
              <w:t>2014</w:t>
            </w:r>
          </w:p>
        </w:tc>
        <w:tc>
          <w:tcPr>
            <w:tcW w:w="13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2013</w:t>
            </w:r>
          </w:p>
        </w:tc>
      </w:tr>
      <w:tr>
        <w:trPr>
          <w:trHeight w:val="256"/>
        </w:trPr>
        <w:tc>
          <w:tcPr>
            <w:tcW w:w="6900" w:type="dxa"/>
            <w:vAlign w:val="bottom"/>
          </w:tcPr>
          <w:p>
            <w:pPr>
              <w:ind w:left="40"/>
              <w:spacing w:after="0"/>
              <w:rPr>
                <w:sz w:val="20"/>
                <w:szCs w:val="20"/>
                <w:color w:val="auto"/>
              </w:rPr>
            </w:pPr>
            <w:r>
              <w:rPr>
                <w:rFonts w:ascii="Arial" w:cs="Arial" w:eastAsia="Arial" w:hAnsi="Arial"/>
                <w:sz w:val="18"/>
                <w:szCs w:val="18"/>
                <w:color w:val="auto"/>
              </w:rPr>
              <w:t>U.S. Government</w:t>
            </w:r>
          </w:p>
        </w:tc>
        <w:tc>
          <w:tcPr>
            <w:tcW w:w="1640" w:type="dxa"/>
            <w:vAlign w:val="bottom"/>
          </w:tcPr>
          <w:p>
            <w:pPr>
              <w:jc w:val="right"/>
              <w:ind w:right="136"/>
              <w:spacing w:after="0"/>
              <w:rPr>
                <w:sz w:val="20"/>
                <w:szCs w:val="20"/>
                <w:color w:val="auto"/>
              </w:rPr>
            </w:pPr>
            <w:r>
              <w:rPr>
                <w:rFonts w:ascii="Arial" w:cs="Arial" w:eastAsia="Arial" w:hAnsi="Arial"/>
                <w:sz w:val="18"/>
                <w:szCs w:val="18"/>
                <w:b w:val="1"/>
                <w:bCs w:val="1"/>
                <w:color w:val="auto"/>
              </w:rPr>
              <w:t>79%</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78%</w:t>
            </w: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6900" w:type="dxa"/>
            <w:vAlign w:val="bottom"/>
          </w:tcPr>
          <w:p>
            <w:pPr>
              <w:ind w:left="280"/>
              <w:spacing w:after="0"/>
              <w:rPr>
                <w:sz w:val="20"/>
                <w:szCs w:val="20"/>
                <w:color w:val="auto"/>
              </w:rPr>
            </w:pPr>
            <w:r>
              <w:rPr>
                <w:rFonts w:ascii="Arial" w:cs="Arial" w:eastAsia="Arial" w:hAnsi="Arial"/>
                <w:sz w:val="18"/>
                <w:szCs w:val="18"/>
                <w:color w:val="auto"/>
              </w:rPr>
              <w:t>U.S. DoD</w:t>
            </w:r>
          </w:p>
        </w:tc>
        <w:tc>
          <w:tcPr>
            <w:tcW w:w="1640" w:type="dxa"/>
            <w:vAlign w:val="bottom"/>
          </w:tcPr>
          <w:p>
            <w:pPr>
              <w:jc w:val="right"/>
              <w:ind w:right="136"/>
              <w:spacing w:after="0"/>
              <w:rPr>
                <w:sz w:val="20"/>
                <w:szCs w:val="20"/>
                <w:color w:val="auto"/>
              </w:rPr>
            </w:pPr>
            <w:r>
              <w:rPr>
                <w:rFonts w:ascii="Arial" w:cs="Arial" w:eastAsia="Arial" w:hAnsi="Arial"/>
                <w:sz w:val="18"/>
                <w:szCs w:val="18"/>
                <w:b w:val="1"/>
                <w:bCs w:val="1"/>
                <w:color w:val="auto"/>
              </w:rPr>
              <w:t>67%</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68%</w:t>
            </w: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6900" w:type="dxa"/>
            <w:vAlign w:val="bottom"/>
          </w:tcPr>
          <w:p>
            <w:pPr>
              <w:ind w:left="500"/>
              <w:spacing w:after="0"/>
              <w:rPr>
                <w:sz w:val="20"/>
                <w:szCs w:val="20"/>
                <w:color w:val="auto"/>
              </w:rPr>
            </w:pPr>
            <w:r>
              <w:rPr>
                <w:rFonts w:ascii="Arial" w:cs="Arial" w:eastAsia="Arial" w:hAnsi="Arial"/>
                <w:sz w:val="18"/>
                <w:szCs w:val="18"/>
                <w:color w:val="auto"/>
              </w:rPr>
              <w:t>U.S. Army</w:t>
            </w:r>
          </w:p>
        </w:tc>
        <w:tc>
          <w:tcPr>
            <w:tcW w:w="1640" w:type="dxa"/>
            <w:vAlign w:val="bottom"/>
          </w:tcPr>
          <w:p>
            <w:pPr>
              <w:jc w:val="right"/>
              <w:ind w:right="136"/>
              <w:spacing w:after="0"/>
              <w:rPr>
                <w:sz w:val="20"/>
                <w:szCs w:val="20"/>
                <w:color w:val="auto"/>
              </w:rPr>
            </w:pPr>
            <w:r>
              <w:rPr>
                <w:rFonts w:ascii="Arial" w:cs="Arial" w:eastAsia="Arial" w:hAnsi="Arial"/>
                <w:sz w:val="18"/>
                <w:szCs w:val="18"/>
                <w:b w:val="1"/>
                <w:bCs w:val="1"/>
                <w:color w:val="auto"/>
              </w:rPr>
              <w:t>16%</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19%</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6900" w:type="dxa"/>
            <w:vAlign w:val="bottom"/>
          </w:tcPr>
          <w:p>
            <w:pPr>
              <w:ind w:left="500"/>
              <w:spacing w:after="0"/>
              <w:rPr>
                <w:sz w:val="20"/>
                <w:szCs w:val="20"/>
                <w:color w:val="auto"/>
              </w:rPr>
            </w:pPr>
            <w:r>
              <w:rPr>
                <w:rFonts w:ascii="Arial" w:cs="Arial" w:eastAsia="Arial" w:hAnsi="Arial"/>
                <w:sz w:val="18"/>
                <w:szCs w:val="18"/>
                <w:color w:val="auto"/>
              </w:rPr>
              <w:t>Maryland Procurement Office</w:t>
            </w:r>
          </w:p>
        </w:tc>
        <w:tc>
          <w:tcPr>
            <w:tcW w:w="1640" w:type="dxa"/>
            <w:vAlign w:val="bottom"/>
          </w:tcPr>
          <w:p>
            <w:pPr>
              <w:jc w:val="right"/>
              <w:ind w:right="136"/>
              <w:spacing w:after="0"/>
              <w:rPr>
                <w:sz w:val="20"/>
                <w:szCs w:val="20"/>
                <w:color w:val="auto"/>
              </w:rPr>
            </w:pPr>
            <w:r>
              <w:rPr>
                <w:rFonts w:ascii="Arial" w:cs="Arial" w:eastAsia="Arial" w:hAnsi="Arial"/>
                <w:sz w:val="18"/>
                <w:szCs w:val="18"/>
                <w:b w:val="1"/>
                <w:bCs w:val="1"/>
                <w:color w:val="auto"/>
              </w:rPr>
              <w:t>10%</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88"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5</w:t>
      </w:r>
    </w:p>
    <w:p>
      <w:pPr>
        <w:sectPr>
          <w:pgSz w:w="11900" w:h="16838" w:orient="portrait"/>
          <w:cols w:equalWidth="0" w:num="1">
            <w:col w:w="11420"/>
          </w:cols>
          <w:pgMar w:left="240" w:top="49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January 30, 2015, we employed approximately 19,000 full and part-time employees. The experience and expertise of our employees makes Leidos capable of solving the most daunting problems facing our customers. Approximately 40% of our employees have degrees in Science, Technology, Engineering, or Mathematics fields, close to 1,000 employees have doctoral degrees, and nearly 50% of our employees possess security clearances.</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highly technical and complex services and products that we provide are dependent upon the availability of professional, administrative and technical personnel having high levels of training and skills and, in many cases, security clearances. Due to the increased competition for qualified personnel, we have experienced and may continue to face some difficulties in attracting and retaining employees with certain specialized skillsets. We continue to devote significant resources to recruit, develop and retain qualified employees.</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Leidos has a framework of values, beliefs, and expectations that guide the company’s employees. The company has three tenants that define the actions and behaviors of its employees:</w:t>
      </w:r>
    </w:p>
    <w:p>
      <w:pPr>
        <w:spacing w:after="0" w:line="142" w:lineRule="exact"/>
        <w:rPr>
          <w:sz w:val="20"/>
          <w:szCs w:val="20"/>
          <w:color w:val="auto"/>
        </w:rPr>
      </w:pPr>
    </w:p>
    <w:p>
      <w:pPr>
        <w:ind w:left="660" w:right="5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Employees are inspired to make a difference. We solve the world’s toughest problems; connect cross-enterprise knowledge and technology; and unlock creativity and innovation by embracing differences.</w:t>
      </w:r>
    </w:p>
    <w:p>
      <w:pPr>
        <w:spacing w:after="0" w:line="142"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Employees are passionate about customer success. We make customer needs our own; create market-leading solutions; and deliver superior results.</w:t>
      </w:r>
    </w:p>
    <w:p>
      <w:pPr>
        <w:spacing w:after="0" w:line="142"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Employees are united as a team. We behave with ethics and integrity; trust one another; collaborate and share ideas; and create value for our employees, shareholders and communities.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 research and development activities under customer-funded contracts and with company-funded internal research and development ("IR&amp;D") funds. IR&amp;D efforts consist of projects involving basic research, applied research, development, and systems and other concept formulation studies. IR&amp;D expenses are included in selling, general and administrative expenses and are generally allocated to U.S. Government contracts. In fiscal 2015, 2014, and 2013, our company-funded IR&amp;D expense was $37 million, $45 million, and $47 million, respectively, which as a percentage of sales was 0.7%, 0.8%, and 0.7%, respectively. We charge expenses for research and development activities performed under customer contracts directly to cost of revenues for those contracts.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by copyrights, trade secrets, licenses, contracts and other means. We selectively pursue opportunities to license or transfer our technologies to third parties.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performance of services,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may also have certain rights to the programs and products that we develop under the subcontract.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6</w:t>
      </w:r>
    </w:p>
    <w:p>
      <w:pPr>
        <w:sectPr>
          <w:pgSz w:w="11900" w:h="16838" w:orient="portrait"/>
          <w:cols w:equalWidth="0" w:num="1">
            <w:col w:w="11400"/>
          </w:cols>
          <w:pgMar w:left="240" w:top="495"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Competition for contracts is intense, and we often compete against a large number of established multinational corporations that may have greater name and brand recognition, financial resources, and larger technical staffs. We also compete against smaller, more specialized companies that concentrate their resources on particular areas, as well as the U.S. Government’s own capabilities and federal non-profit contract research centers. As a result of the diverse requirements of the U.S. Government and our commercial customers, we frequently collaborate with other companies to compete for large contracts, and bid against these same companies in other situations. We believe that our principal competitors currently include the following companies:</w:t>
      </w:r>
    </w:p>
    <w:p>
      <w:pPr>
        <w:spacing w:after="0" w:line="155" w:lineRule="exact"/>
        <w:rPr>
          <w:sz w:val="20"/>
          <w:szCs w:val="20"/>
          <w:color w:val="auto"/>
        </w:rPr>
      </w:pPr>
    </w:p>
    <w:p>
      <w:pPr>
        <w:ind w:left="660" w:right="100" w:hanging="328"/>
        <w:spacing w:after="0" w:line="27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engineering and technical services divisions of large defense contractors that provide U.S. Government IT services in addition to other hardware systems and products, including companies such as The Boeing Company, General Dynamics Corporation, Lockheed Martin Corporation, Northrop Grumman Corporation, BAE Systems plc, L-3 Communications Corporation and Raytheon Company;</w:t>
      </w:r>
    </w:p>
    <w:p>
      <w:pPr>
        <w:spacing w:after="0" w:line="131" w:lineRule="exact"/>
        <w:rPr>
          <w:rFonts w:ascii="Arial" w:cs="Arial" w:eastAsia="Arial" w:hAnsi="Arial"/>
          <w:sz w:val="17"/>
          <w:szCs w:val="17"/>
          <w:color w:val="auto"/>
        </w:rPr>
      </w:pPr>
    </w:p>
    <w:p>
      <w:pPr>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contractors focused principally on technical services, including U.S. Government IT services, such as Booz Allen Hamilton Inc., Engility Holdings, Inc., CACI International Inc, ManTech International Corporation, Serco Group plc, SRA International, Inc. and MITRE Corporation;</w:t>
      </w:r>
    </w:p>
    <w:p>
      <w:pPr>
        <w:spacing w:after="0" w:line="147" w:lineRule="exact"/>
        <w:rPr>
          <w:rFonts w:ascii="Arial" w:cs="Arial" w:eastAsia="Arial" w:hAnsi="Arial"/>
          <w:sz w:val="18"/>
          <w:szCs w:val="18"/>
          <w:color w:val="auto"/>
        </w:rPr>
      </w:pPr>
    </w:p>
    <w:p>
      <w:pPr>
        <w:ind w:left="660" w:right="6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diversified commercial and U.S. Government IT providers, such as Accenture plc, Computer Sciences Corporation ("CSC"), HP Enterprise Services, International Business Machines Corporation ("IBM") and Unisys Corporation;</w:t>
      </w:r>
    </w:p>
    <w:p>
      <w:pPr>
        <w:spacing w:after="0" w:line="142" w:lineRule="exact"/>
        <w:rPr>
          <w:rFonts w:ascii="Arial" w:cs="Arial" w:eastAsia="Arial" w:hAnsi="Arial"/>
          <w:sz w:val="18"/>
          <w:szCs w:val="18"/>
          <w:color w:val="auto"/>
        </w:rPr>
      </w:pPr>
    </w:p>
    <w:p>
      <w:pPr>
        <w:ind w:left="660" w:right="8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contractors that provide engineering, consulting, design and construction services, such as Jacobs Engineering Group, URS Corporation, KBR, Inc. and CH2M Hill Companies Ltd.;</w:t>
      </w:r>
    </w:p>
    <w:p>
      <w:pPr>
        <w:spacing w:after="0" w:line="142" w:lineRule="exact"/>
        <w:rPr>
          <w:rFonts w:ascii="Arial" w:cs="Arial" w:eastAsia="Arial" w:hAnsi="Arial"/>
          <w:sz w:val="18"/>
          <w:szCs w:val="18"/>
          <w:color w:val="auto"/>
        </w:rPr>
      </w:pPr>
    </w:p>
    <w:p>
      <w:pPr>
        <w:ind w:left="660" w:right="7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contractors focused on supplying homeland security product solutions, including American Science and Engineering, Inc., OSI Systems, Inc., L-3 Communications Corporation, General Electric Company and Smiths Group plc;</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contractors providing supply chain management and other logistics services, including Agility Logistics Corp.; and</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companies focused on providing health solutions and services to the U.S. Government and hospitals, including Accenture, IBM, CSC, Cerner Corporation, Epic Systems and Allscripts.</w:t>
      </w:r>
    </w:p>
    <w:p>
      <w:pPr>
        <w:spacing w:after="0" w:line="142"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compete on various factors, including our technical expertise and qualified professional and/or security-cleared personnel; our ability to deliver innovative cost-effective solutions in a timely manner; successful program execution; our reputation and standing with customers, pricing, and the size and geographic presence of our company.</w:t>
      </w:r>
    </w:p>
    <w:p>
      <w:pPr>
        <w:spacing w:after="0" w:line="14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U.S. Government has indicated that it intends to increase competition for future procurement of products and services, which has led to fewer sole source awards and more emphasis on cost-competitiveness and affordability. In addition, procurement initiatives to improve efficiency, refocus priorities, and enhance best practices could result in fewer new opportunities for our industry as a whole, which would intensify competition within the industry as companies compete for a more limited set of new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7</w:t>
      </w:r>
    </w:p>
    <w:p>
      <w:pPr>
        <w:sectPr>
          <w:pgSz w:w="11900" w:h="16838" w:orient="portrait"/>
          <w:cols w:equalWidth="0" w:num="1">
            <w:col w:w="11400"/>
          </w:cols>
          <w:pgMar w:left="240" w:top="495"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Procurement</w:t>
      </w:r>
    </w:p>
    <w:p>
      <w:pPr>
        <w:spacing w:after="0" w:line="193"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 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 award contracts. The predominant contracting methods through which U.S. Government agencies procure services and products include the following:</w:t>
      </w:r>
    </w:p>
    <w:p>
      <w:pPr>
        <w:spacing w:after="0" w:line="153" w:lineRule="exact"/>
        <w:rPr>
          <w:sz w:val="20"/>
          <w:szCs w:val="20"/>
          <w:color w:val="auto"/>
        </w:rPr>
      </w:pPr>
    </w:p>
    <w:p>
      <w:pPr>
        <w:ind w:left="660" w:hanging="328"/>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Single Award Contracts. U.S. Government agencies may procure services and products through single award contracts which specify the scope of services or products purchased and identify the contractor that will provide the specified services or products. When an agency has a requirement, the agency will issue a solicitation or request for proposal to which interested contractors can submit a proposal. The process of issuing solicitations or request for proposals and evaluating contractor bids requires the agency to maintain a large, professional procurement staff and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successful awardee.</w:t>
      </w:r>
    </w:p>
    <w:p>
      <w:pPr>
        <w:spacing w:after="0" w:line="153" w:lineRule="exact"/>
        <w:rPr>
          <w:rFonts w:ascii="Arial" w:cs="Arial" w:eastAsia="Arial" w:hAnsi="Arial"/>
          <w:sz w:val="18"/>
          <w:szCs w:val="18"/>
          <w:color w:val="auto"/>
        </w:rPr>
      </w:pPr>
    </w:p>
    <w:p>
      <w:pPr>
        <w:ind w:left="660" w:right="40" w:hanging="328"/>
        <w:spacing w:after="0" w:line="25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Indefinite Delivery/Indefinite Quantity ("IDIQ") Contracts. The U.S. Government uses IDIQ contracts to obtain commitments from contractors to 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single-award IDIQ contract, all task orders under that contract are awarded to one pre-selected contractor. Under a multiple-award IDIQ contract, task orders can be awarded to any of the pre-selected contractors, which can result in further limited competition for the award of task orders.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the contractor from which such purchases may be made.</w:t>
      </w:r>
    </w:p>
    <w:p>
      <w:pPr>
        <w:spacing w:after="0" w:line="157"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General Services Administration ("GSA") Schedule Contracts. The GSA maintains listings of approved suppliers of services and 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often team with other parties, including our competitors, to submit bids for large U.S. Government procurements or other opportunities where we believe that the combination of services and products that we can provide as a team will help us win and perform the contract. Our relationships with our teammates, including whether we serve as the prime contractor or as a subcontractor, vary with each contract opportunity and typically depend on the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8</w:t>
      </w:r>
    </w:p>
    <w:p>
      <w:pPr>
        <w:sectPr>
          <w:pgSz w:w="11900" w:h="16838" w:orient="portrait"/>
          <w:cols w:equalWidth="0" w:num="1">
            <w:col w:w="11420"/>
          </w:cols>
          <w:pgMar w:left="240" w:top="495"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program, contract or customer requirements, as well as the relative size, qualifications, capabilities, customer relationships and experience of our company and our teammates.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Contracting with the U.S. Government also subjects us to substantial regulation and unique risks, including the U.S. Government’s ability to cancel any contract at any time through a termination for the convenience of the U.S. Government. Most of our contracts have cancellation terms that would permit us to recover all or a portion of our incurred costs and fees for work performed where the U.S. Government issues a termination for convenience. These regulations and risks are described in more detail below under “Business–Regulation” and “Risk Factors” in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Types</w:t>
      </w:r>
    </w:p>
    <w:p>
      <w:pPr>
        <w:spacing w:after="0" w:line="193"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152" w:lineRule="exact"/>
        <w:rPr>
          <w:sz w:val="20"/>
          <w:szCs w:val="20"/>
          <w:color w:val="auto"/>
        </w:rPr>
      </w:pPr>
    </w:p>
    <w:p>
      <w:pPr>
        <w:ind w:left="660" w:right="8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Cost-reimbursement contracts provide for reimbursement of our direct contract costs and allocable indirect costs, plus a fee. This type of contract is generally used when uncertainties involved in contract performance do not permit costs to be estimated with sufficient accuracy to use a fixed-price contract. Cost-reimbursement contracts generally subject us to lower risk, but generally require us to use our best efforts to accomplish the scope of the work within a specified time and amount of costs.</w:t>
      </w:r>
    </w:p>
    <w:p>
      <w:pPr>
        <w:spacing w:after="0" w:line="150"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Time-and-materials ("T&amp;M") contracts typically provide for negotiated fixed hourly rates for specified categories of direct labor plus reimbursement of other direct costs. This type of contract is generally used when there is uncertainty of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151"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Fixed-price-level-of-effort ("FP-LOE") contracts are substantially similar to T&amp;M contracts except they require a specified level of effort over a stated period 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150"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Firm-fixed-price ("FFP") contracts provide for a fixed price for specified products, systems and/or services. This type of contract is generally used when the government acquires products and services on the basis of reasonably definitive specifications and which have a determinable fair and reasonable price. These contracts offer us potential increased profits if we can complete the work at lower costs than planned. While FFP contracts allow us to benefit from cost savings, these contracts also increase our exposure to the risk of cost overruns.</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 and award fee contracts, is finally determined. Cost reimbursement and T&amp;M contracts generally have lower profitability than FFP contracts. For the proportionate amount of revenues derived from each type of contract for fiscal 2015, 2014, and 2013 see “Key Performance Measures—Contract Types” in “Management’s Discussion and Analysis of Financial Condition and Results of Operations”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9</w:t>
      </w:r>
    </w:p>
    <w:p>
      <w:pPr>
        <w:sectPr>
          <w:pgSz w:w="11900" w:h="16838" w:orient="portrait"/>
          <w:cols w:equalWidth="0" w:num="1">
            <w:col w:w="11400"/>
          </w:cols>
          <w:pgMar w:left="240" w:top="495"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Our backlog consists of funded backlog and negotiated unfunded backlog, each of which are described in “Management’s Discussion and Analysis of Financial Condition and Results of Operations” in Part II of this Annual Report on Form 10-K. We expect to recognize a substantial portion of our funded backlog from U.S. Government customers as revenues within the next 12 months. However, the U.S. Government may cancel any contract at any time through a termination for the convenience of the U.S. Government. In addition, certain contracts with commercial or non-U.S. Federal Government customers included in funded backlog may include provisions that allow the customer to cancel at any time. Many of our contracts have cancellation terms that would permit us to recover all or a portion of our incurred costs and fees for work performed. For additional discussion and analysis of backlog, see “Key Performance Measures—Bookings and Backlog” in “Management’s Discussion and Analysis of Financial Condition and Results of Operations” in Part II of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U.S. Government's fiscal year ends on September 30 of each year. It is not uncommon for U.S. Government agencies to award extra tasks or complete other contract actions in the time frame leading up to the end of its fiscal year in order to avoid the loss of unexpended funds, which may favorably impact our third fiscal quarter. In addition, as a result of the cyclical nature of the U.S. Government budget process and a greater number of holidays in our fourth fiscal quarter as compared to our third fiscal quarter, we typically experience sequentially higher revenues in our third fiscal quarter and lower revenues in our fourth fiscal quarter. For selected quarterly financial data, see Note 21 of the combined notes to consolidated financial statements contained within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heavily regulated in most of the fields in which we operate. We provide services and products to numerous U.S. Government agencies and entities, including to the DoD, the intelligence community and the DHS. When working with these and other U.S. Government agencies and entities, we must comply with various laws and regulations relating to the formation, administration and performance of contracts. U.S. Government contracts generally are subject to the Federal Acquisition Regulation ("FAR"), which sets forth policies, procedures and requirements for the acquisition of goods and services by the U.S. Government, agency-specific regulations that implement or supplement FAR, such as the DoD’s Defense Federal Acquisition Regulation Supplement ("DFARS")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15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certification and disclosure of all cost and pricing data in connection with certain contract negotiations;</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define allowable and unallowable costs and otherwise govern our right to reimbursement under various cost-based U.S. Government contracts;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compliance with U.S. Government Cost Accounting Standards ("CAS");</w:t>
      </w:r>
    </w:p>
    <w:p>
      <w:pPr>
        <w:spacing w:after="0" w:line="17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reviews by the Defense Contract Audit Agency ("DCAA"), Defense Contract Management Agency ("DCMA") and other U.S. Government agencies of compliance with government standards for a contractor’s business systems;</w:t>
      </w:r>
    </w:p>
    <w:p>
      <w:pPr>
        <w:spacing w:after="0" w:line="142" w:lineRule="exact"/>
        <w:rPr>
          <w:rFonts w:ascii="Arial" w:cs="Arial" w:eastAsia="Arial" w:hAnsi="Arial"/>
          <w:sz w:val="18"/>
          <w:szCs w:val="18"/>
          <w:color w:val="auto"/>
        </w:rPr>
      </w:pPr>
    </w:p>
    <w:p>
      <w:pPr>
        <w:ind w:left="660" w:right="64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use and dissemination of information classified for national security purposes and the export of certain products and technical data; and</w:t>
      </w:r>
    </w:p>
    <w:p>
      <w:pPr>
        <w:spacing w:after="0" w:line="142"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us not to compete for work if an organizational conflict of interest, as defined by these laws and regulations, related to such work exists and/or cannot be appropriately mitigated.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10</w:t>
      </w:r>
    </w:p>
    <w:p>
      <w:pPr>
        <w:sectPr>
          <w:pgSz w:w="11900" w:h="16838" w:orient="portrait"/>
          <w:cols w:equalWidth="0" w:num="1">
            <w:col w:w="11400"/>
          </w:cols>
          <w:pgMar w:left="240" w:top="495" w:right="2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complex laws and regulations, all of our employees are required to complete ethics training and other compliance training relevant to their position.</w:t>
      </w:r>
    </w:p>
    <w:p>
      <w:pPr>
        <w:spacing w:after="0" w:line="148"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Some of our operations and service offerings involve access to and use by us of personally identifiable information and/or protected health information, which activities are regulated by extensive federal and state privacy and data security laws requiring organizations to provide certain privacy protections and security safeguards for such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Failure to comply with these laws and regulations could result in civil, criminal, regulatory, administrative or contractual sanctions, including fines, penalties or suspension or debarment from contracting with the U.S. Government, or could cause us to incur costs to change, upgrade, remediate and/or close some of our operations or properties. Some environmental laws hold current or previous owners or operators of businesses and real property liable for hazardous substance releases, even if they did not know of and were not responsible for the releases. Our services and operations involve the assessment or remediation of environmental hazards, as well as using, handling or disposing of hazardous substances. Environmental laws may impose liability on any person who disposes, transports, or arranges for the disposal or transportation of hazardous substances to any site. In addition, we may face liability for personal injury, property damage and natural resource damages relating to hazardous substance releases for which we are otherwise liable or relating to exposure to or the mishandling of hazardous substances in connection with our current and former operations or services, including our current and prior ownership of properties.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 and Information</w:t>
      </w:r>
    </w:p>
    <w:p>
      <w:pPr>
        <w:spacing w:after="0" w:line="17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Our website can be accessed at </w:t>
      </w:r>
      <w:r>
        <w:rPr>
          <w:rFonts w:ascii="Arial" w:cs="Arial" w:eastAsia="Arial" w:hAnsi="Arial"/>
          <w:sz w:val="18"/>
          <w:szCs w:val="18"/>
          <w:i w:val="1"/>
          <w:iCs w:val="1"/>
          <w:color w:val="auto"/>
        </w:rPr>
        <w:t>www.leidos.com</w:t>
      </w:r>
      <w:r>
        <w:rPr>
          <w:rFonts w:ascii="Arial" w:cs="Arial" w:eastAsia="Arial" w:hAnsi="Arial"/>
          <w:sz w:val="18"/>
          <w:szCs w:val="18"/>
          <w:color w:val="auto"/>
        </w:rPr>
        <w:t>. The website contains information about our company and operations. Through a link on the Investor Relations section of our website, copies of each of our filings with the Securities and Exchange Commission ("SEC") on Form 10-K, Form 10-Q and Form 8-K, and all amendments to those reports, can be viewed and downloaded free of charge as soon as reasonably practicable after the reports and amendments are electronically filed with or furnished to the SEC. The information on our website is not incorporated by reference into and is not a part of this Annual Report on Form 10-K.</w:t>
      </w:r>
    </w:p>
    <w:p>
      <w:pPr>
        <w:spacing w:after="0" w:line="148"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You may request a copy of the materials identified in the preceding paragraph, at no cost, by writing or telephoning us at our corporate headquarters at the following:</w:t>
      </w:r>
    </w:p>
    <w:p>
      <w:pPr>
        <w:spacing w:after="0" w:line="6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Leidos Holdings,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11951 Freedom Drive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Reston, VA 20190</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Telephone: (571) 526-6000</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11</w:t>
      </w:r>
    </w:p>
    <w:p>
      <w:pPr>
        <w:sectPr>
          <w:pgSz w:w="11900" w:h="16838" w:orient="portrait"/>
          <w:cols w:equalWidth="0" w:num="1">
            <w:col w:w="11400"/>
          </w:cols>
          <w:pgMar w:left="240" w:top="495" w:right="2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In your evaluation of our company and business, you should carefully consider the risks and uncertainties described below, together with information included elsewhere in this Annual Report on Form 10-K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the price of our stock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and exchange rates,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and result in a decline in the price of our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1"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i w:val="1"/>
          <w:iCs w:val="1"/>
          <w:color w:val="auto"/>
        </w:rPr>
        <w:t>We depend on government agencies as our primary customer and if our reputation or relationships with these agencies were harmed, our future revenues and growth prospects would be adversely affected.</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generated over 78% of our total revenues during each of the last three fiscal years from contracts with the U.S. Government (including all branches of the U.S. military), either as a prime contractor or a subcontractor to other contractors engaged in work for the U.S. Government. We generated more than 10% of our total revenues during each of the last three fiscal years from the U.S. Army. We expect to continue to derive most of our revenues from work performed under U.S. Government contracts. Our reputation and relationship with the U.S. Government, and in particular with the agencies of the DoD and the U.S. intelligence community, are key factors in maintaining and growing our revenues. Negative press reports or publicity, which could pertain to employee or subcontractor misconduct, conflicts of interest, poor contract performance, deficiencies in services, reports, products or other deliverables, information security breaches or other aspects of our business, regardless of accuracy, could harm our reputation, particularly with these agencies. If our reputation is negatively affected, or if we are suspended or debarred from contracting with government agencies for any reason, the amount of business with government and other customers would decrease and our future revenues and growth prospects would be adversely affected.</w:t>
      </w:r>
    </w:p>
    <w:p>
      <w:pPr>
        <w:spacing w:after="0" w:line="13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A decline in the U.S. Government budget, changes in spending or budgetary priorities or delays in contract awards may significantly and adversely affect our future revenues and limit our growth prospects.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Revenues under contracts with the DoD, either as a prime contractor or subcontractor to other contractors, represented approximately 67% of our total revenues in fiscal 2015. Levels of DoD spending are difficult to predict and subject to significant risk. Our operating results could be adversely affected by spending caps or changes in the budgetary priorities of the U.S. Government or the DoD, as well as delays in program starts or the award of contracts or task orders under contracts. Current U.S. Government spending levels for defense-related programs may not be sustained and future spending and program authorizations may not increase or may decrease or shift to programs in areas in which we do not provide services or are less likely to be awarded contracts. Such changes in spending authorizations and budgetary priorities may occur as a result of uncertainty surrounding the federal budget, increasing political pressure and legislation, shifts in spending priorities from defense-related programs as a result of competing demands for federal funds, the number and intensity of military conflicts, sequestration or other factors.</w:t>
      </w:r>
    </w:p>
    <w:p>
      <w:pPr>
        <w:spacing w:after="0" w:line="1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particular, there remains much uncertainty about how exactly sequestration cuts will be implemented and the impact those cuts will have on contractors supporting the government. In light of the current uncertainty, we are not able to predict the impact of budget cuts, including sequestration, on our company or our financial results. However, we expect that budgetary constraints and concerns related to the national debt will continue to place pressure on DoD spending levels and that implementation of the automatic spending cuts without change will reduce, delay or cancel funding for certain of our contracts – particularly those with unobligated balances – and programs and could adversely impact our operations, financial results and growth prospects.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12</w:t>
      </w:r>
    </w:p>
    <w:p>
      <w:pPr>
        <w:sectPr>
          <w:pgSz w:w="11900" w:h="16838" w:orient="portrait"/>
          <w:cols w:equalWidth="0" w:num="1">
            <w:col w:w="11420"/>
          </w:cols>
          <w:pgMar w:left="240" w:top="495"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U.S. Government also conducts periodic reviews of U.S. defense strategies and priorities, which may shift DoD budgetary priorities, reduce overall U.S. Government spending or delay contract or task order awards for defense-related programs, including programs from which we expect to derive a significant portion of our future revenues. In addition, changes to the DoD acquisition system and contracting models could affect whether and how we pursue certain opportunities and the terms under which we are able to do so.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or task order awards for large programs could adversely affect our future revenues and limit our growth prospects.</w:t>
      </w:r>
    </w:p>
    <w:p>
      <w:pPr>
        <w:spacing w:after="0" w:line="13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Because we depend on U.S. Government contracts, a delay in the completion of the U.S. Government’s budget process could delay procurement of the products, services and solutions we provide and have an adverse effect on our future revenues.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funding of U.S. Government programs is subject to an annual congressional budget authorization and appropriation process. In years when the U.S. Government does not complete its budget process before the end of its fiscal year on September 30, government operations are typically funded pursuant to a “continuing resolution,” which allows federal government agencies to operate at spending levels approved in the previous budget cycle, but does not authorize new spending initiatives. When the U.S. Government operates under a continuing resolution, delays can occur in the procurement of the products, services and solutions that we provide and may result in new initiatives being canceled. We have from time to time experienced a decline in revenues in our fourth quarter ending January 31 and beyond as a result of this annual budget cycle, and we could experience similar declines in revenues from future delays in the budget process. In years when the U.S. Government fails to complete its budget process or to provide for a continuing resolution, a federal government shutdown may result. A federal government shutdown could in turn result in our incurrence of substantial labor or other costs without reimbursement under customer contracts, or the delay or cancellation of key programs, which could have a negative effect on our cash flows and adversely affect our future results. In addition, when supplemental appropriations are required to operate the U.S. Government or fund specific programs and passage of legislation needed to approve any supplemental appropriation bill is delayed, the overall funding environment for our business could be adversely affected.</w:t>
      </w:r>
    </w:p>
    <w:p>
      <w:pPr>
        <w:spacing w:after="0" w:line="135" w:lineRule="exact"/>
        <w:rPr>
          <w:sz w:val="20"/>
          <w:szCs w:val="20"/>
          <w:color w:val="auto"/>
        </w:rPr>
      </w:pPr>
    </w:p>
    <w:p>
      <w:pPr>
        <w:jc w:val="both"/>
        <w:ind w:right="520"/>
        <w:spacing w:after="0" w:line="269" w:lineRule="auto"/>
        <w:rPr>
          <w:sz w:val="20"/>
          <w:szCs w:val="20"/>
          <w:color w:val="auto"/>
        </w:rPr>
      </w:pPr>
      <w:r>
        <w:rPr>
          <w:rFonts w:ascii="Arial" w:cs="Arial" w:eastAsia="Arial" w:hAnsi="Arial"/>
          <w:sz w:val="18"/>
          <w:szCs w:val="18"/>
          <w:b w:val="1"/>
          <w:bCs w:val="1"/>
          <w:i w:val="1"/>
          <w:iCs w:val="1"/>
          <w:color w:val="auto"/>
        </w:rPr>
        <w:t>Our failure to comply with a variety of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13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U.S. Government contracts, which affect how we do business with our customers and may impose added costs on our business. Some significant statutes and regulations that affect us include:</w:t>
      </w:r>
    </w:p>
    <w:p>
      <w:pPr>
        <w:spacing w:after="0" w:line="14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FAR and supplements, which regulate the formation, administration and performance of U.S. Government contracts;</w:t>
      </w:r>
    </w:p>
    <w:p>
      <w:pPr>
        <w:spacing w:after="0" w:line="171"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certain contract negotiations;</w:t>
      </w:r>
    </w:p>
    <w:p>
      <w:pPr>
        <w:spacing w:after="0" w:line="142" w:lineRule="exact"/>
        <w:rPr>
          <w:rFonts w:ascii="Arial" w:cs="Arial" w:eastAsia="Arial" w:hAnsi="Arial"/>
          <w:sz w:val="18"/>
          <w:szCs w:val="18"/>
          <w:color w:val="auto"/>
        </w:rPr>
      </w:pPr>
    </w:p>
    <w:p>
      <w:pPr>
        <w:ind w:left="660" w:right="3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government source selection information and our ability to provide compensation to certain former government officials;</w:t>
      </w:r>
    </w:p>
    <w:p>
      <w:pPr>
        <w:spacing w:after="0" w:line="142"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Civil False Claims Act, which provides for substantial civil penalties for violations, including for submission of a false or fraudulent claim to the U.S. Government for payment or approval;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 Government Cost Accounting Standards, which impose accounting requirements that govern our right to reimbursement under certain cost-based U.S. Government contracts.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13</w:t>
      </w:r>
    </w:p>
    <w:p>
      <w:pPr>
        <w:sectPr>
          <w:pgSz w:w="11900" w:h="16838" w:orient="portrait"/>
          <w:cols w:equalWidth="0" w:num="1">
            <w:col w:w="11420"/>
          </w:cols>
          <w:pgMar w:left="240" w:top="495"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FAR and many of our U.S. Government contracts contain organizational conflict of interest clauses that may limit our ability to compete for or perform certain other contracts or other types of services for particular customers. Organizational conflicts of interest arise when we engage in activities that may make us unable to render impartial assistance or advice to the U.S. Government, impair our objectivity in performing contract work, or provide us with an unfair competitive advantage. A conflict of interest issue that precludes our competition for or performance on a significant program or contract could harm our prospects.</w:t>
      </w:r>
    </w:p>
    <w:p>
      <w:pPr>
        <w:spacing w:after="0" w:line="13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The U.S. Government may adopt new contract rules and regulations or revise its procurement practices in a manner adverse to us at any time.</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industry has experienced, and we expect it will continue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as well as any resulting shifts in the buying practices of U.S. Government agencies, such as increased usage of fixed price contracts, multiple award contracts and small business set-aside contracts, could have adverse effects on government contractors, including us. Any of these changes could impair our ability to obtain new contracts or renew our existing contracts when those contracts are recompeted. Any new contracting requirements or procurement methods could be costly or administratively difficult for us to implement and could adversely affect our future revenues, profitability and prospects.</w:t>
      </w:r>
    </w:p>
    <w:p>
      <w:pPr>
        <w:spacing w:after="0" w:line="13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business is subject to reviews, audits and cost adjustments by the U.S. Government, which, if resolved unfavorably to us, could adversely affect our profitability, cash position or growth prospects.</w:t>
      </w:r>
    </w:p>
    <w:p>
      <w:pPr>
        <w:spacing w:after="0" w:line="12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U.S. Government agencies, including the DCAA, DCMA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Both contractors and the U.S. Government agencies conducting these audits and reviews have come under increased scrutiny. As a result, the current audits and reviews have become more rigorous and the standards to which we are held are being more strictly interpreted, increasing the likelihood of an audit or review resulting in an adverse outcome. During the course of its current audits, the DCAA is closely examining and questioning several of our long established and disclosed practices that it had previously audited and accepted, increasing the uncertainty as to the ultimate conclusion that will be reached.</w:t>
      </w:r>
    </w:p>
    <w:p>
      <w:pPr>
        <w:spacing w:after="0" w:line="15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 finding of significant control deficiencies in our system audits or other reviews can result in decremented billing rates to our U.S. Government customers until the control deficiencies are corrected and our remediations are accepted by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business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14</w:t>
      </w:r>
    </w:p>
    <w:p>
      <w:pPr>
        <w:sectPr>
          <w:pgSz w:w="11900" w:h="16838" w:orient="portrait"/>
          <w:cols w:equalWidth="0" w:num="1">
            <w:col w:w="11400"/>
          </w:cols>
          <w:pgMar w:left="240" w:top="495"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indirect cost audits by the DCAA remain open for fiscal 2009 and subsequent fiscal years. Although we have recorded contract revenues subsequent to and including fiscal 2009 based upon our estimate of costs that we believe will be approved upon final audit or review, we do not know the outcome of any ongoing or future audits or reviews and adjustments and, if future adjustments exceed our estimates, our profitability would be adversely affected.</w:t>
      </w:r>
    </w:p>
    <w:p>
      <w:pPr>
        <w:spacing w:after="0" w:line="12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business is subject to governmental review and investigation which could adversely affect our financial position, operating results and growth prospects.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routinely subject to governmental investigations relating to compliance with various laws and regulations with respect to our role as a contractor to federal, state and local government customers and in connection with performing services in countries outside the United States. If a review or investigation identifies improper or illegal activities, we may be subject to civil or criminal penalties or administrative sanctions, including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from government organizations, legislative bodies or agencies into business practices and into major programs supported by contractors may lead to increased legal costs and may harm our reputation, revenues, profitability and growth prospects.</w:t>
      </w:r>
    </w:p>
    <w:p>
      <w:pPr>
        <w:spacing w:after="0" w:line="136"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i w:val="1"/>
          <w:iCs w:val="1"/>
          <w:color w:val="auto"/>
        </w:rPr>
        <w:t>Misconduct of employees, subcontractors, agents and business partners could cause us to lose existing contracts or customers and adversely affect our ability to obtain new contracts and customers and could have a significant adverse impact on our business and reputation.</w:t>
      </w:r>
    </w:p>
    <w:p>
      <w:pPr>
        <w:spacing w:after="0" w:line="136"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Misconduct could include fraud or other improper activities such as falsifying time or other records and violations of laws, including the Anti-Kickback Act. Other examples could include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sanctions against us, loss of current and future contracts and serious harm to our reputation. Although we have implemented policies, procedures and controls to prevent and detect these activities, these precautions may not prevent all misconduct, and as a result, we could face unknown risks or losses. Our failure to comply with applicable laws or regulations or misconduct by any of our employees, subcontractors, agents or business partners could damage our reputation and subject us to fines and penalties, restitution or other damages, loss of security clearance, loss of current and future customer contracts and suspension or debarment from contracting with federal, state or local government agencies, any of which would adversely affect our business, reputation and our future results.</w:t>
      </w:r>
    </w:p>
    <w:p>
      <w:pPr>
        <w:spacing w:after="0" w:line="13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Due to the competitive process to obtain contracts and the likelihood of bid protests, we may be unable to achieve or sustain revenue growth and profitability.</w:t>
      </w:r>
    </w:p>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expect that a majority of the business that we seek in the foreseeable future will be awarded through a competitive bidding process. The U.S. Government has increasingly relied on contracts that are subject to a competitive bidding process, including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and to the risk of inaccurately estimating the resources and costs that will be required to fulfill any contract we win.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15</w:t>
      </w:r>
    </w:p>
    <w:p>
      <w:pPr>
        <w:sectPr>
          <w:pgSz w:w="11900" w:h="16838" w:orient="portrait"/>
          <w:cols w:equalWidth="0" w:num="1">
            <w:col w:w="11420"/>
          </w:cols>
          <w:pgMar w:left="240" w:top="495" w:right="23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multi-award contracts. Our failure to compete effectively in this procurement environment would adversely affect our revenues and/or profitability.</w:t>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The U.S. Government may terminate, cancel, modify or curtail our contracts at any time prior to their completion and, if we do not replace them, this may adversely affect our future revenues and profitability.</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Many of the U.S. Government programs in which we participate as a contractor or subcontractor extend for several years and include one or more base years and one or more option years. These programs are normally funded on an annual basis. Under our contracts, the U.S. Government generally has the right to not exercise options to extend or expand our contracts and may otherwise terminate, cancel, modify or curtail our contracts at its convenience. Any decisions by the U.S. Government to not exercise contract options or to terminate, cancel, modify or curtail our major programs or contracts would adversely affect our revenues, revenue growth and profitability.</w:t>
      </w:r>
    </w:p>
    <w:p>
      <w:pPr>
        <w:spacing w:after="0" w:line="15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experienced and continue to experience periodic performance issues under certain of our contracts. Some of our contracts involve the development of complex systems and products to achieve challenging customer goals in a competitive procurement environment. As a result, we sometimes experience technological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1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face aggressive competition that can impact our ability to obtain contracts and therefore affect our future revenues and growth prospects.</w:t>
      </w:r>
    </w:p>
    <w:p>
      <w:pPr>
        <w:spacing w:after="0" w:line="12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Our business is highly competitive and we compete with larger companies that have greater name recognition, financial resources and larger technical staffs. We also compete with smaller, more specialized companies that are able to concentrate their resources on particular areas. Additionally, we compete with the U.S. Government’s own capabilities and federal non-profit contract research centers.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markets in which we operate are characterized by rapidly changing technology and the needs of our customers change and evolve regularly. Accordingly, our success depends on our ability to develop services and products that address these changing needs and to provide people and technology needed to deliver these services and products. To remain competitive, we must consistently provide superior service, technology and performance on a cost-effective basis to our customers.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In addition, our competitors may consolidate or establish teaming or other relationships among themselves or with third parties to increase their ability to address customers’ needs. Accordingly, we anticipate that larger or new competitors or alliances among competitors may emerge, which may adversely affect our ability to compete.</w:t>
      </w:r>
    </w:p>
    <w:p>
      <w:pPr>
        <w:spacing w:after="0" w:line="13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A failure to attract, train and retain skilled employees, including our management team, would adversely affect our ability to execute our strategy and may disrupt our operations.</w:t>
      </w:r>
    </w:p>
    <w:p>
      <w:pPr>
        <w:spacing w:after="0" w:line="12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Our business involves the development of tailored services and solutions for our customers, a process that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16</w:t>
      </w:r>
    </w:p>
    <w:p>
      <w:pPr>
        <w:sectPr>
          <w:pgSz w:w="11900" w:h="16838" w:orient="portrait"/>
          <w:cols w:equalWidth="0" w:num="1">
            <w:col w:w="11380"/>
          </w:cols>
          <w:pgMar w:left="240" w:top="495" w:right="2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Although we intend to continue to devote significant resources to recruit, train and retain qualified employees, we may not be able to attract, effectively train and retain these employees. Any failure to do so could impair our ability to perform our contractual obligations efficiently and timely meet our customers’ needs and win new business, which could adversely affect our future results.</w:t>
      </w:r>
    </w:p>
    <w:p>
      <w:pPr>
        <w:spacing w:after="0" w:line="1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addition to attracting and retaining qualified engineering, technical and professional personnel, we believe that our success will also depend on the continued employment of a highly qualified and experienced senior management team and its ability to retain existing business and generate new business. Our senior management team is important to our business because personal reputations and individual business relationships are a critical element of retaining and obtaining customer contracts in our industry, particularly with agencies performing classified operations. An inability to retain appropriately qualified and experienced senior executives could cause us to lose customers or new business opportunities.</w:t>
      </w:r>
    </w:p>
    <w:p>
      <w:pPr>
        <w:spacing w:after="0" w:line="13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may not realize as revenues the full amounts reflected in our backlog, which could adversely affect our expected future revenues and growth prospects.</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of January 30, 2015, our total backlog was $7.8 billion including $2.7 billion in funded backlog. Due to the U.S. Government’s ability to not exercise contract options or to terminate, modify or curtail our programs or contracts and the rights of our non-U.S. Government customers to cancel contracts and purchase orders in certain circumstances, we may realize less than expected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13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12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generate revenues under various types of contracts, which include cost reimbursement, T&amp;M, FP-LOE and FFP contracts. 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 and award fee contracts, is finally determined. Cost 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155"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profitability is adversely affected when we incur contract costs that we cannot bill to our customers. To varying degrees, each of our contract types involves some risk that we could underestimate the costs and resources necessary to fulfill the contract. While FFP contracts allow us to benefit from cost savings, these contracts also increase our exposure to the risk of cost overruns. Revenues from FFP contracts represented approximately 27% of our total revenues for fiscal 2015.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in losses. More generally, any increased or unexpected costs or unanticipated delays in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17</w:t>
      </w:r>
    </w:p>
    <w:p>
      <w:pPr>
        <w:sectPr>
          <w:pgSz w:w="11900" w:h="16838" w:orient="portrait"/>
          <w:cols w:equalWidth="0" w:num="1">
            <w:col w:w="11420"/>
          </w:cols>
          <w:pgMar w:left="240" w:top="495"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We use estimates in recognizing revenues, and if we make changes to estimates used in recognizing revenues, our profitability may be adversely affected.</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from our contracts are primarily recognized using the percentage-of-completion method or on the basis of partial performance towards completion. These methodologies require estimates of total 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w:t>
      </w:r>
    </w:p>
    <w:p>
      <w:pPr>
        <w:spacing w:after="0" w:line="131"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i w:val="1"/>
          <w:iCs w:val="1"/>
          <w:color w:val="auto"/>
        </w:rPr>
        <w:t>Our failure to comply with the terms of our administrative agreement would have a material adverse effect on our business and future prospects.</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connection with the resolution of certain investigations related to our CityTime contract, we entered into a five year administrative agreement with the Army on behalf of the U.S. Government in order to confirm our continuing eligibility to enter into and perform contracts with the U.S. Government. Our compliance with the terms and conditions of the administrative agreement, including the appointment of an independent monitor, require significant resources and management involvement. If we fail to comply with the administrative agreement, the Army may extend the term of the administrative agreement or initiate suspension or debarment proceedings against us. In addition, we continue to be subject to risks in connection with government reviews and investigations and other legal disputes unrelated to the CityTime matter, which may subject us to civil or criminal penalties or administrative sanctions, including the termination of contracts, forfeiture of profits, the triggering of price reduction clauses, suspension of payments, fines and suspension or debarment from doing business with governmental agencies.</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Legal disputes could require us to pay potentially large damage awards and could be costly to defend, which would adversely affect our cash balances and profitability, and could damage our reputation.</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a number of lawsuits and claims described in “Legal Proceedings” in Part I of this Annual Report on Form 10-K, as may be updated in our future filings with the SEC, including our Quarterly Reports on Form 10 -Q. We are also subject to, and may become a party to, a variety of other litigation or claims and suits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if fully indemnified or insured, could damage our reputation and make it more difficult to compete effectively or obtain adequate insurance in the future. Litigation and other claims, including those described in “Legal Proceedings,” are subject to inherent uncertainties and management’s view of these matters may change in the future.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18</w:t>
      </w:r>
    </w:p>
    <w:p>
      <w:pPr>
        <w:sectPr>
          <w:pgSz w:w="11900" w:h="16838" w:orient="portrait"/>
          <w:cols w:equalWidth="0" w:num="1">
            <w:col w:w="11400"/>
          </w:cols>
          <w:pgMar w:left="240" w:top="495"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business and operations expose us to numerous legal and regulatory requirements, and any violation of these requirements could harm our business.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subject to numerous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We also conduct business in certain identified growth areas, such as health information technology, energy and environment, which are highly regulated and may expose us to increased compliance risk. 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certain work and allegations by our customers that we have not performed our contractual obligations.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results could be negatively affected by cyber or other security threats.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a U.S. Government contractor and a provider of information technology services operating in multiple regulated industries and geographies, we handle sensitive information. Therefore, we are continuously exposed to cyber attacks and other security threats, including physical break-ins. Any electronic or physical break-in or other security breach or compromise may jeopardize security of information stored or transmitted through our information technology systems and networks. This could lead to disruptions in mission-critical systems, unauthorized release of confidential or otherwise protected information and corruption of data. Although we have implemented policies, procedures and controls to protect against, detect and mitigate these threats, we face advanced and persistent attacks on our information systems and attempts by others to gain unauthorized access to our information technology systems are becoming more sophisticated. These attempts include covertly introducing malware to our computers and networks and impersonating authorized users, among others, and may be perpetrated by well-funded organized crime or state sponsored efforts. We seek to detect and investigate all security incidents and to prevent their occurrence or recurrence. We continue to invest in and improve our threat protection, detection and mitigation policies, procedures and controls. In addition, we work with other companies in the industry and government participants on increased awareness and enhanced protections against cybersecurity threats. However, because of the evolving nature and sophistication of these security threats, which can be difficult to detect, there can be no assurance that our policies, procedures and controls have or will detect or prevent any of these threats and we cannot predict the full impact of any such past or future incident. We may experience similar security threats to the information technology systems that we develop, install or maintain under customer contracts. Although we work cooperatively with our customers and other business partners to seek to minimize the impacts of cyber and other security threats, we must rely on the safeguards put in place by those entities. Any remedial costs or other liabilities related to cyber or other security threats may not be fully insured or indemnified by other means. Occurrence of any of these security threats could expose us to claims, contract terminations and damages and could adversely affect our reputation, ability to work on sensitive U.S. Government contracts, business operations and financial results.</w:t>
      </w:r>
    </w:p>
    <w:p>
      <w:pPr>
        <w:spacing w:after="0" w:line="13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Internal system or service failures could disrupt our business and impair our ability to effectively provide our services and products to our customers, which could damage our reputation and adversely affect our revenues and profitability.</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Any system or service disruptions, including those caused by ongoing projects to improve our information technology systems and the delivery of services, whether through our shared services organization or outsourced services, if not anticipated and appropriately mitigated, could have a material adverse effect on our business including, among other things, an adverse effect on our ability to bill our customers for work performed on our contracts, collect the amounts that have been billed and produce accurate financial statements in a timely manner. We are also subject to systems failures, including network, software or hardware failures, whether caused by us,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19</w:t>
      </w:r>
    </w:p>
    <w:p>
      <w:pPr>
        <w:sectPr>
          <w:pgSz w:w="11900" w:h="16838" w:orient="portrait"/>
          <w:cols w:equalWidth="0" w:num="1">
            <w:col w:w="11420"/>
          </w:cols>
          <w:pgMar w:left="240" w:top="495"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third-party service providers, cybersecurity threats, natural disasters, power shortages, terrorist attacks or other events, which could cause loss of data and interruptions or delays in our business, cause us to incur remediation costs, subject us to claims and damage our reputation. In addition, the failure or disruption of our communications could cause us to interrupt or suspend our operations or otherwise adversely affect our business. Our property and business interruption insurance may be inadequate to compensate us for all losses that may occur as a result of any system or operational failure or disruption and, as a result, our future results could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systems failures could damage our reputation and adversely affect our revenues and profitability.</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130" w:lineRule="exact"/>
        <w:rPr>
          <w:sz w:val="20"/>
          <w:szCs w:val="20"/>
          <w:color w:val="auto"/>
        </w:rPr>
      </w:pPr>
    </w:p>
    <w:p>
      <w:pPr>
        <w:jc w:val="both"/>
        <w:ind w:right="240"/>
        <w:spacing w:after="0" w:line="269" w:lineRule="auto"/>
        <w:rPr>
          <w:sz w:val="20"/>
          <w:szCs w:val="20"/>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or are dependent upon factors not wholly within our control. Failure to meet these obligations could adversely affect our profitability and future prospects.</w:t>
      </w:r>
    </w:p>
    <w:p>
      <w:pPr>
        <w:spacing w:after="0" w:line="13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our offerings cannot be tested and proven in all situations and are otherwise subject to unforeseen problems that could negatively affect revenue and profitability such as problems with quality and workmanship, country of origin, delivery of subcontractor components or services and unplanned degradation of product performance.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contracts with the U.S. Government that are classified, which may limit investor insight into portions of our business.</w:t>
      </w:r>
    </w:p>
    <w:p>
      <w:pPr>
        <w:spacing w:after="0" w:line="19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(classified programs), which preclude the dissemination of information that is classified for national security purposes. We are limited in our ability to provide information about these classified programs, their risks or any disputes or claims relating to such programs. As a result, investors have less insight into our classified programs than our other businesses and therefore less ability to fully evaluate the risks related to our classified business.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20</w:t>
      </w:r>
    </w:p>
    <w:p>
      <w:pPr>
        <w:sectPr>
          <w:pgSz w:w="11900" w:h="16838" w:orient="portrait"/>
          <w:cols w:equalWidth="0" w:num="1">
            <w:col w:w="11400"/>
          </w:cols>
          <w:pgMar w:left="240" w:top="495" w:right="25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We have made and continue to make acquisitions, investments, joint ventures and divestitures that involve numerous risks and uncertainties.</w:t>
      </w:r>
    </w:p>
    <w:p>
      <w:pPr>
        <w:spacing w:after="0" w:line="1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selectively pursue strategic acquisitions, investments and joint ventures. These transactions require significant investment of time and resources and may disrupt our business and distract our management from other responsibilities. Even if successful, these transactions could reduce earnings for a number of reasons, including the amortization of intangible assets, impairment charges,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w:t>
      </w:r>
    </w:p>
    <w:p>
      <w:pPr>
        <w:spacing w:after="0" w:line="155" w:lineRule="exact"/>
        <w:rPr>
          <w:sz w:val="20"/>
          <w:szCs w:val="20"/>
          <w:color w:val="auto"/>
        </w:rPr>
      </w:pPr>
    </w:p>
    <w:p>
      <w:pPr>
        <w:ind w:left="660" w:right="7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identify, compete effectively for or complete suitable acquisitions and investments at prices we consider attractive;</w:t>
      </w:r>
    </w:p>
    <w:p>
      <w:pPr>
        <w:spacing w:after="0" w:line="142"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accurately estimate the financial effect of acquisitions and investments on our business and we may not realize anticipated synergies or acquisitions may not result in improved operating performance;</w:t>
      </w:r>
    </w:p>
    <w:p>
      <w:pPr>
        <w:spacing w:after="0" w:line="142"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encounter performance problems with acquired technologies, capabilities and products, particularly with respect to those that are still in development when acquired;</w:t>
      </w:r>
    </w:p>
    <w:p>
      <w:pPr>
        <w:spacing w:after="0" w:line="142"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trouble retaining key employees and customers of an acquired business or otherwise integrating such businesses, such as incompatible accounting, information management, or other control systems, which could result in unforeseen difficulties;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assume material liabilities that were not identified as part of our due diligence or for which we are unable to receive a purchase price adjustment or reimbursement through indemnification;</w:t>
      </w:r>
    </w:p>
    <w:p>
      <w:pPr>
        <w:spacing w:after="0" w:line="142"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assume legal or regulatory risks, particularly with respect to smaller businesses that have immature business processes and compliance programs;</w:t>
      </w:r>
    </w:p>
    <w:p>
      <w:pPr>
        <w:spacing w:after="0" w:line="142"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our operating income or operating margins and we may be unable to recover investments in any such acquisitions;</w:t>
      </w:r>
    </w:p>
    <w:p>
      <w:pPr>
        <w:spacing w:after="0" w:line="142" w:lineRule="exact"/>
        <w:rPr>
          <w:rFonts w:ascii="Arial" w:cs="Arial" w:eastAsia="Arial" w:hAnsi="Arial"/>
          <w:sz w:val="18"/>
          <w:szCs w:val="18"/>
          <w:color w:val="auto"/>
        </w:rPr>
      </w:pPr>
    </w:p>
    <w:p>
      <w:pPr>
        <w:ind w:left="660" w:right="1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investments and joint ventures may require us to spend a significant amount of cash or to issue capital stock, resulting in dilution of ownership; and</w:t>
      </w:r>
    </w:p>
    <w:p>
      <w:pPr>
        <w:spacing w:after="0" w:line="142"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our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142"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In addition, we periodically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21</w:t>
      </w:r>
    </w:p>
    <w:p>
      <w:pPr>
        <w:sectPr>
          <w:pgSz w:w="11900" w:h="16838" w:orient="portrait"/>
          <w:cols w:equalWidth="0" w:num="1">
            <w:col w:w="11400"/>
          </w:cols>
          <w:pgMar w:left="240" w:top="495"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auto"/>
        </w:rPr>
        <w:t>Goodwill and other intangible assets represent approximately 38% of our total assets and any impairment of these assets could negatively impact our results of operations.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Intangible assets with indefinite lives, including goodwill, are tested for impairment at least annually or whenever events or changes in circumstances indicate that the carrying value may not be recoverable. Intangible assets with finite lives are assessed for impairment whenever events or changes in circumstances indicate that the carrying value may not be recoverable. Examples of events or changes in circumstances indicating that the carrying value of intangible assets may not be recoverable could include a significant adverse change in legal factors or in the business climate, an adverse action or assessment by a regulator, unanticipated competition, loss of key personnel, or a more-likely-than-not expectation that a reporting unit or a significant portion of a reporting unit will be sold or otherwise disposed. We face continued uncertainty in our business environment due to the substantial fiscal and economic challenges facing the U.S. Government, our primary customer, as well as challenges in the commercial healthcare industry, compounded by lower levels of U.S. Government reimbursements, including reductions in Medicare reimbursements which in turn impact hospital IT spending. Adverse changes in fiscal and economic conditions, such as the manner in which the budget cuts are implemented, including sequestration, and issues related to the nation’s debt ceiling, could adversely impact our future revenues and profitability. These circumstances could result in an impairment of goodwill and/or other intangibles. Also adverse equity market conditions that result in a decline in market multiples and our stock price could result in an impairment of goodwill and/or other intangibles. Any future impairment of goodwill or other intangible assets would have a negative impact on our profitability and financial results.</w:t>
      </w:r>
    </w:p>
    <w:p>
      <w:pPr>
        <w:spacing w:after="0" w:line="13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3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rely on our teaming relationships with other prime contractors and subcontractors in order to submit bids for large procurements or other opportunities where we believe the combination of services and products provided by us and the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exposure could enhance such companies’ prospect of securing a future position as a prime U.S. Government contractor which could increase competition for future contracts and impair our ability to perform on contracts.</w:t>
      </w:r>
    </w:p>
    <w:p>
      <w:pPr>
        <w:spacing w:after="0" w:line="153"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Uncertain economic conditions heighten the risk of financial stress of our subcontractors, which could adversely impact their ability to meet their contractual requirements to us. If any of our subcontractors fail to timely meet their contractual obligations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22</w:t>
      </w:r>
    </w:p>
    <w:p>
      <w:pPr>
        <w:sectPr>
          <w:pgSz w:w="11900" w:h="16838" w:orient="portrait"/>
          <w:cols w:equalWidth="0" w:num="1">
            <w:col w:w="11400"/>
          </w:cols>
          <w:pgMar w:left="240" w:top="495" w:right="25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We provide professional engineering and other services, including engineering-procurement-construction, design build, project delivery and commissioning, in connection with complex projects that involve significant risks and may require long-term capital.</w:t>
      </w:r>
    </w:p>
    <w:p>
      <w:pPr>
        <w:spacing w:after="0" w:line="1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certain projects, we may commit to a specific completion date or performance standards, which may expose us to significant additional costs and reputational damage if we miss the completion date or fail to achieve the performance standards, including agreed upon financial damages. Project performance can be affected by a number of factors beyond our control, including delays from governmental inaction, public opposition, inability to obtain financing, weather, unavailability or increased price of materials, changes in project scope, accidents, environmental hazards, labor disruptions and other factors. If we assume risks related to these events, such risks may not be insurable or may only be insurable on unacceptable terms. If these events occur, the total project costs could exceed our estimates and we could experience reduced profits or, in some cases, incur a loss on a project, which may reduce or eliminate overall profitability and have an adverse effect on our financial position and cash flows.</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We entered into an agreement to sell our biomass-powered generating facility in Plainfield, Connecticut. If the closing of the sale is delayed, if we fail to close, or if subsequent to closing we foreclose on the facility in the event of buyer’s default, we will continue to own the facility and our lack of experience in owning, operating, and optimizing the performance of such a facility, as well as the risks and uncertainties associated with the renewable energy industry, may adversely affect our profitability.</w:t>
      </w:r>
    </w:p>
    <w:p>
      <w:pPr>
        <w:spacing w:after="0" w:line="14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March 24, 2015 we agreed to sell our Plainfield Renewable Energy biomass-powered generating facility. The closing of the transaction is subject to certain closing conditions including various regulatory filings and approvals. Any delay or failure to satisfy the closing conditions would prevent or delay the transaction from closing, in which event we would remain the owner of the facility. As owner of the facility we would have continued exposure to certain risks associated with operating the plant as we have limited experience owning, operating and optimizing a power plant, which may impair our ability to do so effectively and profitably. The operation of a biomass-powered generating facility is subject to various risks and uncertainties, including those relating to feedstock supply, emissions requirements, off-take arrangements for remaining, uncommitted power capacity, equipment failures, regulatory compliance and permitting and changes in legislation, as well as other external factors that could reduce the availability of the facility. In addition to a delay or failure to close the sale, the transaction is partially seller-financed. If buyer is unable to meet its financial obligations under its note to us and defaults, among other remedies, we could foreclose on the facility and take possession. In such event we would then be subject to the aforementioned risks and uncertainties of owning the facility.</w:t>
      </w:r>
    </w:p>
    <w:p>
      <w:pPr>
        <w:spacing w:after="0" w:line="13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services and operations sometimes involve using, handling or disposing of hazardous substances, which could expose us to potentially significant liabilities.</w:t>
      </w:r>
    </w:p>
    <w:p>
      <w:pPr>
        <w:spacing w:after="0" w:line="12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Some of our services and operations involve the assessment or remediation of environmental hazards, as well as the use, handling or disposal of hazardous substances. These activities and our operations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Our current and previous ownership and operation of real property also subjects us to environmental protection laws, some of which hold current or previous owners or operators of businesses and real property liable for hazardous substance releases, even if they did not know of and were not responsible for the releases. If we have any violations of, or incur liabilities pursuant to, these laws or regulations, our financial condition and operating results could be adversely affected.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23</w:t>
      </w:r>
    </w:p>
    <w:p>
      <w:pPr>
        <w:sectPr>
          <w:pgSz w:w="11900" w:h="16838" w:orient="portrait"/>
          <w:cols w:equalWidth="0" w:num="1">
            <w:col w:w="11380"/>
          </w:cols>
          <w:pgMar w:left="240" w:top="495" w:right="2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b w:val="1"/>
          <w:bCs w:val="1"/>
          <w:i w:val="1"/>
          <w:iCs w:val="1"/>
          <w:color w:val="auto"/>
        </w:rPr>
        <w:t>We could incur significant liabilities and suffer negative publicity if our inspection or detection systems fail to detect bombs, explosives, weapons, contraband or other threats.</w:t>
      </w:r>
    </w:p>
    <w:p>
      <w:pPr>
        <w:spacing w:after="0" w:line="12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design, develop, manufacture, sell, service and maintain various inspection systems that are designed to assist in the detection of bombs, explosives, weapons, contraband or other threats. In some instances, we also train operators of such systems. Many of these systems utilize software algorithms that are probabilistic in nature and subject to significant technical limitations. Many of these systems are also dependent on the performance of their operators. There are many factors, some of which are beyond our control, which could result in the failure of our products to help detect the presence of bombs, explosives, weapons, contraband or other threats. Some of these factors could include operator error,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systems fail to, or are perceived to have failed to help detect a threat, the negative publicity from such incident could have a material adverse effect on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protect us from product and other liability claims or losses.</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maintain insurance coverage with third-party insurers as part of our overall risk management strategy and because some of our contracts require us to maintain specific insurance coverage limits. However, not every risk or liability is or can be protected by insurance, and, for those risks we insure, the limits of coverage we purchase or that are reasonably obtainable in the market may not be sufficient to cover all actual losses or liabilities incurred. If any of our third-party insurers fail, cancel our coverage or otherwise are unable to provide us with adequate insurance coverage,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If liability claims or losses exceed our current or available insurance coverage, our business, financial position, operating results and prospects may be harmed. Regardless of the adequacy of our liability insurance coverages, any significant claim may have an adverse effect on our industry and market reputation, leading to a substantial decrease in demand for our products and services and reduced revenues.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international business operations may be subject to additional and different risks than our U.S. business. Failure to comply with U.S. Government laws and regulations applicable to international business, such as the Foreign Corrupt Practices Act or U.S. export control regulations, could have an adverse impact on our business with the U.S. Government and could expose us to administrative, civil or criminal penalties. Additionally, these risks relating to international operations may expose us to potentially significant contract losses.</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some countries, there is an increased chance for economic, legal or political changes that may adversely affect the performance of our services, sale of our products or repatriation of our profits. International transactions can also involve increased financial and legal risks arising from foreign exchange rate variability, imposition of tariffs or additional taxes, restrictive trade policies and differing legal systems. We provide services and products in support of U.S. Government customers in countries with governments that may be or may become unstable, which increases the risk of an incident resulting in injury or loss of life, or damage or destruction of property, or inability to meet our contractual obligations. Although our international operations have historically generated a small proportion of our revenues, we are seeking to grow our international business, in which case these regulatory, geopolitical and other factors may have a greater impact on our business in the future and could adversely affect our business.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24</w:t>
      </w:r>
    </w:p>
    <w:p>
      <w:pPr>
        <w:sectPr>
          <w:pgSz w:w="11900" w:h="16838" w:orient="portrait"/>
          <w:cols w:equalWidth="0" w:num="1">
            <w:col w:w="11420"/>
          </w:cols>
          <w:pgMar w:left="240" w:top="495"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have only a limited ability to protect our intellectual property rights, which are important to our success. Our failure to adequately protect our proprietary information and intellectual property rights could adversely affect our competitive position.</w:t>
      </w:r>
    </w:p>
    <w:p>
      <w:pPr>
        <w:spacing w:after="0" w:line="12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rely principally on trade secrets to protect much of our intellectual property in cases where we do not believe that patent protection is appropriate or obtainable. However, trade secrets are difficult to protect. Although our employees are subject to confidentiality obligations, this protection may be inadequate to deter or prevent misappropriation of our confidential information. We may be unable to detect unauthorized use of our intellectual property or otherwise take appropriate steps to enforce our rights. Failure to obtain or maintain trade secret protection could adversely affect our competitive business position. If we are unable to prevent third parties from infringing or misappropriating our copyrights, trademarks or other proprietary information, our competitive position could be adversely affected. In addition, in connection with the performance of services, the U.S. Government has certain rights to inventions, data, software codes and related material that we develop under government-funded contracts and subcontracts, which means that U.S. Government may disclose or license our information to third parties, including, in some instances, our competitors.</w:t>
      </w:r>
    </w:p>
    <w:p>
      <w:pPr>
        <w:spacing w:after="0" w:line="15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course of conducting our business, we may inadvertently infringe the intellectual property rights of others, resulting in claims against us or our customers. Our contracts generally indemnify our customers for third-party claims for intellectual property infringement by the services and products we provide. The expense of defending these claims may adversely affect our financial results.</w:t>
      </w:r>
    </w:p>
    <w:p>
      <w:pPr>
        <w:spacing w:after="0" w:line="12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Business disruptions caused by natural disasters and other crises could adversely affect our profitability and our overall financial position.</w:t>
      </w:r>
    </w:p>
    <w:p>
      <w:pPr>
        <w:spacing w:after="0" w:line="12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We have significant operations located in regions of the United States that may be exposed to damaging storms and other natural disasters, such as hurricanes, tornadoes, blizzards, flooding, wildfires or earthquakes. Our business could also be disrupted by pandemics and other national or international crises. Although preventative measures may help mitigate the damage from such occurrences, the damage and disruption to our business resulting from any of these events may be significant. If our insurance and other risk mitigation mechanisms are not sufficient to recover all costs, including loss of revenues from sales to customers, we could experience a material adverse effect on our financial position and results of operations. Performance failures and disruptions by our subcontractors due to these types of events may also adversely affect our ability to perform our obligations on a prime contract, which could reduce our profitability due to damages or other costs that may not be fully recoverable from the subcontractor or the customer and could result in a termination of the prime contract and have an adverse effect on our ability to compete for future contracts.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period-to-period.</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Our financial results may fluctuate as a result of a number of factors, many of which are outside of our control.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other matters described elsewhere in this Annual Report on Form 10-K.</w:t>
      </w:r>
    </w:p>
    <w:p>
      <w:pPr>
        <w:spacing w:after="0" w:line="12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12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Accounting for many of our programs requires judgment relative to assessing risks, including risks associated with estimating directed delays and reductions in scheduled deliveries, unfavorable resolutions of claims and contractual matters, judgments associated with estimating contract revenues and costs, and assumptions for schedule and technical issues. Due to the size and nature of many of our contracts, the estimation of total revenues and cost at completion is complicated and subject to many variables. For example, we must make assumptions regarding the length of time to complete the contract because costs also include expected increases in wages and prices for materials, consider whether the intent of entering into multiple contracts was effectively to enter into a single project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25</w:t>
      </w:r>
    </w:p>
    <w:p>
      <w:pPr>
        <w:sectPr>
          <w:pgSz w:w="11900" w:h="16838" w:orient="portrait"/>
          <w:cols w:equalWidth="0" w:num="1">
            <w:col w:w="11400"/>
          </w:cols>
          <w:pgMar w:left="240" w:top="495" w:right="2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order to determine whether such contracts should be combined or segmented, consider incentives or penalties related to performance on contracts in estimating revenue and profit rates, and record them when there is sufficient information for us to assess anticipated performance; and use estimates of award fees in estimating revenue and profit rates based on actual and anticipated awards. Because of the significance of the judgments and estimation processes involved in accounting for construction and production type contracts,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3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The spin-off of our technical, engineering and enterprise information technology services business could result in substantial tax liability to us and our stockholders.</w:t>
      </w:r>
    </w:p>
    <w:p>
      <w:pPr>
        <w:spacing w:after="0" w:line="12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received a private letter ruling from the IRS and an opinion of tax counsel substantially to the effect that, for U.S. federal income tax purposes, the spin-off and certain related transactions qualify for tax-free treatment under certain sections of the Internal Revenue Code. However, if the factual assumptions or representations made in the private letter ruling request or the opinion are inaccurate or incomplete in any material respect, including those relating to the past and future conduct of our business, we will not be able to rely on the ruling or the opinion. Furthermore, the opinion covered certain matters on which the IRS does not rule and will not be binding on the IRS or the courts. Accordingly, the IRS or the courts may challenge the conclusions stated in the opinion and such challenge could prevail.</w:t>
      </w:r>
    </w:p>
    <w:p>
      <w:pPr>
        <w:spacing w:after="0" w:line="15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notwithstanding receipt of the private letter ruling and opinion, the spin-off and certain related transactions are determined to be taxable, we would be subject to a substantial tax liability. In addition, if the spin-off transaction is taxable, each holder of our common stock who received shares of the new company would generally be treated as receiving a taxable distribution of property in an amount equal to the fair market value of the shares received, thereby potentially increasing such holder’s tax liability.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Even if the spin-off otherwise qualified as a tax-free transaction, the distribution could be taxable to us (but not to our stockholders) in certain circumstances if future significant acquisitions of our stock or the stock of the new company are deemed to be part of a plan or series of related transactions that include the spin-off. In this event, the resulting tax liability could be substantial. In connection with the spin-off, we entered into a tax matters agreement with the new company, under which it agreed not to enter into any transaction without our consent that could cause any portion of the spin-off to be taxable to us and to indemnify us for any tax liabilities resulting from such transactions. These obligations and potential tax liabilities may discourage, delay or prevent a change of control of our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we will continue to pay dividends on our common stock.</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2012, our board of directors approved the initiation of a quarterly dividend program. The timing, declaration, amount and payment of any future dividends fall within the discretion of our board of directors and will depend on many factors, including our available cash, estimated cash needs, earnings, financial condition, operating results, capital requirements, as well as limitations in our contractual agreements, applicable law, regulatory constraints, industry practice and other business considerations that our board of directors considers relevant. A change in our dividend program could have an adverse effect on the market price of our common stock.</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26</w:t>
      </w:r>
    </w:p>
    <w:p>
      <w:pPr>
        <w:sectPr>
          <w:pgSz w:w="11900" w:h="16838" w:orient="portrait"/>
          <w:cols w:equalWidth="0" w:num="1">
            <w:col w:w="11380"/>
          </w:cols>
          <w:pgMar w:left="240" w:top="495"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under Delaware law could delay or prevent transactions that many stockholders may favor.</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Some provisions of our certificate of incorporation and bylaws may have the effect of delaying, discouraging or preventing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the following:</w:t>
      </w:r>
    </w:p>
    <w:p>
      <w:pPr>
        <w:spacing w:after="0" w:line="150" w:lineRule="exact"/>
        <w:rPr>
          <w:sz w:val="20"/>
          <w:szCs w:val="20"/>
          <w:color w:val="auto"/>
        </w:rPr>
      </w:pPr>
    </w:p>
    <w:p>
      <w:pPr>
        <w:jc w:val="both"/>
        <w:ind w:left="660" w:right="24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certificate of incorporation provides that our bylaws and certain provisions of our certificate of incorporation may be amended by only two-thirds or more voting power of all of the outstanding shares entitled to vote. These supermajority voting requirements could impede our stockholders’ ability to make changes to our certificate of incorporation and bylaws.</w:t>
      </w:r>
    </w:p>
    <w:p>
      <w:pPr>
        <w:spacing w:after="0" w:line="147"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certificate of incorporation contains certain supermajority voting provisions, which generally provide that mergers and certain other business combinations between us and a related person be approved by the holders of securities having at least 80% of our outstanding voting power, as well as by the holders of a majority of the voting power of such securities that are not owned by the related person.</w:t>
      </w:r>
    </w:p>
    <w:p>
      <w:pPr>
        <w:spacing w:after="0" w:line="150"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are limited in their ability to take certain actions other than in connection with its annual stockholders’ meeting or a special meeting called at the request of qualified stockholders as provided in our certificate of incorporation and bylaws.</w:t>
      </w:r>
    </w:p>
    <w:p>
      <w:pPr>
        <w:spacing w:after="0" w:line="147" w:lineRule="exact"/>
        <w:rPr>
          <w:rFonts w:ascii="Arial" w:cs="Arial" w:eastAsia="Arial" w:hAnsi="Arial"/>
          <w:sz w:val="18"/>
          <w:szCs w:val="18"/>
          <w:color w:val="auto"/>
        </w:rPr>
      </w:pPr>
    </w:p>
    <w:p>
      <w:pPr>
        <w:ind w:left="660" w:right="62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undesignated preferred stock. The ability to authorize undesignated preferred stock makes it possible for our board of directors to issue preferred stock with voting or other rights or preferences that could impede the success of any attempt to acquire us.</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Delaware corporation, we are also subject to certain restrictions on business combinations. Under Delaware law, a corporation may not engage in a business combination with any holder of 15% or more of its capital stock unless the holder has held the stock for three years, or among other things, our board of directors has approved the business combination or the transaction pursuant to which such person became a 15% holder prior to the time the person became a 15% holder.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rely on forward-looking statements.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This Annual Report on Form 10-K contains forward-looking statements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159" w:lineRule="exact"/>
        <w:rPr>
          <w:sz w:val="20"/>
          <w:szCs w:val="20"/>
          <w:color w:val="auto"/>
        </w:rPr>
      </w:pPr>
    </w:p>
    <w:p>
      <w:pPr>
        <w:ind w:left="660" w:right="160" w:hanging="328"/>
        <w:spacing w:after="0" w:line="26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in the U.S. Government defense budget, including budget reductions, sequestration, implementation of spending limits or changes in budgetary priorities, or delays in the U.S. Government budget process or approval of raising the debt ceiling;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27</w:t>
      </w:r>
    </w:p>
    <w:p>
      <w:pPr>
        <w:sectPr>
          <w:pgSz w:w="11900" w:h="16838" w:orient="portrait"/>
          <w:cols w:equalWidth="0" w:num="1">
            <w:col w:w="11400"/>
          </w:cols>
          <w:pgMar w:left="240" w:top="495" w:right="259" w:bottom="1440" w:gutter="0" w:footer="0" w:header="0"/>
        </w:sectPr>
      </w:pPr>
    </w:p>
    <w:bookmarkStart w:id="30" w:name="page31"/>
    <w:bookmarkEnd w:id="30"/>
    <w:p>
      <w:pPr>
        <w:jc w:val="center"/>
        <w:ind w:right="192"/>
        <w:spacing w:after="0"/>
        <w:rPr>
          <w:sz w:val="20"/>
          <w:szCs w:val="20"/>
          <w:color w:val="auto"/>
        </w:rPr>
      </w:pPr>
      <w:r>
        <w:rPr>
          <w:rFonts w:ascii="Arial" w:cs="Arial" w:eastAsia="Arial" w:hAnsi="Arial"/>
          <w:sz w:val="17"/>
          <w:szCs w:val="17"/>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224790</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0948"/>
          </w:cols>
          <w:pgMar w:left="572" w:top="4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 w:right="140"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U.S. Government contract procurement process or the award of contracts and delays or loss of contracts as a result of competitor protests;</w:t>
      </w:r>
    </w:p>
    <w:p>
      <w:pPr>
        <w:spacing w:after="0" w:line="142"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U.S. Government procurement rules, regulations, and practices;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compliance with various U.S. Government and other government procurement rules and regulations;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reviews, audits and investigations of our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compete and win contracts with the U.S. Government and other customers;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reliance on information technology spending by hospitals/health care organizations;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reliance on infrastructure investments by industrial and natural resources organizations;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energy efficiency and alternative energy sourcing investments;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by U.S. Government and commercial organizations in environment impact and remediation projects;</w:t>
      </w:r>
    </w:p>
    <w:p>
      <w:pPr>
        <w:spacing w:after="0" w:line="171" w:lineRule="exact"/>
        <w:rPr>
          <w:rFonts w:ascii="Arial" w:cs="Arial" w:eastAsia="Arial" w:hAnsi="Arial"/>
          <w:sz w:val="18"/>
          <w:szCs w:val="18"/>
          <w:color w:val="auto"/>
        </w:rPr>
      </w:pPr>
    </w:p>
    <w:p>
      <w:pPr>
        <w:ind w:left="328" w:right="360"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attract, train and retain skilled employees, including our management team, and to obtain security clearances for our employees;</w:t>
      </w:r>
    </w:p>
    <w:p>
      <w:pPr>
        <w:spacing w:after="0" w:line="142"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accurately estimate costs associated with our firm-fixed-price and other contracts;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comply with certain agreements entered into in connection with the CityTime matter;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resolution of legal and other disputes with our customers and others or legal or regulatory compliance issues;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data security or other security threats, system failures or other disruptions of our business;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acquire businesses and make investments;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relationships with prime contractors, subcontractors and joint venture partners;</w:t>
      </w:r>
    </w:p>
    <w:p>
      <w:pPr>
        <w:spacing w:after="0" w:line="171" w:lineRule="exact"/>
        <w:rPr>
          <w:rFonts w:ascii="Arial" w:cs="Arial" w:eastAsia="Arial" w:hAnsi="Arial"/>
          <w:sz w:val="18"/>
          <w:szCs w:val="18"/>
          <w:color w:val="auto"/>
        </w:rPr>
      </w:pPr>
    </w:p>
    <w:p>
      <w:pPr>
        <w:ind w:left="328" w:right="540"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performance and other risks related to customer contracts, including complex engineering or design build projects;</w:t>
      </w:r>
    </w:p>
    <w:p>
      <w:pPr>
        <w:spacing w:after="0" w:line="142"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inspection or detection systems to detect threats;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insurance programs designed to protect us from significant product or other liability claims;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risks associated with our international business;</w:t>
      </w:r>
    </w:p>
    <w:p>
      <w:pPr>
        <w:spacing w:after="0" w:line="171" w:lineRule="exact"/>
        <w:rPr>
          <w:rFonts w:ascii="Arial" w:cs="Arial" w:eastAsia="Arial" w:hAnsi="Arial"/>
          <w:sz w:val="18"/>
          <w:szCs w:val="18"/>
          <w:color w:val="auto"/>
        </w:rPr>
      </w:pPr>
    </w:p>
    <w:p>
      <w:pPr>
        <w:ind w:left="328" w:right="380"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declare future dividends based on our earnings, financial condition, capital requirements and other factors, including compliance with applicable law and our agreements;</w:t>
      </w:r>
    </w:p>
    <w:p>
      <w:pPr>
        <w:spacing w:after="0" w:line="142" w:lineRule="exact"/>
        <w:rPr>
          <w:rFonts w:ascii="Arial" w:cs="Arial" w:eastAsia="Arial" w:hAnsi="Arial"/>
          <w:sz w:val="18"/>
          <w:szCs w:val="18"/>
          <w:color w:val="auto"/>
        </w:rPr>
      </w:pPr>
    </w:p>
    <w:p>
      <w:pPr>
        <w:ind w:left="328" w:right="480"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the spin-off of our technical, engineering and enterprise information technology services business, such as unknown liabilities and risks associated with joint performance;</w:t>
      </w:r>
    </w:p>
    <w:p>
      <w:pPr>
        <w:spacing w:after="0" w:line="142" w:lineRule="exact"/>
        <w:rPr>
          <w:rFonts w:ascii="Arial" w:cs="Arial" w:eastAsia="Arial" w:hAnsi="Arial"/>
          <w:sz w:val="18"/>
          <w:szCs w:val="18"/>
          <w:color w:val="auto"/>
        </w:rPr>
      </w:pPr>
    </w:p>
    <w:p>
      <w:pPr>
        <w:ind w:left="328" w:right="260"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grow our commercial health and engineering businesses, which could be negatively affected by budgetary constraints faced by hospitals and by developers of energy and infrastructure projects; and</w:t>
      </w:r>
    </w:p>
    <w:p>
      <w:pPr>
        <w:spacing w:after="0" w:line="142" w:lineRule="exact"/>
        <w:rPr>
          <w:rFonts w:ascii="Arial" w:cs="Arial" w:eastAsia="Arial" w:hAnsi="Arial"/>
          <w:sz w:val="18"/>
          <w:szCs w:val="18"/>
          <w:color w:val="auto"/>
        </w:rPr>
      </w:pPr>
    </w:p>
    <w:p>
      <w:pPr>
        <w:ind w:left="328" w:hanging="328"/>
        <w:spacing w:after="0" w:line="262" w:lineRule="auto"/>
        <w:tabs>
          <w:tab w:leader="none" w:pos="3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execute our business plan and long-term management initiatives effectively and to overcome these and other known and unknown risks that we face.</w:t>
      </w:r>
    </w:p>
    <w:p>
      <w:pPr>
        <w:spacing w:after="0" w:line="200" w:lineRule="exact"/>
        <w:rPr>
          <w:sz w:val="20"/>
          <w:szCs w:val="20"/>
          <w:color w:val="auto"/>
        </w:rPr>
      </w:pPr>
    </w:p>
    <w:p>
      <w:pPr>
        <w:spacing w:after="0" w:line="215" w:lineRule="exact"/>
        <w:rPr>
          <w:sz w:val="20"/>
          <w:szCs w:val="20"/>
          <w:color w:val="auto"/>
        </w:rPr>
      </w:pPr>
    </w:p>
    <w:p>
      <w:pPr>
        <w:jc w:val="center"/>
        <w:ind w:right="172"/>
        <w:spacing w:after="0"/>
        <w:rPr>
          <w:sz w:val="20"/>
          <w:szCs w:val="20"/>
          <w:color w:val="auto"/>
        </w:rPr>
      </w:pPr>
      <w:r>
        <w:rPr>
          <w:rFonts w:ascii="Arial" w:cs="Arial" w:eastAsia="Arial" w:hAnsi="Arial"/>
          <w:sz w:val="16"/>
          <w:szCs w:val="16"/>
          <w:color w:val="auto"/>
        </w:rPr>
        <w:t>Leidos Holdings, Inc. Annual Report 28</w:t>
      </w:r>
    </w:p>
    <w:p>
      <w:pPr>
        <w:sectPr>
          <w:pgSz w:w="11900" w:h="16838" w:orient="portrait"/>
          <w:cols w:equalWidth="0" w:num="1">
            <w:col w:w="10948"/>
          </w:cols>
          <w:pgMar w:left="572" w:top="495" w:right="37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of January 30, 2015, we conducted our operations in approximately 236 offices located in 40 states, the District of Columbia and various foreign countries. We consider our facilities suitable and adequate for our present needs. We occupy approximately 5.6 million square feet of floor space. Of this amount, we own approximately 1.1 million square feet, and the remaining balance is leased. Our major locations are in the Washington, D.C. metropolitan area, where we occupy a combination of leased and owned floor space of approximately 3.0 million square feet. We also have employees working at customer sites throughout the United States and in other countries. As of January 30, 2015, we owned the following properties: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3340" w:type="dxa"/>
            <w:vAlign w:val="bottom"/>
          </w:tcPr>
          <w:p>
            <w:pPr>
              <w:jc w:val="center"/>
              <w:ind w:left="2448"/>
              <w:spacing w:after="0"/>
              <w:rPr>
                <w:sz w:val="20"/>
                <w:szCs w:val="20"/>
                <w:color w:val="auto"/>
              </w:rPr>
            </w:pPr>
            <w:r>
              <w:rPr>
                <w:rFonts w:ascii="Arial" w:cs="Arial" w:eastAsia="Arial" w:hAnsi="Arial"/>
                <w:sz w:val="14"/>
                <w:szCs w:val="14"/>
                <w:color w:val="auto"/>
              </w:rPr>
              <w:t>Number of</w:t>
            </w:r>
          </w:p>
        </w:tc>
        <w:tc>
          <w:tcPr>
            <w:tcW w:w="500" w:type="dxa"/>
            <w:vAlign w:val="bottom"/>
          </w:tcPr>
          <w:p>
            <w:pPr>
              <w:spacing w:after="0"/>
              <w:rPr>
                <w:sz w:val="14"/>
                <w:szCs w:val="14"/>
                <w:color w:val="auto"/>
              </w:rPr>
            </w:pPr>
          </w:p>
        </w:tc>
        <w:tc>
          <w:tcPr>
            <w:tcW w:w="1480" w:type="dxa"/>
            <w:vAlign w:val="bottom"/>
          </w:tcPr>
          <w:p>
            <w:pPr>
              <w:jc w:val="right"/>
              <w:ind w:right="574"/>
              <w:spacing w:after="0"/>
              <w:rPr>
                <w:sz w:val="20"/>
                <w:szCs w:val="20"/>
                <w:color w:val="auto"/>
              </w:rPr>
            </w:pPr>
            <w:r>
              <w:rPr>
                <w:rFonts w:ascii="Arial" w:cs="Arial" w:eastAsia="Arial" w:hAnsi="Arial"/>
                <w:sz w:val="14"/>
                <w:szCs w:val="14"/>
                <w:color w:val="auto"/>
              </w:rPr>
              <w:t>Square</w:t>
            </w:r>
          </w:p>
        </w:tc>
        <w:tc>
          <w:tcPr>
            <w:tcW w:w="1260" w:type="dxa"/>
            <w:vAlign w:val="bottom"/>
          </w:tcPr>
          <w:p>
            <w:pPr>
              <w:spacing w:after="0"/>
              <w:rPr>
                <w:sz w:val="14"/>
                <w:szCs w:val="14"/>
                <w:color w:val="auto"/>
              </w:rPr>
            </w:pPr>
          </w:p>
        </w:tc>
      </w:tr>
      <w:tr>
        <w:trPr>
          <w:trHeight w:val="178"/>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Location</w:t>
            </w:r>
          </w:p>
        </w:tc>
        <w:tc>
          <w:tcPr>
            <w:tcW w:w="3340" w:type="dxa"/>
            <w:vAlign w:val="bottom"/>
            <w:tcBorders>
              <w:bottom w:val="single" w:sz="8" w:color="auto"/>
            </w:tcBorders>
          </w:tcPr>
          <w:p>
            <w:pPr>
              <w:jc w:val="center"/>
              <w:ind w:left="2448"/>
              <w:spacing w:after="0"/>
              <w:rPr>
                <w:sz w:val="20"/>
                <w:szCs w:val="20"/>
                <w:color w:val="auto"/>
              </w:rPr>
            </w:pPr>
            <w:r>
              <w:rPr>
                <w:rFonts w:ascii="Arial" w:cs="Arial" w:eastAsia="Arial" w:hAnsi="Arial"/>
                <w:sz w:val="14"/>
                <w:szCs w:val="14"/>
                <w:color w:val="auto"/>
              </w:rPr>
              <w:t>buildings</w:t>
            </w:r>
          </w:p>
        </w:tc>
        <w:tc>
          <w:tcPr>
            <w:tcW w:w="5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footage</w:t>
            </w:r>
          </w:p>
        </w:tc>
        <w:tc>
          <w:tcPr>
            <w:tcW w:w="12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Acreage</w:t>
            </w:r>
          </w:p>
        </w:tc>
      </w:tr>
      <w:tr>
        <w:trPr>
          <w:trHeight w:val="256"/>
        </w:trPr>
        <w:tc>
          <w:tcPr>
            <w:tcW w:w="4840" w:type="dxa"/>
            <w:vAlign w:val="bottom"/>
          </w:tcPr>
          <w:p>
            <w:pPr>
              <w:ind w:left="40"/>
              <w:spacing w:after="0"/>
              <w:rPr>
                <w:sz w:val="20"/>
                <w:szCs w:val="20"/>
                <w:color w:val="auto"/>
              </w:rPr>
            </w:pPr>
            <w:r>
              <w:rPr>
                <w:rFonts w:ascii="Arial" w:cs="Arial" w:eastAsia="Arial" w:hAnsi="Arial"/>
                <w:sz w:val="18"/>
                <w:szCs w:val="18"/>
                <w:color w:val="auto"/>
              </w:rPr>
              <w:t>McLean, Virginia</w:t>
            </w:r>
          </w:p>
        </w:tc>
        <w:tc>
          <w:tcPr>
            <w:tcW w:w="3340" w:type="dxa"/>
            <w:vAlign w:val="bottom"/>
          </w:tcPr>
          <w:p>
            <w:pPr>
              <w:spacing w:after="0"/>
              <w:rPr>
                <w:sz w:val="22"/>
                <w:szCs w:val="22"/>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287,000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15.1</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San Diego, California</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262,000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6.2</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Virginia Beach, Virginia</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159,000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Columbia, Maryland</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95,000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Colorado Springs, Colorado</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86,000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Orlando, Florida</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85,000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18.0</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Oak Ridge, Tennessee</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83,000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12.5</w:t>
            </w:r>
          </w:p>
        </w:tc>
      </w:tr>
      <w:tr>
        <w:trPr>
          <w:trHeight w:val="270"/>
        </w:trPr>
        <w:tc>
          <w:tcPr>
            <w:tcW w:w="4840" w:type="dxa"/>
            <w:vAlign w:val="bottom"/>
          </w:tcPr>
          <w:p>
            <w:pPr>
              <w:ind w:left="40"/>
              <w:spacing w:after="0"/>
              <w:rPr>
                <w:sz w:val="20"/>
                <w:szCs w:val="20"/>
                <w:color w:val="auto"/>
              </w:rPr>
            </w:pPr>
            <w:r>
              <w:rPr>
                <w:rFonts w:ascii="Arial" w:cs="Arial" w:eastAsia="Arial" w:hAnsi="Arial"/>
                <w:sz w:val="18"/>
                <w:szCs w:val="18"/>
                <w:color w:val="auto"/>
              </w:rPr>
              <w:t>Reston, Virginia</w:t>
            </w:r>
          </w:p>
        </w:tc>
        <w:tc>
          <w:tcPr>
            <w:tcW w:w="3340" w:type="dxa"/>
            <w:vAlign w:val="bottom"/>
          </w:tcPr>
          <w:p>
            <w:pPr>
              <w:spacing w:after="0"/>
              <w:rPr>
                <w:sz w:val="23"/>
                <w:szCs w:val="23"/>
                <w:color w:val="auto"/>
              </w:rPr>
            </w:pP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1</w:t>
            </w:r>
          </w:p>
        </w:tc>
        <w:tc>
          <w:tcPr>
            <w:tcW w:w="1480" w:type="dxa"/>
            <w:vAlign w:val="bottom"/>
          </w:tcPr>
          <w:p>
            <w:pPr>
              <w:jc w:val="right"/>
              <w:ind w:right="234"/>
              <w:spacing w:after="0"/>
              <w:rPr>
                <w:sz w:val="20"/>
                <w:szCs w:val="20"/>
                <w:color w:val="auto"/>
              </w:rPr>
            </w:pPr>
            <w:r>
              <w:rPr>
                <w:rFonts w:ascii="Arial" w:cs="Arial" w:eastAsia="Arial" w:hAnsi="Arial"/>
                <w:sz w:val="18"/>
                <w:szCs w:val="18"/>
                <w:color w:val="auto"/>
              </w:rPr>
              <w:t>62,000</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w:t>
            </w:r>
          </w:p>
        </w:tc>
      </w:tr>
    </w:tbl>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nature of our business is such that there is no practicable way to relate occupied space to our reportable segments. See Note 16 of the combined notes to consolidated financial statements contained within this Annual Report on Form 10-K for information regarding commitments under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provided information about legal proceedings in which we are involved in Note 19 of the combined notes to the consolidated financial statements contained within this Annual Report on Form 10-K.</w:t>
      </w:r>
    </w:p>
    <w:p>
      <w:pPr>
        <w:spacing w:after="0" w:line="142"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In addition to the matters disclosed in Note 19, we are routinely subject to investigations and reviews relating to compliance with various laws and regulations. Additional information regarding such investigations and reviews is set forth in Note 20 “Commitments and Contingencies – Government Investigations and Reviews” of the combined notes to the consolidated financial statements contained within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29</w:t>
      </w:r>
    </w:p>
    <w:p>
      <w:pPr>
        <w:sectPr>
          <w:pgSz w:w="11900" w:h="16838" w:orient="portrait"/>
          <w:cols w:equalWidth="0" w:num="1">
            <w:col w:w="11420"/>
          </w:cols>
          <w:pgMar w:left="240" w:top="49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Other Key Officers of the Registrant</w:t>
      </w:r>
    </w:p>
    <w:p>
      <w:pPr>
        <w:spacing w:after="0" w:line="193"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following is a list of the names and ages (as of March 25, 2015) of our executive and other key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of officer</w:t>
            </w:r>
          </w:p>
        </w:tc>
        <w:tc>
          <w:tcPr>
            <w:tcW w:w="1260" w:type="dxa"/>
            <w:vAlign w:val="bottom"/>
            <w:tcBorders>
              <w:bottom w:val="single" w:sz="8" w:color="auto"/>
            </w:tcBorders>
          </w:tcPr>
          <w:p>
            <w:pPr>
              <w:jc w:val="center"/>
              <w:ind w:left="333"/>
              <w:spacing w:after="0"/>
              <w:rPr>
                <w:sz w:val="20"/>
                <w:szCs w:val="20"/>
                <w:color w:val="auto"/>
              </w:rPr>
            </w:pPr>
            <w:r>
              <w:rPr>
                <w:rFonts w:ascii="Arial" w:cs="Arial" w:eastAsia="Arial" w:hAnsi="Arial"/>
                <w:sz w:val="14"/>
                <w:szCs w:val="14"/>
                <w:color w:val="auto"/>
                <w:w w:val="96"/>
              </w:rPr>
              <w:t>Age</w:t>
            </w:r>
          </w:p>
        </w:tc>
        <w:tc>
          <w:tcPr>
            <w:tcW w:w="790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28"/>
        </w:trPr>
        <w:tc>
          <w:tcPr>
            <w:tcW w:w="2260" w:type="dxa"/>
            <w:vAlign w:val="bottom"/>
          </w:tcPr>
          <w:p>
            <w:pPr>
              <w:ind w:left="40"/>
              <w:spacing w:after="0"/>
              <w:rPr>
                <w:sz w:val="20"/>
                <w:szCs w:val="20"/>
                <w:color w:val="auto"/>
              </w:rPr>
            </w:pPr>
            <w:r>
              <w:rPr>
                <w:rFonts w:ascii="Arial" w:cs="Arial" w:eastAsia="Arial" w:hAnsi="Arial"/>
                <w:sz w:val="18"/>
                <w:szCs w:val="18"/>
                <w:color w:val="auto"/>
              </w:rPr>
              <w:t>Sarah Allen*</w:t>
            </w:r>
          </w:p>
        </w:tc>
        <w:tc>
          <w:tcPr>
            <w:tcW w:w="1260" w:type="dxa"/>
            <w:vAlign w:val="bottom"/>
          </w:tcPr>
          <w:p>
            <w:pPr>
              <w:jc w:val="center"/>
              <w:ind w:left="333"/>
              <w:spacing w:after="0"/>
              <w:rPr>
                <w:sz w:val="20"/>
                <w:szCs w:val="20"/>
                <w:color w:val="auto"/>
              </w:rPr>
            </w:pPr>
            <w:r>
              <w:rPr>
                <w:rFonts w:ascii="Arial" w:cs="Arial" w:eastAsia="Arial" w:hAnsi="Arial"/>
                <w:sz w:val="18"/>
                <w:szCs w:val="18"/>
                <w:color w:val="auto"/>
                <w:w w:val="99"/>
              </w:rPr>
              <w:t>56</w:t>
            </w:r>
          </w:p>
        </w:tc>
        <w:tc>
          <w:tcPr>
            <w:tcW w:w="7900" w:type="dxa"/>
            <w:vAlign w:val="bottom"/>
          </w:tcPr>
          <w:p>
            <w:pPr>
              <w:ind w:left="280"/>
              <w:spacing w:after="0"/>
              <w:rPr>
                <w:sz w:val="20"/>
                <w:szCs w:val="20"/>
                <w:color w:val="auto"/>
              </w:rPr>
            </w:pPr>
            <w:r>
              <w:rPr>
                <w:rFonts w:ascii="Arial" w:cs="Arial" w:eastAsia="Arial" w:hAnsi="Arial"/>
                <w:sz w:val="18"/>
                <w:szCs w:val="18"/>
                <w:color w:val="auto"/>
              </w:rPr>
              <w:t>Executive Vice President and Chief Human Resources Officer since 2013. Prior to joining</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Leidos in September 2008, Ms. Allen served as the Director of Human Resources in the TASC</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Business Unit of Northrop Grumman Corporation. Earlier in her career, she held positions with</w:t>
            </w:r>
          </w:p>
        </w:tc>
      </w:tr>
      <w:tr>
        <w:trPr>
          <w:trHeight w:val="217"/>
        </w:trPr>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TRW Environmental Safety Systems, Honeywell and Hewlett-Packard Company.</w:t>
            </w:r>
          </w:p>
        </w:tc>
      </w:tr>
      <w:tr>
        <w:trPr>
          <w:trHeight w:val="242"/>
        </w:trPr>
        <w:tc>
          <w:tcPr>
            <w:tcW w:w="2260" w:type="dxa"/>
            <w:vAlign w:val="bottom"/>
          </w:tcPr>
          <w:p>
            <w:pPr>
              <w:ind w:left="40"/>
              <w:spacing w:after="0"/>
              <w:rPr>
                <w:sz w:val="20"/>
                <w:szCs w:val="20"/>
                <w:color w:val="auto"/>
              </w:rPr>
            </w:pPr>
            <w:r>
              <w:rPr>
                <w:rFonts w:ascii="Arial" w:cs="Arial" w:eastAsia="Arial" w:hAnsi="Arial"/>
                <w:sz w:val="18"/>
                <w:szCs w:val="18"/>
                <w:color w:val="auto"/>
              </w:rPr>
              <w:t>S. Gulu Gambhir</w:t>
            </w:r>
          </w:p>
        </w:tc>
        <w:tc>
          <w:tcPr>
            <w:tcW w:w="1260" w:type="dxa"/>
            <w:vAlign w:val="bottom"/>
          </w:tcPr>
          <w:p>
            <w:pPr>
              <w:jc w:val="center"/>
              <w:ind w:left="333"/>
              <w:spacing w:after="0"/>
              <w:rPr>
                <w:sz w:val="20"/>
                <w:szCs w:val="20"/>
                <w:color w:val="auto"/>
              </w:rPr>
            </w:pPr>
            <w:r>
              <w:rPr>
                <w:rFonts w:ascii="Arial" w:cs="Arial" w:eastAsia="Arial" w:hAnsi="Arial"/>
                <w:sz w:val="18"/>
                <w:szCs w:val="18"/>
                <w:color w:val="auto"/>
                <w:w w:val="99"/>
              </w:rPr>
              <w:t>46</w:t>
            </w:r>
          </w:p>
        </w:tc>
        <w:tc>
          <w:tcPr>
            <w:tcW w:w="7900" w:type="dxa"/>
            <w:vAlign w:val="bottom"/>
          </w:tcPr>
          <w:p>
            <w:pPr>
              <w:ind w:left="280"/>
              <w:spacing w:after="0"/>
              <w:rPr>
                <w:sz w:val="20"/>
                <w:szCs w:val="20"/>
                <w:color w:val="auto"/>
              </w:rPr>
            </w:pPr>
            <w:r>
              <w:rPr>
                <w:rFonts w:ascii="Arial" w:cs="Arial" w:eastAsia="Arial" w:hAnsi="Arial"/>
                <w:sz w:val="18"/>
                <w:szCs w:val="18"/>
                <w:color w:val="auto"/>
              </w:rPr>
              <w:t>Chief Technology Officer and Senior Vice President since 2013. Prior to that time, Mr. Gambhir</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served as National Security Sector Chief Technology Officer and Senior Vice President since</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2009. Before joining Leidos</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Mr. Gambhir served as director of Northrop Grumman's Science and Technology Operating</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Unit of TASC, holding a variety of technical and managerial roles since 1991. Previously, he</w:t>
            </w:r>
          </w:p>
        </w:tc>
      </w:tr>
      <w:tr>
        <w:trPr>
          <w:trHeight w:val="217"/>
        </w:trPr>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worked at Space Applications Corporation and COMSAT Laboratories.</w:t>
            </w:r>
          </w:p>
        </w:tc>
      </w:tr>
      <w:tr>
        <w:trPr>
          <w:trHeight w:val="242"/>
        </w:trPr>
        <w:tc>
          <w:tcPr>
            <w:tcW w:w="2260" w:type="dxa"/>
            <w:vAlign w:val="bottom"/>
          </w:tcPr>
          <w:p>
            <w:pPr>
              <w:ind w:left="40"/>
              <w:spacing w:after="0"/>
              <w:rPr>
                <w:sz w:val="20"/>
                <w:szCs w:val="20"/>
                <w:color w:val="auto"/>
              </w:rPr>
            </w:pPr>
            <w:r>
              <w:rPr>
                <w:rFonts w:ascii="Arial" w:cs="Arial" w:eastAsia="Arial" w:hAnsi="Arial"/>
                <w:sz w:val="18"/>
                <w:szCs w:val="18"/>
                <w:color w:val="auto"/>
              </w:rPr>
              <w:t>Roger A. Krone*</w:t>
            </w:r>
          </w:p>
        </w:tc>
        <w:tc>
          <w:tcPr>
            <w:tcW w:w="1260" w:type="dxa"/>
            <w:vAlign w:val="bottom"/>
          </w:tcPr>
          <w:p>
            <w:pPr>
              <w:jc w:val="center"/>
              <w:ind w:left="333"/>
              <w:spacing w:after="0"/>
              <w:rPr>
                <w:sz w:val="20"/>
                <w:szCs w:val="20"/>
                <w:color w:val="auto"/>
              </w:rPr>
            </w:pPr>
            <w:r>
              <w:rPr>
                <w:rFonts w:ascii="Arial" w:cs="Arial" w:eastAsia="Arial" w:hAnsi="Arial"/>
                <w:sz w:val="18"/>
                <w:szCs w:val="18"/>
                <w:color w:val="auto"/>
                <w:w w:val="99"/>
              </w:rPr>
              <w:t>58</w:t>
            </w:r>
          </w:p>
        </w:tc>
        <w:tc>
          <w:tcPr>
            <w:tcW w:w="7900" w:type="dxa"/>
            <w:vAlign w:val="bottom"/>
          </w:tcPr>
          <w:p>
            <w:pPr>
              <w:ind w:left="280"/>
              <w:spacing w:after="0"/>
              <w:rPr>
                <w:sz w:val="20"/>
                <w:szCs w:val="20"/>
                <w:color w:val="auto"/>
              </w:rPr>
            </w:pPr>
            <w:r>
              <w:rPr>
                <w:rFonts w:ascii="Arial" w:cs="Arial" w:eastAsia="Arial" w:hAnsi="Arial"/>
                <w:sz w:val="18"/>
                <w:szCs w:val="18"/>
                <w:color w:val="auto"/>
              </w:rPr>
              <w:t>Chief Executive Officer since July 2014, succeeding John P. Jumper. Mr. Krone also sits on the</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Leidos Board of Directors. He brings nearly 35 years of operational, strategic, and financial</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execution experience for some of the nation’s most prominent names in aerospace. Mr. Krone</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has held senior program management and finance positions at The Boeing Company,</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McDonnell Douglas Corp., and General Dynamics. Mr. Krone is currently director on the board</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for the United Launch Alliance, a member of the advisory board at Georgia Tech, and a</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member of the board of WETA Public Television and Radio in Washington, D.C. He is a long-</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time supporter of the Urban League, and currently serves on the board of the Greater</w:t>
            </w:r>
          </w:p>
        </w:tc>
      </w:tr>
      <w:tr>
        <w:trPr>
          <w:trHeight w:val="217"/>
        </w:trPr>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Washington chapter.</w:t>
            </w:r>
          </w:p>
        </w:tc>
      </w:tr>
      <w:tr>
        <w:trPr>
          <w:trHeight w:val="242"/>
        </w:trPr>
        <w:tc>
          <w:tcPr>
            <w:tcW w:w="2260" w:type="dxa"/>
            <w:vAlign w:val="bottom"/>
          </w:tcPr>
          <w:p>
            <w:pPr>
              <w:ind w:left="40"/>
              <w:spacing w:after="0"/>
              <w:rPr>
                <w:sz w:val="20"/>
                <w:szCs w:val="20"/>
                <w:color w:val="auto"/>
              </w:rPr>
            </w:pPr>
            <w:r>
              <w:rPr>
                <w:rFonts w:ascii="Arial" w:cs="Arial" w:eastAsia="Arial" w:hAnsi="Arial"/>
                <w:sz w:val="18"/>
                <w:szCs w:val="18"/>
                <w:color w:val="auto"/>
              </w:rPr>
              <w:t>Theodore W. Lay II</w:t>
            </w:r>
          </w:p>
        </w:tc>
        <w:tc>
          <w:tcPr>
            <w:tcW w:w="1260" w:type="dxa"/>
            <w:vAlign w:val="bottom"/>
          </w:tcPr>
          <w:p>
            <w:pPr>
              <w:jc w:val="center"/>
              <w:ind w:left="333"/>
              <w:spacing w:after="0"/>
              <w:rPr>
                <w:sz w:val="20"/>
                <w:szCs w:val="20"/>
                <w:color w:val="auto"/>
              </w:rPr>
            </w:pPr>
            <w:r>
              <w:rPr>
                <w:rFonts w:ascii="Arial" w:cs="Arial" w:eastAsia="Arial" w:hAnsi="Arial"/>
                <w:sz w:val="18"/>
                <w:szCs w:val="18"/>
                <w:color w:val="auto"/>
                <w:w w:val="99"/>
              </w:rPr>
              <w:t>65</w:t>
            </w:r>
          </w:p>
        </w:tc>
        <w:tc>
          <w:tcPr>
            <w:tcW w:w="7900" w:type="dxa"/>
            <w:vAlign w:val="bottom"/>
          </w:tcPr>
          <w:p>
            <w:pPr>
              <w:ind w:left="280"/>
              <w:spacing w:after="0"/>
              <w:rPr>
                <w:sz w:val="20"/>
                <w:szCs w:val="20"/>
                <w:color w:val="auto"/>
              </w:rPr>
            </w:pPr>
            <w:r>
              <w:rPr>
                <w:rFonts w:ascii="Arial" w:cs="Arial" w:eastAsia="Arial" w:hAnsi="Arial"/>
                <w:sz w:val="18"/>
                <w:szCs w:val="18"/>
                <w:color w:val="auto"/>
              </w:rPr>
              <w:t>Senior Vice President, Ethics Compliance, Policy and Governance since September 2013. Mr.</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Lay joined the Ethics and Compliance Office in January 2011 as the Director of Employee</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Ethics &amp; Chair of the Employee Ethics Council. He has served as an account manager and an</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operations manager at Leidos since joining the company in 2005. Mr. Lay joined the Employee</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Ethics Committee in 2009 while serving as Director of Account Management &amp; Business</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Resources for the Analysis, Simulations, Systems Engineering, &amp; Training Business Unit.</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Before transitioning to the civilian sector, he was Deputy Director of NATO’s Joint Warfare</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Centre in Stavanger, Norway. Mr. Lay retired as a USAF Major General with 33 years of</w:t>
            </w:r>
          </w:p>
        </w:tc>
      </w:tr>
      <w:tr>
        <w:trPr>
          <w:trHeight w:val="217"/>
        </w:trPr>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experience.</w:t>
            </w:r>
          </w:p>
        </w:tc>
      </w:tr>
      <w:tr>
        <w:trPr>
          <w:trHeight w:val="242"/>
        </w:trPr>
        <w:tc>
          <w:tcPr>
            <w:tcW w:w="2260" w:type="dxa"/>
            <w:vAlign w:val="bottom"/>
          </w:tcPr>
          <w:p>
            <w:pPr>
              <w:ind w:left="40"/>
              <w:spacing w:after="0"/>
              <w:rPr>
                <w:sz w:val="20"/>
                <w:szCs w:val="20"/>
                <w:color w:val="auto"/>
              </w:rPr>
            </w:pPr>
            <w:r>
              <w:rPr>
                <w:rFonts w:ascii="Arial" w:cs="Arial" w:eastAsia="Arial" w:hAnsi="Arial"/>
                <w:sz w:val="18"/>
                <w:szCs w:val="18"/>
                <w:color w:val="auto"/>
              </w:rPr>
              <w:t>Michael E. Leiter*</w:t>
            </w:r>
          </w:p>
        </w:tc>
        <w:tc>
          <w:tcPr>
            <w:tcW w:w="1260" w:type="dxa"/>
            <w:vAlign w:val="bottom"/>
          </w:tcPr>
          <w:p>
            <w:pPr>
              <w:jc w:val="center"/>
              <w:ind w:left="333"/>
              <w:spacing w:after="0"/>
              <w:rPr>
                <w:sz w:val="20"/>
                <w:szCs w:val="20"/>
                <w:color w:val="auto"/>
              </w:rPr>
            </w:pPr>
            <w:r>
              <w:rPr>
                <w:rFonts w:ascii="Arial" w:cs="Arial" w:eastAsia="Arial" w:hAnsi="Arial"/>
                <w:sz w:val="18"/>
                <w:szCs w:val="18"/>
                <w:color w:val="auto"/>
                <w:w w:val="99"/>
              </w:rPr>
              <w:t>45</w:t>
            </w:r>
          </w:p>
        </w:tc>
        <w:tc>
          <w:tcPr>
            <w:tcW w:w="7900" w:type="dxa"/>
            <w:vAlign w:val="bottom"/>
          </w:tcPr>
          <w:p>
            <w:pPr>
              <w:ind w:left="280"/>
              <w:spacing w:after="0"/>
              <w:rPr>
                <w:sz w:val="20"/>
                <w:szCs w:val="20"/>
                <w:color w:val="auto"/>
              </w:rPr>
            </w:pPr>
            <w:r>
              <w:rPr>
                <w:rFonts w:ascii="Arial" w:cs="Arial" w:eastAsia="Arial" w:hAnsi="Arial"/>
                <w:sz w:val="18"/>
                <w:szCs w:val="18"/>
                <w:color w:val="auto"/>
              </w:rPr>
              <w:t>Executive Vice President for Business Development and Strategy since November 2014. Prior</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to joining Leidos, Mr. Leiter served as Head of Global Government &amp; Commercial Cyber</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Operations, and Senior Counselor to the Chief Executive Officer, of Palantir Technologies from</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2011 to 2014. Before entering the private sector, he served as the Director of the National</w:t>
            </w:r>
          </w:p>
        </w:tc>
      </w:tr>
      <w:tr>
        <w:trPr>
          <w:trHeight w:val="217"/>
        </w:trPr>
        <w:tc>
          <w:tcPr>
            <w:tcW w:w="2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Counterterrorism Center (NCTC) from 2007 until 2011.</w:t>
            </w:r>
          </w:p>
        </w:tc>
      </w:tr>
      <w:tr>
        <w:trPr>
          <w:trHeight w:val="242"/>
        </w:trPr>
        <w:tc>
          <w:tcPr>
            <w:tcW w:w="2260" w:type="dxa"/>
            <w:vAlign w:val="bottom"/>
          </w:tcPr>
          <w:p>
            <w:pPr>
              <w:ind w:left="40"/>
              <w:spacing w:after="0"/>
              <w:rPr>
                <w:sz w:val="20"/>
                <w:szCs w:val="20"/>
                <w:color w:val="auto"/>
              </w:rPr>
            </w:pPr>
            <w:r>
              <w:rPr>
                <w:rFonts w:ascii="Arial" w:cs="Arial" w:eastAsia="Arial" w:hAnsi="Arial"/>
                <w:sz w:val="18"/>
                <w:szCs w:val="18"/>
                <w:color w:val="auto"/>
              </w:rPr>
              <w:t>Vincent A. Maffeo*</w:t>
            </w:r>
          </w:p>
        </w:tc>
        <w:tc>
          <w:tcPr>
            <w:tcW w:w="1260" w:type="dxa"/>
            <w:vAlign w:val="bottom"/>
          </w:tcPr>
          <w:p>
            <w:pPr>
              <w:jc w:val="center"/>
              <w:ind w:left="333"/>
              <w:spacing w:after="0"/>
              <w:rPr>
                <w:sz w:val="20"/>
                <w:szCs w:val="20"/>
                <w:color w:val="auto"/>
              </w:rPr>
            </w:pPr>
            <w:r>
              <w:rPr>
                <w:rFonts w:ascii="Arial" w:cs="Arial" w:eastAsia="Arial" w:hAnsi="Arial"/>
                <w:sz w:val="18"/>
                <w:szCs w:val="18"/>
                <w:color w:val="auto"/>
                <w:w w:val="99"/>
              </w:rPr>
              <w:t>64</w:t>
            </w:r>
          </w:p>
        </w:tc>
        <w:tc>
          <w:tcPr>
            <w:tcW w:w="7900" w:type="dxa"/>
            <w:vAlign w:val="bottom"/>
          </w:tcPr>
          <w:p>
            <w:pPr>
              <w:ind w:left="280"/>
              <w:spacing w:after="0"/>
              <w:rPr>
                <w:sz w:val="20"/>
                <w:szCs w:val="20"/>
                <w:color w:val="auto"/>
              </w:rPr>
            </w:pPr>
            <w:r>
              <w:rPr>
                <w:rFonts w:ascii="Arial" w:cs="Arial" w:eastAsia="Arial" w:hAnsi="Arial"/>
                <w:sz w:val="18"/>
                <w:szCs w:val="18"/>
                <w:color w:val="auto"/>
              </w:rPr>
              <w:t>Executive Vice President and General Counsel since June 2010. Prior to joining Leidos, from</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1977 to 2009, Mr. Maffeo was with ITT Corporation, a high-technology engineering and</w:t>
            </w:r>
          </w:p>
        </w:tc>
      </w:tr>
      <w:tr>
        <w:trPr>
          <w:trHeight w:val="203"/>
        </w:trPr>
        <w:tc>
          <w:tcPr>
            <w:tcW w:w="2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manufacturing company, where he served as Senior Vice President and General Counsel from</w:t>
            </w:r>
          </w:p>
        </w:tc>
      </w:tr>
    </w:tbl>
    <w:p>
      <w:pPr>
        <w:ind w:left="3800" w:right="680"/>
        <w:spacing w:after="0"/>
        <w:rPr>
          <w:sz w:val="20"/>
          <w:szCs w:val="20"/>
          <w:color w:val="auto"/>
        </w:rPr>
      </w:pPr>
      <w:r>
        <w:rPr>
          <w:rFonts w:ascii="Arial" w:cs="Arial" w:eastAsia="Arial" w:hAnsi="Arial"/>
          <w:sz w:val="18"/>
          <w:szCs w:val="18"/>
          <w:color w:val="auto"/>
        </w:rPr>
        <w:t>1995 until 2009. He held various other increasingly responsible legal positions at ITT Corporation in the telecommunications, defense and automotive businesses, and at the European Headquarters of ITT Europe, before becoming General Counsel.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30</w:t>
      </w:r>
    </w:p>
    <w:p>
      <w:pPr>
        <w:sectPr>
          <w:pgSz w:w="11900" w:h="16838" w:orient="portrait"/>
          <w:cols w:equalWidth="0" w:num="1">
            <w:col w:w="11420"/>
          </w:cols>
          <w:pgMar w:left="240" w:top="49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217805</wp:posOffset>
            </wp:positionV>
            <wp:extent cx="7212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of officer</w:t>
            </w:r>
          </w:p>
        </w:tc>
        <w:tc>
          <w:tcPr>
            <w:tcW w:w="1400" w:type="dxa"/>
            <w:vAlign w:val="bottom"/>
            <w:tcBorders>
              <w:bottom w:val="single" w:sz="8" w:color="auto"/>
            </w:tcBorders>
          </w:tcPr>
          <w:p>
            <w:pPr>
              <w:jc w:val="center"/>
              <w:ind w:left="474"/>
              <w:spacing w:after="0"/>
              <w:rPr>
                <w:sz w:val="20"/>
                <w:szCs w:val="20"/>
                <w:color w:val="auto"/>
              </w:rPr>
            </w:pPr>
            <w:r>
              <w:rPr>
                <w:rFonts w:ascii="Arial" w:cs="Arial" w:eastAsia="Arial" w:hAnsi="Arial"/>
                <w:sz w:val="14"/>
                <w:szCs w:val="14"/>
                <w:color w:val="auto"/>
                <w:w w:val="96"/>
              </w:rPr>
              <w:t>Age</w:t>
            </w:r>
          </w:p>
        </w:tc>
        <w:tc>
          <w:tcPr>
            <w:tcW w:w="790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28"/>
        </w:trPr>
        <w:tc>
          <w:tcPr>
            <w:tcW w:w="2120" w:type="dxa"/>
            <w:vAlign w:val="bottom"/>
          </w:tcPr>
          <w:p>
            <w:pPr>
              <w:ind w:left="40"/>
              <w:spacing w:after="0"/>
              <w:rPr>
                <w:sz w:val="20"/>
                <w:szCs w:val="20"/>
                <w:color w:val="auto"/>
              </w:rPr>
            </w:pPr>
            <w:r>
              <w:rPr>
                <w:rFonts w:ascii="Arial" w:cs="Arial" w:eastAsia="Arial" w:hAnsi="Arial"/>
                <w:sz w:val="18"/>
                <w:szCs w:val="18"/>
                <w:color w:val="auto"/>
              </w:rPr>
              <w:t>Ken Sharp*</w:t>
            </w:r>
          </w:p>
        </w:tc>
        <w:tc>
          <w:tcPr>
            <w:tcW w:w="1400" w:type="dxa"/>
            <w:vAlign w:val="bottom"/>
          </w:tcPr>
          <w:p>
            <w:pPr>
              <w:jc w:val="center"/>
              <w:ind w:left="474"/>
              <w:spacing w:after="0"/>
              <w:rPr>
                <w:sz w:val="20"/>
                <w:szCs w:val="20"/>
                <w:color w:val="auto"/>
              </w:rPr>
            </w:pPr>
            <w:r>
              <w:rPr>
                <w:rFonts w:ascii="Arial" w:cs="Arial" w:eastAsia="Arial" w:hAnsi="Arial"/>
                <w:sz w:val="18"/>
                <w:szCs w:val="18"/>
                <w:color w:val="auto"/>
                <w:w w:val="99"/>
              </w:rPr>
              <w:t>44</w:t>
            </w:r>
          </w:p>
        </w:tc>
        <w:tc>
          <w:tcPr>
            <w:tcW w:w="7900" w:type="dxa"/>
            <w:vAlign w:val="bottom"/>
          </w:tcPr>
          <w:p>
            <w:pPr>
              <w:ind w:left="280"/>
              <w:spacing w:after="0"/>
              <w:rPr>
                <w:sz w:val="20"/>
                <w:szCs w:val="20"/>
                <w:color w:val="auto"/>
              </w:rPr>
            </w:pPr>
            <w:r>
              <w:rPr>
                <w:rFonts w:ascii="Arial" w:cs="Arial" w:eastAsia="Arial" w:hAnsi="Arial"/>
                <w:sz w:val="18"/>
                <w:szCs w:val="18"/>
                <w:color w:val="auto"/>
              </w:rPr>
              <w:t>Senior Vice President, Chief Accounting Officer and Corporate Controller since 2013. Prior to</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joining Leidos, Mr. Sharp was with with Computer Sciences Corporation, most recently as Vice</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President Finance and Administration and Chief Financial Officer of its largest business unit.</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Prior to that, he served as a senior manager at Ernst &amp; Young LLP. Mr. Sharp served in the</w:t>
            </w:r>
          </w:p>
        </w:tc>
      </w:tr>
      <w:tr>
        <w:trPr>
          <w:trHeight w:val="217"/>
        </w:trPr>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United States Marine Corps. In addition, Mr. Sharp is a Certified Public Accountant.</w:t>
            </w:r>
          </w:p>
        </w:tc>
      </w:tr>
      <w:tr>
        <w:trPr>
          <w:trHeight w:val="242"/>
        </w:trPr>
        <w:tc>
          <w:tcPr>
            <w:tcW w:w="2120" w:type="dxa"/>
            <w:vAlign w:val="bottom"/>
          </w:tcPr>
          <w:p>
            <w:pPr>
              <w:ind w:left="40"/>
              <w:spacing w:after="0"/>
              <w:rPr>
                <w:sz w:val="20"/>
                <w:szCs w:val="20"/>
                <w:color w:val="auto"/>
              </w:rPr>
            </w:pPr>
            <w:r>
              <w:rPr>
                <w:rFonts w:ascii="Arial" w:cs="Arial" w:eastAsia="Arial" w:hAnsi="Arial"/>
                <w:sz w:val="18"/>
                <w:szCs w:val="18"/>
                <w:color w:val="auto"/>
              </w:rPr>
              <w:t>Mark W. Sopp*</w:t>
            </w:r>
          </w:p>
        </w:tc>
        <w:tc>
          <w:tcPr>
            <w:tcW w:w="1400" w:type="dxa"/>
            <w:vAlign w:val="bottom"/>
          </w:tcPr>
          <w:p>
            <w:pPr>
              <w:jc w:val="center"/>
              <w:ind w:left="474"/>
              <w:spacing w:after="0"/>
              <w:rPr>
                <w:sz w:val="20"/>
                <w:szCs w:val="20"/>
                <w:color w:val="auto"/>
              </w:rPr>
            </w:pPr>
            <w:r>
              <w:rPr>
                <w:rFonts w:ascii="Arial" w:cs="Arial" w:eastAsia="Arial" w:hAnsi="Arial"/>
                <w:sz w:val="18"/>
                <w:szCs w:val="18"/>
                <w:color w:val="auto"/>
                <w:w w:val="99"/>
              </w:rPr>
              <w:t>49</w:t>
            </w:r>
          </w:p>
        </w:tc>
        <w:tc>
          <w:tcPr>
            <w:tcW w:w="7900" w:type="dxa"/>
            <w:vAlign w:val="bottom"/>
          </w:tcPr>
          <w:p>
            <w:pPr>
              <w:ind w:left="280"/>
              <w:spacing w:after="0"/>
              <w:rPr>
                <w:sz w:val="20"/>
                <w:szCs w:val="20"/>
                <w:color w:val="auto"/>
              </w:rPr>
            </w:pPr>
            <w:r>
              <w:rPr>
                <w:rFonts w:ascii="Arial" w:cs="Arial" w:eastAsia="Arial" w:hAnsi="Arial"/>
                <w:sz w:val="18"/>
                <w:szCs w:val="18"/>
                <w:color w:val="auto"/>
              </w:rPr>
              <w:t>Executive Vice President and Chief Financial Officer since 2005. Prior to joining Leidos,</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Mr. Sopp served as Senior Vice President, Chief Financial Officer and Treasurer of Titan</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Corporation, a defense and intelligence contractor, from April 2001 to July 2005 and Vice</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President and Chief Financial Officer of Titan Systems Corporation, a subsidiary of Titan</w:t>
            </w:r>
          </w:p>
        </w:tc>
      </w:tr>
      <w:tr>
        <w:trPr>
          <w:trHeight w:val="217"/>
        </w:trPr>
        <w:tc>
          <w:tcPr>
            <w:tcW w:w="2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280"/>
              <w:spacing w:after="0"/>
              <w:rPr>
                <w:sz w:val="20"/>
                <w:szCs w:val="20"/>
                <w:color w:val="auto"/>
              </w:rPr>
            </w:pPr>
            <w:r>
              <w:rPr>
                <w:rFonts w:ascii="Arial" w:cs="Arial" w:eastAsia="Arial" w:hAnsi="Arial"/>
                <w:sz w:val="18"/>
                <w:szCs w:val="18"/>
                <w:color w:val="auto"/>
              </w:rPr>
              <w:t>Corporation, from 1998 to 2001.</w:t>
            </w:r>
          </w:p>
        </w:tc>
      </w:tr>
      <w:tr>
        <w:trPr>
          <w:trHeight w:val="242"/>
        </w:trPr>
        <w:tc>
          <w:tcPr>
            <w:tcW w:w="2120" w:type="dxa"/>
            <w:vAlign w:val="bottom"/>
          </w:tcPr>
          <w:p>
            <w:pPr>
              <w:ind w:left="40"/>
              <w:spacing w:after="0"/>
              <w:rPr>
                <w:sz w:val="20"/>
                <w:szCs w:val="20"/>
                <w:color w:val="auto"/>
              </w:rPr>
            </w:pPr>
            <w:r>
              <w:rPr>
                <w:rFonts w:ascii="Arial" w:cs="Arial" w:eastAsia="Arial" w:hAnsi="Arial"/>
                <w:sz w:val="18"/>
                <w:szCs w:val="18"/>
                <w:color w:val="auto"/>
              </w:rPr>
              <w:t>Lou Von Thaer*</w:t>
            </w:r>
          </w:p>
        </w:tc>
        <w:tc>
          <w:tcPr>
            <w:tcW w:w="1400" w:type="dxa"/>
            <w:vAlign w:val="bottom"/>
          </w:tcPr>
          <w:p>
            <w:pPr>
              <w:jc w:val="center"/>
              <w:ind w:left="474"/>
              <w:spacing w:after="0"/>
              <w:rPr>
                <w:sz w:val="20"/>
                <w:szCs w:val="20"/>
                <w:color w:val="auto"/>
              </w:rPr>
            </w:pPr>
            <w:r>
              <w:rPr>
                <w:rFonts w:ascii="Arial" w:cs="Arial" w:eastAsia="Arial" w:hAnsi="Arial"/>
                <w:sz w:val="18"/>
                <w:szCs w:val="18"/>
                <w:color w:val="auto"/>
                <w:w w:val="99"/>
              </w:rPr>
              <w:t>54</w:t>
            </w:r>
          </w:p>
        </w:tc>
        <w:tc>
          <w:tcPr>
            <w:tcW w:w="7900" w:type="dxa"/>
            <w:vAlign w:val="bottom"/>
          </w:tcPr>
          <w:p>
            <w:pPr>
              <w:ind w:left="280"/>
              <w:spacing w:after="0"/>
              <w:rPr>
                <w:sz w:val="20"/>
                <w:szCs w:val="20"/>
                <w:color w:val="auto"/>
              </w:rPr>
            </w:pPr>
            <w:r>
              <w:rPr>
                <w:rFonts w:ascii="Arial" w:cs="Arial" w:eastAsia="Arial" w:hAnsi="Arial"/>
                <w:sz w:val="18"/>
                <w:szCs w:val="18"/>
                <w:color w:val="auto"/>
              </w:rPr>
              <w:t>President, National Security Solutions since 2013. Prior to joining Leidos, Mr. Von Thaer was</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President of General Dynamics Advanced Information Systems, and Corporate Vice President</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of General Dynamics. He also previously served as Senior Vice President of Operations for</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General Dynamics Advanced Information Systems, and Senior Vice President for Advanced</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Technology Systems, a division of Lucent Technologies. Mr. Von Thaer is a Member of IEEE</w:t>
            </w:r>
          </w:p>
        </w:tc>
      </w:tr>
      <w:tr>
        <w:trPr>
          <w:trHeight w:val="203"/>
        </w:trPr>
        <w:tc>
          <w:tcPr>
            <w:tcW w:w="2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00" w:type="dxa"/>
            <w:vAlign w:val="bottom"/>
          </w:tcPr>
          <w:p>
            <w:pPr>
              <w:ind w:left="280"/>
              <w:spacing w:after="0" w:line="202" w:lineRule="exact"/>
              <w:rPr>
                <w:sz w:val="20"/>
                <w:szCs w:val="20"/>
                <w:color w:val="auto"/>
              </w:rPr>
            </w:pPr>
            <w:r>
              <w:rPr>
                <w:rFonts w:ascii="Arial" w:cs="Arial" w:eastAsia="Arial" w:hAnsi="Arial"/>
                <w:sz w:val="18"/>
                <w:szCs w:val="18"/>
                <w:color w:val="auto"/>
              </w:rPr>
              <w:t>and the Optical Society of America, and has previously held advisory or board positions for the</w:t>
            </w:r>
          </w:p>
        </w:tc>
      </w:tr>
    </w:tbl>
    <w:p>
      <w:pPr>
        <w:ind w:left="3800" w:right="200"/>
        <w:spacing w:after="0" w:line="245" w:lineRule="auto"/>
        <w:rPr>
          <w:sz w:val="20"/>
          <w:szCs w:val="20"/>
          <w:color w:val="auto"/>
        </w:rPr>
      </w:pPr>
      <w:r>
        <w:rPr>
          <w:rFonts w:ascii="Arial" w:cs="Arial" w:eastAsia="Arial" w:hAnsi="Arial"/>
          <w:sz w:val="18"/>
          <w:szCs w:val="18"/>
          <w:color w:val="auto"/>
        </w:rPr>
        <w:t>International Engineering Consortium, International Council on Systems Engineering, and the Intelligence and National Security Alliance (INSA).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Indicates an executive officer</w:t>
      </w:r>
    </w:p>
    <w:p>
      <w:pPr>
        <w:spacing w:after="0" w:line="17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Pursuant to General Instruction G(3) of General Instructions to Form 10-K, the list above is included as an unnumbered Item in Part I of this Annual Report on Form 10-K in lieu of being incorporated by reference from the definitive Proxy Statement to be used in connection with the solicitation of proxies for Leidos’ 2015 Annual Meeting of Stockholders ("2015 Proxy Statement").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31</w:t>
      </w:r>
    </w:p>
    <w:p>
      <w:pPr>
        <w:sectPr>
          <w:pgSz w:w="11900" w:h="16838" w:orient="portrait"/>
          <w:cols w:equalWidth="0" w:num="1">
            <w:col w:w="11420"/>
          </w:cols>
          <w:pgMar w:left="240" w:top="49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Leidos’ common stock is listed on the New York Stock Exchange ("NYSE") under the ticker symbol “LDOS.” Leidos, Inc. is a wholly-owned subsidiary of Leidos and there is no public trading market for common stock of Leidos, Inc. The range of high and low sales prices at closing of Leidos' common stock on the NYSE for each fiscal quarter during the last two fiscal years are presented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Stock Prices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Fiscal 2015</w:t>
            </w:r>
          </w:p>
        </w:tc>
        <w:tc>
          <w:tcPr>
            <w:tcW w:w="720" w:type="dxa"/>
            <w:vAlign w:val="bottom"/>
            <w:tcBorders>
              <w:bottom w:val="single" w:sz="8" w:color="auto"/>
            </w:tcBorders>
          </w:tcPr>
          <w:p>
            <w:pPr>
              <w:spacing w:after="0"/>
              <w:rPr>
                <w:sz w:val="15"/>
                <w:szCs w:val="15"/>
                <w:color w:val="auto"/>
              </w:rPr>
            </w:pPr>
          </w:p>
        </w:tc>
      </w:tr>
      <w:tr>
        <w:trPr>
          <w:trHeight w:val="26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Fiscal Quarter</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High</w:t>
            </w: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Low</w:t>
            </w:r>
          </w:p>
        </w:tc>
      </w:tr>
      <w:tr>
        <w:trPr>
          <w:trHeight w:val="256"/>
        </w:trPr>
        <w:tc>
          <w:tcPr>
            <w:tcW w:w="6940" w:type="dxa"/>
            <w:vAlign w:val="bottom"/>
          </w:tcPr>
          <w:p>
            <w:pPr>
              <w:ind w:left="20"/>
              <w:spacing w:after="0"/>
              <w:rPr>
                <w:sz w:val="20"/>
                <w:szCs w:val="20"/>
                <w:color w:val="auto"/>
              </w:rPr>
            </w:pPr>
            <w:r>
              <w:rPr>
                <w:rFonts w:ascii="Arial" w:cs="Arial" w:eastAsia="Arial" w:hAnsi="Arial"/>
                <w:sz w:val="18"/>
                <w:szCs w:val="18"/>
                <w:color w:val="auto"/>
              </w:rPr>
              <w:t>1st quarter (February 1, 2014 to May 2,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46.07</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34.64</w:t>
            </w:r>
          </w:p>
        </w:tc>
      </w:tr>
      <w:tr>
        <w:trPr>
          <w:trHeight w:val="270"/>
        </w:trPr>
        <w:tc>
          <w:tcPr>
            <w:tcW w:w="6940" w:type="dxa"/>
            <w:vAlign w:val="bottom"/>
          </w:tcPr>
          <w:p>
            <w:pPr>
              <w:ind w:left="20"/>
              <w:spacing w:after="0"/>
              <w:rPr>
                <w:sz w:val="20"/>
                <w:szCs w:val="20"/>
                <w:color w:val="auto"/>
              </w:rPr>
            </w:pPr>
            <w:r>
              <w:rPr>
                <w:rFonts w:ascii="Arial" w:cs="Arial" w:eastAsia="Arial" w:hAnsi="Arial"/>
                <w:sz w:val="18"/>
                <w:szCs w:val="18"/>
                <w:color w:val="auto"/>
              </w:rPr>
              <w:t>2nd quarter (May 3, 2014 to August 1,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40.72</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36.66</w:t>
            </w:r>
          </w:p>
        </w:tc>
      </w:tr>
      <w:tr>
        <w:trPr>
          <w:trHeight w:val="270"/>
        </w:trPr>
        <w:tc>
          <w:tcPr>
            <w:tcW w:w="6940" w:type="dxa"/>
            <w:vAlign w:val="bottom"/>
          </w:tcPr>
          <w:p>
            <w:pPr>
              <w:ind w:left="20"/>
              <w:spacing w:after="0"/>
              <w:rPr>
                <w:sz w:val="20"/>
                <w:szCs w:val="20"/>
                <w:color w:val="auto"/>
              </w:rPr>
            </w:pPr>
            <w:r>
              <w:rPr>
                <w:rFonts w:ascii="Arial" w:cs="Arial" w:eastAsia="Arial" w:hAnsi="Arial"/>
                <w:sz w:val="18"/>
                <w:szCs w:val="18"/>
                <w:color w:val="auto"/>
              </w:rPr>
              <w:t>3rd quarter (August 2, 2014 to October 31, 2014)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38.20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33.21</w:t>
            </w:r>
          </w:p>
        </w:tc>
      </w:tr>
      <w:tr>
        <w:trPr>
          <w:trHeight w:val="270"/>
        </w:trPr>
        <w:tc>
          <w:tcPr>
            <w:tcW w:w="6940" w:type="dxa"/>
            <w:vAlign w:val="bottom"/>
          </w:tcPr>
          <w:p>
            <w:pPr>
              <w:ind w:left="20"/>
              <w:spacing w:after="0"/>
              <w:rPr>
                <w:sz w:val="20"/>
                <w:szCs w:val="20"/>
                <w:color w:val="auto"/>
              </w:rPr>
            </w:pPr>
            <w:r>
              <w:rPr>
                <w:rFonts w:ascii="Arial" w:cs="Arial" w:eastAsia="Arial" w:hAnsi="Arial"/>
                <w:sz w:val="18"/>
                <w:szCs w:val="18"/>
                <w:color w:val="auto"/>
              </w:rPr>
              <w:t>4th quarter (November 1, 2014 to January 30, 2015)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44.41</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36.64</w:t>
            </w:r>
          </w:p>
        </w:tc>
      </w:tr>
    </w:tbl>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September 27, 2013, Leidos effectuated a one-for-four reverse stock split of its shares of common stock, so that every four shares of Leidos common stock issued and outstanding were combined and converted into one share of Leidos common stock. The range of high and low sales prices at closing of Leidos' common stock on the NYSE for the first, second and a portion of the third fiscal quarter on and before September 27, 2013 presented below were adjusted to reflect the reverse stock split. In addition, the prices on and before September 27, 2013 include the value of our technical services and enterprise information technology services business, which was spun off on that date. The prices after that date reflect only the business of Leidos Holdings, Inc. after the spin off.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Fiscal 2014</w:t>
            </w:r>
          </w:p>
        </w:tc>
        <w:tc>
          <w:tcPr>
            <w:tcW w:w="940" w:type="dxa"/>
            <w:vAlign w:val="bottom"/>
            <w:tcBorders>
              <w:bottom w:val="single" w:sz="8" w:color="auto"/>
            </w:tcBorders>
          </w:tcPr>
          <w:p>
            <w:pPr>
              <w:spacing w:after="0"/>
              <w:rPr>
                <w:sz w:val="15"/>
                <w:szCs w:val="15"/>
                <w:color w:val="auto"/>
              </w:rPr>
            </w:pPr>
          </w:p>
        </w:tc>
      </w:tr>
      <w:tr>
        <w:trPr>
          <w:trHeight w:val="210"/>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Fiscal Quarter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High</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Low</w:t>
            </w:r>
          </w:p>
        </w:tc>
      </w:tr>
      <w:tr>
        <w:trPr>
          <w:trHeight w:val="256"/>
        </w:trPr>
        <w:tc>
          <w:tcPr>
            <w:tcW w:w="8560" w:type="dxa"/>
            <w:vAlign w:val="bottom"/>
          </w:tcPr>
          <w:p>
            <w:pPr>
              <w:ind w:left="40"/>
              <w:spacing w:after="0"/>
              <w:rPr>
                <w:sz w:val="20"/>
                <w:szCs w:val="20"/>
                <w:color w:val="auto"/>
              </w:rPr>
            </w:pPr>
            <w:r>
              <w:rPr>
                <w:rFonts w:ascii="Arial" w:cs="Arial" w:eastAsia="Arial" w:hAnsi="Arial"/>
                <w:sz w:val="18"/>
                <w:szCs w:val="18"/>
                <w:color w:val="auto"/>
              </w:rPr>
              <w:t>(Pre-spin Prices)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8560" w:type="dxa"/>
            <w:vAlign w:val="bottom"/>
          </w:tcPr>
          <w:p>
            <w:pPr>
              <w:ind w:left="40"/>
              <w:spacing w:after="0"/>
              <w:rPr>
                <w:sz w:val="20"/>
                <w:szCs w:val="20"/>
                <w:color w:val="auto"/>
              </w:rPr>
            </w:pPr>
            <w:r>
              <w:rPr>
                <w:rFonts w:ascii="Arial" w:cs="Arial" w:eastAsia="Arial" w:hAnsi="Arial"/>
                <w:sz w:val="18"/>
                <w:szCs w:val="18"/>
                <w:color w:val="auto"/>
              </w:rPr>
              <w:t>1st quarter (February 1, 2013 to May 3, 2013)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59.76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45.28</w:t>
            </w:r>
          </w:p>
        </w:tc>
      </w:tr>
      <w:tr>
        <w:trPr>
          <w:trHeight w:val="270"/>
        </w:trPr>
        <w:tc>
          <w:tcPr>
            <w:tcW w:w="8560" w:type="dxa"/>
            <w:vAlign w:val="bottom"/>
          </w:tcPr>
          <w:p>
            <w:pPr>
              <w:ind w:left="40"/>
              <w:spacing w:after="0"/>
              <w:rPr>
                <w:sz w:val="20"/>
                <w:szCs w:val="20"/>
                <w:color w:val="auto"/>
              </w:rPr>
            </w:pPr>
            <w:r>
              <w:rPr>
                <w:rFonts w:ascii="Arial" w:cs="Arial" w:eastAsia="Arial" w:hAnsi="Arial"/>
                <w:sz w:val="18"/>
                <w:szCs w:val="18"/>
                <w:color w:val="auto"/>
              </w:rPr>
              <w:t>2nd quarter (May 4, 2013 to August 2, 2013)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62.60</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51.68</w:t>
            </w:r>
          </w:p>
        </w:tc>
      </w:tr>
      <w:tr>
        <w:trPr>
          <w:trHeight w:val="291"/>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3rd quarter (August 3, 2013 to September 27, 2013)</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64.12</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57.32</w:t>
            </w:r>
          </w:p>
        </w:tc>
      </w:tr>
      <w:tr>
        <w:trPr>
          <w:trHeight w:val="257"/>
        </w:trPr>
        <w:tc>
          <w:tcPr>
            <w:tcW w:w="8560" w:type="dxa"/>
            <w:vAlign w:val="bottom"/>
          </w:tcPr>
          <w:p>
            <w:pPr>
              <w:ind w:left="40"/>
              <w:spacing w:after="0"/>
              <w:rPr>
                <w:sz w:val="20"/>
                <w:szCs w:val="20"/>
                <w:color w:val="auto"/>
              </w:rPr>
            </w:pPr>
            <w:r>
              <w:rPr>
                <w:rFonts w:ascii="Arial" w:cs="Arial" w:eastAsia="Arial" w:hAnsi="Arial"/>
                <w:sz w:val="18"/>
                <w:szCs w:val="18"/>
                <w:color w:val="auto"/>
              </w:rPr>
              <w:t>(Post-spin Prices)</w:t>
            </w: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8560" w:type="dxa"/>
            <w:vAlign w:val="bottom"/>
          </w:tcPr>
          <w:p>
            <w:pPr>
              <w:ind w:left="40"/>
              <w:spacing w:after="0"/>
              <w:rPr>
                <w:sz w:val="20"/>
                <w:szCs w:val="20"/>
                <w:color w:val="auto"/>
              </w:rPr>
            </w:pPr>
            <w:r>
              <w:rPr>
                <w:rFonts w:ascii="Arial" w:cs="Arial" w:eastAsia="Arial" w:hAnsi="Arial"/>
                <w:sz w:val="18"/>
                <w:szCs w:val="18"/>
                <w:color w:val="auto"/>
              </w:rPr>
              <w:t>3rd quarter (September 28, 2013 to November 1, 2013)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47.51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45.30</w:t>
            </w:r>
          </w:p>
        </w:tc>
      </w:tr>
      <w:tr>
        <w:trPr>
          <w:trHeight w:val="270"/>
        </w:trPr>
        <w:tc>
          <w:tcPr>
            <w:tcW w:w="8560" w:type="dxa"/>
            <w:vAlign w:val="bottom"/>
          </w:tcPr>
          <w:p>
            <w:pPr>
              <w:ind w:left="40"/>
              <w:spacing w:after="0"/>
              <w:rPr>
                <w:sz w:val="20"/>
                <w:szCs w:val="20"/>
                <w:color w:val="auto"/>
              </w:rPr>
            </w:pPr>
            <w:r>
              <w:rPr>
                <w:rFonts w:ascii="Arial" w:cs="Arial" w:eastAsia="Arial" w:hAnsi="Arial"/>
                <w:sz w:val="18"/>
                <w:szCs w:val="18"/>
                <w:color w:val="auto"/>
              </w:rPr>
              <w:t>4th quarter (November 2, 2013 to January 31, 2014)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49.02</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40.60</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As of March 16, 2015, there were approximately 25,554 holders of record of Leidos common stock. The number of stockholders of record of Leidos common stock is not representative of the number of beneficial owners due to the fact that many shares are held by depositories, brokers, or nominees. Leidos is the holder of record of all Leidos, Inc.'s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fiscal 2014, Leidos declared and paid a special dividend of $4.00 per share of Leidos common stock and during fiscal 2015 and 2014 paid quarterly dividends totaling $1.28 and $1.60 per share of Leidos common stock, respectively. Leidos currently intends to continue paying dividends on a quarterly basis, although the declaration of any future dividends will be determined by Leidos’ board of directors and will depend on available cash, estimated cash needs, earnings, financial condition, operating results, capital requirements, as well as limitations in our contractual agreements, applicable law, regulatory constraints, industry practice and other business considerations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32</w:t>
      </w:r>
    </w:p>
    <w:p>
      <w:pPr>
        <w:sectPr>
          <w:pgSz w:w="11900" w:h="16838" w:orient="portrait"/>
          <w:cols w:equalWidth="0" w:num="1">
            <w:col w:w="11420"/>
          </w:cols>
          <w:pgMar w:left="240" w:top="49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that our board of directors considers relevant. Our ability to declare and pay future dividends on Leidos stock may be restricted by the provisions of Delaware law and covenants in our then-existing indebtedness arrangements.</w:t>
      </w:r>
    </w:p>
    <w:p>
      <w:pPr>
        <w:spacing w:after="0" w:line="14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Leidos, Inc. has not declared or paid cash dividends to Leidos Holdings, Inc. Leidos, Inc. may declare and pay cash dividends to Leidos Holdings, Inc. from time to time, but there is no present intention to do so.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fiscal 2015, we have chosen to use the Standard &amp; Poor's MidCap 400 index to replace the Standard &amp; Poor's 500 index. The market cap composition of the Standard &amp; Poor's MidCap 400 index more closely aligns with Leidos' market cap, as compared to the Standard &amp; Poor's 500 index, while similarly providing a broad market representation of industries. The graph below provides a comparison of the total cumulative five-year return for the newly selected index as well as the index used previously.</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following graph compares the total cumulative five-year return on Leidos common stock through our fiscal year ended January 30, 2015 to three indices: (i) the Standard &amp; Poor’s MidCap 400 index, (ii) the Standard &amp; Poor’s 500 index and (iii) the Standard &amp; Poor’s North American Technology Services index. The graph assumes an initial investment of $100 on February 1, 2010 and that dividends, if any, have been reinvested. On September 27, 2013, we completed the spin-off of New SAIC. Our stockholders received one share of New SAIC common stock for every seven shares of our common stock held on the record date (September 19, 2013). The effect of the spin-off is reflected in the cumulative total return as a reinvested dividend. The comparisons in the graph are required by the SEC, based upon historical data and are not intended to forecast or be indicative of possible future performance of Leidos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231130" cy="381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31130"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33</w:t>
      </w:r>
    </w:p>
    <w:p>
      <w:pPr>
        <w:sectPr>
          <w:pgSz w:w="11900" w:h="16838" w:orient="portrait"/>
          <w:cols w:equalWidth="0" w:num="1">
            <w:col w:w="11420"/>
          </w:cols>
          <w:pgMar w:left="240" w:top="49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2013, our board of directors authorized a stock repurchase program ("2013 Stock Repurchase Program") under which we may repurchase up to 20 million shares of Leidos common stock. This share repurchase authorization replaces the March 2012 share repurchase authorization of 10 million shares. Stock repurchases may be made on the open market or in privately negotiated transactions with third parties.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repurchases of Leidos' common stock during the quarter ended January 30,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Total Number of</w:t>
            </w:r>
          </w:p>
        </w:tc>
        <w:tc>
          <w:tcPr>
            <w:tcW w:w="20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Shares (or</w:t>
            </w:r>
          </w:p>
        </w:tc>
        <w:tc>
          <w:tcPr>
            <w:tcW w:w="2040" w:type="dxa"/>
            <w:vAlign w:val="bottom"/>
          </w:tcPr>
          <w:p>
            <w:pPr>
              <w:jc w:val="center"/>
              <w:ind w:left="42"/>
              <w:spacing w:after="0"/>
              <w:rPr>
                <w:sz w:val="20"/>
                <w:szCs w:val="20"/>
                <w:color w:val="auto"/>
              </w:rPr>
            </w:pPr>
            <w:r>
              <w:rPr>
                <w:rFonts w:ascii="Arial" w:cs="Arial" w:eastAsia="Arial" w:hAnsi="Arial"/>
                <w:sz w:val="14"/>
                <w:szCs w:val="14"/>
                <w:color w:val="auto"/>
              </w:rPr>
              <w:t>Maximum Number (or</w:t>
            </w:r>
          </w:p>
        </w:tc>
      </w:tr>
      <w:tr>
        <w:trPr>
          <w:trHeight w:val="162"/>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Units) Purchased as</w:t>
            </w:r>
          </w:p>
        </w:tc>
        <w:tc>
          <w:tcPr>
            <w:tcW w:w="2040" w:type="dxa"/>
            <w:vAlign w:val="bottom"/>
          </w:tcPr>
          <w:p>
            <w:pPr>
              <w:jc w:val="center"/>
              <w:ind w:left="22"/>
              <w:spacing w:after="0"/>
              <w:rPr>
                <w:sz w:val="20"/>
                <w:szCs w:val="20"/>
                <w:color w:val="auto"/>
              </w:rPr>
            </w:pPr>
            <w:r>
              <w:rPr>
                <w:rFonts w:ascii="Arial" w:cs="Arial" w:eastAsia="Arial" w:hAnsi="Arial"/>
                <w:sz w:val="14"/>
                <w:szCs w:val="14"/>
                <w:color w:val="auto"/>
              </w:rPr>
              <w:t>Approximate Dollar Value) of</w:t>
            </w:r>
          </w:p>
        </w:tc>
      </w:tr>
      <w:tr>
        <w:trPr>
          <w:trHeight w:val="162"/>
        </w:trPr>
        <w:tc>
          <w:tcPr>
            <w:tcW w:w="4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rPr>
              <w:t>Part of Publicly</w:t>
            </w:r>
          </w:p>
        </w:tc>
        <w:tc>
          <w:tcPr>
            <w:tcW w:w="2040" w:type="dxa"/>
            <w:vAlign w:val="bottom"/>
          </w:tcPr>
          <w:p>
            <w:pPr>
              <w:jc w:val="center"/>
              <w:ind w:left="22"/>
              <w:spacing w:after="0"/>
              <w:rPr>
                <w:sz w:val="20"/>
                <w:szCs w:val="20"/>
                <w:color w:val="auto"/>
              </w:rPr>
            </w:pPr>
            <w:r>
              <w:rPr>
                <w:rFonts w:ascii="Arial" w:cs="Arial" w:eastAsia="Arial" w:hAnsi="Arial"/>
                <w:sz w:val="14"/>
                <w:szCs w:val="14"/>
                <w:color w:val="auto"/>
              </w:rPr>
              <w:t>Shares</w:t>
            </w:r>
          </w:p>
        </w:tc>
      </w:tr>
      <w:tr>
        <w:trPr>
          <w:trHeight w:val="162"/>
        </w:trPr>
        <w:tc>
          <w:tcPr>
            <w:tcW w:w="42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Total Number</w:t>
            </w:r>
          </w:p>
        </w:tc>
        <w:tc>
          <w:tcPr>
            <w:tcW w:w="30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color w:val="auto"/>
              </w:rPr>
              <w:t>Average Price</w:t>
            </w:r>
          </w:p>
        </w:tc>
        <w:tc>
          <w:tcPr>
            <w:tcW w:w="1940" w:type="dxa"/>
            <w:vAlign w:val="bottom"/>
          </w:tcPr>
          <w:p>
            <w:pPr>
              <w:jc w:val="center"/>
              <w:spacing w:after="0"/>
              <w:rPr>
                <w:sz w:val="20"/>
                <w:szCs w:val="20"/>
                <w:color w:val="auto"/>
              </w:rPr>
            </w:pPr>
            <w:r>
              <w:rPr>
                <w:rFonts w:ascii="Arial" w:cs="Arial" w:eastAsia="Arial" w:hAnsi="Arial"/>
                <w:sz w:val="14"/>
                <w:szCs w:val="14"/>
                <w:color w:val="auto"/>
              </w:rPr>
              <w:t>Announced</w:t>
            </w:r>
          </w:p>
        </w:tc>
        <w:tc>
          <w:tcPr>
            <w:tcW w:w="2040" w:type="dxa"/>
            <w:vAlign w:val="bottom"/>
          </w:tcPr>
          <w:p>
            <w:pPr>
              <w:jc w:val="center"/>
              <w:ind w:left="22"/>
              <w:spacing w:after="0"/>
              <w:rPr>
                <w:sz w:val="20"/>
                <w:szCs w:val="20"/>
                <w:color w:val="auto"/>
              </w:rPr>
            </w:pPr>
            <w:r>
              <w:rPr>
                <w:rFonts w:ascii="Arial" w:cs="Arial" w:eastAsia="Arial" w:hAnsi="Arial"/>
                <w:sz w:val="14"/>
                <w:szCs w:val="14"/>
                <w:color w:val="auto"/>
              </w:rPr>
              <w:t>(or Units) that May</w:t>
            </w:r>
          </w:p>
        </w:tc>
      </w:tr>
      <w:tr>
        <w:trPr>
          <w:trHeight w:val="154"/>
        </w:trPr>
        <w:tc>
          <w:tcPr>
            <w:tcW w:w="4240" w:type="dxa"/>
            <w:vAlign w:val="bottom"/>
          </w:tcPr>
          <w:p>
            <w:pPr>
              <w:spacing w:after="0"/>
              <w:rPr>
                <w:sz w:val="13"/>
                <w:szCs w:val="13"/>
                <w:color w:val="auto"/>
              </w:rPr>
            </w:pPr>
          </w:p>
        </w:tc>
        <w:tc>
          <w:tcPr>
            <w:tcW w:w="1600" w:type="dxa"/>
            <w:vAlign w:val="bottom"/>
          </w:tcPr>
          <w:p>
            <w:pPr>
              <w:jc w:val="center"/>
              <w:spacing w:after="0" w:line="154" w:lineRule="exact"/>
              <w:rPr>
                <w:sz w:val="20"/>
                <w:szCs w:val="20"/>
                <w:color w:val="auto"/>
              </w:rPr>
            </w:pPr>
            <w:r>
              <w:rPr>
                <w:rFonts w:ascii="Arial" w:cs="Arial" w:eastAsia="Arial" w:hAnsi="Arial"/>
                <w:sz w:val="14"/>
                <w:szCs w:val="14"/>
                <w:color w:val="auto"/>
              </w:rPr>
              <w:t>of Shares (or Units)</w:t>
            </w:r>
          </w:p>
        </w:tc>
        <w:tc>
          <w:tcPr>
            <w:tcW w:w="300" w:type="dxa"/>
            <w:vAlign w:val="bottom"/>
          </w:tcPr>
          <w:p>
            <w:pPr>
              <w:spacing w:after="0"/>
              <w:rPr>
                <w:sz w:val="13"/>
                <w:szCs w:val="13"/>
                <w:color w:val="auto"/>
              </w:rPr>
            </w:pPr>
          </w:p>
        </w:tc>
        <w:tc>
          <w:tcPr>
            <w:tcW w:w="1300" w:type="dxa"/>
            <w:vAlign w:val="bottom"/>
          </w:tcPr>
          <w:p>
            <w:pPr>
              <w:jc w:val="center"/>
              <w:ind w:right="178"/>
              <w:spacing w:after="0" w:line="154" w:lineRule="exact"/>
              <w:rPr>
                <w:sz w:val="20"/>
                <w:szCs w:val="20"/>
                <w:color w:val="auto"/>
              </w:rPr>
            </w:pPr>
            <w:r>
              <w:rPr>
                <w:rFonts w:ascii="Arial" w:cs="Arial" w:eastAsia="Arial" w:hAnsi="Arial"/>
                <w:sz w:val="14"/>
                <w:szCs w:val="14"/>
                <w:color w:val="auto"/>
              </w:rPr>
              <w:t>Paid per Share</w:t>
            </w:r>
          </w:p>
        </w:tc>
        <w:tc>
          <w:tcPr>
            <w:tcW w:w="1940" w:type="dxa"/>
            <w:vAlign w:val="bottom"/>
          </w:tcPr>
          <w:p>
            <w:pPr>
              <w:jc w:val="center"/>
              <w:spacing w:after="0" w:line="154" w:lineRule="exact"/>
              <w:rPr>
                <w:sz w:val="20"/>
                <w:szCs w:val="20"/>
                <w:color w:val="auto"/>
              </w:rPr>
            </w:pPr>
            <w:r>
              <w:rPr>
                <w:rFonts w:ascii="Arial" w:cs="Arial" w:eastAsia="Arial" w:hAnsi="Arial"/>
                <w:sz w:val="14"/>
                <w:szCs w:val="14"/>
                <w:color w:val="auto"/>
              </w:rPr>
              <w:t>Repurchase</w:t>
            </w:r>
          </w:p>
        </w:tc>
        <w:tc>
          <w:tcPr>
            <w:tcW w:w="2040" w:type="dxa"/>
            <w:vAlign w:val="bottom"/>
          </w:tcPr>
          <w:p>
            <w:pPr>
              <w:jc w:val="center"/>
              <w:ind w:left="22"/>
              <w:spacing w:after="0" w:line="154" w:lineRule="exact"/>
              <w:rPr>
                <w:sz w:val="20"/>
                <w:szCs w:val="20"/>
                <w:color w:val="auto"/>
              </w:rPr>
            </w:pPr>
            <w:r>
              <w:rPr>
                <w:rFonts w:ascii="Arial" w:cs="Arial" w:eastAsia="Arial" w:hAnsi="Arial"/>
                <w:sz w:val="14"/>
                <w:szCs w:val="14"/>
                <w:color w:val="auto"/>
              </w:rPr>
              <w:t>Yet Be Purchased Under the</w:t>
            </w:r>
          </w:p>
        </w:tc>
      </w:t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16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color w:val="auto"/>
                <w:w w:val="98"/>
              </w:rPr>
              <w:t>Purchased</w:t>
            </w:r>
            <w:r>
              <w:rPr>
                <w:rFonts w:ascii="Arial" w:cs="Arial" w:eastAsia="Arial" w:hAnsi="Arial"/>
                <w:sz w:val="17"/>
                <w:szCs w:val="17"/>
                <w:color w:val="auto"/>
                <w:w w:val="98"/>
                <w:vertAlign w:val="superscript"/>
              </w:rPr>
              <w:t>(1)</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color w:val="auto"/>
              </w:rPr>
              <w:t>(or Unit)</w:t>
            </w:r>
          </w:p>
        </w:tc>
        <w:tc>
          <w:tcPr>
            <w:tcW w:w="194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color w:val="auto"/>
                <w:w w:val="99"/>
              </w:rPr>
              <w:t xml:space="preserve">Plans or Programs </w:t>
            </w:r>
            <w:r>
              <w:rPr>
                <w:rFonts w:ascii="Arial" w:cs="Arial" w:eastAsia="Arial" w:hAnsi="Arial"/>
                <w:sz w:val="21"/>
                <w:szCs w:val="21"/>
                <w:color w:val="auto"/>
                <w:w w:val="99"/>
                <w:vertAlign w:val="superscript"/>
              </w:rPr>
              <w:t>(2)</w:t>
            </w:r>
          </w:p>
        </w:tc>
        <w:tc>
          <w:tcPr>
            <w:tcW w:w="2040" w:type="dxa"/>
            <w:vAlign w:val="bottom"/>
            <w:tcBorders>
              <w:bottom w:val="single" w:sz="8" w:color="auto"/>
            </w:tcBorders>
          </w:tcPr>
          <w:p>
            <w:pPr>
              <w:jc w:val="center"/>
              <w:ind w:left="42"/>
              <w:spacing w:after="0" w:line="193" w:lineRule="exact"/>
              <w:rPr>
                <w:sz w:val="20"/>
                <w:szCs w:val="20"/>
                <w:color w:val="auto"/>
              </w:rPr>
            </w:pPr>
            <w:r>
              <w:rPr>
                <w:rFonts w:ascii="Arial" w:cs="Arial" w:eastAsia="Arial" w:hAnsi="Arial"/>
                <w:sz w:val="14"/>
                <w:szCs w:val="14"/>
                <w:color w:val="auto"/>
                <w:w w:val="99"/>
              </w:rPr>
              <w:t xml:space="preserve">Plans or Programs </w:t>
            </w:r>
            <w:r>
              <w:rPr>
                <w:rFonts w:ascii="Arial" w:cs="Arial" w:eastAsia="Arial" w:hAnsi="Arial"/>
                <w:sz w:val="21"/>
                <w:szCs w:val="21"/>
                <w:color w:val="auto"/>
                <w:w w:val="99"/>
                <w:vertAlign w:val="superscript"/>
              </w:rPr>
              <w:t>(2)</w:t>
            </w:r>
          </w:p>
        </w:tc>
      </w:tr>
      <w:tr>
        <w:trPr>
          <w:trHeight w:val="250"/>
        </w:trPr>
        <w:tc>
          <w:tcPr>
            <w:tcW w:w="4240" w:type="dxa"/>
            <w:vAlign w:val="bottom"/>
          </w:tcPr>
          <w:p>
            <w:pPr>
              <w:ind w:left="40"/>
              <w:spacing w:after="0"/>
              <w:rPr>
                <w:sz w:val="20"/>
                <w:szCs w:val="20"/>
                <w:color w:val="auto"/>
              </w:rPr>
            </w:pPr>
            <w:r>
              <w:rPr>
                <w:rFonts w:ascii="Arial" w:cs="Arial" w:eastAsia="Arial" w:hAnsi="Arial"/>
                <w:sz w:val="18"/>
                <w:szCs w:val="18"/>
                <w:color w:val="auto"/>
              </w:rPr>
              <w:t>November 1, 2014 – November 30, 2014</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2,012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8"/>
              <w:spacing w:after="0"/>
              <w:rPr>
                <w:sz w:val="20"/>
                <w:szCs w:val="20"/>
                <w:color w:val="auto"/>
              </w:rPr>
            </w:pPr>
            <w:r>
              <w:rPr>
                <w:rFonts w:ascii="Arial" w:cs="Arial" w:eastAsia="Arial" w:hAnsi="Arial"/>
                <w:sz w:val="18"/>
                <w:szCs w:val="18"/>
                <w:color w:val="auto"/>
              </w:rPr>
              <w:t>39.97</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2"/>
              <w:spacing w:after="0"/>
              <w:rPr>
                <w:sz w:val="20"/>
                <w:szCs w:val="20"/>
                <w:color w:val="auto"/>
              </w:rPr>
            </w:pPr>
            <w:r>
              <w:rPr>
                <w:rFonts w:ascii="Arial" w:cs="Arial" w:eastAsia="Arial" w:hAnsi="Arial"/>
                <w:sz w:val="18"/>
                <w:szCs w:val="18"/>
                <w:color w:val="auto"/>
              </w:rPr>
              <w:t>8,113,674</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December 1, 2014 – December 31, 2014</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15,566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8"/>
              <w:spacing w:after="0"/>
              <w:rPr>
                <w:sz w:val="20"/>
                <w:szCs w:val="20"/>
                <w:color w:val="auto"/>
              </w:rPr>
            </w:pPr>
            <w:r>
              <w:rPr>
                <w:rFonts w:ascii="Arial" w:cs="Arial" w:eastAsia="Arial" w:hAnsi="Arial"/>
                <w:sz w:val="18"/>
                <w:szCs w:val="18"/>
                <w:color w:val="auto"/>
              </w:rPr>
              <w:t>37.18</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2"/>
              <w:spacing w:after="0"/>
              <w:rPr>
                <w:sz w:val="20"/>
                <w:szCs w:val="20"/>
                <w:color w:val="auto"/>
              </w:rPr>
            </w:pPr>
            <w:r>
              <w:rPr>
                <w:rFonts w:ascii="Arial" w:cs="Arial" w:eastAsia="Arial" w:hAnsi="Arial"/>
                <w:sz w:val="18"/>
                <w:szCs w:val="18"/>
                <w:color w:val="auto"/>
              </w:rPr>
              <w:t>8,113,674</w:t>
            </w:r>
          </w:p>
        </w:tc>
      </w:tr>
      <w:tr>
        <w:trPr>
          <w:trHeight w:val="277"/>
        </w:trPr>
        <w:tc>
          <w:tcPr>
            <w:tcW w:w="4240" w:type="dxa"/>
            <w:vAlign w:val="bottom"/>
          </w:tcPr>
          <w:p>
            <w:pPr>
              <w:ind w:left="40"/>
              <w:spacing w:after="0"/>
              <w:rPr>
                <w:sz w:val="20"/>
                <w:szCs w:val="20"/>
                <w:color w:val="auto"/>
              </w:rPr>
            </w:pPr>
            <w:r>
              <w:rPr>
                <w:rFonts w:ascii="Arial" w:cs="Arial" w:eastAsia="Arial" w:hAnsi="Arial"/>
                <w:sz w:val="18"/>
                <w:szCs w:val="18"/>
                <w:color w:val="auto"/>
              </w:rPr>
              <w:t>January 1, 2015 – January 30, 2015</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397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8"/>
              <w:spacing w:after="0"/>
              <w:rPr>
                <w:sz w:val="20"/>
                <w:szCs w:val="20"/>
                <w:color w:val="auto"/>
              </w:rPr>
            </w:pPr>
            <w:r>
              <w:rPr>
                <w:rFonts w:ascii="Arial" w:cs="Arial" w:eastAsia="Arial" w:hAnsi="Arial"/>
                <w:sz w:val="18"/>
                <w:szCs w:val="18"/>
                <w:color w:val="auto"/>
              </w:rPr>
              <w:t>43.01</w:t>
            </w:r>
          </w:p>
        </w:tc>
        <w:tc>
          <w:tcPr>
            <w:tcW w:w="19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22"/>
              <w:spacing w:after="0"/>
              <w:rPr>
                <w:sz w:val="20"/>
                <w:szCs w:val="20"/>
                <w:color w:val="auto"/>
              </w:rPr>
            </w:pPr>
            <w:r>
              <w:rPr>
                <w:rFonts w:ascii="Arial" w:cs="Arial" w:eastAsia="Arial" w:hAnsi="Arial"/>
                <w:sz w:val="18"/>
                <w:szCs w:val="18"/>
                <w:color w:val="auto"/>
              </w:rPr>
              <w:t>8,113,674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17,975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8"/>
              <w:spacing w:after="0"/>
              <w:rPr>
                <w:sz w:val="20"/>
                <w:szCs w:val="20"/>
                <w:color w:val="auto"/>
              </w:rPr>
            </w:pPr>
            <w:r>
              <w:rPr>
                <w:rFonts w:ascii="Arial" w:cs="Arial" w:eastAsia="Arial" w:hAnsi="Arial"/>
                <w:sz w:val="18"/>
                <w:szCs w:val="18"/>
                <w:color w:val="auto"/>
              </w:rPr>
              <w:t>37.62</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8890</wp:posOffset>
            </wp:positionV>
            <wp:extent cx="12261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2618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8890</wp:posOffset>
            </wp:positionV>
            <wp:extent cx="10204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2" w:lineRule="exact"/>
        <w:rPr>
          <w:sz w:val="20"/>
          <w:szCs w:val="20"/>
          <w:color w:val="auto"/>
        </w:rPr>
      </w:pPr>
    </w:p>
    <w:p>
      <w:pPr>
        <w:ind w:left="340" w:right="280" w:hanging="332"/>
        <w:spacing w:after="0" w:line="24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total number of shares purchased includes: (i) shares surrendered to satisfy statutory tax withholdings obligations related to vesting of restricted stock awards; and (ii) shares surrendered in payment of the exercise price of non-qualified stock options and/or to satisfy statutory tax withholdings obligations.</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may repurchase up to 20 million shares of Leidos common stock under the 2013 Stock Repurchase Program, which was publicly announced in December 2013.</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93"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The selected financial data set forth below is derived from our consolidated financial statements for each of the fiscal years in the five-year period ended January 30, 2015. As Leidos Holdings, Inc. is a holding company and it consolidates Leidos, Inc. for financial statement purposes, the following financial data relates to both companies, except where otherwise indicated. Leidos, Inc.’s revenues and expenses comprise 100% of Leidos Holdings, Inc.'s revenues and operating expenses. In addition, Leidos, Inc. comprises approximately the entire balance of Leidos Holdings, Inc.’s assets, liabilities and operating cash flows, except for an interest-bearing note between Leidos, Inc. and Leidos Holdings, Inc.</w:t>
      </w:r>
    </w:p>
    <w:p>
      <w:pPr>
        <w:spacing w:after="0" w:line="15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in Part II and our consolidated financial statements and the combined notes thereto contained within this Annual Report on Form 10-K.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34</w:t>
      </w:r>
    </w:p>
    <w:p>
      <w:pPr>
        <w:sectPr>
          <w:pgSz w:w="11900" w:h="16838" w:orient="portrait"/>
          <w:cols w:equalWidth="0" w:num="1">
            <w:col w:w="11420"/>
          </w:cols>
          <w:pgMar w:left="240" w:top="495"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7"/>
              </w:rPr>
              <w:t>Year Ended</w:t>
            </w:r>
            <w:r>
              <w:rPr>
                <w:rFonts w:ascii="Arial" w:cs="Arial" w:eastAsia="Arial" w:hAnsi="Arial"/>
                <w:sz w:val="17"/>
                <w:szCs w:val="17"/>
                <w:color w:val="auto"/>
                <w:w w:val="97"/>
                <w:vertAlign w:val="superscript"/>
              </w:rPr>
              <w:t>(1)</w:t>
            </w: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4"/>
                <w:szCs w:val="14"/>
                <w:color w:val="auto"/>
              </w:rPr>
            </w:pPr>
          </w:p>
        </w:tc>
        <w:tc>
          <w:tcPr>
            <w:tcW w:w="1100" w:type="dxa"/>
            <w:vAlign w:val="bottom"/>
            <w:vMerge w:val="restart"/>
          </w:tcPr>
          <w:p>
            <w:pPr>
              <w:jc w:val="center"/>
              <w:ind w:right="116"/>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4"/>
                <w:szCs w:val="14"/>
                <w:color w:val="auto"/>
              </w:rPr>
            </w:pPr>
          </w:p>
        </w:tc>
        <w:tc>
          <w:tcPr>
            <w:tcW w:w="1120" w:type="dxa"/>
            <w:vAlign w:val="bottom"/>
            <w:vMerge w:val="restart"/>
          </w:tcPr>
          <w:p>
            <w:pPr>
              <w:jc w:val="right"/>
              <w:ind w:right="214"/>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4"/>
                <w:szCs w:val="14"/>
                <w:color w:val="auto"/>
              </w:rPr>
            </w:pPr>
          </w:p>
        </w:tc>
        <w:tc>
          <w:tcPr>
            <w:tcW w:w="1120" w:type="dxa"/>
            <w:vAlign w:val="bottom"/>
            <w:gridSpan w:val="2"/>
            <w:vMerge w:val="restart"/>
          </w:tcPr>
          <w:p>
            <w:pPr>
              <w:jc w:val="center"/>
              <w:ind w:right="133"/>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4"/>
                <w:szCs w:val="14"/>
                <w:color w:val="auto"/>
              </w:rPr>
            </w:pPr>
          </w:p>
        </w:tc>
        <w:tc>
          <w:tcPr>
            <w:tcW w:w="1080" w:type="dxa"/>
            <w:vAlign w:val="bottom"/>
            <w:vMerge w:val="restart"/>
          </w:tcPr>
          <w:p>
            <w:pPr>
              <w:jc w:val="center"/>
              <w:ind w:right="15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67"/>
        </w:trPr>
        <w:tc>
          <w:tcPr>
            <w:tcW w:w="4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jc w:val="center"/>
              <w:ind w:right="353"/>
              <w:spacing w:after="0" w:line="149"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7"/>
                <w:szCs w:val="17"/>
                <w:b w:val="1"/>
                <w:bCs w:val="1"/>
                <w:color w:val="auto"/>
                <w:vertAlign w:val="superscript"/>
              </w:rPr>
              <w:t>(2)</w:t>
            </w:r>
          </w:p>
        </w:tc>
        <w:tc>
          <w:tcPr>
            <w:tcW w:w="2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jc w:val="right"/>
              <w:ind w:right="356"/>
              <w:spacing w:after="0" w:line="82" w:lineRule="exact"/>
              <w:rPr>
                <w:sz w:val="20"/>
                <w:szCs w:val="20"/>
                <w:color w:val="auto"/>
              </w:rPr>
            </w:pPr>
            <w:r>
              <w:rPr>
                <w:rFonts w:ascii="Arial" w:cs="Arial" w:eastAsia="Arial" w:hAnsi="Arial"/>
                <w:sz w:val="9"/>
                <w:szCs w:val="9"/>
                <w:color w:val="auto"/>
              </w:rPr>
              <w:t>(3)</w:t>
            </w:r>
          </w:p>
        </w:tc>
        <w:tc>
          <w:tcPr>
            <w:tcW w:w="260" w:type="dxa"/>
            <w:vAlign w:val="bottom"/>
          </w:tcPr>
          <w:p>
            <w:pPr>
              <w:spacing w:after="0"/>
              <w:rPr>
                <w:sz w:val="7"/>
                <w:szCs w:val="7"/>
                <w:color w:val="auto"/>
              </w:rPr>
            </w:pPr>
          </w:p>
        </w:tc>
        <w:tc>
          <w:tcPr>
            <w:tcW w:w="1120" w:type="dxa"/>
            <w:vAlign w:val="bottom"/>
            <w:vMerge w:val="restart"/>
          </w:tcPr>
          <w:p>
            <w:pPr>
              <w:jc w:val="center"/>
              <w:ind w:right="74"/>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2012</w:t>
            </w:r>
          </w:p>
        </w:tc>
        <w:tc>
          <w:tcPr>
            <w:tcW w:w="560" w:type="dxa"/>
            <w:vAlign w:val="bottom"/>
          </w:tcPr>
          <w:p>
            <w:pPr>
              <w:jc w:val="right"/>
              <w:ind w:right="373"/>
              <w:spacing w:after="0" w:line="82" w:lineRule="exact"/>
              <w:rPr>
                <w:sz w:val="20"/>
                <w:szCs w:val="20"/>
                <w:color w:val="auto"/>
              </w:rPr>
            </w:pPr>
            <w:r>
              <w:rPr>
                <w:rFonts w:ascii="Arial" w:cs="Arial" w:eastAsia="Arial" w:hAnsi="Arial"/>
                <w:sz w:val="9"/>
                <w:szCs w:val="9"/>
                <w:color w:val="auto"/>
                <w:w w:val="72"/>
              </w:rPr>
              <w:t>(4)</w:t>
            </w:r>
          </w:p>
        </w:tc>
        <w:tc>
          <w:tcPr>
            <w:tcW w:w="260" w:type="dxa"/>
            <w:vAlign w:val="bottom"/>
          </w:tcPr>
          <w:p>
            <w:pPr>
              <w:spacing w:after="0"/>
              <w:rPr>
                <w:sz w:val="7"/>
                <w:szCs w:val="7"/>
                <w:color w:val="auto"/>
              </w:rPr>
            </w:pPr>
          </w:p>
        </w:tc>
        <w:tc>
          <w:tcPr>
            <w:tcW w:w="1080" w:type="dxa"/>
            <w:vAlign w:val="bottom"/>
            <w:vMerge w:val="restart"/>
          </w:tcPr>
          <w:p>
            <w:pPr>
              <w:jc w:val="center"/>
              <w:ind w:right="1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08"/>
        </w:trPr>
        <w:tc>
          <w:tcPr>
            <w:tcW w:w="46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jc w:val="right"/>
              <w:ind w:right="456"/>
              <w:spacing w:after="0" w:line="108" w:lineRule="exact"/>
              <w:rPr>
                <w:sz w:val="20"/>
                <w:szCs w:val="20"/>
                <w:color w:val="auto"/>
              </w:rPr>
            </w:pPr>
            <w:r>
              <w:rPr>
                <w:rFonts w:ascii="Arial" w:cs="Arial" w:eastAsia="Arial" w:hAnsi="Arial"/>
                <w:sz w:val="12"/>
                <w:szCs w:val="12"/>
                <w:color w:val="auto"/>
              </w:rPr>
              <w:t>2014</w:t>
            </w:r>
          </w:p>
        </w:tc>
        <w:tc>
          <w:tcPr>
            <w:tcW w:w="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gridSpan w:val="5"/>
          </w:tcPr>
          <w:p>
            <w:pPr>
              <w:jc w:val="center"/>
              <w:ind w:left="276"/>
              <w:spacing w:after="0"/>
              <w:rPr>
                <w:sz w:val="20"/>
                <w:szCs w:val="20"/>
                <w:color w:val="auto"/>
              </w:rPr>
            </w:pPr>
            <w:r>
              <w:rPr>
                <w:rFonts w:ascii="Arial" w:cs="Arial" w:eastAsia="Arial" w:hAnsi="Arial"/>
                <w:sz w:val="14"/>
                <w:szCs w:val="14"/>
                <w:color w:val="auto"/>
              </w:rPr>
              <w:t>(in millions, except for per share amounts)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Income Data:</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Leidos Holdings, Inc.:</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5,063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5,755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5,804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(214)</w:t>
            </w:r>
          </w:p>
        </w:tc>
        <w:tc>
          <w:tcPr>
            <w:tcW w:w="2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(330)</w:t>
            </w:r>
          </w:p>
        </w:tc>
        <w:tc>
          <w:tcPr>
            <w:tcW w:w="2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(Loss) earnings per share:</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40" w:type="dxa"/>
            <w:vAlign w:val="bottom"/>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7"/>
        </w:trPr>
        <w:tc>
          <w:tcPr>
            <w:tcW w:w="4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0.10</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0.96</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3.53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4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40" w:type="dxa"/>
            <w:vAlign w:val="bottom"/>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(2.85)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7"/>
        </w:trPr>
        <w:tc>
          <w:tcPr>
            <w:tcW w:w="4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0.10</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0.96</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3.53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0.68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dividend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1.28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Leidos, Inc.:</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4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5,063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5,755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6,449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5,804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(214)</w:t>
            </w:r>
          </w:p>
        </w:tc>
        <w:tc>
          <w:tcPr>
            <w:tcW w:w="2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(324)</w:t>
            </w:r>
          </w:p>
        </w:tc>
        <w:tc>
          <w:tcPr>
            <w:tcW w:w="2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3"/>
                <w:szCs w:val="23"/>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84"/>
        </w:trPr>
        <w:tc>
          <w:tcPr>
            <w:tcW w:w="4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4"/>
                <w:szCs w:val="14"/>
                <w:color w:val="auto"/>
              </w:rPr>
            </w:pPr>
          </w:p>
        </w:tc>
        <w:tc>
          <w:tcPr>
            <w:tcW w:w="1100" w:type="dxa"/>
            <w:vAlign w:val="bottom"/>
          </w:tcPr>
          <w:p>
            <w:pPr>
              <w:jc w:val="center"/>
              <w:ind w:right="156"/>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4"/>
                <w:szCs w:val="14"/>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4"/>
                <w:szCs w:val="14"/>
                <w:color w:val="auto"/>
              </w:rPr>
            </w:pPr>
          </w:p>
        </w:tc>
        <w:tc>
          <w:tcPr>
            <w:tcW w:w="1120" w:type="dxa"/>
            <w:vAlign w:val="bottom"/>
            <w:gridSpan w:val="2"/>
          </w:tcPr>
          <w:p>
            <w:pPr>
              <w:jc w:val="center"/>
              <w:ind w:right="173"/>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4"/>
                <w:szCs w:val="14"/>
                <w:color w:val="auto"/>
              </w:rPr>
            </w:pPr>
          </w:p>
        </w:tc>
        <w:tc>
          <w:tcPr>
            <w:tcW w:w="1080" w:type="dxa"/>
            <w:vAlign w:val="bottom"/>
          </w:tcPr>
          <w:p>
            <w:pPr>
              <w:jc w:val="center"/>
              <w:ind w:right="15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53"/>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Leidos Holdings, Inc.:</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6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3,281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4,162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5,875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6,667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42"/>
        </w:trPr>
        <w:tc>
          <w:tcPr>
            <w:tcW w:w="4640" w:type="dxa"/>
            <w:vAlign w:val="bottom"/>
          </w:tcPr>
          <w:p>
            <w:pPr>
              <w:ind w:left="40"/>
              <w:spacing w:after="0"/>
              <w:rPr>
                <w:sz w:val="20"/>
                <w:szCs w:val="20"/>
                <w:color w:val="auto"/>
              </w:rPr>
            </w:pPr>
            <w:r>
              <w:rPr>
                <w:rFonts w:ascii="Arial" w:cs="Arial" w:eastAsia="Arial" w:hAnsi="Arial"/>
                <w:sz w:val="18"/>
                <w:szCs w:val="18"/>
                <w:color w:val="auto"/>
              </w:rPr>
              <w:t>Notes payable and long-term debt, including current</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1,166</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200"/>
              <w:spacing w:after="0"/>
              <w:rPr>
                <w:sz w:val="20"/>
                <w:szCs w:val="20"/>
                <w:color w:val="auto"/>
              </w:rPr>
            </w:pPr>
            <w:r>
              <w:rPr>
                <w:rFonts w:ascii="Arial" w:cs="Arial" w:eastAsia="Arial" w:hAnsi="Arial"/>
                <w:sz w:val="18"/>
                <w:szCs w:val="18"/>
                <w:color w:val="auto"/>
              </w:rPr>
              <w:t>portion</w:t>
            </w:r>
          </w:p>
        </w:tc>
        <w:tc>
          <w:tcPr>
            <w:tcW w:w="1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1,333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1,295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1,845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b w:val="1"/>
                <w:bCs w:val="1"/>
                <w:color w:val="auto"/>
              </w:rPr>
              <w:t>168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76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References to financial data are to the Company's continuing operations, unless otherwise noted. The operating results of the spin-off of New SAIC are included in discontinued operations.</w:t>
      </w:r>
    </w:p>
    <w:p>
      <w:pPr>
        <w:ind w:left="340" w:right="28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Fiscal 2015 results include goodwill impairment charges of $486 million, intangible asset impairment charges of $41 million and a tangible asset impairment charge of $40 million. For further information see, </w:t>
      </w:r>
      <w:r>
        <w:rPr>
          <w:rFonts w:ascii="Arial" w:cs="Arial" w:eastAsia="Arial" w:hAnsi="Arial"/>
          <w:sz w:val="14"/>
          <w:szCs w:val="14"/>
          <w:i w:val="1"/>
          <w:iCs w:val="1"/>
          <w:color w:val="auto"/>
        </w:rPr>
        <w:t>Note 4 "Goodwill and Intangible assets" and Note 3 "Acquisitions"</w:t>
      </w:r>
      <w:r>
        <w:rPr>
          <w:rFonts w:ascii="Arial" w:cs="Arial" w:eastAsia="Arial" w:hAnsi="Arial"/>
          <w:sz w:val="14"/>
          <w:szCs w:val="14"/>
          <w:color w:val="auto"/>
        </w:rPr>
        <w:t xml:space="preserve"> of the combined notes to the consolidated financial statements contained within this Annual Report on Form 10-K.</w:t>
      </w:r>
    </w:p>
    <w:p>
      <w:pPr>
        <w:spacing w:after="0" w:line="1" w:lineRule="exact"/>
        <w:rPr>
          <w:rFonts w:ascii="Arial" w:cs="Arial" w:eastAsia="Arial" w:hAnsi="Arial"/>
          <w:sz w:val="14"/>
          <w:szCs w:val="14"/>
          <w:color w:val="auto"/>
        </w:rPr>
      </w:pPr>
    </w:p>
    <w:p>
      <w:pPr>
        <w:ind w:left="340" w:right="560" w:hanging="332"/>
        <w:spacing w:after="0" w:line="24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Fiscal 2014 results include charges related to intangible asset impairments ($51 million), bad debt expense ($44 million), and separation transaction and restructuring expenses ($65 million). For further information see, Item 7. </w:t>
      </w:r>
      <w:r>
        <w:rPr>
          <w:rFonts w:ascii="Arial" w:cs="Arial" w:eastAsia="Arial" w:hAnsi="Arial"/>
          <w:sz w:val="14"/>
          <w:szCs w:val="14"/>
          <w:i w:val="1"/>
          <w:iCs w:val="1"/>
          <w:color w:val="auto"/>
        </w:rPr>
        <w:t>Management’s Discussion and Analysis of Financial Condition and Results of Operations</w:t>
      </w:r>
      <w:r>
        <w:rPr>
          <w:rFonts w:ascii="Arial" w:cs="Arial" w:eastAsia="Arial" w:hAnsi="Arial"/>
          <w:sz w:val="14"/>
          <w:szCs w:val="14"/>
          <w:color w:val="auto"/>
        </w:rPr>
        <w:t>.</w:t>
      </w:r>
    </w:p>
    <w:p>
      <w:pPr>
        <w:ind w:left="340" w:right="560" w:hanging="332"/>
        <w:spacing w:after="0" w:line="25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Fiscal 2012 results include a $540 million loss provision recorded in connection with resolution of the CityTime matter described in Note 19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of the combined notes to consolidated financial statements contained within this Annual Report on Form 10-K.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35</w:t>
      </w:r>
    </w:p>
    <w:p>
      <w:pPr>
        <w:sectPr>
          <w:pgSz w:w="11900" w:h="16838" w:orient="portrait"/>
          <w:cols w:equalWidth="0" w:num="1">
            <w:col w:w="11420"/>
          </w:cols>
          <w:pgMar w:left="240" w:top="495"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combined discussion and analysis of Leidos Holdings, Inc.'s ("Leidos") and Leidos, Inc.'s financial condition and results of operations and quantitative and qualitative disclosures about market risk should be read in conjunction with our consolidated financial statements and related combined notes. As Leidos is a holding company and consolidates Leidos, Inc. for financial statement purposes, disclosures that relate to activities of Leidos, Inc. also apply to Leidos, unless otherwise noted. Leidos, Inc.'s revenues and operating expenses comprise 100% of Leidos’ revenues and operating expenses. In addition, Leidos, Inc. comprises approximately the entire balance of Leidos’ assets, liabilities and operating cash flows. Therefore, the following qualitative discussion is applicable to both Leidos and Leidos, Inc., unless otherwise noted.</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including statements regarding our intent, belief, or current expectations with respect to, among other things, trends affecting our financial condition or results of operations, backlog, our industry, government budgets and spending, the impact of competition, and the performance and carrying value of our assets. Such statements are not guarantees of future performance and involve risks and uncertainties, and actual results may differ materially from those in the forward-looking statements as a result of various factors. See “Risk Factors—Forward-Looking Statement Risks” in Part I of this Annual Report on Form 10-K. Factors that could cause or contribute to these differences include those discussed below and elsewhere in this Annual Report on Form 10-K, particularly in “Risk Factors.” Due to such uncertainties and risks, you are cautioned not to place undue reliance on such forward-looking statements, which speak only as of the date hereof. We do not undertake any obligation to update these factors or to publicly announce the results of any changes to our forward-looking statements due to future events or developments.</w:t>
      </w:r>
    </w:p>
    <w:p>
      <w:pPr>
        <w:spacing w:after="0" w:line="13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All amounts in this "Management's Discussion and Analysis of Financial Condition and Results of Operations" are presented for our continuing operations.</w:t>
      </w:r>
    </w:p>
    <w:p>
      <w:pPr>
        <w:spacing w:after="0" w:line="10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Unless indicated otherwise, references in this report to the “Company,” “we,” “us,” and “our” refer collectively to Leidos , Leidos, Inc., and its consolidated subsidiaries. Effective in fiscal 2014, we changed our fiscal year to a 52/53 week fiscal year ending on the Friday closest to January 31, with fiscal quarters typically consisting of 13 weeks. For example, we refer to the fiscal year ending January 30, 2015 as “fiscal 2015.” Unless otherwise noted, references to fiscal years are to fiscal years ended the Friday closest to January 31. For example, fiscal 2015 began on February 1, 2014 and ends on January 30,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an applied technology company delivering solutions and services that leverage expertise in the national security, health and engineering markets. We bring domain-specific capability to each of our markets, including imagery and signals intelligence, advanced sensing phenomenology, intelligence collection methods, life sciences and power grid engineering. In addition to market-specific capabilities, we have three core areas of technical expertise: data analytics, systems engineering and cybersecurity. Customer needs in our markets span these three core areas of expertise, enabling cross-market innovations for our entire customer set. We provide these solutions and services to government and commercial customers, both domestically and internationally. Leidos' technically advanced solutions have enabled us to build strong ties with our key domestic customers. These customers include agencies of the U.S. Department of Defense ("DoD"), the intelligence community, the U.S. Department of Homeland Security ("DHS"), other U.S. Government civil agencies, government agencies of U.S. allies abroad, and state and local government agencies. We operate in the following segments: National Security Solutions; Health and Engineering; and Corporate and Other.</w:t>
      </w:r>
    </w:p>
    <w:p>
      <w:pPr>
        <w:spacing w:after="0" w:line="158"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For additional information regarding our reportable segments, see “Business” in Part I and Note 18 of the combined notes to consolidated financial statements contained within this Annual Report on Form 10-K.</w:t>
      </w:r>
    </w:p>
    <w:p>
      <w:pPr>
        <w:spacing w:after="0" w:line="142"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Our National Security Solutions segment provides solutions and systems for air, land, sea, space and cyberspace for the U.S. intelligence community, the DoD, the military services, the U.S. Department of Homeland Security and government agencies of U.S. allies abroad. Our solutions deliver technology, large-scale intelligence systems,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36</w:t>
      </w:r>
    </w:p>
    <w:p>
      <w:pPr>
        <w:sectPr>
          <w:pgSz w:w="11900" w:h="16838" w:orient="portrait"/>
          <w:cols w:equalWidth="0" w:num="1">
            <w:col w:w="11380"/>
          </w:cols>
          <w:pgMar w:left="240" w:top="495" w:right="27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command and control, data analytics, cybersecurity, logistics, and intelligence analysis and operations support to critical missions around the world.</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Health business provides services and solutions to commercial hospitals and the DoD as well as conducts research and development for U.S. Government and Commercial enterprises in the life sciences field. Our healthcare business is focused on improving the overall availability and quality of data and services that ultimately improves the quality of care while lowering cost for our customers. Our Engineering business leverages technology and skills in process engineering, engineering design and systems integration to create innovative and cost effective solutions for our customers.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management initiatives include the following:</w:t>
      </w:r>
    </w:p>
    <w:p>
      <w:pPr>
        <w:spacing w:after="0" w:line="171" w:lineRule="exact"/>
        <w:rPr>
          <w:sz w:val="20"/>
          <w:szCs w:val="20"/>
          <w:color w:val="auto"/>
        </w:rPr>
      </w:pPr>
    </w:p>
    <w:p>
      <w:pPr>
        <w:ind w:left="660" w:right="580" w:hanging="328"/>
        <w:spacing w:after="0" w:line="26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Achieving internal, or non-acquisition related, annual revenue growth through internal collaboration and better leveraging of key differentiators across our company and the deployment of resources and investments into higher growth markets;</w:t>
      </w:r>
    </w:p>
    <w:p>
      <w:pPr>
        <w:spacing w:after="0" w:line="142"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the growth of our operating profits through improving the quality of our revenues and contract profitability, continued improvement in our information technology ("IT") systems infrastructure and related business processes for greater effectiveness and efficiency across all business functions; and</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Disciplined deployment of our cash resources and use of our capital structure to enhance shareholder value while retaining an appropriate amount of financial leverage, through internal growth initiatives, stock repurchases, dividends, strategic acquisitions, debt level management and other uses to achieve our goals.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color w:val="auto"/>
        </w:rPr>
        <w:t>Key financial events during fiscal 2015 include:</w:t>
      </w:r>
    </w:p>
    <w:p>
      <w:pPr>
        <w:spacing w:after="0" w:line="171" w:lineRule="exact"/>
        <w:rPr>
          <w:sz w:val="20"/>
          <w:szCs w:val="20"/>
          <w:color w:val="auto"/>
        </w:rPr>
      </w:pPr>
    </w:p>
    <w:p>
      <w:pPr>
        <w:ind w:left="660" w:right="14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 for fiscal 2015 decreased 12% from the prior year. The revenue contraction for the year was due to a decrease in National Security Solutions segment revenues of 11% and Health and Engineering segment revenues of 14%.</w:t>
      </w:r>
    </w:p>
    <w:p>
      <w:pPr>
        <w:spacing w:after="0" w:line="142"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Operating loss from continuing operations was $214 million for fiscal 2015 as compared to an operating income from continuing operations of $163 million for fiscal 2014. The operating loss from continuing operations in fiscal 2015 included $486 million of goodwill impairment charges, $41 million of intangible asset impairment charges and $40 million of a tangible asset impairment charge. The operating income from continuing operations in fiscal 2014 included $65 million of separation transaction and restructuring expenses, $51 million of intangible asset impairment charges, $44 million of bad debt expense primarily related to receivables for two energy design-build construction projects, and $35 million of infrastructure costs to establish two stand-alone companies.</w:t>
      </w:r>
    </w:p>
    <w:p>
      <w:pPr>
        <w:spacing w:after="0" w:line="139" w:lineRule="exact"/>
        <w:rPr>
          <w:rFonts w:ascii="Arial" w:cs="Arial" w:eastAsia="Arial" w:hAnsi="Arial"/>
          <w:sz w:val="17"/>
          <w:szCs w:val="17"/>
          <w:color w:val="auto"/>
        </w:rPr>
      </w:pPr>
    </w:p>
    <w:p>
      <w:pPr>
        <w:ind w:left="660" w:right="4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Diluted loss per share from continuing operations for fiscal 2015 was $4.46 as compared to diluted earnings per share from continuing operations of $0.98 in fiscal 2014 primarily due to the aforementioned reductions in operating income from continuing operations of $377 million. In addition, there was a decrease in the diluted weighted average number of shares outstanding of 9 million shares, or 11%, primarily due to shares repurchased under our accelerated stock repurchase programs.</w:t>
      </w:r>
    </w:p>
    <w:p>
      <w:pPr>
        <w:spacing w:after="0" w:line="150"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cash equivalents increased $13 million during fiscal 2015 primarily due to cash provided by operations of $396 million and $80 million proceeds from the U.S. Treasury cash grant, partially offset by debt repurchase payments of $175 million, stock repurchases of $215 million, and dividend payments of $95 million.</w:t>
      </w:r>
    </w:p>
    <w:p>
      <w:pPr>
        <w:spacing w:after="0" w:line="147"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bookings (as defined in “Key Performance Measures—Bookings and Backlog”) were approximately $3.6 billion for fiscal 2015, as compared to $4.9 billion in the prior year. Total backlog was $7.8 billion and $9.3 billion at January 30, 2015 and January 31, 2014, respectively.</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37</w:t>
      </w:r>
    </w:p>
    <w:p>
      <w:pPr>
        <w:sectPr>
          <w:pgSz w:w="11900" w:h="16838" w:orient="portrait"/>
          <w:cols w:equalWidth="0" w:num="1">
            <w:col w:w="11360"/>
          </w:cols>
          <w:pgMar w:left="240" w:top="495" w:right="2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Spin-off Transaction</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accordance with a distribution agreement, on September 27, 2013 (the "Distribution Date"), Leidos completed a spin-off of its technical services and enterprise information technology services business into an independent, publicly traded company named Science Application International Corporation. The spin-off was effected through a tax-free distribution to Leidos' stockholders of 100% of the shares of New SAIC's common stock. On the Distribution Date, New SAIC's common stock was distributed, on a pro rata basis, to Leidos' stockholders of record as of the close of business on September 19, 2013, the record date. Each holder of Leidos common stock received one share of New SAIC common stock for every seven shares of Leidos common stock held on the record date. Prior to the Distribution Date, Leidos Holdings, Inc. was named SAIC, Inc. and Leidos, Inc. was named Science Applications International Corporation. As a result of the spin-off, the assets, liabilities, results of operations and cash flows of New SAIC have been classified as discontinued operations for all periods presented. References to financial information are to our continuing operations, unless otherwise noted.</w:t>
      </w:r>
    </w:p>
    <w:p>
      <w:pPr>
        <w:spacing w:after="0" w:line="1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fiscal 2014, in connection with the spin-off transaction and in order to align our cost structure for post-separation, we incurred approximately $46 million in expenses related to lease termination costs, facility consolidation costs and other costs in connection with vacating facilities that were not necessary for our future requirements as well as $10 million of severance costs and $9 million of other separation transaction and restructuring expenses. In fiscal 2015, we incurred approximately $3 million of lease termination and facility consolidation expenses related to adjustments to the prior year reserve established for loss on leases in connection with revised sublease income assumptions. We do not expect to incur significant additional other separation transaction and restructuring expenses in future fiscal years related to the spin-off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Discontinued Operations:</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July 2014, we committed to plans to dispose of a business primarily focused on full service emergency management consulting for disaster preparedness, response, recovery, and mitigation historically included in the our Health and Engineering segment. The sale transaction was completed in the third quarter of fiscal 2015 with cash proceeds received of $19 million, resulting in an immaterial gain on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Discontinued Operations: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spin-off of New SAIC discussed above, in order to better align our business portfolio with our strategy, we sold or committed to plans to dispose of certain other non-strategic components of our business, which are reclassified as discontinued operations for all periods presented. The fiscal 2014 other dispositions were historically included in our National Security Solutions segment.</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August 2013, we committed to plans to dispose of a business primarily focused on technology used to detect if an individual is concealing explosive devices or other hidden weapons. In the first quarter of fiscal 2015, we adjusted the carrying values of the business's assets to their fair value based on the estimated selling price of the business. The carrying value exceeded the fair value which resulted in approximately $12 million of impairment charges recorded in discontinued operations, of which $9 million related to fixed assets and inventory and the remainder related to intangible assets. The sale transaction was completed in the second quarter of fiscal 2015 with insignificant cash proceeds received, resulting in an immaterial loss on sale.</w:t>
      </w:r>
    </w:p>
    <w:p>
      <w:pPr>
        <w:spacing w:after="0" w:line="15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November 2013, we sold a certain component of our business, focused on machine language translation with insignificant cash proceeds received, resulting in an immaterial gain on sale.</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January 2014, we committed to plans to dispose of Cloudshield Technologies, Inc. ("Cloudshield"), previously acquired in fiscal 2011, which is focused on producing a suite of cybersecurity hardware and associated software and services. The sale transaction was completed in February 2015 with cash proceeds received of $5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38</w:t>
      </w:r>
    </w:p>
    <w:p>
      <w:pPr>
        <w:sectPr>
          <w:pgSz w:w="11900" w:h="16838" w:orient="portrait"/>
          <w:cols w:equalWidth="0" w:num="1">
            <w:col w:w="11420"/>
          </w:cols>
          <w:pgMar w:left="240" w:top="49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 Discontinued Operations:</w:t>
      </w:r>
    </w:p>
    <w:p>
      <w:pPr>
        <w:spacing w:after="0" w:line="19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sold certain components of our business, which were historically included in our Health and Engineering segment, primarily focused on providing operational test and evaluation services to U.S. Government customers. We received net proceeds of $51 million resulting in a gain on sale before income taxes of $17 million related to this sale.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pre-sale operating results of our discontinued operations discussed above for the periods presented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73"/>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220" w:type="dxa"/>
            <w:vAlign w:val="bottom"/>
          </w:tcPr>
          <w:p>
            <w:pPr>
              <w:jc w:val="right"/>
              <w:ind w:right="296"/>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5"/>
                <w:szCs w:val="15"/>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7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58"/>
        </w:trPr>
        <w:tc>
          <w:tcPr>
            <w:tcW w:w="7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68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2,745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spacing w:after="0"/>
              <w:rPr>
                <w:sz w:val="23"/>
                <w:szCs w:val="23"/>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42"/>
        </w:trPr>
        <w:tc>
          <w:tcPr>
            <w:tcW w:w="70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 (including impairment charges of $9</w:t>
            </w:r>
          </w:p>
        </w:tc>
        <w:tc>
          <w:tcPr>
            <w:tcW w:w="200" w:type="dxa"/>
            <w:vAlign w:val="bottom"/>
          </w:tcPr>
          <w:p>
            <w:pPr>
              <w:spacing w:after="0"/>
              <w:rPr>
                <w:sz w:val="21"/>
                <w:szCs w:val="21"/>
                <w:color w:val="auto"/>
              </w:rPr>
            </w:pPr>
          </w:p>
        </w:tc>
        <w:tc>
          <w:tcPr>
            <w:tcW w:w="1220" w:type="dxa"/>
            <w:vAlign w:val="bottom"/>
            <w:vMerge w:val="restart"/>
          </w:tcPr>
          <w:p>
            <w:pPr>
              <w:jc w:val="right"/>
              <w:ind w:right="73"/>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080" w:type="dxa"/>
            <w:vAlign w:val="bottom"/>
          </w:tcPr>
          <w:p>
            <w:pPr>
              <w:ind w:left="340"/>
              <w:spacing w:after="0"/>
              <w:rPr>
                <w:sz w:val="20"/>
                <w:szCs w:val="20"/>
                <w:color w:val="auto"/>
              </w:rPr>
            </w:pPr>
            <w:r>
              <w:rPr>
                <w:rFonts w:ascii="Arial" w:cs="Arial" w:eastAsia="Arial" w:hAnsi="Arial"/>
                <w:sz w:val="18"/>
                <w:szCs w:val="18"/>
                <w:color w:val="auto"/>
              </w:rPr>
              <w:t>million for the fiscal year ended January 30, 2015)</w:t>
            </w: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8"/>
                <w:szCs w:val="18"/>
                <w:color w:val="auto"/>
              </w:rPr>
              <w:t>Intangible asset impairment charges</w:t>
            </w:r>
          </w:p>
        </w:tc>
        <w:tc>
          <w:tcPr>
            <w:tcW w:w="20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3"/>
                <w:szCs w:val="23"/>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Separation transaction and restructuring expenses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Markets</w:t>
      </w:r>
    </w:p>
    <w:p>
      <w:pPr>
        <w:spacing w:after="0" w:line="18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fiscal 2015, we generated approximately 79% of our total revenues from contracts with the U.S. Government, either as a prime contractor or a subcontractor to other contractors engaged in work for the U.S. Government. Revenues under contracts with the DoD, including subcontracts under which the DoD is the ultimate purchaser, represented approximately 67% of our total revenues in fiscal 2015.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 Contributing to long term fiscal uncertainty is the continuing uncertainty over sequestration and the debt ceiling extension.</w:t>
      </w:r>
    </w:p>
    <w:p>
      <w:pPr>
        <w:spacing w:after="0" w:line="15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believe that U.S. Government budget deficits and the national debt have created increasing pressure to examine and reduce spending across all federal agencies. The Budget Control Act of 2011 raised the U.S. Government’s debt ceiling and imposed 10-year discretionary spending sequestration caps expected to generate over $1 trillion in savings for the U.S. Government. According to the Office of Management and Budget, these savings include nearly $500 billion in DoD baseline spending reductions over 10 years, which began to be implemented in the U.S. Government fiscal year ended September 30, 2013.</w:t>
      </w:r>
    </w:p>
    <w:p>
      <w:pPr>
        <w:spacing w:after="0" w:line="15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December 2013, the President signed into law the Bipartisan Budget Act of 2013, which reduced the effects of sequestration in the U.S. Government fiscal years 2014 and 2015 for national security, but did not make the same concessions for the cuts in medical reimbursements. Roughly 60% of all healthcare costs in the United States are reimbursed by a government program. These reimbursements are tied to the government spending level and were significantly reduced as part of the Budget Control Act. We believe the cuts in medical reimbursements had a direct effect in the amount of available spending on IT modernization in U.S. hospitals and has therefore slowed the growth we had previously experienced in our commercial health IT practice.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39</w:t>
      </w:r>
    </w:p>
    <w:p>
      <w:pPr>
        <w:sectPr>
          <w:pgSz w:w="11900" w:h="16838" w:orient="portrait"/>
          <w:cols w:equalWidth="0" w:num="1">
            <w:col w:w="11420"/>
          </w:cols>
          <w:pgMar w:left="240" w:top="495"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implementation of sequestration spending cuts and associated government guidance and planning activities has impacted existing contracts, caused program delays and cancellations and caused delays in other government contracting actions. In addition, future implementation of spending cuts as we return to Sequestration in the U.S. Government fiscal year 2016 could cause further delays in contract awards and continued uncertainty. We continue to evaluate the impact of spending reductions on our businesses. The amount and nature of these federal spending reductions could adversely impact our operations, future revenues, and growth prospects.</w:t>
      </w:r>
    </w:p>
    <w:p>
      <w:pPr>
        <w:spacing w:after="0" w:line="1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Trends in the U.S. Government contracting process, including a shift towards multiple-awards contracts (in which certain contractors are preapproved using indefinite-delivery/indefinite-quantity ("IDIQ") and U.S. General Services Administration ("GSA") contract vehicles) and awarding contracts on a low price, technically acceptable basis,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Markets</w:t>
      </w:r>
    </w:p>
    <w:p>
      <w:pPr>
        <w:spacing w:after="0" w:line="2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Sales to customers in commercial markets (approximately 17% of total revenues in fiscal 2015) help to diversify us from reliance upon U.S. Government business. Among the commercial markets we serve, the addressable market for our commercial electronic health record (“EHR”) implementation consulting services has become increasingly competitive. Pressure factors in this market include wider adoption and maturation of the life cycle of initial EHR system implementations and adverse pricing pressure, as software providers for EHR systems are increasingly competing for EHR consulting services. Our healthcare provider customers are also facing economic challenges with lower levels of Medicare reimbursement and the advent of outcome-based Medicare reimbursements. In addition, the timing of HER consulting projects that we are reliant upon for revenue streams are affected by government regulations, which impact the implementation time lines for system upgrades or implementations designed to comply with Meaningful Use and International Statistical Classification of Diseases and Related Health Problems ("ICD-10") regulations. Implementation requirements for both of these potential sales catalysts have been delayed, which we believe have adversely impacted performance of our commercial health business. It is difficult to predict when or if these factors will improve, and therefore, in the near term, our ability to grow and increase the profitability of our commercial health business remains uncertain.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primary financial performance measures we use to manage our business and monitor results of operations are revenue, operating income, cash flows from operations and diluted EPS. We also believe that bookings and backlog are useful measures for management and investors to evaluate our potential future revenues. In addition, we consider measures such as contract types and revenue mix to be useful measures to management and investors evaluating our operating income and margin performance.</w:t>
      </w:r>
    </w:p>
    <w:p>
      <w:pPr>
        <w:spacing w:after="0" w:line="132"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i w:val="1"/>
          <w:iCs w:val="1"/>
          <w:color w:val="auto"/>
        </w:rPr>
        <w:t xml:space="preserve">Bookings and Backlog. </w:t>
      </w:r>
      <w:r>
        <w:rPr>
          <w:rFonts w:ascii="Arial" w:cs="Arial" w:eastAsia="Arial" w:hAnsi="Arial"/>
          <w:sz w:val="17"/>
          <w:szCs w:val="17"/>
          <w:color w:val="auto"/>
        </w:rPr>
        <w:t>We had net bookings worth an estimated $3.6 billion and $4.9 billion during fiscal 2015 and fiscal 2014,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less the backlog obtained in acquisitions during the year.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40</w:t>
      </w:r>
    </w:p>
    <w:p>
      <w:pPr>
        <w:sectPr>
          <w:pgSz w:w="11900" w:h="16838" w:orient="portrait"/>
          <w:cols w:equalWidth="0" w:num="1">
            <w:col w:w="11420"/>
          </w:cols>
          <w:pgMar w:left="240" w:top="49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Backlog represents the estimated amount of future revenues to be recognized under negotiated contracts as work is performed. We segregate our backlog into two categories as follows:</w:t>
      </w:r>
    </w:p>
    <w:p>
      <w:pPr>
        <w:spacing w:after="0" w:line="124" w:lineRule="exact"/>
        <w:rPr>
          <w:sz w:val="20"/>
          <w:szCs w:val="20"/>
          <w:color w:val="auto"/>
        </w:rPr>
      </w:pPr>
    </w:p>
    <w:p>
      <w:pPr>
        <w:ind w:left="660" w:right="20" w:hanging="328"/>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for contracts with government agencies primarily represents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less revenues previously recognized on these contracts, and does not include the unfunded portion of contracts where funding is incrementally appropriated or authorized on a quarterly or annual basis by the U.S. Government and other customers, even though the contract may call for performance over a number of years. Funded backlog for contracts with non-government agencies and commercial customers represents the estimated value on contracts, which may cover multiple future years, under which we are obligated to perform, less revenues previously recognized on these contracts.</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Negotiated Unfunded Backlog. </w:t>
      </w:r>
      <w:r>
        <w:rPr>
          <w:rFonts w:ascii="Arial" w:cs="Arial" w:eastAsia="Arial" w:hAnsi="Arial"/>
          <w:sz w:val="18"/>
          <w:szCs w:val="18"/>
          <w:color w:val="auto"/>
        </w:rPr>
        <w:t>Negotiated unfunded backlog represents estimated amounts of revenue to be earned in the future from</w:t>
      </w:r>
    </w:p>
    <w:p>
      <w:pPr>
        <w:spacing w:after="0" w:line="27" w:lineRule="exact"/>
        <w:rPr>
          <w:rFonts w:ascii="Arial" w:cs="Arial" w:eastAsia="Arial" w:hAnsi="Arial"/>
          <w:sz w:val="18"/>
          <w:szCs w:val="18"/>
          <w:i w:val="1"/>
          <w:iCs w:val="1"/>
          <w:color w:val="auto"/>
        </w:rPr>
      </w:pPr>
    </w:p>
    <w:p>
      <w:pPr>
        <w:ind w:left="660" w:right="52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(1) negotiated contracts for which funding has not been appropriated or otherwise authorized and (2) unexercised priced contract options. Negotiated unfunded backlog does not include future potential task orders expected to be awarded under IDIQ, GSA Schedule, or other master agreement contract vehicles.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estimated value of our total backlog as of the end of the last two fiscal years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92075</wp:posOffset>
            </wp:positionV>
            <wp:extent cx="18180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80" w:type="dxa"/>
            <w:vAlign w:val="bottom"/>
          </w:tcPr>
          <w:p>
            <w:pPr>
              <w:jc w:val="right"/>
              <w:ind w:right="234"/>
              <w:spacing w:after="0"/>
              <w:rPr>
                <w:sz w:val="20"/>
                <w:szCs w:val="20"/>
                <w:color w:val="auto"/>
              </w:rPr>
            </w:pPr>
            <w:r>
              <w:rPr>
                <w:rFonts w:ascii="Arial" w:cs="Arial" w:eastAsia="Arial" w:hAnsi="Arial"/>
                <w:sz w:val="14"/>
                <w:szCs w:val="14"/>
                <w:b w:val="1"/>
                <w:bCs w:val="1"/>
                <w:color w:val="auto"/>
              </w:rPr>
              <w:t>January 30,</w:t>
            </w:r>
          </w:p>
        </w:tc>
        <w:tc>
          <w:tcPr>
            <w:tcW w:w="320" w:type="dxa"/>
            <w:vAlign w:val="bottom"/>
          </w:tcPr>
          <w:p>
            <w:pPr>
              <w:spacing w:after="0"/>
              <w:rPr>
                <w:sz w:val="14"/>
                <w:szCs w:val="14"/>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color w:val="auto"/>
              </w:rPr>
              <w:t>January 31,</w:t>
            </w:r>
          </w:p>
        </w:tc>
      </w:tr>
      <w:tr>
        <w:trPr>
          <w:trHeight w:val="196"/>
        </w:trPr>
        <w:tc>
          <w:tcPr>
            <w:tcW w:w="60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2014</w:t>
            </w:r>
          </w:p>
        </w:tc>
      </w:tr>
      <w:tr>
        <w:trPr>
          <w:trHeight w:val="204"/>
        </w:trPr>
        <w:tc>
          <w:tcPr>
            <w:tcW w:w="60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60" w:type="dxa"/>
            <w:vAlign w:val="bottom"/>
            <w:gridSpan w:val="3"/>
          </w:tcPr>
          <w:p>
            <w:pPr>
              <w:jc w:val="right"/>
              <w:ind w:right="973"/>
              <w:spacing w:after="0"/>
              <w:rPr>
                <w:sz w:val="20"/>
                <w:szCs w:val="20"/>
                <w:color w:val="auto"/>
              </w:rPr>
            </w:pPr>
            <w:r>
              <w:rPr>
                <w:rFonts w:ascii="Arial" w:cs="Arial" w:eastAsia="Arial" w:hAnsi="Arial"/>
                <w:sz w:val="14"/>
                <w:szCs w:val="14"/>
                <w:color w:val="auto"/>
              </w:rPr>
              <w:t>(in millions)</w:t>
            </w:r>
          </w:p>
        </w:tc>
      </w:tr>
      <w:tr>
        <w:trPr>
          <w:trHeight w:val="255"/>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National Security Solutions:</w:t>
            </w:r>
          </w:p>
        </w:tc>
        <w:tc>
          <w:tcPr>
            <w:tcW w:w="2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6000" w:type="dxa"/>
            <w:vAlign w:val="bottom"/>
          </w:tcPr>
          <w:p>
            <w:pPr>
              <w:ind w:left="180"/>
              <w:spacing w:after="0"/>
              <w:rPr>
                <w:sz w:val="20"/>
                <w:szCs w:val="20"/>
                <w:color w:val="auto"/>
              </w:rPr>
            </w:pPr>
            <w:r>
              <w:rPr>
                <w:rFonts w:ascii="Arial" w:cs="Arial" w:eastAsia="Arial" w:hAnsi="Arial"/>
                <w:sz w:val="18"/>
                <w:szCs w:val="18"/>
                <w:color w:val="auto"/>
              </w:rPr>
              <w:t>Funded backlog</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1,596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1,854</w:t>
            </w:r>
          </w:p>
        </w:tc>
      </w:tr>
      <w:tr>
        <w:trPr>
          <w:trHeight w:val="277"/>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Negotiated unfunded backlog</w:t>
            </w:r>
          </w:p>
        </w:tc>
        <w:tc>
          <w:tcPr>
            <w:tcW w:w="2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4,491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5,604</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National Security Solutions backlog</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6,087</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7,458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Health and Engineering:</w:t>
            </w:r>
          </w:p>
        </w:tc>
        <w:tc>
          <w:tcPr>
            <w:tcW w:w="2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4"/>
        </w:trPr>
        <w:tc>
          <w:tcPr>
            <w:tcW w:w="6000" w:type="dxa"/>
            <w:vAlign w:val="bottom"/>
          </w:tcPr>
          <w:p>
            <w:pPr>
              <w:ind w:left="180"/>
              <w:spacing w:after="0"/>
              <w:rPr>
                <w:sz w:val="20"/>
                <w:szCs w:val="20"/>
                <w:color w:val="auto"/>
              </w:rPr>
            </w:pPr>
            <w:r>
              <w:rPr>
                <w:rFonts w:ascii="Arial" w:cs="Arial" w:eastAsia="Arial" w:hAnsi="Arial"/>
                <w:sz w:val="18"/>
                <w:szCs w:val="18"/>
                <w:color w:val="auto"/>
              </w:rPr>
              <w:t>Funded backlog</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1,061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1,144</w:t>
            </w:r>
          </w:p>
        </w:tc>
      </w:tr>
      <w:tr>
        <w:trPr>
          <w:trHeight w:val="277"/>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Negotiated unfunded backlog</w:t>
            </w:r>
          </w:p>
        </w:tc>
        <w:tc>
          <w:tcPr>
            <w:tcW w:w="2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645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694</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Health and Engineering backlog</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1,706</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1,838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4"/>
        </w:trPr>
        <w:tc>
          <w:tcPr>
            <w:tcW w:w="6000" w:type="dxa"/>
            <w:vAlign w:val="bottom"/>
          </w:tcPr>
          <w:p>
            <w:pPr>
              <w:ind w:left="180"/>
              <w:spacing w:after="0"/>
              <w:rPr>
                <w:sz w:val="20"/>
                <w:szCs w:val="20"/>
                <w:color w:val="auto"/>
              </w:rPr>
            </w:pPr>
            <w:r>
              <w:rPr>
                <w:rFonts w:ascii="Arial" w:cs="Arial" w:eastAsia="Arial" w:hAnsi="Arial"/>
                <w:sz w:val="18"/>
                <w:szCs w:val="18"/>
                <w:color w:val="auto"/>
              </w:rPr>
              <w:t>Funded backlog</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2,657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2,998</w:t>
            </w:r>
          </w:p>
        </w:tc>
      </w:tr>
      <w:tr>
        <w:trPr>
          <w:trHeight w:val="277"/>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Negotiated unfunded backlog</w:t>
            </w:r>
          </w:p>
        </w:tc>
        <w:tc>
          <w:tcPr>
            <w:tcW w:w="2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5,136</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6,298</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backlog</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7,793</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9,296</w:t>
            </w:r>
          </w:p>
        </w:tc>
      </w:tr>
    </w:tbl>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Bookings and backlog fluctuate from period to period depending on our success rate in winning contracts and the timing of contract awards, renewals, modifications and cancellations. Contract awards continue to be negatively impacted by ongoing industry-wide delays in procurement decisions, and budget cuts, including sequestration, by the U.S. Government as discussed in “Business Environment and Trends” in this Annual Report on Form 10-K.</w:t>
      </w:r>
    </w:p>
    <w:p>
      <w:pPr>
        <w:spacing w:after="0" w:line="150"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customers include provisions that allow the customer to cancel at any time. Most of our contracts have cancellation terms that would permit us to recover all or a portion of our incurred costs and fees for work performed.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41</w:t>
      </w:r>
    </w:p>
    <w:p>
      <w:pPr>
        <w:sectPr>
          <w:pgSz w:w="11900" w:h="16838" w:orient="portrait"/>
          <w:cols w:equalWidth="0" w:num="1">
            <w:col w:w="11420"/>
          </w:cols>
          <w:pgMar w:left="240" w:top="495"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Contract Types. </w:t>
      </w:r>
      <w:r>
        <w:rPr>
          <w:rFonts w:ascii="Arial" w:cs="Arial" w:eastAsia="Arial" w:hAnsi="Arial"/>
          <w:sz w:val="18"/>
          <w:szCs w:val="18"/>
          <w:color w:val="auto"/>
        </w:rPr>
        <w:t>Our earnings and profitability may vary materially depending on changes in the proportionate amount of revenues derived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each type of contract. For a discussion of the types of contracts under which we generate revenue, see “Business—Contract Types” in Part I of this Annual Report on Form 10-K. The following table summarizes revenues by contract type as a percentage of our total revenue for the last three fiscal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Year Ended</w:t>
            </w:r>
          </w:p>
        </w:tc>
        <w:tc>
          <w:tcPr>
            <w:tcW w:w="1340" w:type="dxa"/>
            <w:vAlign w:val="bottom"/>
            <w:tcBorders>
              <w:bottom w:val="single" w:sz="8" w:color="auto"/>
            </w:tcBorders>
          </w:tcPr>
          <w:p>
            <w:pPr>
              <w:spacing w:after="0"/>
              <w:rPr>
                <w:sz w:val="15"/>
                <w:szCs w:val="15"/>
                <w:color w:val="auto"/>
              </w:rPr>
            </w:pPr>
          </w:p>
        </w:tc>
      </w:tr>
      <w:tr>
        <w:trPr>
          <w:trHeight w:val="175"/>
        </w:trPr>
        <w:tc>
          <w:tcPr>
            <w:tcW w:w="6900" w:type="dxa"/>
            <w:vAlign w:val="bottom"/>
          </w:tcPr>
          <w:p>
            <w:pPr>
              <w:spacing w:after="0"/>
              <w:rPr>
                <w:sz w:val="15"/>
                <w:szCs w:val="15"/>
                <w:color w:val="auto"/>
              </w:rPr>
            </w:pPr>
          </w:p>
        </w:tc>
        <w:tc>
          <w:tcPr>
            <w:tcW w:w="1640" w:type="dxa"/>
            <w:vAlign w:val="bottom"/>
          </w:tcPr>
          <w:p>
            <w:pPr>
              <w:jc w:val="right"/>
              <w:ind w:right="456"/>
              <w:spacing w:after="0"/>
              <w:rPr>
                <w:sz w:val="20"/>
                <w:szCs w:val="20"/>
                <w:color w:val="auto"/>
              </w:rPr>
            </w:pPr>
            <w:r>
              <w:rPr>
                <w:rFonts w:ascii="Arial" w:cs="Arial" w:eastAsia="Arial" w:hAnsi="Arial"/>
                <w:sz w:val="14"/>
                <w:szCs w:val="14"/>
                <w:b w:val="1"/>
                <w:bCs w:val="1"/>
                <w:color w:val="auto"/>
              </w:rPr>
              <w:t>January 30,</w:t>
            </w:r>
          </w:p>
        </w:tc>
        <w:tc>
          <w:tcPr>
            <w:tcW w:w="1540" w:type="dxa"/>
            <w:vAlign w:val="bottom"/>
          </w:tcPr>
          <w:p>
            <w:pPr>
              <w:jc w:val="right"/>
              <w:ind w:right="478"/>
              <w:spacing w:after="0"/>
              <w:rPr>
                <w:sz w:val="20"/>
                <w:szCs w:val="20"/>
                <w:color w:val="auto"/>
              </w:rPr>
            </w:pPr>
            <w:r>
              <w:rPr>
                <w:rFonts w:ascii="Arial" w:cs="Arial" w:eastAsia="Arial" w:hAnsi="Arial"/>
                <w:sz w:val="14"/>
                <w:szCs w:val="14"/>
                <w:color w:val="auto"/>
              </w:rPr>
              <w:t>January 31,</w:t>
            </w:r>
          </w:p>
        </w:tc>
        <w:tc>
          <w:tcPr>
            <w:tcW w:w="1340" w:type="dxa"/>
            <w:vAlign w:val="bottom"/>
          </w:tcPr>
          <w:p>
            <w:pPr>
              <w:jc w:val="right"/>
              <w:ind w:right="276"/>
              <w:spacing w:after="0"/>
              <w:rPr>
                <w:sz w:val="20"/>
                <w:szCs w:val="20"/>
                <w:color w:val="auto"/>
              </w:rPr>
            </w:pPr>
            <w:r>
              <w:rPr>
                <w:rFonts w:ascii="Arial" w:cs="Arial" w:eastAsia="Arial" w:hAnsi="Arial"/>
                <w:sz w:val="14"/>
                <w:szCs w:val="14"/>
                <w:color w:val="auto"/>
              </w:rPr>
              <w:t>January 31,</w:t>
            </w:r>
          </w:p>
        </w:tc>
      </w:tr>
      <w:tr>
        <w:trPr>
          <w:trHeight w:val="196"/>
        </w:trPr>
        <w:tc>
          <w:tcPr>
            <w:tcW w:w="69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15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color w:val="auto"/>
              </w:rPr>
              <w:t>2014</w:t>
            </w:r>
          </w:p>
        </w:tc>
        <w:tc>
          <w:tcPr>
            <w:tcW w:w="13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color w:val="auto"/>
              </w:rPr>
              <w:t>2013</w:t>
            </w:r>
          </w:p>
        </w:tc>
      </w:tr>
      <w:tr>
        <w:trPr>
          <w:trHeight w:val="256"/>
        </w:trPr>
        <w:tc>
          <w:tcPr>
            <w:tcW w:w="6900" w:type="dxa"/>
            <w:vAlign w:val="bottom"/>
          </w:tcPr>
          <w:p>
            <w:pPr>
              <w:ind w:left="40"/>
              <w:spacing w:after="0"/>
              <w:rPr>
                <w:sz w:val="20"/>
                <w:szCs w:val="20"/>
                <w:color w:val="auto"/>
              </w:rPr>
            </w:pPr>
            <w:r>
              <w:rPr>
                <w:rFonts w:ascii="Arial" w:cs="Arial" w:eastAsia="Arial" w:hAnsi="Arial"/>
                <w:sz w:val="18"/>
                <w:szCs w:val="18"/>
                <w:color w:val="auto"/>
              </w:rPr>
              <w:t>Cost-reimbursement</w:t>
            </w:r>
          </w:p>
        </w:tc>
        <w:tc>
          <w:tcPr>
            <w:tcW w:w="1640" w:type="dxa"/>
            <w:vAlign w:val="bottom"/>
          </w:tcPr>
          <w:p>
            <w:pPr>
              <w:jc w:val="right"/>
              <w:ind w:right="136"/>
              <w:spacing w:after="0"/>
              <w:rPr>
                <w:sz w:val="20"/>
                <w:szCs w:val="20"/>
                <w:color w:val="auto"/>
              </w:rPr>
            </w:pPr>
            <w:r>
              <w:rPr>
                <w:rFonts w:ascii="Arial" w:cs="Arial" w:eastAsia="Arial" w:hAnsi="Arial"/>
                <w:sz w:val="18"/>
                <w:szCs w:val="18"/>
                <w:b w:val="1"/>
                <w:bCs w:val="1"/>
                <w:color w:val="auto"/>
              </w:rPr>
              <w:t>48%</w:t>
            </w:r>
          </w:p>
        </w:tc>
        <w:tc>
          <w:tcPr>
            <w:tcW w:w="1540" w:type="dxa"/>
            <w:vAlign w:val="bottom"/>
          </w:tcPr>
          <w:p>
            <w:pPr>
              <w:jc w:val="right"/>
              <w:ind w:right="138"/>
              <w:spacing w:after="0"/>
              <w:rPr>
                <w:sz w:val="20"/>
                <w:szCs w:val="20"/>
                <w:color w:val="auto"/>
              </w:rPr>
            </w:pPr>
            <w:r>
              <w:rPr>
                <w:rFonts w:ascii="Arial" w:cs="Arial" w:eastAsia="Arial" w:hAnsi="Arial"/>
                <w:sz w:val="18"/>
                <w:szCs w:val="18"/>
                <w:color w:val="auto"/>
              </w:rPr>
              <w:t>47%</w:t>
            </w: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900" w:type="dxa"/>
            <w:vAlign w:val="bottom"/>
          </w:tcPr>
          <w:p>
            <w:pPr>
              <w:ind w:left="40"/>
              <w:spacing w:after="0"/>
              <w:rPr>
                <w:sz w:val="20"/>
                <w:szCs w:val="20"/>
                <w:color w:val="auto"/>
              </w:rPr>
            </w:pPr>
            <w:r>
              <w:rPr>
                <w:rFonts w:ascii="Arial" w:cs="Arial" w:eastAsia="Arial" w:hAnsi="Arial"/>
                <w:sz w:val="18"/>
                <w:szCs w:val="18"/>
                <w:color w:val="auto"/>
              </w:rPr>
              <w:t>Time and materials (T&amp;M) and fixed-price-level-of-effort (FP-LOE)</w:t>
            </w:r>
          </w:p>
        </w:tc>
        <w:tc>
          <w:tcPr>
            <w:tcW w:w="1640" w:type="dxa"/>
            <w:vAlign w:val="bottom"/>
          </w:tcPr>
          <w:p>
            <w:pPr>
              <w:jc w:val="right"/>
              <w:ind w:right="296"/>
              <w:spacing w:after="0"/>
              <w:rPr>
                <w:sz w:val="20"/>
                <w:szCs w:val="20"/>
                <w:color w:val="auto"/>
              </w:rPr>
            </w:pPr>
            <w:r>
              <w:rPr>
                <w:rFonts w:ascii="Arial" w:cs="Arial" w:eastAsia="Arial" w:hAnsi="Arial"/>
                <w:sz w:val="18"/>
                <w:szCs w:val="18"/>
                <w:b w:val="1"/>
                <w:bCs w:val="1"/>
                <w:color w:val="auto"/>
              </w:rPr>
              <w:t>25</w:t>
            </w:r>
          </w:p>
        </w:tc>
        <w:tc>
          <w:tcPr>
            <w:tcW w:w="1540" w:type="dxa"/>
            <w:vAlign w:val="bottom"/>
          </w:tcPr>
          <w:p>
            <w:pPr>
              <w:jc w:val="right"/>
              <w:ind w:right="298"/>
              <w:spacing w:after="0"/>
              <w:rPr>
                <w:sz w:val="20"/>
                <w:szCs w:val="20"/>
                <w:color w:val="auto"/>
              </w:rPr>
            </w:pPr>
            <w:r>
              <w:rPr>
                <w:rFonts w:ascii="Arial" w:cs="Arial" w:eastAsia="Arial" w:hAnsi="Arial"/>
                <w:sz w:val="18"/>
                <w:szCs w:val="18"/>
                <w:color w:val="auto"/>
              </w:rPr>
              <w:t>26</w:t>
            </w:r>
          </w:p>
        </w:tc>
        <w:tc>
          <w:tcPr>
            <w:tcW w:w="1340" w:type="dxa"/>
            <w:vAlign w:val="bottom"/>
          </w:tcPr>
          <w:p>
            <w:pPr>
              <w:jc w:val="right"/>
              <w:ind w:right="96"/>
              <w:spacing w:after="0"/>
              <w:rPr>
                <w:sz w:val="20"/>
                <w:szCs w:val="20"/>
                <w:color w:val="auto"/>
              </w:rPr>
            </w:pPr>
            <w:r>
              <w:rPr>
                <w:rFonts w:ascii="Arial" w:cs="Arial" w:eastAsia="Arial" w:hAnsi="Arial"/>
                <w:sz w:val="18"/>
                <w:szCs w:val="18"/>
                <w:color w:val="auto"/>
              </w:rPr>
              <w:t>28</w:t>
            </w:r>
          </w:p>
        </w:tc>
      </w:tr>
      <w:tr>
        <w:trPr>
          <w:trHeight w:val="277"/>
        </w:trPr>
        <w:tc>
          <w:tcPr>
            <w:tcW w:w="6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Firm-fixed-price (FFP)</w:t>
            </w:r>
          </w:p>
        </w:tc>
        <w:tc>
          <w:tcPr>
            <w:tcW w:w="164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27</w:t>
            </w:r>
          </w:p>
        </w:tc>
        <w:tc>
          <w:tcPr>
            <w:tcW w:w="154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27</w:t>
            </w: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26</w:t>
            </w:r>
          </w:p>
        </w:tc>
      </w:tr>
      <w:tr>
        <w:trPr>
          <w:trHeight w:val="264"/>
        </w:trPr>
        <w:tc>
          <w:tcPr>
            <w:tcW w:w="69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b w:val="1"/>
                <w:bCs w:val="1"/>
                <w:color w:val="auto"/>
              </w:rPr>
              <w:t>100%</w:t>
            </w:r>
          </w:p>
        </w:tc>
        <w:tc>
          <w:tcPr>
            <w:tcW w:w="15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16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percentage of revenues generated from cost-reimbursement, T&amp;M and FP-LOE, and FFP contracts remained relatively consistent from fiscal 2014 to fiscal 2015.</w:t>
      </w:r>
    </w:p>
    <w:p>
      <w:pPr>
        <w:spacing w:after="0" w:line="1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Revenue Mix. </w:t>
      </w:r>
      <w:r>
        <w:rPr>
          <w:rFonts w:ascii="Arial" w:cs="Arial" w:eastAsia="Arial" w:hAnsi="Arial"/>
          <w:sz w:val="18"/>
          <w:szCs w:val="18"/>
          <w:color w:val="auto"/>
        </w:rPr>
        <w:t>We generate revenues under our contracts from (1) the efforts of our technical staff, which we refer to as labor-related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and (2) the materials provided on a contract and efforts of our subcontractors, which we refer to as M&amp;S revenues. M&amp;S revenues are generated primarily from large, multi-year systems integration contracts and contracts in our logistics, readiness and sustainment business area, as well as through sales of our proprietary products, such as our border, port and mobile security products and our checked baggage explosive detection systems.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labor-related revenues and M&amp;S revenues for the last three fiscal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363"/>
              <w:spacing w:after="0"/>
              <w:rPr>
                <w:sz w:val="20"/>
                <w:szCs w:val="20"/>
                <w:color w:val="auto"/>
              </w:rPr>
            </w:pPr>
            <w:r>
              <w:rPr>
                <w:rFonts w:ascii="Arial" w:cs="Arial" w:eastAsia="Arial" w:hAnsi="Arial"/>
                <w:sz w:val="14"/>
                <w:szCs w:val="14"/>
                <w:color w:val="auto"/>
              </w:rPr>
              <w:t>Year Ended</w:t>
            </w:r>
          </w:p>
        </w:tc>
        <w:tc>
          <w:tcPr>
            <w:tcW w:w="1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302"/>
              <w:spacing w:after="0"/>
              <w:rPr>
                <w:sz w:val="20"/>
                <w:szCs w:val="20"/>
                <w:color w:val="auto"/>
              </w:rPr>
            </w:pPr>
            <w:r>
              <w:rPr>
                <w:rFonts w:ascii="Arial" w:cs="Arial" w:eastAsia="Arial" w:hAnsi="Arial"/>
                <w:sz w:val="14"/>
                <w:szCs w:val="14"/>
                <w:b w:val="1"/>
                <w:bCs w:val="1"/>
                <w:color w:val="auto"/>
              </w:rPr>
              <w:t>January 30,</w:t>
            </w: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463"/>
              <w:spacing w:after="0"/>
              <w:rPr>
                <w:sz w:val="20"/>
                <w:szCs w:val="20"/>
                <w:color w:val="auto"/>
              </w:rPr>
            </w:pPr>
            <w:r>
              <w:rPr>
                <w:rFonts w:ascii="Arial" w:cs="Arial" w:eastAsia="Arial" w:hAnsi="Arial"/>
                <w:sz w:val="14"/>
                <w:szCs w:val="14"/>
                <w:color w:val="auto"/>
              </w:rPr>
              <w:t>January 31,</w:t>
            </w:r>
          </w:p>
        </w:tc>
        <w:tc>
          <w:tcPr>
            <w:tcW w:w="1500" w:type="dxa"/>
            <w:vAlign w:val="bottom"/>
          </w:tcPr>
          <w:p>
            <w:pPr>
              <w:ind w:left="280"/>
              <w:spacing w:after="0"/>
              <w:rPr>
                <w:sz w:val="20"/>
                <w:szCs w:val="20"/>
                <w:color w:val="auto"/>
              </w:rPr>
            </w:pPr>
            <w:r>
              <w:rPr>
                <w:rFonts w:ascii="Arial" w:cs="Arial" w:eastAsia="Arial" w:hAnsi="Arial"/>
                <w:sz w:val="14"/>
                <w:szCs w:val="14"/>
                <w:color w:val="auto"/>
              </w:rPr>
              <w:t>Percent</w:t>
            </w:r>
          </w:p>
        </w:tc>
        <w:tc>
          <w:tcPr>
            <w:tcW w:w="1120" w:type="dxa"/>
            <w:vAlign w:val="bottom"/>
          </w:tcPr>
          <w:p>
            <w:pPr>
              <w:jc w:val="right"/>
              <w:ind w:right="222"/>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2015</w:t>
            </w: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Percent change</w:t>
            </w: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color w:val="auto"/>
              </w:rPr>
              <w:t>2014</w:t>
            </w:r>
          </w:p>
        </w:tc>
        <w:tc>
          <w:tcPr>
            <w:tcW w:w="1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0" w:type="dxa"/>
            <w:vAlign w:val="bottom"/>
            <w:gridSpan w:val="2"/>
          </w:tcPr>
          <w:p>
            <w:pPr>
              <w:jc w:val="center"/>
              <w:ind w:right="83"/>
              <w:spacing w:after="0"/>
              <w:rPr>
                <w:sz w:val="20"/>
                <w:szCs w:val="20"/>
                <w:color w:val="auto"/>
              </w:rPr>
            </w:pPr>
            <w:r>
              <w:rPr>
                <w:rFonts w:ascii="Arial" w:cs="Arial" w:eastAsia="Arial" w:hAnsi="Arial"/>
                <w:sz w:val="14"/>
                <w:szCs w:val="14"/>
                <w:color w:val="auto"/>
              </w:rPr>
              <w:t>(dollars in millions)</w:t>
            </w: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380" w:type="dxa"/>
            <w:vAlign w:val="bottom"/>
          </w:tcPr>
          <w:p>
            <w:pPr>
              <w:ind w:left="40"/>
              <w:spacing w:after="0"/>
              <w:rPr>
                <w:sz w:val="20"/>
                <w:szCs w:val="20"/>
                <w:color w:val="auto"/>
              </w:rPr>
            </w:pPr>
            <w:r>
              <w:rPr>
                <w:rFonts w:ascii="Arial" w:cs="Arial" w:eastAsia="Arial" w:hAnsi="Arial"/>
                <w:sz w:val="18"/>
                <w:szCs w:val="18"/>
                <w:color w:val="auto"/>
              </w:rPr>
              <w:t>Labor-related revenues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82"/>
              <w:spacing w:after="0"/>
              <w:rPr>
                <w:sz w:val="20"/>
                <w:szCs w:val="20"/>
                <w:color w:val="auto"/>
              </w:rPr>
            </w:pPr>
            <w:r>
              <w:rPr>
                <w:rFonts w:ascii="Arial" w:cs="Arial" w:eastAsia="Arial" w:hAnsi="Arial"/>
                <w:sz w:val="18"/>
                <w:szCs w:val="18"/>
                <w:b w:val="1"/>
                <w:bCs w:val="1"/>
                <w:color w:val="auto"/>
              </w:rPr>
              <w:t>2,989</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3"/>
              <w:spacing w:after="0"/>
              <w:rPr>
                <w:sz w:val="20"/>
                <w:szCs w:val="20"/>
                <w:color w:val="auto"/>
              </w:rPr>
            </w:pPr>
            <w:r>
              <w:rPr>
                <w:rFonts w:ascii="Arial" w:cs="Arial" w:eastAsia="Arial" w:hAnsi="Arial"/>
                <w:sz w:val="18"/>
                <w:szCs w:val="18"/>
                <w:color w:val="auto"/>
              </w:rPr>
              <w:t>3,478</w:t>
            </w:r>
          </w:p>
        </w:tc>
        <w:tc>
          <w:tcPr>
            <w:tcW w:w="1500" w:type="dxa"/>
            <w:vAlign w:val="bottom"/>
          </w:tcPr>
          <w:p>
            <w:pPr>
              <w:ind w:left="680"/>
              <w:spacing w:after="0"/>
              <w:rPr>
                <w:sz w:val="20"/>
                <w:szCs w:val="20"/>
                <w:color w:val="auto"/>
              </w:rPr>
            </w:pPr>
            <w:r>
              <w:rPr>
                <w:rFonts w:ascii="Arial" w:cs="Arial" w:eastAsia="Arial" w:hAnsi="Arial"/>
                <w:sz w:val="18"/>
                <w:szCs w:val="18"/>
                <w:color w:val="auto"/>
              </w:rPr>
              <w:t>(11)%  $</w:t>
            </w:r>
          </w:p>
        </w:tc>
        <w:tc>
          <w:tcPr>
            <w:tcW w:w="1120" w:type="dxa"/>
            <w:vAlign w:val="bottom"/>
          </w:tcPr>
          <w:p>
            <w:pPr>
              <w:jc w:val="right"/>
              <w:ind w:right="82"/>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8"/>
        </w:trPr>
        <w:tc>
          <w:tcPr>
            <w:tcW w:w="4380" w:type="dxa"/>
            <w:vAlign w:val="bottom"/>
          </w:tcPr>
          <w:p>
            <w:pPr>
              <w:ind w:left="180"/>
              <w:spacing w:after="0"/>
              <w:rPr>
                <w:sz w:val="20"/>
                <w:szCs w:val="20"/>
                <w:color w:val="auto"/>
              </w:rPr>
            </w:pPr>
            <w:r>
              <w:rPr>
                <w:rFonts w:ascii="Arial" w:cs="Arial" w:eastAsia="Arial" w:hAnsi="Arial"/>
                <w:sz w:val="14"/>
                <w:szCs w:val="14"/>
                <w:i w:val="1"/>
                <w:iCs w:val="1"/>
                <w:color w:val="auto"/>
              </w:rPr>
              <w:t>As a percentage of revenues</w:t>
            </w:r>
          </w:p>
        </w:tc>
        <w:tc>
          <w:tcPr>
            <w:tcW w:w="180" w:type="dxa"/>
            <w:vAlign w:val="bottom"/>
          </w:tcPr>
          <w:p>
            <w:pPr>
              <w:spacing w:after="0"/>
              <w:rPr>
                <w:sz w:val="18"/>
                <w:szCs w:val="18"/>
                <w:color w:val="auto"/>
              </w:rPr>
            </w:pPr>
          </w:p>
        </w:tc>
        <w:tc>
          <w:tcPr>
            <w:tcW w:w="1240" w:type="dxa"/>
            <w:vAlign w:val="bottom"/>
            <w:vMerge w:val="restart"/>
          </w:tcPr>
          <w:p>
            <w:pPr>
              <w:jc w:val="right"/>
              <w:ind w:right="62"/>
              <w:spacing w:after="0"/>
              <w:rPr>
                <w:sz w:val="20"/>
                <w:szCs w:val="20"/>
                <w:color w:val="auto"/>
              </w:rPr>
            </w:pPr>
            <w:r>
              <w:rPr>
                <w:rFonts w:ascii="Arial" w:cs="Arial" w:eastAsia="Arial" w:hAnsi="Arial"/>
                <w:sz w:val="14"/>
                <w:szCs w:val="14"/>
                <w:b w:val="1"/>
                <w:bCs w:val="1"/>
                <w:i w:val="1"/>
                <w:iCs w:val="1"/>
                <w:color w:val="auto"/>
              </w:rPr>
              <w:t>59%</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vMerge w:val="restart"/>
          </w:tcPr>
          <w:p>
            <w:pPr>
              <w:jc w:val="right"/>
              <w:ind w:right="203"/>
              <w:spacing w:after="0"/>
              <w:rPr>
                <w:sz w:val="20"/>
                <w:szCs w:val="20"/>
                <w:color w:val="auto"/>
              </w:rPr>
            </w:pPr>
            <w:r>
              <w:rPr>
                <w:rFonts w:ascii="Arial" w:cs="Arial" w:eastAsia="Arial" w:hAnsi="Arial"/>
                <w:sz w:val="14"/>
                <w:szCs w:val="14"/>
                <w:i w:val="1"/>
                <w:iCs w:val="1"/>
                <w:color w:val="auto"/>
              </w:rPr>
              <w:t>60%</w:t>
            </w:r>
          </w:p>
        </w:tc>
        <w:tc>
          <w:tcPr>
            <w:tcW w:w="15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61%</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4380" w:type="dxa"/>
            <w:vAlign w:val="bottom"/>
          </w:tcPr>
          <w:p>
            <w:pPr>
              <w:ind w:left="40"/>
              <w:spacing w:after="0"/>
              <w:rPr>
                <w:sz w:val="20"/>
                <w:szCs w:val="20"/>
                <w:color w:val="auto"/>
              </w:rPr>
            </w:pPr>
            <w:r>
              <w:rPr>
                <w:rFonts w:ascii="Arial" w:cs="Arial" w:eastAsia="Arial" w:hAnsi="Arial"/>
                <w:sz w:val="18"/>
                <w:szCs w:val="18"/>
                <w:color w:val="auto"/>
              </w:rPr>
              <w:t>M&amp;S revenues</w:t>
            </w:r>
          </w:p>
        </w:tc>
        <w:tc>
          <w:tcPr>
            <w:tcW w:w="180" w:type="dxa"/>
            <w:vAlign w:val="bottom"/>
          </w:tcPr>
          <w:p>
            <w:pPr>
              <w:spacing w:after="0"/>
              <w:rPr>
                <w:sz w:val="23"/>
                <w:szCs w:val="23"/>
                <w:color w:val="auto"/>
              </w:rPr>
            </w:pPr>
          </w:p>
        </w:tc>
        <w:tc>
          <w:tcPr>
            <w:tcW w:w="1240" w:type="dxa"/>
            <w:vAlign w:val="bottom"/>
          </w:tcPr>
          <w:p>
            <w:pPr>
              <w:jc w:val="right"/>
              <w:ind w:right="182"/>
              <w:spacing w:after="0"/>
              <w:rPr>
                <w:sz w:val="20"/>
                <w:szCs w:val="20"/>
                <w:color w:val="auto"/>
              </w:rPr>
            </w:pPr>
            <w:r>
              <w:rPr>
                <w:rFonts w:ascii="Arial" w:cs="Arial" w:eastAsia="Arial" w:hAnsi="Arial"/>
                <w:sz w:val="18"/>
                <w:szCs w:val="18"/>
                <w:b w:val="1"/>
                <w:bCs w:val="1"/>
                <w:color w:val="auto"/>
              </w:rPr>
              <w:t>2,074</w:t>
            </w: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3"/>
                <w:szCs w:val="23"/>
                <w:color w:val="auto"/>
              </w:rPr>
            </w:pPr>
          </w:p>
        </w:tc>
        <w:tc>
          <w:tcPr>
            <w:tcW w:w="1340" w:type="dxa"/>
            <w:vAlign w:val="bottom"/>
          </w:tcPr>
          <w:p>
            <w:pPr>
              <w:jc w:val="right"/>
              <w:ind w:right="323"/>
              <w:spacing w:after="0"/>
              <w:rPr>
                <w:sz w:val="20"/>
                <w:szCs w:val="20"/>
                <w:color w:val="auto"/>
              </w:rPr>
            </w:pPr>
            <w:r>
              <w:rPr>
                <w:rFonts w:ascii="Arial" w:cs="Arial" w:eastAsia="Arial" w:hAnsi="Arial"/>
                <w:sz w:val="18"/>
                <w:szCs w:val="18"/>
                <w:color w:val="auto"/>
              </w:rPr>
              <w:t>2,277</w:t>
            </w:r>
          </w:p>
        </w:tc>
        <w:tc>
          <w:tcPr>
            <w:tcW w:w="1500" w:type="dxa"/>
            <w:vAlign w:val="bottom"/>
          </w:tcPr>
          <w:p>
            <w:pPr>
              <w:ind w:left="680"/>
              <w:spacing w:after="0"/>
              <w:rPr>
                <w:sz w:val="20"/>
                <w:szCs w:val="20"/>
                <w:color w:val="auto"/>
              </w:rPr>
            </w:pPr>
            <w:r>
              <w:rPr>
                <w:rFonts w:ascii="Arial" w:cs="Arial" w:eastAsia="Arial" w:hAnsi="Arial"/>
                <w:sz w:val="18"/>
                <w:szCs w:val="18"/>
                <w:color w:val="auto"/>
              </w:rPr>
              <w:t>(10)%</w:t>
            </w:r>
          </w:p>
        </w:tc>
        <w:tc>
          <w:tcPr>
            <w:tcW w:w="1120" w:type="dxa"/>
            <w:vAlign w:val="bottom"/>
          </w:tcPr>
          <w:p>
            <w:pPr>
              <w:jc w:val="right"/>
              <w:ind w:right="82"/>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8"/>
        </w:trPr>
        <w:tc>
          <w:tcPr>
            <w:tcW w:w="4380" w:type="dxa"/>
            <w:vAlign w:val="bottom"/>
          </w:tcPr>
          <w:p>
            <w:pPr>
              <w:ind w:left="180"/>
              <w:spacing w:after="0"/>
              <w:rPr>
                <w:sz w:val="20"/>
                <w:szCs w:val="20"/>
                <w:color w:val="auto"/>
              </w:rPr>
            </w:pPr>
            <w:r>
              <w:rPr>
                <w:rFonts w:ascii="Arial" w:cs="Arial" w:eastAsia="Arial" w:hAnsi="Arial"/>
                <w:sz w:val="14"/>
                <w:szCs w:val="14"/>
                <w:i w:val="1"/>
                <w:iCs w:val="1"/>
                <w:color w:val="auto"/>
              </w:rPr>
              <w:t>As a percentage of revenues</w:t>
            </w:r>
          </w:p>
        </w:tc>
        <w:tc>
          <w:tcPr>
            <w:tcW w:w="180" w:type="dxa"/>
            <w:vAlign w:val="bottom"/>
          </w:tcPr>
          <w:p>
            <w:pPr>
              <w:spacing w:after="0"/>
              <w:rPr>
                <w:sz w:val="18"/>
                <w:szCs w:val="18"/>
                <w:color w:val="auto"/>
              </w:rPr>
            </w:pPr>
          </w:p>
        </w:tc>
        <w:tc>
          <w:tcPr>
            <w:tcW w:w="1240" w:type="dxa"/>
            <w:vAlign w:val="bottom"/>
            <w:vMerge w:val="restart"/>
          </w:tcPr>
          <w:p>
            <w:pPr>
              <w:jc w:val="right"/>
              <w:ind w:right="62"/>
              <w:spacing w:after="0"/>
              <w:rPr>
                <w:sz w:val="20"/>
                <w:szCs w:val="20"/>
                <w:color w:val="auto"/>
              </w:rPr>
            </w:pPr>
            <w:r>
              <w:rPr>
                <w:rFonts w:ascii="Arial" w:cs="Arial" w:eastAsia="Arial" w:hAnsi="Arial"/>
                <w:sz w:val="14"/>
                <w:szCs w:val="14"/>
                <w:b w:val="1"/>
                <w:bCs w:val="1"/>
                <w:i w:val="1"/>
                <w:iCs w:val="1"/>
                <w:color w:val="auto"/>
              </w:rPr>
              <w:t>41%</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vMerge w:val="restart"/>
          </w:tcPr>
          <w:p>
            <w:pPr>
              <w:jc w:val="right"/>
              <w:ind w:right="203"/>
              <w:spacing w:after="0"/>
              <w:rPr>
                <w:sz w:val="20"/>
                <w:szCs w:val="20"/>
                <w:color w:val="auto"/>
              </w:rPr>
            </w:pPr>
            <w:r>
              <w:rPr>
                <w:rFonts w:ascii="Arial" w:cs="Arial" w:eastAsia="Arial" w:hAnsi="Arial"/>
                <w:sz w:val="14"/>
                <w:szCs w:val="14"/>
                <w:i w:val="1"/>
                <w:iCs w:val="1"/>
                <w:color w:val="auto"/>
              </w:rPr>
              <w:t>40%</w:t>
            </w:r>
          </w:p>
        </w:tc>
        <w:tc>
          <w:tcPr>
            <w:tcW w:w="15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i w:val="1"/>
                <w:iCs w:val="1"/>
                <w:color w:val="auto"/>
              </w:rPr>
              <w:t>39%</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5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of revenues attributed to labor-related and M&amp;S revenues remained relatively consistent from fiscal fiscal 2014 to fiscal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Geographic Location. </w:t>
      </w:r>
      <w:r>
        <w:rPr>
          <w:rFonts w:ascii="Arial" w:cs="Arial" w:eastAsia="Arial" w:hAnsi="Arial"/>
          <w:sz w:val="18"/>
          <w:szCs w:val="18"/>
          <w:color w:val="auto"/>
        </w:rPr>
        <w:t>Substantially all of our revenues and tangible long-lived assets are generated by or located in the United States.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42</w:t>
      </w:r>
    </w:p>
    <w:p>
      <w:pPr>
        <w:sectPr>
          <w:pgSz w:w="11900" w:h="16838" w:orient="portrait"/>
          <w:cols w:equalWidth="0" w:num="1">
            <w:col w:w="11420"/>
          </w:cols>
          <w:pgMar w:left="240" w:top="495"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last three fiscal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gridSpan w:val="2"/>
          </w:tcPr>
          <w:p>
            <w:pPr>
              <w:jc w:val="right"/>
              <w:ind w:right="193"/>
              <w:spacing w:after="0"/>
              <w:rPr>
                <w:sz w:val="20"/>
                <w:szCs w:val="20"/>
                <w:color w:val="auto"/>
              </w:rPr>
            </w:pPr>
            <w:r>
              <w:rPr>
                <w:rFonts w:ascii="Arial" w:cs="Arial" w:eastAsia="Arial" w:hAnsi="Arial"/>
                <w:sz w:val="14"/>
                <w:szCs w:val="14"/>
                <w:color w:val="auto"/>
              </w:rPr>
              <w:t>Year Ended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20" w:type="dxa"/>
            <w:vAlign w:val="bottom"/>
            <w:gridSpan w:val="2"/>
            <w:vMerge w:val="restart"/>
          </w:tcPr>
          <w:p>
            <w:pPr>
              <w:jc w:val="right"/>
              <w:ind w:right="572"/>
              <w:spacing w:after="0"/>
              <w:rPr>
                <w:sz w:val="20"/>
                <w:szCs w:val="20"/>
                <w:color w:val="auto"/>
              </w:rPr>
            </w:pPr>
            <w:r>
              <w:rPr>
                <w:rFonts w:ascii="Arial" w:cs="Arial" w:eastAsia="Arial" w:hAnsi="Arial"/>
                <w:sz w:val="14"/>
                <w:szCs w:val="14"/>
                <w:color w:val="auto"/>
              </w:rPr>
              <w:t>2015 to 2014</w:t>
            </w:r>
          </w:p>
        </w:tc>
        <w:tc>
          <w:tcPr>
            <w:tcW w:w="400" w:type="dxa"/>
            <w:vAlign w:val="bottom"/>
          </w:tcPr>
          <w:p>
            <w:pPr>
              <w:spacing w:after="0"/>
              <w:rPr>
                <w:sz w:val="14"/>
                <w:szCs w:val="14"/>
                <w:color w:val="auto"/>
              </w:rPr>
            </w:pPr>
          </w:p>
        </w:tc>
        <w:tc>
          <w:tcPr>
            <w:tcW w:w="1780" w:type="dxa"/>
            <w:vAlign w:val="bottom"/>
            <w:gridSpan w:val="2"/>
            <w:vMerge w:val="restart"/>
          </w:tcPr>
          <w:p>
            <w:pPr>
              <w:jc w:val="right"/>
              <w:ind w:right="532"/>
              <w:spacing w:after="0"/>
              <w:rPr>
                <w:sz w:val="20"/>
                <w:szCs w:val="20"/>
                <w:color w:val="auto"/>
              </w:rPr>
            </w:pPr>
            <w:r>
              <w:rPr>
                <w:rFonts w:ascii="Arial" w:cs="Arial" w:eastAsia="Arial" w:hAnsi="Arial"/>
                <w:sz w:val="14"/>
                <w:szCs w:val="14"/>
                <w:color w:val="auto"/>
              </w:rPr>
              <w:t>2014 to 2013</w:t>
            </w:r>
          </w:p>
        </w:tc>
        <w:tc>
          <w:tcPr>
            <w:tcW w:w="0" w:type="dxa"/>
            <w:vAlign w:val="bottom"/>
          </w:tcPr>
          <w:p>
            <w:pPr>
              <w:spacing w:after="0"/>
              <w:rPr>
                <w:sz w:val="1"/>
                <w:szCs w:val="1"/>
                <w:color w:val="auto"/>
              </w:rPr>
            </w:pPr>
          </w:p>
        </w:tc>
      </w:tr>
      <w:tr>
        <w:trPr>
          <w:trHeight w:val="60"/>
        </w:trPr>
        <w:tc>
          <w:tcPr>
            <w:tcW w:w="33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213"/>
              <w:spacing w:after="0"/>
              <w:rPr>
                <w:sz w:val="20"/>
                <w:szCs w:val="20"/>
                <w:color w:val="auto"/>
              </w:rPr>
            </w:pPr>
            <w:r>
              <w:rPr>
                <w:rFonts w:ascii="Arial" w:cs="Arial" w:eastAsia="Arial" w:hAnsi="Arial"/>
                <w:sz w:val="14"/>
                <w:szCs w:val="14"/>
                <w:b w:val="1"/>
                <w:bCs w:val="1"/>
                <w:color w:val="auto"/>
              </w:rPr>
              <w:t>January 30,</w:t>
            </w:r>
          </w:p>
        </w:tc>
        <w:tc>
          <w:tcPr>
            <w:tcW w:w="180" w:type="dxa"/>
            <w:vAlign w:val="bottom"/>
          </w:tcPr>
          <w:p>
            <w:pPr>
              <w:spacing w:after="0"/>
              <w:rPr>
                <w:sz w:val="15"/>
                <w:szCs w:val="15"/>
                <w:color w:val="auto"/>
              </w:rPr>
            </w:pPr>
          </w:p>
        </w:tc>
        <w:tc>
          <w:tcPr>
            <w:tcW w:w="1000" w:type="dxa"/>
            <w:vAlign w:val="bottom"/>
          </w:tcPr>
          <w:p>
            <w:pPr>
              <w:jc w:val="right"/>
              <w:ind w:right="133"/>
              <w:spacing w:after="0"/>
              <w:rPr>
                <w:sz w:val="20"/>
                <w:szCs w:val="20"/>
                <w:color w:val="auto"/>
              </w:rPr>
            </w:pPr>
            <w:r>
              <w:rPr>
                <w:rFonts w:ascii="Arial" w:cs="Arial" w:eastAsia="Arial" w:hAnsi="Arial"/>
                <w:sz w:val="14"/>
                <w:szCs w:val="14"/>
                <w:color w:val="auto"/>
              </w:rPr>
              <w:t>January 31,</w:t>
            </w:r>
          </w:p>
        </w:tc>
        <w:tc>
          <w:tcPr>
            <w:tcW w:w="200" w:type="dxa"/>
            <w:vAlign w:val="bottom"/>
          </w:tcPr>
          <w:p>
            <w:pPr>
              <w:spacing w:after="0"/>
              <w:rPr>
                <w:sz w:val="15"/>
                <w:szCs w:val="15"/>
                <w:color w:val="auto"/>
              </w:rPr>
            </w:pPr>
          </w:p>
        </w:tc>
        <w:tc>
          <w:tcPr>
            <w:tcW w:w="1000" w:type="dxa"/>
            <w:vAlign w:val="bottom"/>
          </w:tcPr>
          <w:p>
            <w:pPr>
              <w:jc w:val="right"/>
              <w:ind w:right="154"/>
              <w:spacing w:after="0"/>
              <w:rPr>
                <w:sz w:val="20"/>
                <w:szCs w:val="20"/>
                <w:color w:val="auto"/>
              </w:rPr>
            </w:pPr>
            <w:r>
              <w:rPr>
                <w:rFonts w:ascii="Arial" w:cs="Arial" w:eastAsia="Arial" w:hAnsi="Arial"/>
                <w:sz w:val="14"/>
                <w:szCs w:val="14"/>
                <w:color w:val="auto"/>
              </w:rPr>
              <w:t>January 31,</w:t>
            </w:r>
          </w:p>
        </w:tc>
        <w:tc>
          <w:tcPr>
            <w:tcW w:w="1180" w:type="dxa"/>
            <w:vAlign w:val="bottom"/>
            <w:gridSpan w:val="2"/>
          </w:tcPr>
          <w:p>
            <w:pPr>
              <w:jc w:val="right"/>
              <w:ind w:right="91"/>
              <w:spacing w:after="0"/>
              <w:rPr>
                <w:sz w:val="20"/>
                <w:szCs w:val="20"/>
                <w:color w:val="auto"/>
              </w:rPr>
            </w:pPr>
            <w:r>
              <w:rPr>
                <w:rFonts w:ascii="Arial" w:cs="Arial" w:eastAsia="Arial" w:hAnsi="Arial"/>
                <w:sz w:val="14"/>
                <w:szCs w:val="14"/>
                <w:color w:val="auto"/>
              </w:rPr>
              <w:t>Dollar change</w:t>
            </w: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Percent</w:t>
            </w:r>
          </w:p>
        </w:tc>
        <w:tc>
          <w:tcPr>
            <w:tcW w:w="1200" w:type="dxa"/>
            <w:vAlign w:val="bottom"/>
            <w:gridSpan w:val="2"/>
          </w:tcPr>
          <w:p>
            <w:pPr>
              <w:jc w:val="right"/>
              <w:ind w:right="111"/>
              <w:spacing w:after="0"/>
              <w:rPr>
                <w:sz w:val="20"/>
                <w:szCs w:val="20"/>
                <w:color w:val="auto"/>
              </w:rPr>
            </w:pPr>
            <w:r>
              <w:rPr>
                <w:rFonts w:ascii="Arial" w:cs="Arial" w:eastAsia="Arial" w:hAnsi="Arial"/>
                <w:sz w:val="14"/>
                <w:szCs w:val="14"/>
                <w:color w:val="auto"/>
              </w:rPr>
              <w:t>Dollar change</w:t>
            </w:r>
          </w:p>
        </w:tc>
        <w:tc>
          <w:tcPr>
            <w:tcW w:w="980" w:type="dxa"/>
            <w:vAlign w:val="bottom"/>
          </w:tcPr>
          <w:p>
            <w:pPr>
              <w:jc w:val="right"/>
              <w:ind w:right="232"/>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right"/>
              <w:ind w:right="131"/>
              <w:spacing w:after="0"/>
              <w:rPr>
                <w:sz w:val="20"/>
                <w:szCs w:val="20"/>
                <w:color w:val="auto"/>
              </w:rPr>
            </w:pPr>
            <w:r>
              <w:rPr>
                <w:rFonts w:ascii="Arial" w:cs="Arial" w:eastAsia="Arial" w:hAnsi="Arial"/>
                <w:sz w:val="14"/>
                <w:szCs w:val="14"/>
                <w:color w:val="auto"/>
              </w:rPr>
              <w:t>(dollars in millions)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5,063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5,755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6,449</w:t>
            </w:r>
          </w:p>
        </w:tc>
        <w:tc>
          <w:tcPr>
            <w:tcW w:w="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(692)</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(694)</w:t>
            </w: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3"/>
                <w:szCs w:val="23"/>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4,392</w:t>
            </w:r>
          </w:p>
        </w:tc>
        <w:tc>
          <w:tcPr>
            <w:tcW w:w="18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4,992</w:t>
            </w:r>
          </w:p>
        </w:tc>
        <w:tc>
          <w:tcPr>
            <w:tcW w:w="20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5,548</w:t>
            </w:r>
          </w:p>
        </w:tc>
        <w:tc>
          <w:tcPr>
            <w:tcW w:w="38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(600)</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(556)</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6"/>
        </w:trPr>
        <w:tc>
          <w:tcPr>
            <w:tcW w:w="33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180"/>
              <w:spacing w:after="0"/>
              <w:rPr>
                <w:sz w:val="20"/>
                <w:szCs w:val="20"/>
                <w:color w:val="auto"/>
              </w:rPr>
            </w:pPr>
            <w:r>
              <w:rPr>
                <w:rFonts w:ascii="Arial" w:cs="Arial" w:eastAsia="Arial" w:hAnsi="Arial"/>
                <w:sz w:val="18"/>
                <w:szCs w:val="18"/>
                <w:color w:val="auto"/>
              </w:rPr>
              <w:t>General and administrative (G&amp;A)</w:t>
            </w:r>
          </w:p>
        </w:tc>
        <w:tc>
          <w:tcPr>
            <w:tcW w:w="160" w:type="dxa"/>
            <w:vAlign w:val="bottom"/>
          </w:tcPr>
          <w:p>
            <w:pPr>
              <w:spacing w:after="0"/>
              <w:rPr>
                <w:sz w:val="22"/>
                <w:szCs w:val="22"/>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205</w:t>
            </w:r>
          </w:p>
        </w:tc>
        <w:tc>
          <w:tcPr>
            <w:tcW w:w="18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(120)</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98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Bid and proposal (B&amp;P)</w:t>
            </w:r>
          </w:p>
        </w:tc>
        <w:tc>
          <w:tcPr>
            <w:tcW w:w="160" w:type="dxa"/>
            <w:vAlign w:val="bottom"/>
          </w:tcPr>
          <w:p>
            <w:pPr>
              <w:spacing w:after="0"/>
              <w:rPr>
                <w:sz w:val="23"/>
                <w:szCs w:val="23"/>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68</w:t>
            </w:r>
          </w:p>
        </w:tc>
        <w:tc>
          <w:tcPr>
            <w:tcW w:w="18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109</w:t>
            </w:r>
          </w:p>
        </w:tc>
        <w:tc>
          <w:tcPr>
            <w:tcW w:w="38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6"/>
        </w:trPr>
        <w:tc>
          <w:tcPr>
            <w:tcW w:w="3360" w:type="dxa"/>
            <w:vAlign w:val="bottom"/>
          </w:tcPr>
          <w:p>
            <w:pPr>
              <w:ind w:left="180"/>
              <w:spacing w:after="0"/>
              <w:rPr>
                <w:sz w:val="20"/>
                <w:szCs w:val="20"/>
                <w:color w:val="auto"/>
              </w:rPr>
            </w:pPr>
            <w:r>
              <w:rPr>
                <w:rFonts w:ascii="Arial" w:cs="Arial" w:eastAsia="Arial" w:hAnsi="Arial"/>
                <w:sz w:val="18"/>
                <w:szCs w:val="18"/>
                <w:color w:val="auto"/>
              </w:rPr>
              <w:t>Internal research and development</w:t>
            </w:r>
          </w:p>
        </w:tc>
        <w:tc>
          <w:tcPr>
            <w:tcW w:w="160" w:type="dxa"/>
            <w:vAlign w:val="bottom"/>
          </w:tcPr>
          <w:p>
            <w:pPr>
              <w:spacing w:after="0"/>
              <w:rPr>
                <w:sz w:val="22"/>
                <w:szCs w:val="22"/>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7"/>
        </w:trPr>
        <w:tc>
          <w:tcPr>
            <w:tcW w:w="3360" w:type="dxa"/>
            <w:vAlign w:val="bottom"/>
          </w:tcPr>
          <w:p>
            <w:pPr>
              <w:ind w:left="180"/>
              <w:spacing w:after="0"/>
              <w:rPr>
                <w:sz w:val="20"/>
                <w:szCs w:val="20"/>
                <w:color w:val="auto"/>
              </w:rPr>
            </w:pPr>
            <w:r>
              <w:rPr>
                <w:rFonts w:ascii="Arial" w:cs="Arial" w:eastAsia="Arial" w:hAnsi="Arial"/>
                <w:sz w:val="18"/>
                <w:szCs w:val="18"/>
                <w:color w:val="auto"/>
              </w:rPr>
              <w:t>(IR&amp;D)</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23"/>
                <w:szCs w:val="23"/>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(39)</w:t>
            </w: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23"/>
                <w:szCs w:val="23"/>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980" w:type="dxa"/>
            <w:vAlign w:val="bottom"/>
          </w:tcPr>
          <w:p>
            <w:pPr>
              <w:jc w:val="right"/>
              <w:ind w:right="172"/>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23"/>
                <w:szCs w:val="23"/>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486</w:t>
            </w:r>
          </w:p>
        </w:tc>
        <w:tc>
          <w:tcPr>
            <w:tcW w:w="18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486</w:t>
            </w:r>
          </w:p>
        </w:tc>
        <w:tc>
          <w:tcPr>
            <w:tcW w:w="1020" w:type="dxa"/>
            <w:vAlign w:val="bottom"/>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23"/>
                <w:szCs w:val="23"/>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Asset impairment charges</w:t>
            </w:r>
          </w:p>
        </w:tc>
        <w:tc>
          <w:tcPr>
            <w:tcW w:w="160" w:type="dxa"/>
            <w:vAlign w:val="bottom"/>
          </w:tcPr>
          <w:p>
            <w:pPr>
              <w:spacing w:after="0"/>
              <w:rPr>
                <w:sz w:val="22"/>
                <w:szCs w:val="22"/>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81</w:t>
            </w:r>
          </w:p>
        </w:tc>
        <w:tc>
          <w:tcPr>
            <w:tcW w:w="18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30</w:t>
            </w:r>
          </w:p>
        </w:tc>
        <w:tc>
          <w:tcPr>
            <w:tcW w:w="1020" w:type="dxa"/>
            <w:vAlign w:val="bottom"/>
          </w:tcPr>
          <w:p>
            <w:pPr>
              <w:jc w:val="right"/>
              <w:spacing w:after="0"/>
              <w:rPr>
                <w:sz w:val="20"/>
                <w:szCs w:val="20"/>
                <w:color w:val="auto"/>
              </w:rPr>
            </w:pPr>
            <w:r>
              <w:rPr>
                <w:rFonts w:ascii="Arial" w:cs="Arial" w:eastAsia="Arial" w:hAnsi="Arial"/>
                <w:sz w:val="18"/>
                <w:szCs w:val="18"/>
                <w:color w:val="auto"/>
              </w:rPr>
              <w:t>59 %</w:t>
            </w:r>
          </w:p>
        </w:tc>
        <w:tc>
          <w:tcPr>
            <w:tcW w:w="40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6"/>
        </w:trPr>
        <w:tc>
          <w:tcPr>
            <w:tcW w:w="3360" w:type="dxa"/>
            <w:vAlign w:val="bottom"/>
          </w:tcPr>
          <w:p>
            <w:pPr>
              <w:ind w:left="40"/>
              <w:spacing w:after="0"/>
              <w:rPr>
                <w:sz w:val="20"/>
                <w:szCs w:val="20"/>
                <w:color w:val="auto"/>
              </w:rPr>
            </w:pPr>
            <w:r>
              <w:rPr>
                <w:rFonts w:ascii="Arial" w:cs="Arial" w:eastAsia="Arial" w:hAnsi="Arial"/>
                <w:sz w:val="18"/>
                <w:szCs w:val="18"/>
                <w:color w:val="auto"/>
              </w:rPr>
              <w:t>Separation transaction and restructuring</w:t>
            </w:r>
          </w:p>
        </w:tc>
        <w:tc>
          <w:tcPr>
            <w:tcW w:w="160" w:type="dxa"/>
            <w:vAlign w:val="bottom"/>
          </w:tcPr>
          <w:p>
            <w:pPr>
              <w:spacing w:after="0"/>
              <w:rPr>
                <w:sz w:val="22"/>
                <w:szCs w:val="22"/>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22"/>
                <w:szCs w:val="22"/>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2"/>
                <w:szCs w:val="22"/>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980" w:type="dxa"/>
            <w:vAlign w:val="bottom"/>
          </w:tcPr>
          <w:p>
            <w:pPr>
              <w:jc w:val="right"/>
              <w:ind w:right="172"/>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4"/>
        </w:trPr>
        <w:tc>
          <w:tcPr>
            <w:tcW w:w="3360" w:type="dxa"/>
            <w:vAlign w:val="bottom"/>
          </w:tcPr>
          <w:p>
            <w:pPr>
              <w:ind w:left="200"/>
              <w:spacing w:after="0"/>
              <w:rPr>
                <w:sz w:val="20"/>
                <w:szCs w:val="20"/>
                <w:color w:val="auto"/>
              </w:rPr>
            </w:pPr>
            <w:r>
              <w:rPr>
                <w:rFonts w:ascii="Arial" w:cs="Arial" w:eastAsia="Arial" w:hAnsi="Arial"/>
                <w:sz w:val="18"/>
                <w:szCs w:val="18"/>
                <w:color w:val="auto"/>
              </w:rPr>
              <w:t>expenses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b w:val="1"/>
                <w:bCs w:val="1"/>
                <w:color w:val="auto"/>
              </w:rPr>
              <w:t>(214)</w:t>
            </w:r>
          </w:p>
        </w:tc>
        <w:tc>
          <w:tcPr>
            <w:tcW w:w="18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421</w:t>
            </w:r>
          </w:p>
        </w:tc>
        <w:tc>
          <w:tcPr>
            <w:tcW w:w="3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(377)</w:t>
            </w:r>
          </w:p>
        </w:tc>
        <w:tc>
          <w:tcPr>
            <w:tcW w:w="1020" w:type="dxa"/>
            <w:vAlign w:val="bottom"/>
          </w:tcPr>
          <w:p>
            <w:pPr>
              <w:jc w:val="right"/>
              <w:ind w:right="212"/>
              <w:spacing w:after="0"/>
              <w:rPr>
                <w:sz w:val="20"/>
                <w:szCs w:val="20"/>
                <w:color w:val="auto"/>
              </w:rPr>
            </w:pPr>
            <w:r>
              <w:rPr>
                <w:rFonts w:ascii="Arial" w:cs="Arial" w:eastAsia="Arial" w:hAnsi="Arial"/>
                <w:sz w:val="18"/>
                <w:szCs w:val="18"/>
                <w:i w:val="1"/>
                <w:iCs w:val="1"/>
                <w:color w:val="auto"/>
              </w:rPr>
              <w:t>NM</w:t>
            </w: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(258)</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1"/>
        </w:trPr>
        <w:tc>
          <w:tcPr>
            <w:tcW w:w="3360" w:type="dxa"/>
            <w:vAlign w:val="bottom"/>
          </w:tcPr>
          <w:p>
            <w:pPr>
              <w:ind w:left="180"/>
              <w:spacing w:after="0"/>
              <w:rPr>
                <w:sz w:val="20"/>
                <w:szCs w:val="20"/>
                <w:color w:val="auto"/>
              </w:rPr>
            </w:pPr>
            <w:r>
              <w:rPr>
                <w:rFonts w:ascii="Arial" w:cs="Arial" w:eastAsia="Arial" w:hAnsi="Arial"/>
                <w:sz w:val="14"/>
                <w:szCs w:val="14"/>
                <w:i w:val="1"/>
                <w:iCs w:val="1"/>
                <w:color w:val="auto"/>
              </w:rPr>
              <w:t>Operating (loss) income margin</w:t>
            </w:r>
          </w:p>
        </w:tc>
        <w:tc>
          <w:tcPr>
            <w:tcW w:w="1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4"/>
                <w:szCs w:val="14"/>
                <w:b w:val="1"/>
                <w:bCs w:val="1"/>
                <w:i w:val="1"/>
                <w:iCs w:val="1"/>
                <w:color w:val="auto"/>
              </w:rPr>
              <w:t>(4.2)%</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i w:val="1"/>
                <w:iCs w:val="1"/>
                <w:color w:val="auto"/>
              </w:rPr>
              <w:t>2.8%</w:t>
            </w:r>
          </w:p>
        </w:tc>
        <w:tc>
          <w:tcPr>
            <w:tcW w:w="20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4"/>
                <w:szCs w:val="14"/>
                <w:i w:val="1"/>
                <w:iCs w:val="1"/>
                <w:color w:val="auto"/>
              </w:rPr>
              <w:t>6.5%</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3360" w:type="dxa"/>
            <w:vAlign w:val="bottom"/>
          </w:tcPr>
          <w:p>
            <w:pPr>
              <w:ind w:left="40"/>
              <w:spacing w:after="0"/>
              <w:rPr>
                <w:sz w:val="20"/>
                <w:szCs w:val="20"/>
                <w:color w:val="auto"/>
              </w:rPr>
            </w:pPr>
            <w:r>
              <w:rPr>
                <w:rFonts w:ascii="Arial" w:cs="Arial" w:eastAsia="Arial" w:hAnsi="Arial"/>
                <w:sz w:val="18"/>
                <w:szCs w:val="18"/>
                <w:color w:val="auto"/>
              </w:rPr>
              <w:t>Non-operating expense, net</w:t>
            </w:r>
          </w:p>
        </w:tc>
        <w:tc>
          <w:tcPr>
            <w:tcW w:w="16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24"/>
                <w:szCs w:val="24"/>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24"/>
                <w:szCs w:val="24"/>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8 %</w:t>
            </w:r>
          </w:p>
        </w:tc>
        <w:tc>
          <w:tcPr>
            <w:tcW w:w="400" w:type="dxa"/>
            <w:vAlign w:val="bottom"/>
          </w:tcPr>
          <w:p>
            <w:pPr>
              <w:spacing w:after="0"/>
              <w:rPr>
                <w:sz w:val="24"/>
                <w:szCs w:val="24"/>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9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40"/>
              <w:spacing w:after="0"/>
              <w:rPr>
                <w:sz w:val="20"/>
                <w:szCs w:val="20"/>
                <w:color w:val="auto"/>
              </w:rPr>
            </w:pPr>
            <w:r>
              <w:rPr>
                <w:rFonts w:ascii="Arial" w:cs="Arial" w:eastAsia="Arial" w:hAnsi="Arial"/>
                <w:sz w:val="18"/>
                <w:szCs w:val="18"/>
                <w:color w:val="auto"/>
              </w:rPr>
              <w:t>(Loss) income from continuing</w:t>
            </w:r>
          </w:p>
        </w:tc>
        <w:tc>
          <w:tcPr>
            <w:tcW w:w="160" w:type="dxa"/>
            <w:vAlign w:val="bottom"/>
          </w:tcPr>
          <w:p>
            <w:pPr>
              <w:spacing w:after="0"/>
              <w:rPr>
                <w:sz w:val="18"/>
                <w:szCs w:val="18"/>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b w:val="1"/>
                <w:bCs w:val="1"/>
                <w:color w:val="auto"/>
              </w:rPr>
              <w:t>(283)</w:t>
            </w:r>
          </w:p>
        </w:tc>
        <w:tc>
          <w:tcPr>
            <w:tcW w:w="18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(371)</w:t>
            </w:r>
          </w:p>
        </w:tc>
        <w:tc>
          <w:tcPr>
            <w:tcW w:w="1020" w:type="dxa"/>
            <w:vAlign w:val="bottom"/>
          </w:tcPr>
          <w:p>
            <w:pPr>
              <w:jc w:val="right"/>
              <w:ind w:right="212"/>
              <w:spacing w:after="0"/>
              <w:rPr>
                <w:sz w:val="20"/>
                <w:szCs w:val="20"/>
                <w:color w:val="auto"/>
              </w:rPr>
            </w:pPr>
            <w:r>
              <w:rPr>
                <w:rFonts w:ascii="Arial" w:cs="Arial" w:eastAsia="Arial" w:hAnsi="Arial"/>
                <w:sz w:val="18"/>
                <w:szCs w:val="18"/>
                <w:i w:val="1"/>
                <w:iCs w:val="1"/>
                <w:color w:val="auto"/>
              </w:rPr>
              <w:t>NM</w:t>
            </w:r>
          </w:p>
        </w:tc>
        <w:tc>
          <w:tcPr>
            <w:tcW w:w="40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(257)</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3360" w:type="dxa"/>
            <w:vAlign w:val="bottom"/>
          </w:tcPr>
          <w:p>
            <w:pPr>
              <w:ind w:left="1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2"/>
                <w:szCs w:val="22"/>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22"/>
                <w:szCs w:val="22"/>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2"/>
                <w:szCs w:val="22"/>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2"/>
                <w:szCs w:val="22"/>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(43)</w:t>
            </w:r>
          </w:p>
        </w:tc>
        <w:tc>
          <w:tcPr>
            <w:tcW w:w="1020" w:type="dxa"/>
            <w:vAlign w:val="bottom"/>
          </w:tcPr>
          <w:p>
            <w:pPr>
              <w:jc w:val="right"/>
              <w:ind w:right="212"/>
              <w:spacing w:after="0"/>
              <w:rPr>
                <w:sz w:val="20"/>
                <w:szCs w:val="20"/>
                <w:color w:val="auto"/>
              </w:rPr>
            </w:pPr>
            <w:r>
              <w:rPr>
                <w:rFonts w:ascii="Arial" w:cs="Arial" w:eastAsia="Arial" w:hAnsi="Arial"/>
                <w:sz w:val="18"/>
                <w:szCs w:val="18"/>
                <w:i w:val="1"/>
                <w:iCs w:val="1"/>
                <w:color w:val="auto"/>
              </w:rPr>
              <w:t>NM</w:t>
            </w:r>
          </w:p>
        </w:tc>
        <w:tc>
          <w:tcPr>
            <w:tcW w:w="400" w:type="dxa"/>
            <w:vAlign w:val="bottom"/>
          </w:tcPr>
          <w:p>
            <w:pPr>
              <w:spacing w:after="0"/>
              <w:rPr>
                <w:sz w:val="22"/>
                <w:szCs w:val="22"/>
                <w:color w:val="auto"/>
              </w:rPr>
            </w:pPr>
          </w:p>
        </w:tc>
        <w:tc>
          <w:tcPr>
            <w:tcW w:w="80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40"/>
              <w:spacing w:after="0"/>
              <w:rPr>
                <w:sz w:val="20"/>
                <w:szCs w:val="20"/>
                <w:color w:val="auto"/>
              </w:rPr>
            </w:pPr>
            <w:r>
              <w:rPr>
                <w:rFonts w:ascii="Arial" w:cs="Arial" w:eastAsia="Arial" w:hAnsi="Arial"/>
                <w:sz w:val="18"/>
                <w:szCs w:val="18"/>
                <w:color w:val="auto"/>
              </w:rPr>
              <w:t>(Loss) income from continuing</w:t>
            </w:r>
          </w:p>
        </w:tc>
        <w:tc>
          <w:tcPr>
            <w:tcW w:w="160" w:type="dxa"/>
            <w:vAlign w:val="bottom"/>
          </w:tcPr>
          <w:p>
            <w:pPr>
              <w:spacing w:after="0"/>
              <w:rPr>
                <w:sz w:val="18"/>
                <w:szCs w:val="18"/>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b w:val="1"/>
                <w:bCs w:val="1"/>
                <w:color w:val="auto"/>
              </w:rPr>
              <w:t>(330)</w:t>
            </w:r>
          </w:p>
        </w:tc>
        <w:tc>
          <w:tcPr>
            <w:tcW w:w="18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(414)</w:t>
            </w:r>
          </w:p>
        </w:tc>
        <w:tc>
          <w:tcPr>
            <w:tcW w:w="1020" w:type="dxa"/>
            <w:vAlign w:val="bottom"/>
          </w:tcPr>
          <w:p>
            <w:pPr>
              <w:jc w:val="right"/>
              <w:ind w:right="212"/>
              <w:spacing w:after="0"/>
              <w:rPr>
                <w:sz w:val="20"/>
                <w:szCs w:val="20"/>
                <w:color w:val="auto"/>
              </w:rPr>
            </w:pPr>
            <w:r>
              <w:rPr>
                <w:rFonts w:ascii="Arial" w:cs="Arial" w:eastAsia="Arial" w:hAnsi="Arial"/>
                <w:sz w:val="18"/>
                <w:szCs w:val="18"/>
                <w:i w:val="1"/>
                <w:iCs w:val="1"/>
                <w:color w:val="auto"/>
              </w:rPr>
              <w:t>NM</w:t>
            </w:r>
          </w:p>
        </w:tc>
        <w:tc>
          <w:tcPr>
            <w:tcW w:w="400" w:type="dxa"/>
            <w:vAlign w:val="bottom"/>
          </w:tcPr>
          <w:p>
            <w:pPr>
              <w:spacing w:after="0"/>
              <w:rPr>
                <w:sz w:val="18"/>
                <w:szCs w:val="18"/>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(239)</w:t>
            </w: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7"/>
        </w:trPr>
        <w:tc>
          <w:tcPr>
            <w:tcW w:w="336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6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Pr>
          <w:p>
            <w:pPr>
              <w:spacing w:after="0"/>
              <w:rPr>
                <w:sz w:val="21"/>
                <w:szCs w:val="21"/>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b w:val="1"/>
                <w:bCs w:val="1"/>
                <w:color w:val="auto"/>
              </w:rPr>
              <w:t>7</w:t>
            </w:r>
          </w:p>
        </w:tc>
        <w:tc>
          <w:tcPr>
            <w:tcW w:w="18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202</w:t>
            </w:r>
          </w:p>
        </w:tc>
        <w:tc>
          <w:tcPr>
            <w:tcW w:w="38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(73)</w:t>
            </w: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(122)</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336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13"/>
              <w:spacing w:after="0"/>
              <w:rPr>
                <w:sz w:val="20"/>
                <w:szCs w:val="20"/>
                <w:color w:val="auto"/>
              </w:rPr>
            </w:pPr>
            <w:r>
              <w:rPr>
                <w:rFonts w:ascii="Arial" w:cs="Arial" w:eastAsia="Arial" w:hAnsi="Arial"/>
                <w:sz w:val="18"/>
                <w:szCs w:val="18"/>
                <w:b w:val="1"/>
                <w:bCs w:val="1"/>
                <w:color w:val="auto"/>
              </w:rPr>
              <w:t>(323)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525</w:t>
            </w:r>
          </w:p>
        </w:tc>
        <w:tc>
          <w:tcPr>
            <w:tcW w:w="3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(487)</w:t>
            </w:r>
          </w:p>
        </w:tc>
        <w:tc>
          <w:tcPr>
            <w:tcW w:w="1020" w:type="dxa"/>
            <w:vAlign w:val="bottom"/>
          </w:tcPr>
          <w:p>
            <w:pPr>
              <w:jc w:val="right"/>
              <w:ind w:right="212"/>
              <w:spacing w:after="0"/>
              <w:rPr>
                <w:sz w:val="20"/>
                <w:szCs w:val="20"/>
                <w:color w:val="auto"/>
              </w:rPr>
            </w:pPr>
            <w:r>
              <w:rPr>
                <w:rFonts w:ascii="Arial" w:cs="Arial" w:eastAsia="Arial" w:hAnsi="Arial"/>
                <w:sz w:val="18"/>
                <w:szCs w:val="18"/>
                <w:i w:val="1"/>
                <w:iCs w:val="1"/>
                <w:color w:val="auto"/>
              </w:rPr>
              <w:t>NM</w:t>
            </w:r>
          </w:p>
        </w:tc>
        <w:tc>
          <w:tcPr>
            <w:tcW w:w="4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(361)</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3360" w:type="dxa"/>
            <w:vAlign w:val="bottom"/>
            <w:vMerge w:val="restart"/>
          </w:tcPr>
          <w:p>
            <w:pPr>
              <w:spacing w:after="0"/>
              <w:rPr>
                <w:sz w:val="20"/>
                <w:szCs w:val="20"/>
                <w:color w:val="auto"/>
              </w:rPr>
            </w:pPr>
            <w:r>
              <w:rPr>
                <w:rFonts w:ascii="Arial" w:cs="Arial" w:eastAsia="Arial" w:hAnsi="Arial"/>
                <w:sz w:val="16"/>
                <w:szCs w:val="16"/>
                <w:i w:val="1"/>
                <w:iCs w:val="1"/>
                <w:color w:val="auto"/>
              </w:rPr>
              <w:t>NM - Not meaningful</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classify indirect costs incurred within or allocated to our U.S. Government customers as overhead (included in cost of revenues) and general and administrative expenses in the same manner as such costs are defined in our disclosure statements under U.S. Government Cost Accounting Standards. General and administrative expenses decreased in fiscal 2015 as compared to fiscal 2014 in part due to the aforementioned restructuring plan in fiscal 2014 to align our cost structure for post-separation.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 Impairment Evaluations.</w:t>
      </w:r>
    </w:p>
    <w:p>
      <w:pPr>
        <w:spacing w:after="0" w:line="171" w:lineRule="exact"/>
        <w:rPr>
          <w:sz w:val="20"/>
          <w:szCs w:val="20"/>
          <w:color w:val="auto"/>
        </w:rPr>
      </w:pPr>
    </w:p>
    <w:p>
      <w:pPr>
        <w:jc w:val="both"/>
        <w:ind w:right="260"/>
        <w:spacing w:after="0" w:line="261" w:lineRule="auto"/>
        <w:rPr>
          <w:sz w:val="20"/>
          <w:szCs w:val="20"/>
          <w:color w:val="auto"/>
        </w:rPr>
      </w:pPr>
      <w:r>
        <w:rPr>
          <w:rFonts w:ascii="Arial" w:cs="Arial" w:eastAsia="Arial" w:hAnsi="Arial"/>
          <w:sz w:val="18"/>
          <w:szCs w:val="18"/>
          <w:i w:val="1"/>
          <w:iCs w:val="1"/>
          <w:color w:val="auto"/>
        </w:rPr>
        <w:t xml:space="preserve">Goodwill Interim Impairment Evaluation. </w:t>
      </w:r>
      <w:r>
        <w:rPr>
          <w:rFonts w:ascii="Arial" w:cs="Arial" w:eastAsia="Arial" w:hAnsi="Arial"/>
          <w:sz w:val="18"/>
          <w:szCs w:val="18"/>
          <w:color w:val="auto"/>
        </w:rPr>
        <w:t>In the second quarter of fiscal 2015, our Health Solutions and Engineering reporting units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Health and Engineering reportable segment were adversely impacted by certain unexpected events that caused us to reassess current year and future year performance expectations for both reporting units. Based on significant declines in forecasted revenue volumes and delayed award decisions, we conducted an interim goodwill impairment test using the two-step quantitative approach.</w:t>
      </w:r>
    </w:p>
    <w:p>
      <w:pPr>
        <w:spacing w:after="0" w:line="14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Based on the first step of the two-step quantitative goodwill impairment test performed during the second quarter of fiscal 2015, we determined that the carrying value of both the Health Solutions and Engineering reporting units were greater than the respective estimated fair values of the reporting units, and the second step of the two-step</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43</w:t>
      </w:r>
    </w:p>
    <w:p>
      <w:pPr>
        <w:sectPr>
          <w:pgSz w:w="11900" w:h="16838" w:orient="portrait"/>
          <w:cols w:equalWidth="0" w:num="1">
            <w:col w:w="11400"/>
          </w:cols>
          <w:pgMar w:left="240" w:top="495"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quantitative goodwill impairment test was performed in order to determine the amount of the impairment of the respective reporting units.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a result of the second step evaluation, we recorded goodwill impairment charges in the Health Solutions and Engineering reporting units of $369 million and $117 million, respectively, during the second quarter of fiscal 2015. There were no other goodwill impairment charges as part of the interim goodwill impairment test recorded for the remaining reporting units. See Note 4 within our combined notes to the consolidated financial statements for further information.</w:t>
      </w:r>
    </w:p>
    <w:p>
      <w:pPr>
        <w:spacing w:after="0" w:line="13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Property, Plant &amp; Equipment Evaluation. </w:t>
      </w:r>
      <w:r>
        <w:rPr>
          <w:rFonts w:ascii="Arial" w:cs="Arial" w:eastAsia="Arial" w:hAnsi="Arial"/>
          <w:sz w:val="18"/>
          <w:szCs w:val="18"/>
          <w:color w:val="auto"/>
        </w:rPr>
        <w:t>In March 2015, we entered into a definitive agreement to sell 100% of our equity membership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Plainfield. We adjusted the carrying values of Plainfield's assets to their fair values based on the estimated selling price of the business pursuant to the terms of the agreement (Level 1 fair value measurement). The carrying value exceeded the fair value which resulted in approximately $40 million of impairment charges. The sale transaction is expected to be completed in the first half of 2015.</w:t>
      </w:r>
    </w:p>
    <w:p>
      <w:pPr>
        <w:spacing w:after="0" w:line="12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i w:val="1"/>
          <w:iCs w:val="1"/>
          <w:color w:val="auto"/>
        </w:rPr>
        <w:t xml:space="preserve">Reportable Segment Results. </w:t>
      </w:r>
      <w:r>
        <w:rPr>
          <w:rFonts w:ascii="Arial" w:cs="Arial" w:eastAsia="Arial" w:hAnsi="Arial"/>
          <w:sz w:val="18"/>
          <w:szCs w:val="18"/>
          <w:color w:val="auto"/>
        </w:rPr>
        <w:t>The following table summarizes changes in National Security Solutions revenues and operating income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three fiscal years: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82"/>
              <w:spacing w:after="0"/>
              <w:rPr>
                <w:sz w:val="20"/>
                <w:szCs w:val="20"/>
                <w:color w:val="auto"/>
              </w:rPr>
            </w:pPr>
            <w:r>
              <w:rPr>
                <w:rFonts w:ascii="Arial" w:cs="Arial" w:eastAsia="Arial" w:hAnsi="Arial"/>
                <w:sz w:val="14"/>
                <w:szCs w:val="14"/>
                <w:color w:val="auto"/>
                <w:w w:val="97"/>
              </w:rPr>
              <w:t>Year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gridSpan w:val="2"/>
            <w:vMerge w:val="restart"/>
          </w:tcPr>
          <w:p>
            <w:pPr>
              <w:jc w:val="right"/>
              <w:ind w:right="599"/>
              <w:spacing w:after="0"/>
              <w:rPr>
                <w:sz w:val="20"/>
                <w:szCs w:val="20"/>
                <w:color w:val="auto"/>
              </w:rPr>
            </w:pPr>
            <w:r>
              <w:rPr>
                <w:rFonts w:ascii="Arial" w:cs="Arial" w:eastAsia="Arial" w:hAnsi="Arial"/>
                <w:sz w:val="14"/>
                <w:szCs w:val="14"/>
                <w:color w:val="auto"/>
              </w:rPr>
              <w:t>2015 to 2014</w:t>
            </w:r>
          </w:p>
        </w:tc>
        <w:tc>
          <w:tcPr>
            <w:tcW w:w="400" w:type="dxa"/>
            <w:vAlign w:val="bottom"/>
          </w:tcPr>
          <w:p>
            <w:pPr>
              <w:spacing w:after="0"/>
              <w:rPr>
                <w:sz w:val="14"/>
                <w:szCs w:val="14"/>
                <w:color w:val="auto"/>
              </w:rPr>
            </w:pPr>
          </w:p>
        </w:tc>
        <w:tc>
          <w:tcPr>
            <w:tcW w:w="1800" w:type="dxa"/>
            <w:vAlign w:val="bottom"/>
            <w:gridSpan w:val="2"/>
            <w:vMerge w:val="restart"/>
          </w:tcPr>
          <w:p>
            <w:pPr>
              <w:jc w:val="right"/>
              <w:ind w:right="559"/>
              <w:spacing w:after="0"/>
              <w:rPr>
                <w:sz w:val="20"/>
                <w:szCs w:val="20"/>
                <w:color w:val="auto"/>
              </w:rPr>
            </w:pPr>
            <w:r>
              <w:rPr>
                <w:rFonts w:ascii="Arial" w:cs="Arial" w:eastAsia="Arial" w:hAnsi="Arial"/>
                <w:sz w:val="14"/>
                <w:szCs w:val="14"/>
                <w:color w:val="auto"/>
              </w:rPr>
              <w:t>2014 to 2013</w:t>
            </w:r>
          </w:p>
        </w:tc>
        <w:tc>
          <w:tcPr>
            <w:tcW w:w="0" w:type="dxa"/>
            <w:vAlign w:val="bottom"/>
          </w:tcPr>
          <w:p>
            <w:pPr>
              <w:spacing w:after="0"/>
              <w:rPr>
                <w:sz w:val="1"/>
                <w:szCs w:val="1"/>
                <w:color w:val="auto"/>
              </w:rPr>
            </w:pPr>
          </w:p>
        </w:tc>
      </w:tr>
      <w:tr>
        <w:trPr>
          <w:trHeight w:val="60"/>
        </w:trPr>
        <w:tc>
          <w:tcPr>
            <w:tcW w:w="33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2"/>
            <w:vMerge w:val="continue"/>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201"/>
              <w:spacing w:after="0"/>
              <w:rPr>
                <w:sz w:val="20"/>
                <w:szCs w:val="20"/>
                <w:color w:val="auto"/>
              </w:rPr>
            </w:pPr>
            <w:r>
              <w:rPr>
                <w:rFonts w:ascii="Arial" w:cs="Arial" w:eastAsia="Arial" w:hAnsi="Arial"/>
                <w:sz w:val="14"/>
                <w:szCs w:val="14"/>
                <w:b w:val="1"/>
                <w:bCs w:val="1"/>
                <w:color w:val="auto"/>
              </w:rPr>
              <w:t>January 30,</w:t>
            </w:r>
          </w:p>
        </w:tc>
        <w:tc>
          <w:tcPr>
            <w:tcW w:w="180" w:type="dxa"/>
            <w:vAlign w:val="bottom"/>
          </w:tcPr>
          <w:p>
            <w:pPr>
              <w:spacing w:after="0"/>
              <w:rPr>
                <w:sz w:val="15"/>
                <w:szCs w:val="15"/>
                <w:color w:val="auto"/>
              </w:rPr>
            </w:pPr>
          </w:p>
        </w:tc>
        <w:tc>
          <w:tcPr>
            <w:tcW w:w="1000" w:type="dxa"/>
            <w:vAlign w:val="bottom"/>
          </w:tcPr>
          <w:p>
            <w:pPr>
              <w:jc w:val="right"/>
              <w:ind w:right="142"/>
              <w:spacing w:after="0"/>
              <w:rPr>
                <w:sz w:val="20"/>
                <w:szCs w:val="20"/>
                <w:color w:val="auto"/>
              </w:rPr>
            </w:pPr>
            <w:r>
              <w:rPr>
                <w:rFonts w:ascii="Arial" w:cs="Arial" w:eastAsia="Arial" w:hAnsi="Arial"/>
                <w:sz w:val="14"/>
                <w:szCs w:val="14"/>
                <w:color w:val="auto"/>
              </w:rPr>
              <w:t>January 31,</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January 31,</w:t>
            </w:r>
          </w:p>
        </w:tc>
        <w:tc>
          <w:tcPr>
            <w:tcW w:w="1400" w:type="dxa"/>
            <w:vAlign w:val="bottom"/>
            <w:gridSpan w:val="2"/>
          </w:tcPr>
          <w:p>
            <w:pPr>
              <w:jc w:val="right"/>
              <w:ind w:right="116"/>
              <w:spacing w:after="0"/>
              <w:rPr>
                <w:sz w:val="20"/>
                <w:szCs w:val="20"/>
                <w:color w:val="auto"/>
              </w:rPr>
            </w:pPr>
            <w:r>
              <w:rPr>
                <w:rFonts w:ascii="Arial" w:cs="Arial" w:eastAsia="Arial" w:hAnsi="Arial"/>
                <w:sz w:val="14"/>
                <w:szCs w:val="14"/>
                <w:color w:val="auto"/>
              </w:rPr>
              <w:t>Dollar change</w:t>
            </w:r>
          </w:p>
        </w:tc>
        <w:tc>
          <w:tcPr>
            <w:tcW w:w="1020" w:type="dxa"/>
            <w:vAlign w:val="bottom"/>
          </w:tcPr>
          <w:p>
            <w:pPr>
              <w:jc w:val="right"/>
              <w:ind w:right="279"/>
              <w:spacing w:after="0"/>
              <w:rPr>
                <w:sz w:val="20"/>
                <w:szCs w:val="20"/>
                <w:color w:val="auto"/>
              </w:rPr>
            </w:pPr>
            <w:r>
              <w:rPr>
                <w:rFonts w:ascii="Arial" w:cs="Arial" w:eastAsia="Arial" w:hAnsi="Arial"/>
                <w:sz w:val="14"/>
                <w:szCs w:val="14"/>
                <w:color w:val="auto"/>
              </w:rPr>
              <w:t>Percent</w:t>
            </w:r>
          </w:p>
        </w:tc>
        <w:tc>
          <w:tcPr>
            <w:tcW w:w="1200" w:type="dxa"/>
            <w:vAlign w:val="bottom"/>
            <w:gridSpan w:val="2"/>
          </w:tcPr>
          <w:p>
            <w:pPr>
              <w:jc w:val="right"/>
              <w:ind w:right="116"/>
              <w:spacing w:after="0"/>
              <w:rPr>
                <w:sz w:val="20"/>
                <w:szCs w:val="20"/>
                <w:color w:val="auto"/>
              </w:rPr>
            </w:pPr>
            <w:r>
              <w:rPr>
                <w:rFonts w:ascii="Arial" w:cs="Arial" w:eastAsia="Arial" w:hAnsi="Arial"/>
                <w:sz w:val="14"/>
                <w:szCs w:val="14"/>
                <w:color w:val="auto"/>
              </w:rPr>
              <w:t>Dollar change</w:t>
            </w:r>
          </w:p>
        </w:tc>
        <w:tc>
          <w:tcPr>
            <w:tcW w:w="1000" w:type="dxa"/>
            <w:vAlign w:val="bottom"/>
          </w:tcPr>
          <w:p>
            <w:pPr>
              <w:jc w:val="right"/>
              <w:ind w:right="239"/>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National Security Solutions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change</w:t>
            </w: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0" w:type="dxa"/>
            <w:vAlign w:val="bottom"/>
            <w:gridSpan w:val="2"/>
          </w:tcPr>
          <w:p>
            <w:pPr>
              <w:jc w:val="right"/>
              <w:ind w:right="116"/>
              <w:spacing w:after="0"/>
              <w:rPr>
                <w:sz w:val="20"/>
                <w:szCs w:val="20"/>
                <w:color w:val="auto"/>
              </w:rPr>
            </w:pPr>
            <w:r>
              <w:rPr>
                <w:rFonts w:ascii="Arial" w:cs="Arial" w:eastAsia="Arial" w:hAnsi="Arial"/>
                <w:sz w:val="14"/>
                <w:szCs w:val="14"/>
                <w:color w:val="auto"/>
              </w:rPr>
              <w:t>(dollars in millions)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41"/>
              <w:spacing w:after="0"/>
              <w:rPr>
                <w:sz w:val="20"/>
                <w:szCs w:val="20"/>
                <w:color w:val="auto"/>
              </w:rPr>
            </w:pPr>
            <w:r>
              <w:rPr>
                <w:rFonts w:ascii="Arial" w:cs="Arial" w:eastAsia="Arial" w:hAnsi="Arial"/>
                <w:sz w:val="18"/>
                <w:szCs w:val="18"/>
                <w:b w:val="1"/>
                <w:bCs w:val="1"/>
                <w:color w:val="auto"/>
              </w:rPr>
              <w:t>3,594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4,049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4,650</w:t>
            </w:r>
          </w:p>
        </w:tc>
        <w:tc>
          <w:tcPr>
            <w:tcW w:w="58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(455)</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(601)</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33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3"/>
                <w:szCs w:val="23"/>
                <w:color w:val="auto"/>
              </w:rPr>
            </w:pPr>
          </w:p>
        </w:tc>
        <w:tc>
          <w:tcPr>
            <w:tcW w:w="1080" w:type="dxa"/>
            <w:vAlign w:val="bottom"/>
          </w:tcPr>
          <w:p>
            <w:pPr>
              <w:jc w:val="right"/>
              <w:ind w:right="141"/>
              <w:spacing w:after="0"/>
              <w:rPr>
                <w:sz w:val="20"/>
                <w:szCs w:val="20"/>
                <w:color w:val="auto"/>
              </w:rPr>
            </w:pPr>
            <w:r>
              <w:rPr>
                <w:rFonts w:ascii="Arial" w:cs="Arial" w:eastAsia="Arial" w:hAnsi="Arial"/>
                <w:sz w:val="18"/>
                <w:szCs w:val="18"/>
                <w:b w:val="1"/>
                <w:bCs w:val="1"/>
                <w:color w:val="auto"/>
              </w:rPr>
              <w:t>286</w:t>
            </w:r>
          </w:p>
        </w:tc>
        <w:tc>
          <w:tcPr>
            <w:tcW w:w="180" w:type="dxa"/>
            <w:vAlign w:val="bottom"/>
          </w:tcPr>
          <w:p>
            <w:pPr>
              <w:spacing w:after="0"/>
              <w:rPr>
                <w:sz w:val="23"/>
                <w:szCs w:val="23"/>
                <w:color w:val="auto"/>
              </w:rPr>
            </w:pP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580" w:type="dxa"/>
            <w:vAlign w:val="bottom"/>
          </w:tcPr>
          <w:p>
            <w:pPr>
              <w:spacing w:after="0"/>
              <w:rPr>
                <w:sz w:val="23"/>
                <w:szCs w:val="23"/>
                <w:color w:val="auto"/>
              </w:rPr>
            </w:pP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3"/>
                <w:szCs w:val="23"/>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(68)</w:t>
            </w: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1"/>
        </w:trPr>
        <w:tc>
          <w:tcPr>
            <w:tcW w:w="3360" w:type="dxa"/>
            <w:vAlign w:val="bottom"/>
          </w:tcPr>
          <w:p>
            <w:pPr>
              <w:ind w:left="40"/>
              <w:spacing w:after="0"/>
              <w:rPr>
                <w:sz w:val="20"/>
                <w:szCs w:val="20"/>
                <w:color w:val="auto"/>
              </w:rPr>
            </w:pPr>
            <w:r>
              <w:rPr>
                <w:rFonts w:ascii="Arial" w:cs="Arial" w:eastAsia="Arial" w:hAnsi="Arial"/>
                <w:sz w:val="14"/>
                <w:szCs w:val="14"/>
                <w:i w:val="1"/>
                <w:iCs w:val="1"/>
                <w:color w:val="auto"/>
              </w:rPr>
              <w:t>Operating income margin</w:t>
            </w:r>
          </w:p>
        </w:tc>
        <w:tc>
          <w:tcPr>
            <w:tcW w:w="16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4"/>
                <w:szCs w:val="14"/>
                <w:b w:val="1"/>
                <w:bCs w:val="1"/>
                <w:i w:val="1"/>
                <w:iCs w:val="1"/>
                <w:color w:val="auto"/>
              </w:rPr>
              <w:t>8.0%</w:t>
            </w:r>
          </w:p>
        </w:tc>
        <w:tc>
          <w:tcPr>
            <w:tcW w:w="1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4"/>
                <w:szCs w:val="14"/>
                <w:i w:val="1"/>
                <w:iCs w:val="1"/>
                <w:color w:val="auto"/>
              </w:rPr>
              <w:t>7.2%</w:t>
            </w:r>
          </w:p>
        </w:tc>
        <w:tc>
          <w:tcPr>
            <w:tcW w:w="200" w:type="dxa"/>
            <w:vAlign w:val="bottom"/>
          </w:tcPr>
          <w:p>
            <w:pPr>
              <w:spacing w:after="0"/>
              <w:rPr>
                <w:sz w:val="20"/>
                <w:szCs w:val="20"/>
                <w:color w:val="auto"/>
              </w:rPr>
            </w:pPr>
          </w:p>
        </w:tc>
        <w:tc>
          <w:tcPr>
            <w:tcW w:w="1380" w:type="dxa"/>
            <w:vAlign w:val="bottom"/>
            <w:gridSpan w:val="2"/>
          </w:tcPr>
          <w:p>
            <w:pPr>
              <w:jc w:val="right"/>
              <w:ind w:right="402"/>
              <w:spacing w:after="0"/>
              <w:rPr>
                <w:sz w:val="20"/>
                <w:szCs w:val="20"/>
                <w:color w:val="auto"/>
              </w:rPr>
            </w:pPr>
            <w:r>
              <w:rPr>
                <w:rFonts w:ascii="Arial" w:cs="Arial" w:eastAsia="Arial" w:hAnsi="Arial"/>
                <w:sz w:val="14"/>
                <w:szCs w:val="14"/>
                <w:i w:val="1"/>
                <w:iCs w:val="1"/>
                <w:color w:val="auto"/>
              </w:rPr>
              <w:t>7.7%</w:t>
            </w:r>
          </w:p>
        </w:tc>
        <w:tc>
          <w:tcPr>
            <w:tcW w:w="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National Security Solutions revenues decreased $455 million, or 11%, for fiscal 2015 as compared to fiscal 2014. Revenue contraction was primarily attributable to contract activities tied to the drawdown of overseas U.S. military forces ($320 million) which includes a reduction of airborne programs that support intelligence collection ($153 million) and the ramp down of the Joint Logistics Integration (JLI) program for tactical and mine resistant ambush protected vehicles ($82 million). The remainder of the decline was primarily driven by overall reductions in defense and U.S. government spending resulting from sequestration and budget cuts, and higher competition resulting in lower contract awards.</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National Security Solutions revenues decreased $601 million, or 13%, for fiscal 2014 as compared to fiscal 2013. Revenue contraction was primarily attributable to contract activities tied to the drawdown of overseas U.S. military forces ($331 million) including the ramp down of the JLI program ($238 million) and the completion of several intelligence contracts ($158 million). The remainder of the decline was primarily driven by overall reductions in defense and U.S. Government spending resulting from sequestration and budget cuts.</w:t>
      </w:r>
    </w:p>
    <w:p>
      <w:pPr>
        <w:spacing w:after="0" w:line="150"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National Security Solutions operating income decreased $6 million, or 2%, for fiscal 2015 as compared to fiscal 2014. This decrease in operating income was primarily attributable to a decrease in revenues ($32 million), partially offset by a net favorable changes in contract estimates ($19 million), as compared to net unfavorable changes in contract estimates the prior year ($6 million).</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National Security Solutions operating income decreased $ 68 million, or 19%, for fiscal 2014 as compared to fiscal 2013. This decrease was primarily attributable to the impact of lower revenues ($ 47 million), net unfavorable change in contract estimates ($6 million), which is primarily attributable to increased expenses on two international fixed price development programs for fiscal 2014 compared to fiscal 2013, which had a net favorable change in contract estimates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44</w:t>
      </w:r>
    </w:p>
    <w:p>
      <w:pPr>
        <w:sectPr>
          <w:pgSz w:w="11900" w:h="16838" w:orient="portrait"/>
          <w:cols w:equalWidth="0" w:num="1">
            <w:col w:w="11400"/>
          </w:cols>
          <w:pgMar w:left="240" w:top="495"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Health and Engineering revenues and operating income for the last three fiscal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gridSpan w:val="2"/>
          </w:tcPr>
          <w:p>
            <w:pPr>
              <w:jc w:val="right"/>
              <w:ind w:right="221"/>
              <w:spacing w:after="0"/>
              <w:rPr>
                <w:sz w:val="20"/>
                <w:szCs w:val="20"/>
                <w:color w:val="auto"/>
              </w:rPr>
            </w:pPr>
            <w:r>
              <w:rPr>
                <w:rFonts w:ascii="Arial" w:cs="Arial" w:eastAsia="Arial" w:hAnsi="Arial"/>
                <w:sz w:val="14"/>
                <w:szCs w:val="14"/>
                <w:color w:val="auto"/>
              </w:rPr>
              <w:t>Year Ended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2"/>
            <w:vMerge w:val="restart"/>
          </w:tcPr>
          <w:p>
            <w:pPr>
              <w:ind w:left="320"/>
              <w:spacing w:after="0"/>
              <w:rPr>
                <w:sz w:val="20"/>
                <w:szCs w:val="20"/>
                <w:color w:val="auto"/>
              </w:rPr>
            </w:pPr>
            <w:r>
              <w:rPr>
                <w:rFonts w:ascii="Arial" w:cs="Arial" w:eastAsia="Arial" w:hAnsi="Arial"/>
                <w:sz w:val="14"/>
                <w:szCs w:val="14"/>
                <w:color w:val="auto"/>
              </w:rPr>
              <w:t>2015 to 2014</w:t>
            </w:r>
          </w:p>
        </w:tc>
        <w:tc>
          <w:tcPr>
            <w:tcW w:w="380" w:type="dxa"/>
            <w:vAlign w:val="bottom"/>
          </w:tcPr>
          <w:p>
            <w:pPr>
              <w:spacing w:after="0"/>
              <w:rPr>
                <w:sz w:val="14"/>
                <w:szCs w:val="14"/>
                <w:color w:val="auto"/>
              </w:rPr>
            </w:pPr>
          </w:p>
        </w:tc>
        <w:tc>
          <w:tcPr>
            <w:tcW w:w="1800" w:type="dxa"/>
            <w:vAlign w:val="bottom"/>
            <w:gridSpan w:val="2"/>
            <w:vMerge w:val="restart"/>
          </w:tcPr>
          <w:p>
            <w:pPr>
              <w:jc w:val="right"/>
              <w:ind w:right="559"/>
              <w:spacing w:after="0"/>
              <w:rPr>
                <w:sz w:val="20"/>
                <w:szCs w:val="20"/>
                <w:color w:val="auto"/>
              </w:rPr>
            </w:pPr>
            <w:r>
              <w:rPr>
                <w:rFonts w:ascii="Arial" w:cs="Arial" w:eastAsia="Arial" w:hAnsi="Arial"/>
                <w:sz w:val="14"/>
                <w:szCs w:val="14"/>
                <w:color w:val="auto"/>
              </w:rPr>
              <w:t>2014 to 2013</w:t>
            </w:r>
          </w:p>
        </w:tc>
        <w:tc>
          <w:tcPr>
            <w:tcW w:w="0" w:type="dxa"/>
            <w:vAlign w:val="bottom"/>
          </w:tcPr>
          <w:p>
            <w:pPr>
              <w:spacing w:after="0"/>
              <w:rPr>
                <w:sz w:val="1"/>
                <w:szCs w:val="1"/>
                <w:color w:val="auto"/>
              </w:rPr>
            </w:pPr>
          </w:p>
        </w:tc>
      </w:tr>
      <w:tr>
        <w:trPr>
          <w:trHeight w:val="60"/>
        </w:trPr>
        <w:tc>
          <w:tcPr>
            <w:tcW w:w="33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40" w:type="dxa"/>
            <w:vAlign w:val="bottom"/>
            <w:tcBorders>
              <w:bottom w:val="single" w:sz="8" w:color="auto"/>
            </w:tcBorders>
            <w:gridSpan w:val="2"/>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221"/>
              <w:spacing w:after="0"/>
              <w:rPr>
                <w:sz w:val="20"/>
                <w:szCs w:val="20"/>
                <w:color w:val="auto"/>
              </w:rPr>
            </w:pPr>
            <w:r>
              <w:rPr>
                <w:rFonts w:ascii="Arial" w:cs="Arial" w:eastAsia="Arial" w:hAnsi="Arial"/>
                <w:sz w:val="14"/>
                <w:szCs w:val="14"/>
                <w:b w:val="1"/>
                <w:bCs w:val="1"/>
                <w:color w:val="auto"/>
              </w:rPr>
              <w:t>January 30,</w:t>
            </w:r>
          </w:p>
        </w:tc>
        <w:tc>
          <w:tcPr>
            <w:tcW w:w="200" w:type="dxa"/>
            <w:vAlign w:val="bottom"/>
          </w:tcPr>
          <w:p>
            <w:pPr>
              <w:spacing w:after="0"/>
              <w:rPr>
                <w:sz w:val="15"/>
                <w:szCs w:val="15"/>
                <w:color w:val="auto"/>
              </w:rPr>
            </w:pPr>
          </w:p>
        </w:tc>
        <w:tc>
          <w:tcPr>
            <w:tcW w:w="1000" w:type="dxa"/>
            <w:vAlign w:val="bottom"/>
          </w:tcPr>
          <w:p>
            <w:pPr>
              <w:jc w:val="right"/>
              <w:ind w:right="161"/>
              <w:spacing w:after="0"/>
              <w:rPr>
                <w:sz w:val="20"/>
                <w:szCs w:val="20"/>
                <w:color w:val="auto"/>
              </w:rPr>
            </w:pPr>
            <w:r>
              <w:rPr>
                <w:rFonts w:ascii="Arial" w:cs="Arial" w:eastAsia="Arial" w:hAnsi="Arial"/>
                <w:sz w:val="14"/>
                <w:szCs w:val="14"/>
                <w:color w:val="auto"/>
              </w:rPr>
              <w:t>January 31,</w:t>
            </w:r>
          </w:p>
        </w:tc>
        <w:tc>
          <w:tcPr>
            <w:tcW w:w="18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Arial" w:cs="Arial" w:eastAsia="Arial" w:hAnsi="Arial"/>
                <w:sz w:val="14"/>
                <w:szCs w:val="14"/>
                <w:color w:val="auto"/>
              </w:rPr>
              <w:t>January 31,</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color w:val="auto"/>
              </w:rPr>
              <w:t>Dollar change</w:t>
            </w:r>
          </w:p>
        </w:tc>
        <w:tc>
          <w:tcPr>
            <w:tcW w:w="1040" w:type="dxa"/>
            <w:vAlign w:val="bottom"/>
          </w:tcPr>
          <w:p>
            <w:pPr>
              <w:ind w:left="180"/>
              <w:spacing w:after="0"/>
              <w:rPr>
                <w:sz w:val="20"/>
                <w:szCs w:val="20"/>
                <w:color w:val="auto"/>
              </w:rPr>
            </w:pPr>
            <w:r>
              <w:rPr>
                <w:rFonts w:ascii="Arial" w:cs="Arial" w:eastAsia="Arial" w:hAnsi="Arial"/>
                <w:sz w:val="14"/>
                <w:szCs w:val="14"/>
                <w:color w:val="auto"/>
              </w:rPr>
              <w:t>Percent</w:t>
            </w:r>
          </w:p>
        </w:tc>
        <w:tc>
          <w:tcPr>
            <w:tcW w:w="1200" w:type="dxa"/>
            <w:vAlign w:val="bottom"/>
            <w:gridSpan w:val="2"/>
          </w:tcPr>
          <w:p>
            <w:pPr>
              <w:jc w:val="right"/>
              <w:ind w:right="116"/>
              <w:spacing w:after="0"/>
              <w:rPr>
                <w:sz w:val="20"/>
                <w:szCs w:val="20"/>
                <w:color w:val="auto"/>
              </w:rPr>
            </w:pPr>
            <w:r>
              <w:rPr>
                <w:rFonts w:ascii="Arial" w:cs="Arial" w:eastAsia="Arial" w:hAnsi="Arial"/>
                <w:sz w:val="14"/>
                <w:szCs w:val="14"/>
                <w:color w:val="auto"/>
              </w:rPr>
              <w:t>Dollar change</w:t>
            </w:r>
          </w:p>
        </w:tc>
        <w:tc>
          <w:tcPr>
            <w:tcW w:w="980" w:type="dxa"/>
            <w:vAlign w:val="bottom"/>
          </w:tcPr>
          <w:p>
            <w:pPr>
              <w:jc w:val="right"/>
              <w:ind w:right="239"/>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Health and Engineering</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2013</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change</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3"/>
          </w:tcPr>
          <w:p>
            <w:pPr>
              <w:jc w:val="right"/>
              <w:ind w:right="116"/>
              <w:spacing w:after="0"/>
              <w:rPr>
                <w:sz w:val="20"/>
                <w:szCs w:val="20"/>
                <w:color w:val="auto"/>
              </w:rPr>
            </w:pPr>
            <w:r>
              <w:rPr>
                <w:rFonts w:ascii="Arial" w:cs="Arial" w:eastAsia="Arial" w:hAnsi="Arial"/>
                <w:sz w:val="14"/>
                <w:szCs w:val="14"/>
                <w:color w:val="auto"/>
              </w:rPr>
              <w:t>(dollars in millions)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34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81"/>
              <w:spacing w:after="0"/>
              <w:rPr>
                <w:sz w:val="20"/>
                <w:szCs w:val="20"/>
                <w:color w:val="auto"/>
              </w:rPr>
            </w:pPr>
            <w:r>
              <w:rPr>
                <w:rFonts w:ascii="Arial" w:cs="Arial" w:eastAsia="Arial" w:hAnsi="Arial"/>
                <w:sz w:val="18"/>
                <w:szCs w:val="18"/>
                <w:b w:val="1"/>
                <w:bCs w:val="1"/>
                <w:color w:val="auto"/>
              </w:rPr>
              <w:t>1,485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1"/>
              <w:spacing w:after="0"/>
              <w:rPr>
                <w:sz w:val="20"/>
                <w:szCs w:val="20"/>
                <w:color w:val="auto"/>
              </w:rPr>
            </w:pPr>
            <w:r>
              <w:rPr>
                <w:rFonts w:ascii="Arial" w:cs="Arial" w:eastAsia="Arial" w:hAnsi="Arial"/>
                <w:sz w:val="18"/>
                <w:szCs w:val="18"/>
                <w:color w:val="auto"/>
              </w:rPr>
              <w:t>1,718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2"/>
              <w:spacing w:after="0"/>
              <w:rPr>
                <w:sz w:val="20"/>
                <w:szCs w:val="20"/>
                <w:color w:val="auto"/>
              </w:rPr>
            </w:pPr>
            <w:r>
              <w:rPr>
                <w:rFonts w:ascii="Arial" w:cs="Arial" w:eastAsia="Arial" w:hAnsi="Arial"/>
                <w:sz w:val="18"/>
                <w:szCs w:val="18"/>
                <w:color w:val="auto"/>
              </w:rPr>
              <w:t>1,805</w:t>
            </w: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(233)</w:t>
            </w:r>
          </w:p>
        </w:tc>
        <w:tc>
          <w:tcPr>
            <w:tcW w:w="1040" w:type="dxa"/>
            <w:vAlign w:val="bottom"/>
          </w:tcPr>
          <w:p>
            <w:pPr>
              <w:ind w:left="460"/>
              <w:spacing w:after="0"/>
              <w:rPr>
                <w:sz w:val="20"/>
                <w:szCs w:val="20"/>
                <w:color w:val="auto"/>
              </w:rPr>
            </w:pPr>
            <w:r>
              <w:rPr>
                <w:rFonts w:ascii="Arial" w:cs="Arial" w:eastAsia="Arial" w:hAnsi="Arial"/>
                <w:sz w:val="18"/>
                <w:szCs w:val="18"/>
                <w:color w:val="auto"/>
              </w:rPr>
              <w:t>(14)%</w:t>
            </w:r>
          </w:p>
        </w:tc>
        <w:tc>
          <w:tcPr>
            <w:tcW w:w="3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(87)</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3"/>
                <w:szCs w:val="23"/>
                <w:color w:val="auto"/>
              </w:rPr>
            </w:pPr>
          </w:p>
        </w:tc>
        <w:tc>
          <w:tcPr>
            <w:tcW w:w="1120" w:type="dxa"/>
            <w:vAlign w:val="bottom"/>
          </w:tcPr>
          <w:p>
            <w:pPr>
              <w:jc w:val="right"/>
              <w:ind w:right="121"/>
              <w:spacing w:after="0"/>
              <w:rPr>
                <w:sz w:val="20"/>
                <w:szCs w:val="20"/>
                <w:color w:val="auto"/>
              </w:rPr>
            </w:pPr>
            <w:r>
              <w:rPr>
                <w:rFonts w:ascii="Arial" w:cs="Arial" w:eastAsia="Arial" w:hAnsi="Arial"/>
                <w:sz w:val="18"/>
                <w:szCs w:val="18"/>
                <w:b w:val="1"/>
                <w:bCs w:val="1"/>
                <w:color w:val="auto"/>
              </w:rPr>
              <w:t>(472)</w:t>
            </w:r>
          </w:p>
        </w:tc>
        <w:tc>
          <w:tcPr>
            <w:tcW w:w="200" w:type="dxa"/>
            <w:vAlign w:val="bottom"/>
          </w:tcPr>
          <w:p>
            <w:pPr>
              <w:spacing w:after="0"/>
              <w:rPr>
                <w:sz w:val="23"/>
                <w:szCs w:val="23"/>
                <w:color w:val="auto"/>
              </w:rPr>
            </w:pPr>
          </w:p>
        </w:tc>
        <w:tc>
          <w:tcPr>
            <w:tcW w:w="1000" w:type="dxa"/>
            <w:vAlign w:val="bottom"/>
          </w:tcPr>
          <w:p>
            <w:pPr>
              <w:jc w:val="right"/>
              <w:ind w:right="14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3"/>
                <w:szCs w:val="23"/>
                <w:color w:val="auto"/>
              </w:rPr>
            </w:pPr>
          </w:p>
        </w:tc>
        <w:tc>
          <w:tcPr>
            <w:tcW w:w="800" w:type="dxa"/>
            <w:vAlign w:val="bottom"/>
          </w:tcPr>
          <w:p>
            <w:pPr>
              <w:jc w:val="right"/>
              <w:ind w:right="96"/>
              <w:spacing w:after="0"/>
              <w:rPr>
                <w:sz w:val="20"/>
                <w:szCs w:val="20"/>
                <w:color w:val="auto"/>
              </w:rPr>
            </w:pPr>
            <w:r>
              <w:rPr>
                <w:rFonts w:ascii="Arial" w:cs="Arial" w:eastAsia="Arial" w:hAnsi="Arial"/>
                <w:sz w:val="18"/>
                <w:szCs w:val="18"/>
                <w:color w:val="auto"/>
              </w:rPr>
              <w:t>(492)</w:t>
            </w:r>
          </w:p>
        </w:tc>
        <w:tc>
          <w:tcPr>
            <w:tcW w:w="1040" w:type="dxa"/>
            <w:vAlign w:val="bottom"/>
          </w:tcPr>
          <w:p>
            <w:pPr>
              <w:ind w:left="440"/>
              <w:spacing w:after="0"/>
              <w:rPr>
                <w:sz w:val="20"/>
                <w:szCs w:val="20"/>
                <w:color w:val="auto"/>
              </w:rPr>
            </w:pPr>
            <w:r>
              <w:rPr>
                <w:rFonts w:ascii="Arial" w:cs="Arial" w:eastAsia="Arial" w:hAnsi="Arial"/>
                <w:sz w:val="18"/>
                <w:szCs w:val="18"/>
                <w:i w:val="1"/>
                <w:iCs w:val="1"/>
                <w:color w:val="auto"/>
              </w:rPr>
              <w:t>NM</w:t>
            </w:r>
          </w:p>
        </w:tc>
        <w:tc>
          <w:tcPr>
            <w:tcW w:w="380" w:type="dxa"/>
            <w:vAlign w:val="bottom"/>
          </w:tcPr>
          <w:p>
            <w:pPr>
              <w:spacing w:after="0"/>
              <w:rPr>
                <w:sz w:val="23"/>
                <w:szCs w:val="23"/>
                <w:color w:val="auto"/>
              </w:rPr>
            </w:pP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(118)</w:t>
            </w: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Operating (loss) income margin</w:t>
            </w:r>
          </w:p>
        </w:tc>
        <w:tc>
          <w:tcPr>
            <w:tcW w:w="160" w:type="dxa"/>
            <w:vAlign w:val="bottom"/>
          </w:tcPr>
          <w:p>
            <w:pPr>
              <w:spacing w:after="0"/>
              <w:rPr>
                <w:sz w:val="20"/>
                <w:szCs w:val="20"/>
                <w:color w:val="auto"/>
              </w:rPr>
            </w:pPr>
          </w:p>
        </w:tc>
        <w:tc>
          <w:tcPr>
            <w:tcW w:w="1120" w:type="dxa"/>
            <w:vAlign w:val="bottom"/>
          </w:tcPr>
          <w:p>
            <w:pPr>
              <w:jc w:val="right"/>
              <w:ind w:right="1"/>
              <w:spacing w:after="0"/>
              <w:rPr>
                <w:sz w:val="20"/>
                <w:szCs w:val="20"/>
                <w:color w:val="auto"/>
              </w:rPr>
            </w:pPr>
            <w:r>
              <w:rPr>
                <w:rFonts w:ascii="Arial" w:cs="Arial" w:eastAsia="Arial" w:hAnsi="Arial"/>
                <w:sz w:val="14"/>
                <w:szCs w:val="14"/>
                <w:b w:val="1"/>
                <w:bCs w:val="1"/>
                <w:i w:val="1"/>
                <w:iCs w:val="1"/>
                <w:color w:val="auto"/>
              </w:rPr>
              <w:t>(31.8)%</w:t>
            </w:r>
          </w:p>
        </w:tc>
        <w:tc>
          <w:tcPr>
            <w:tcW w:w="20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4"/>
                <w:szCs w:val="14"/>
                <w:i w:val="1"/>
                <w:iCs w:val="1"/>
                <w:color w:val="auto"/>
              </w:rPr>
              <w:t>1.2%</w:t>
            </w:r>
          </w:p>
        </w:tc>
        <w:tc>
          <w:tcPr>
            <w:tcW w:w="1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Arial" w:cs="Arial" w:eastAsia="Arial" w:hAnsi="Arial"/>
                <w:sz w:val="14"/>
                <w:szCs w:val="14"/>
                <w:i w:val="1"/>
                <w:iCs w:val="1"/>
                <w:color w:val="auto"/>
              </w:rPr>
              <w:t>7.6%</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NM - Not meaningful</w:t>
      </w:r>
    </w:p>
    <w:p>
      <w:pPr>
        <w:spacing w:after="0" w:line="25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Health and Engineering revenues decreased $233 million, or 14%, for fiscal 2015 as compared to fiscal 2014. The revenue contraction reflects a decline in engineering services ($92 million) primarily due to the completion of two energy design-build construction projects in fiscal year 2014, lower sales in our health business primarily related to lower hospital electronic health care record implementations ($82 million), and lower sales volumes in our security products business due to the completion of an international support contract for the Army ($39 million) and timing of product shipments ($20 million).</w:t>
      </w:r>
    </w:p>
    <w:p>
      <w:pPr>
        <w:spacing w:after="0" w:line="1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Health and Engineering revenues decreased $87 million, or 5%, for fiscal 2014 as compared to fiscal 2013. Internal revenue contracted $232 million or 12% compared to prior year when including revenues for maxIT before the August 2012 acquisition. The internal revenue contraction reflects lower sales in our health business primarily related to lower hospital electronic health care record implementations ($112 million), a decline in engineering services for the U.S. Government and commercial customers ($91 million) and the completion of two energy design-build construction projects ($24 million).</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Health and Engineering operating loss was $472 million for fiscal 2015 as compared to operating income of $ 20 million for fiscal 2014 and $138 million for fiscal 2013. Operating loss for fiscal 2015 was impacted by impairment charges for goodwill for our health business ($369 million) and engineering business ($117 million), impairment charges for intangibles assets associated with our health business ($ 24 million), our security products business ($14 million), and Plainfield ($3 million), as well as an impairment charge to adjust the carrying values of the Plainfield plant's assets to their fair values based on the estimated selling price of the business ($40 million). In addition, there was an operating loss due to power generation shortfalls at the Plainfield plant ($29 million), partially offset by a favorable legal settlement ($8 million), and a favorable change in contract estimates in fiscal 2015 ($5 million).</w:t>
      </w:r>
    </w:p>
    <w:p>
      <w:pPr>
        <w:spacing w:after="0" w:line="15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Health and Engineering operating income for fiscal 2014 included bad debt expense for certain receivables primarily related to two energy design-build construction projects ($44 million), impairment charges for intangible assets associated with our security products business ($30 million) and our health business ($19 million), an unfavorable change in contract estimates primarily attributable to the Plainfield construction project ($15 million), and unfavorable legal settlement ($6 million).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Health and Engineering operating income for fiscal 2013 was impacted by an unfavorable change in contract estimates ($11 million).</w:t>
      </w:r>
    </w:p>
    <w:p>
      <w:pPr>
        <w:spacing w:after="0" w:line="17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After adding back the items identified above, Health and Engineering operating income margin decreased slightly for each period from fiscal 2013 to fiscal 2015 primarily due to the changes in the Health and Engineering business mix.</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45</w:t>
      </w:r>
    </w:p>
    <w:p>
      <w:pPr>
        <w:sectPr>
          <w:pgSz w:w="11900" w:h="16838" w:orient="portrait"/>
          <w:cols w:equalWidth="0" w:num="1">
            <w:col w:w="11420"/>
          </w:cols>
          <w:pgMar w:left="240" w:top="495"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Corporate and Other revenues and operating income (loss) for the last three fiscal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Year Ended</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vMerge w:val="restart"/>
          </w:tcPr>
          <w:p>
            <w:pPr>
              <w:jc w:val="right"/>
              <w:ind w:right="602"/>
              <w:spacing w:after="0"/>
              <w:rPr>
                <w:sz w:val="20"/>
                <w:szCs w:val="20"/>
                <w:color w:val="auto"/>
              </w:rPr>
            </w:pPr>
            <w:r>
              <w:rPr>
                <w:rFonts w:ascii="Arial" w:cs="Arial" w:eastAsia="Arial" w:hAnsi="Arial"/>
                <w:sz w:val="14"/>
                <w:szCs w:val="14"/>
                <w:color w:val="auto"/>
              </w:rPr>
              <w:t>2015 to 2014</w:t>
            </w:r>
          </w:p>
        </w:tc>
        <w:tc>
          <w:tcPr>
            <w:tcW w:w="440" w:type="dxa"/>
            <w:vAlign w:val="bottom"/>
          </w:tcPr>
          <w:p>
            <w:pPr>
              <w:spacing w:after="0"/>
              <w:rPr>
                <w:sz w:val="14"/>
                <w:szCs w:val="14"/>
                <w:color w:val="auto"/>
              </w:rPr>
            </w:pPr>
          </w:p>
        </w:tc>
        <w:tc>
          <w:tcPr>
            <w:tcW w:w="1780" w:type="dxa"/>
            <w:vAlign w:val="bottom"/>
            <w:gridSpan w:val="2"/>
            <w:vMerge w:val="restart"/>
          </w:tcPr>
          <w:p>
            <w:pPr>
              <w:ind w:left="280"/>
              <w:spacing w:after="0"/>
              <w:rPr>
                <w:sz w:val="20"/>
                <w:szCs w:val="20"/>
                <w:color w:val="auto"/>
              </w:rPr>
            </w:pPr>
            <w:r>
              <w:rPr>
                <w:rFonts w:ascii="Arial" w:cs="Arial" w:eastAsia="Arial" w:hAnsi="Arial"/>
                <w:sz w:val="14"/>
                <w:szCs w:val="14"/>
                <w:color w:val="auto"/>
              </w:rPr>
              <w:t>2014 to 2013</w:t>
            </w:r>
          </w:p>
        </w:tc>
        <w:tc>
          <w:tcPr>
            <w:tcW w:w="0" w:type="dxa"/>
            <w:vAlign w:val="bottom"/>
          </w:tcPr>
          <w:p>
            <w:pPr>
              <w:spacing w:after="0"/>
              <w:rPr>
                <w:sz w:val="1"/>
                <w:szCs w:val="1"/>
                <w:color w:val="auto"/>
              </w:rPr>
            </w:pPr>
          </w:p>
        </w:tc>
      </w:tr>
      <w:tr>
        <w:trPr>
          <w:trHeight w:val="60"/>
        </w:trPr>
        <w:tc>
          <w:tcPr>
            <w:tcW w:w="346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2"/>
            <w:vMerge w:val="continue"/>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42"/>
              <w:spacing w:after="0"/>
              <w:rPr>
                <w:sz w:val="20"/>
                <w:szCs w:val="20"/>
                <w:color w:val="auto"/>
              </w:rPr>
            </w:pPr>
            <w:r>
              <w:rPr>
                <w:rFonts w:ascii="Arial" w:cs="Arial" w:eastAsia="Arial" w:hAnsi="Arial"/>
                <w:sz w:val="14"/>
                <w:szCs w:val="14"/>
                <w:b w:val="1"/>
                <w:bCs w:val="1"/>
                <w:color w:val="auto"/>
              </w:rPr>
              <w:t>January 30,</w:t>
            </w: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January 31,</w:t>
            </w:r>
          </w:p>
        </w:tc>
        <w:tc>
          <w:tcPr>
            <w:tcW w:w="1160" w:type="dxa"/>
            <w:vAlign w:val="bottom"/>
            <w:gridSpan w:val="2"/>
          </w:tcPr>
          <w:p>
            <w:pPr>
              <w:jc w:val="center"/>
              <w:spacing w:after="0"/>
              <w:rPr>
                <w:sz w:val="20"/>
                <w:szCs w:val="20"/>
                <w:color w:val="auto"/>
              </w:rPr>
            </w:pPr>
            <w:r>
              <w:rPr>
                <w:rFonts w:ascii="Arial" w:cs="Arial" w:eastAsia="Arial" w:hAnsi="Arial"/>
                <w:sz w:val="14"/>
                <w:szCs w:val="14"/>
                <w:color w:val="auto"/>
              </w:rPr>
              <w:t>January 31,</w:t>
            </w:r>
          </w:p>
        </w:tc>
        <w:tc>
          <w:tcPr>
            <w:tcW w:w="1220" w:type="dxa"/>
            <w:vAlign w:val="bottom"/>
            <w:gridSpan w:val="2"/>
          </w:tcPr>
          <w:p>
            <w:pPr>
              <w:jc w:val="right"/>
              <w:ind w:right="119"/>
              <w:spacing w:after="0"/>
              <w:rPr>
                <w:sz w:val="20"/>
                <w:szCs w:val="20"/>
                <w:color w:val="auto"/>
              </w:rPr>
            </w:pPr>
            <w:r>
              <w:rPr>
                <w:rFonts w:ascii="Arial" w:cs="Arial" w:eastAsia="Arial" w:hAnsi="Arial"/>
                <w:sz w:val="14"/>
                <w:szCs w:val="14"/>
                <w:color w:val="auto"/>
              </w:rPr>
              <w:t>Dollar change</w:t>
            </w:r>
          </w:p>
        </w:tc>
        <w:tc>
          <w:tcPr>
            <w:tcW w:w="1000" w:type="dxa"/>
            <w:vAlign w:val="bottom"/>
          </w:tcPr>
          <w:p>
            <w:pPr>
              <w:ind w:left="160"/>
              <w:spacing w:after="0"/>
              <w:rPr>
                <w:sz w:val="20"/>
                <w:szCs w:val="20"/>
                <w:color w:val="auto"/>
              </w:rPr>
            </w:pPr>
            <w:r>
              <w:rPr>
                <w:rFonts w:ascii="Arial" w:cs="Arial" w:eastAsia="Arial" w:hAnsi="Arial"/>
                <w:sz w:val="14"/>
                <w:szCs w:val="14"/>
                <w:color w:val="auto"/>
              </w:rPr>
              <w:t>Percent</w:t>
            </w: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Dollar change</w:t>
            </w:r>
          </w:p>
        </w:tc>
        <w:tc>
          <w:tcPr>
            <w:tcW w:w="1000" w:type="dxa"/>
            <w:vAlign w:val="bottom"/>
          </w:tcPr>
          <w:p>
            <w:pPr>
              <w:ind w:left="180"/>
              <w:spacing w:after="0"/>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2014</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change</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4"/>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gridSpan w:val="3"/>
          </w:tcPr>
          <w:p>
            <w:pPr>
              <w:jc w:val="right"/>
              <w:ind w:right="59"/>
              <w:spacing w:after="0"/>
              <w:rPr>
                <w:sz w:val="20"/>
                <w:szCs w:val="20"/>
                <w:color w:val="auto"/>
              </w:rPr>
            </w:pPr>
            <w:r>
              <w:rPr>
                <w:rFonts w:ascii="Arial" w:cs="Arial" w:eastAsia="Arial" w:hAnsi="Arial"/>
                <w:sz w:val="14"/>
                <w:szCs w:val="14"/>
                <w:color w:val="auto"/>
              </w:rPr>
              <w:t>(dollars in millions)</w:t>
            </w: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4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2"/>
              <w:spacing w:after="0"/>
              <w:rPr>
                <w:sz w:val="20"/>
                <w:szCs w:val="20"/>
                <w:color w:val="auto"/>
              </w:rPr>
            </w:pPr>
            <w:r>
              <w:rPr>
                <w:rFonts w:ascii="Arial" w:cs="Arial" w:eastAsia="Arial" w:hAnsi="Arial"/>
                <w:sz w:val="18"/>
                <w:szCs w:val="18"/>
                <w:color w:val="auto"/>
              </w:rPr>
              <w:t>(77)</w:t>
            </w:r>
          </w:p>
        </w:tc>
        <w:tc>
          <w:tcPr>
            <w:tcW w:w="42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9"/>
              <w:spacing w:after="0"/>
              <w:rPr>
                <w:sz w:val="20"/>
                <w:szCs w:val="20"/>
                <w:color w:val="auto"/>
              </w:rPr>
            </w:pPr>
            <w:r>
              <w:rPr>
                <w:rFonts w:ascii="Arial" w:cs="Arial" w:eastAsia="Arial" w:hAnsi="Arial"/>
                <w:sz w:val="18"/>
                <w:szCs w:val="18"/>
                <w:color w:val="auto"/>
              </w:rPr>
              <w:t>121</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81%</w:t>
            </w:r>
          </w:p>
        </w:tc>
        <w:tc>
          <w:tcPr>
            <w:tcW w:w="44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780" w:type="dxa"/>
            <w:vAlign w:val="bottom"/>
          </w:tcPr>
          <w:p>
            <w:pPr>
              <w:ind w:left="280"/>
              <w:spacing w:after="0"/>
              <w:rPr>
                <w:sz w:val="20"/>
                <w:szCs w:val="20"/>
                <w:color w:val="auto"/>
              </w:rPr>
            </w:pPr>
            <w:r>
              <w:rPr>
                <w:rFonts w:ascii="Arial" w:cs="Arial" w:eastAsia="Arial" w:hAnsi="Arial"/>
                <w:sz w:val="18"/>
                <w:szCs w:val="18"/>
                <w:color w:val="auto"/>
              </w:rPr>
              <w:t>(72)</w:t>
            </w: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Corporate and Other operating loss represents corporate costs that are unallowable under U.S. Government Cost Accounting Standards and the net effect of various items that are not directly related to the operating performance of the reportable segments. Corporate and Other operating loss decreased by $121 million, or 81%, for fiscal 2015, as compared to fiscal 2014. The decrease was driven primarily by a decrease in separation transaction and restructuring expenses ($62 million) associated with the separation which was completed in fiscal 2014 and a decrease of costs to establish the infrastructures for two separate companies ($35 million). In addition, there was an insurance settlement ($15 million) in fiscal 2015.</w:t>
      </w:r>
    </w:p>
    <w:p>
      <w:pPr>
        <w:spacing w:after="0" w:line="15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Corporate and Other operating loss for fiscal 2014 increased by $72 million, or 94%, as compared to fiscal 2013. The increase was driven primarily by the costs to effect the separation including an increase in separation transaction and restructuring expenses ($54 million) and costs to establish the infrastructures for two separate companies ($29 million), partially offset by a reduction of other unallocable corporate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Leidos Holdings, Inc.</w:t>
      </w:r>
    </w:p>
    <w:p>
      <w:pPr>
        <w:spacing w:after="0" w:line="18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year ended January 30, 2015, we entered into interest rate swap agreements on our $450 million fixed rate 4.45% notes maturing in December 2020. The interest rate swap agreements effectively converted a portion of our fixed-rate debt to floating-rate debt tied to the changes in the six-month LIBOR benchmark interest rate.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Non-operating expense for fiscal 2015 decreased $6 million as compared to fiscal 2014. This decrease was primarily attributable to a decrease in interest expense, which decreased $7 million due to interest expense reductions from the swap agreements and due to the repurchase of $183 million of outstanding debt.</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decrease in non-operating expense was also attributable to an increase of $13 million of other income, primarily due to an early termination fee and write-offs associated with the early payoff of the notes acquired as part of the Plainfield Renewable Energy Project in fiscal 2014 of $8 million and a gain on extinguishment of debt in fiscal 2015 of $5 million.</w:t>
      </w:r>
    </w:p>
    <w:p>
      <w:pPr>
        <w:spacing w:after="0" w:line="148"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This was offset by less interest income of $14 million primarily due to the collection or forgiveness of deferred receivables for commercial customers related to certain construction contracts in fiscal 2014. Non-operating expense for fiscal 2014 and fiscal 2013 was comparable at $75 million and $76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Leidos, Inc.</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Interest income on Leidos, Inc.'s note with Leidos increased $6 million for fiscal 2015 as compared to fiscal 2014 and increased $3 million for fiscal 2014 as compared to fiscal 2013. This note may fluctuate significantly from year to year based on changes in the underlying note balance and interest rates throughout the fiscal year.</w:t>
      </w:r>
    </w:p>
    <w:p>
      <w:pPr>
        <w:spacing w:after="0" w:line="14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more fully described in “Quantitative and Qualitative Disclosures About Market Risk” contained within this Annual Report on Form 10-K, we are currently exposed to interest rate risks and foreign currency risks that are inherent in the financial instruments and contracts arising from transactions entered into in the normal course of business. From time to time, we use derivative instruments to manage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 fiscal 2015, we had a loss from continuing operations before income taxes resulting in a negative tax rate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16.6%. Our provision for income taxes as a percentage of income from continuing operations before income taxes was 4.5%, and 6.4% in fiscal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2014 and 2013, respectively. The goodwill impairment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46</w:t>
      </w:r>
    </w:p>
    <w:p>
      <w:pPr>
        <w:sectPr>
          <w:pgSz w:w="11900" w:h="16838" w:orient="portrait"/>
          <w:cols w:equalWidth="0" w:num="1">
            <w:col w:w="11420"/>
          </w:cols>
          <w:pgMar w:left="240" w:top="495" w:right="23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charge of $ 486 million, recorded in the three months ended August 1, 2014, which was mostly not deductible, had a significant impact for the fiscal 2015 effective tax rate as compared to fiscal 2014. The effective tax rate for fiscal 2015 was also favorably impacted by the tax benefit of a capital loss resulting from the conversion of one of our domestic subsidiaries to a Limited Liability Company ("LLC").</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lower effective income tax rate for fiscal 2014 as compared to fiscal 2013 was primarily due to lower earnings in fiscal 2014, the tax deductibility of the special dividend on shares held by the Leidos Retirement Plan (an employee stock ownership plan) and the resolution of certain tax contingencies with the tax authorities resulting in the recognition of an income tax benefit ($ 7 million). The effective tax rate for fiscal 2013 benefited from a reduction in the provision for income tax as a result of our entering into an issue resolution agreement with the Internal Revenue Service ("IRS") with respect to the tax deductible portion of the CityTime payment ($96 million).</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valuation allowance for deferred tax assets was $120 million and $7 million as of January 30, 2015 and January 31, 2014 respectively. The increase in the valuation allowance of $113 million over the prior year was due primarily to the recognition of a deferred tax asset for capital loss carryovers recognized on the LLC conversion and deferred tax assets related to impaired capital investments as we may not generate sufficient capital gains to realize the associated tax benefit. We also decreased the valuation allowance during the year related to state net operating losses that were eliminated as a result of a tax status change in a legal entity included in discontinued operations. The valuation allowance has also increased on certain state tax credits carryforwards because the associated benefit may not be realized.</w:t>
      </w:r>
    </w:p>
    <w:p>
      <w:pPr>
        <w:spacing w:after="0" w:line="209"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file income tax returns in the United States and various state and foreign jurisdictions. We have effectively settled with the IRS for all fiscal years prior to 2014. With a few exceptions, as of January 30, 2015, we are no longer subject to state, local or foreign examinations by the tax authorities for years before fiscal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Liquidity</w:t>
      </w:r>
    </w:p>
    <w:p>
      <w:pPr>
        <w:spacing w:after="0" w:line="18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had $443 million in cash and cash equivalents at January 30, 2015, which were primarily comprised of cash held in investments in several large institutional money market funds and bank deposits. We anticipate our principal sources of liquidity for the next 12 months and beyond will be our existing cash and cash equivalents and cash flows from operations. We may also borrow up to $500 million under our revolving credit facility. The available borrowing capacity under the revolving credit facility is $500 million as of January 30, 2015.</w:t>
      </w:r>
    </w:p>
    <w:p>
      <w:pPr>
        <w:spacing w:after="0" w:line="150"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Our revolving credit facility is backed by a number of financial institutions, matures in March 2017 and, by its terms, can be accessed on a same-day basis. We anticipate our principal uses of cash for the next 12 months and beyond will be for operating expenses, capital expenditures, stock repurchases (see discussion below in "</w:t>
      </w:r>
      <w:r>
        <w:rPr>
          <w:rFonts w:ascii="Arial" w:cs="Arial" w:eastAsia="Arial" w:hAnsi="Arial"/>
          <w:sz w:val="18"/>
          <w:szCs w:val="18"/>
          <w:i w:val="1"/>
          <w:iCs w:val="1"/>
          <w:color w:val="auto"/>
        </w:rPr>
        <w:t>Stock Repurchase Programs")</w:t>
      </w:r>
      <w:r>
        <w:rPr>
          <w:rFonts w:ascii="Arial" w:cs="Arial" w:eastAsia="Arial" w:hAnsi="Arial"/>
          <w:sz w:val="18"/>
          <w:szCs w:val="18"/>
          <w:color w:val="auto"/>
        </w:rPr>
        <w:t>, dividends, debt reduction, and acquisitions of businesses.</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 In fiscal 2015, we paid $175 million to repurchase and retire a principal amount of $183 million of outstanding debt.</w:t>
      </w:r>
    </w:p>
    <w:p>
      <w:pPr>
        <w:spacing w:after="0" w:line="150"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We anticipate that our operating cash flows, existing cash and cash equivalents, which have no restrictions on withdrawal, and borrowing capacity under our revolving credit facility will be sufficient to meet our anticipated cash requirements for at least the next 12 months.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47</w:t>
      </w:r>
    </w:p>
    <w:p>
      <w:pPr>
        <w:sectPr>
          <w:pgSz w:w="11900" w:h="16838" w:orient="portrait"/>
          <w:cols w:equalWidth="0" w:num="1">
            <w:col w:w="11380"/>
          </w:cols>
          <w:pgMar w:left="240" w:top="495" w:right="27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cash flow information for the last three fiscal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175"/>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5"/>
                <w:szCs w:val="15"/>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color w:val="auto"/>
              </w:rPr>
              <w:t>January 31,</w:t>
            </w:r>
          </w:p>
        </w:tc>
      </w:tr>
      <w:tr>
        <w:trPr>
          <w:trHeight w:val="196"/>
        </w:trPr>
        <w:tc>
          <w:tcPr>
            <w:tcW w:w="70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2013</w:t>
            </w:r>
          </w:p>
        </w:tc>
      </w:tr>
      <w:tr>
        <w:trPr>
          <w:trHeight w:val="204"/>
        </w:trPr>
        <w:tc>
          <w:tcPr>
            <w:tcW w:w="7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3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Cash provided by operating activities of continuing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396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Cash provided by (used in) investing activities of continuing operations</w:t>
            </w:r>
          </w:p>
        </w:tc>
        <w:tc>
          <w:tcPr>
            <w:tcW w:w="2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51</w:t>
            </w:r>
          </w:p>
        </w:tc>
        <w:tc>
          <w:tcPr>
            <w:tcW w:w="260" w:type="dxa"/>
            <w:vAlign w:val="bottom"/>
          </w:tcPr>
          <w:p>
            <w:pPr>
              <w:spacing w:after="0"/>
              <w:rPr>
                <w:sz w:val="23"/>
                <w:szCs w:val="23"/>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297</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Cash used in financing activities of continuing operations</w:t>
            </w:r>
          </w:p>
        </w:tc>
        <w:tc>
          <w:tcPr>
            <w:tcW w:w="20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b w:val="1"/>
                <w:bCs w:val="1"/>
                <w:color w:val="auto"/>
              </w:rPr>
              <w:t>(478)</w:t>
            </w:r>
          </w:p>
        </w:tc>
        <w:tc>
          <w:tcPr>
            <w:tcW w:w="260" w:type="dxa"/>
            <w:vAlign w:val="bottom"/>
          </w:tcPr>
          <w:p>
            <w:pPr>
              <w:spacing w:after="0"/>
              <w:rPr>
                <w:sz w:val="23"/>
                <w:szCs w:val="23"/>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Cash provided by operating activities of discontinued operations</w:t>
            </w:r>
          </w:p>
        </w:tc>
        <w:tc>
          <w:tcPr>
            <w:tcW w:w="2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3"/>
                <w:szCs w:val="23"/>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320</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Cash provided by (used in) investing activities of discontinued operations</w:t>
            </w:r>
          </w:p>
        </w:tc>
        <w:tc>
          <w:tcPr>
            <w:tcW w:w="200" w:type="dxa"/>
            <w:vAlign w:val="bottom"/>
          </w:tcPr>
          <w:p>
            <w:pPr>
              <w:spacing w:after="0"/>
              <w:rPr>
                <w:sz w:val="23"/>
                <w:szCs w:val="23"/>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3"/>
                <w:szCs w:val="23"/>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used in financing activities of discontinued operations</w:t>
            </w: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(305)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r>
    </w:tbl>
    <w:p>
      <w:pPr>
        <w:spacing w:after="0" w:line="14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Cash Provided by Operating Activities of Continuing Operations. </w:t>
      </w:r>
      <w:r>
        <w:rPr>
          <w:rFonts w:ascii="Arial" w:cs="Arial" w:eastAsia="Arial" w:hAnsi="Arial"/>
          <w:sz w:val="18"/>
          <w:szCs w:val="18"/>
          <w:color w:val="auto"/>
        </w:rPr>
        <w:t>Cash flows provided by operating activities of continuing operations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$205 million in fiscal 2015 as compared to fiscal 2014. The increase was primarily due to changes in working capital of $217 million. Collections on accounts receivable for fiscal 2014 were negatively impacted by our name change and our system shutdown to effect the spin-off of New SAIC, which caused delays in our customer invoicing. Days sales outstanding were 70 days for the three months ended January 30, 2015 as compared to 76 days for the corresponding period in the prior year.</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Cash flows provided by operating activities of continuing operations increased $167 million in fiscal 2014 as compared to fiscal 2013. The increase was primarily due to less cash used of $273 million for changes in working capital primarily due to the $500 million cash settlement payment related to the CityTime Program in fiscal 2013. This was partially offset by an increase in the average time to collect accounts receivable as a result of a slowdown in payments from the U.S. Government impacted by the discontinuance of the U.S. Government’s accelerated payment initiative that encouraged agencies to pay contractors in a more timely fashion, as well as other events including slower collections partially due to our name change. Days sales outstanding were 76 days for the three months ended January 31, 2014 as compared to 66 days for the corresponding period in the prior year. These increases were partially offset by lower income from continuing operations of $239 million.</w:t>
      </w:r>
    </w:p>
    <w:p>
      <w:pPr>
        <w:spacing w:after="0" w:line="13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Cash Provided by (Used in) Investing Activities of Continuing Operations. </w:t>
      </w:r>
      <w:r>
        <w:rPr>
          <w:rFonts w:ascii="Arial" w:cs="Arial" w:eastAsia="Arial" w:hAnsi="Arial"/>
          <w:sz w:val="18"/>
          <w:szCs w:val="18"/>
          <w:color w:val="auto"/>
        </w:rPr>
        <w:t>We generated $51 million of cash flows from investing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in fiscal 2015 including $80 million of proceeds from the U.S. Treasury cash grant, offset by $29 million to purchase property, plant, and equipment.</w:t>
      </w:r>
    </w:p>
    <w:p>
      <w:pPr>
        <w:spacing w:after="0" w:line="14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We generated $ 297 million of cash flows from investing activities of continuing operations in fiscal 2014, including a $295 million dividend from New SAIC, $65 million of proceeds from the sale of facilities, $12 million of proceeds from the sale of cost method investments, partially offset by a $26 million capital contribution to New SAIC and $53 million to purchase property, plant and equipment.</w:t>
      </w:r>
    </w:p>
    <w:p>
      <w:pPr>
        <w:spacing w:after="0" w:line="148"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We used $519 million of cash in support of investing activities of continuing operations in fiscal 2013, including $483 million (net of cash acquired) to acquire maxIT and $39 million to purchase property, plant and equipment.</w:t>
      </w:r>
    </w:p>
    <w:p>
      <w:pPr>
        <w:spacing w:after="0" w:line="12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Cash Used in Financing Activities of Continuing Operations. </w:t>
      </w:r>
      <w:r>
        <w:rPr>
          <w:rFonts w:ascii="Arial" w:cs="Arial" w:eastAsia="Arial" w:hAnsi="Arial"/>
          <w:sz w:val="18"/>
          <w:szCs w:val="18"/>
          <w:color w:val="auto"/>
        </w:rPr>
        <w:t>We used $478 million of cash in support of financing activities of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fiscal 2015, including the repurchase and retirement of debt of $175 million, the payment of dividends of $95 million and $215 million to repurchase shares of our stock primarily from the fiscal 2015 ASR as well as repurchases related to employee benefit compensation plans, offset by $7 million in proceeds from the sale of stock under our employee stock purchase plan (ESPP) and exercise of stock options.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48</w:t>
      </w:r>
    </w:p>
    <w:p>
      <w:pPr>
        <w:sectPr>
          <w:pgSz w:w="11900" w:h="16838" w:orient="portrait"/>
          <w:cols w:equalWidth="0" w:num="1">
            <w:col w:w="11420"/>
          </w:cols>
          <w:pgMar w:left="240" w:top="495"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used $894 million of cash in support of financing activities of continuing operations in fiscal 2014, including $477 million to pay dividends on Leidos stock ($342 million from our special cash dividend), $152 million to pay off notes assumed as part of the acquisition of Plainfield (an additional $13 million of costs to pay off these notes was included in cash flows from operating activities), and $319 million to repurchase shares of our stock primarily from the accelerated stock repurchase program, partially offset by consideration received of $38 million related to the real estate financing transaction and $13 million in proceeds from the sale of stock under our ESPP and exercises of stock options. New SAIC received proceeds from the issuance of debt of $500 million, prior to the spin-off, and retained the debt obligation after spin-off.</w:t>
      </w:r>
    </w:p>
    <w:p>
      <w:pPr>
        <w:spacing w:after="0" w:line="15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We used $718 million of cash from financing activities of continuing operations in fiscal 2013, including $550 million to settle a note payable at maturity, $165 million to pay dividends on Leidos stock and $22 million to repurchase shares of Leidos stock, offset by $19 million in proceeds from the sale of stock under our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Discontinued Operations.</w:t>
      </w:r>
    </w:p>
    <w:p>
      <w:pPr>
        <w:spacing w:after="0" w:line="17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Cash Provided by Operating Activities of Discontinued Operations. </w:t>
      </w:r>
      <w:r>
        <w:rPr>
          <w:rFonts w:ascii="Arial" w:cs="Arial" w:eastAsia="Arial" w:hAnsi="Arial"/>
          <w:sz w:val="18"/>
          <w:szCs w:val="18"/>
          <w:color w:val="auto"/>
        </w:rPr>
        <w:t>Cash flows provided by operating activities of discontinued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$103 million in fiscal 2015 as compared to fiscal 2014, primarily due to a decrease of net income of $73 million and a decrease of cash flows provided by operating activities of $22 million for New SAIC. Cash flows provided by operating activities of discontinued operations decreased $202 million in fiscal 2014 as compared to fiscal 2013, due to a decrease in net income of $122 million, a $17 million tax settlement on the gain from the sale of certain components of our business in fiscal 2013, and an increase in payments for separation transaction costs.</w:t>
      </w:r>
    </w:p>
    <w:p>
      <w:pPr>
        <w:spacing w:after="0" w:line="130"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i w:val="1"/>
          <w:iCs w:val="1"/>
          <w:color w:val="auto"/>
        </w:rPr>
        <w:t xml:space="preserve">Cash Provided by (Used in) Investing Activities of Discontinued Operations. </w:t>
      </w:r>
      <w:r>
        <w:rPr>
          <w:rFonts w:ascii="Arial" w:cs="Arial" w:eastAsia="Arial" w:hAnsi="Arial"/>
          <w:sz w:val="18"/>
          <w:szCs w:val="18"/>
          <w:color w:val="auto"/>
        </w:rPr>
        <w:t>Cash flows provided by investing activities of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were $29 million for fiscal 2015 due to cash proceeds received for the sale of certain components of our business in fiscal 2015. Cash flows used in investing activities of discontinued operations were $17 million for fiscal 2014 for the purchase of property, plant, and equipment. Cash flows provided by investing activities of discontinued operations were $ 42 million for fiscal 2013, including $51 million of proceeds from the sale of certain components of our business offset by $9 million for the purchase of property, plant, and equipment.</w:t>
      </w:r>
    </w:p>
    <w:p>
      <w:pPr>
        <w:spacing w:after="0" w:line="130"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Cash Used in Financing Activities of Discontinued Operations. </w:t>
      </w:r>
      <w:r>
        <w:rPr>
          <w:rFonts w:ascii="Arial" w:cs="Arial" w:eastAsia="Arial" w:hAnsi="Arial"/>
          <w:sz w:val="18"/>
          <w:szCs w:val="18"/>
          <w:color w:val="auto"/>
        </w:rPr>
        <w:t>There were no cash flows from financing activities of discontinued operations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2015 and fiscal 2014. Cash flows used in financing activities of discontinued operations were $4 million for fiscal 2013 from repayments of debt.</w:t>
      </w:r>
    </w:p>
    <w:p>
      <w:pPr>
        <w:spacing w:after="0" w:line="12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 xml:space="preserve">Leidos, Inc.'s Cash Flows. </w:t>
      </w:r>
      <w:r>
        <w:rPr>
          <w:rFonts w:ascii="Arial" w:cs="Arial" w:eastAsia="Arial" w:hAnsi="Arial"/>
          <w:sz w:val="18"/>
          <w:szCs w:val="18"/>
          <w:color w:val="auto"/>
        </w:rPr>
        <w:t>Any differences in cash flows from operating activities of continuing operations for Leidos, Inc.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Leidos are primarily attributable to changes in interest payments (which reduce cash flows from operating activities of Leidos, Inc.) made by Leidos, Inc. on its note with Leidos and changes in excess tax benefits related to stock-based compensation (which reduce cash flows from operating activities for Leidos).</w:t>
      </w:r>
    </w:p>
    <w:p>
      <w:pPr>
        <w:spacing w:after="0" w:line="14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Leidos, Inc. used cash in investing activities of $250 million in fiscal 2015, including repayments on its related party note with Leidos of $457 million and $29 million to purchase property, plant, and equipment offset by proceeds from the related party note with Leidos of $156 million and $80 million of proceeds from the U.S. Treasury cash grant.</w:t>
      </w:r>
    </w:p>
    <w:p>
      <w:pPr>
        <w:spacing w:after="0" w:line="148"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Leidos, Inc. used cash in investing activities of $486 million in fiscal 2014, including repayments on its related party note with Leidos of $501 million, partially offset by proceeds from the related party note with Leidos of $13 million.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Leidos, Inc. used cash in financing activities of continuing operations of $718 million in fiscal 2013, including repayments on its note with Leidos of $411 million partially offset by proceeds from the note of $244 million. In addition, Leidos, Inc. used $550 million in cash to settle a third-party note payable at maturity (as described above in Leidos' cash used in financing activities of continuing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49</w:t>
      </w:r>
    </w:p>
    <w:p>
      <w:pPr>
        <w:sectPr>
          <w:pgSz w:w="11900" w:h="16838" w:orient="portrait"/>
          <w:cols w:equalWidth="0" w:num="1">
            <w:col w:w="11400"/>
          </w:cols>
          <w:pgMar w:left="240" w:top="495"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Cash Dividend</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fiscal 2014, Leidos' board of directors declared a special cash dividend of $4.00 per share of Leidos common stock and paid an aggregate of $342 million to stockholders as of the record date of June 14,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2014, our board of directors authorized a stock repurchase program (2013 Stock Repurchase Program) under which we may repurchase up to 20 million shares of Leidos common stock. This share repurchase authorization replaces the March 2012 share repurchase authorization of 10 million shares. Stock repurchases may be made on the open market or in privately negotiated transactions with third parties.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15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fiscal 2015, we entered into an Accelerated Share Repurchase ("ASR") agreement with a financial institution to repurchase shares of our outstanding common stock for an aggregate purchase price of $200 million, resulting in a delivery of 5.3 million shares, completed during the second quarter of fiscal 2015.</w:t>
      </w:r>
    </w:p>
    <w:p>
      <w:pPr>
        <w:spacing w:after="0" w:line="1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fiscal 2014, we entered into an ASR agreement with a different financial institution to repurchase shares of our outstanding common stock for an aggregate purchase price of $300 million, resulting in an initial delivery of 5.6 million shares of our outstanding shares of common stock for an aggregate value of $255 million. The final delivery of approximately 1.0 million shares for a total value of $45 million under the program was completed during the first quarter of fiscal 2015.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Indebtedness</w:t>
      </w:r>
    </w:p>
    <w:p>
      <w:pPr>
        <w:spacing w:after="0" w:line="19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During fiscal 2015, we entered into interest rate swap agreements to hedge the fair value with respect to all of the $450 million aggregate principal outstanding on our fixed rate 4.45% notes maturing in December 2020 (the “Notes”). The objective of these instruments is to hedge the Notes against changes in fair value due to the variability in the six-month LIBOR rate (the benchmark interest rate), which effectively converted the debt into floating interest rate debt. Under the terms of the interest rate swap agreements, we will receive semi-annual interest payments at the coupon rate of 4.45% and will pay variable interest based on the six-month LIBOR rate. The counterparties to these agreements are financial institutions.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50</w:t>
      </w:r>
    </w:p>
    <w:p>
      <w:pPr>
        <w:sectPr>
          <w:pgSz w:w="11900" w:h="16838" w:orient="portrait"/>
          <w:cols w:equalWidth="0" w:num="1">
            <w:col w:w="11420"/>
          </w:cols>
          <w:pgMar w:left="240" w:top="495"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notes payable and long-term debt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color w:val="auto"/>
              </w:rPr>
              <w:t>Stated</w:t>
            </w:r>
          </w:p>
        </w:tc>
        <w:tc>
          <w:tcPr>
            <w:tcW w:w="1300" w:type="dxa"/>
            <w:vAlign w:val="bottom"/>
          </w:tcPr>
          <w:p>
            <w:pPr>
              <w:jc w:val="right"/>
              <w:ind w:right="357"/>
              <w:spacing w:after="0"/>
              <w:rPr>
                <w:sz w:val="20"/>
                <w:szCs w:val="20"/>
                <w:color w:val="auto"/>
              </w:rPr>
            </w:pPr>
            <w:r>
              <w:rPr>
                <w:rFonts w:ascii="Arial" w:cs="Arial" w:eastAsia="Arial" w:hAnsi="Arial"/>
                <w:sz w:val="14"/>
                <w:szCs w:val="14"/>
                <w:color w:val="auto"/>
              </w:rPr>
              <w:t>Effective</w:t>
            </w:r>
          </w:p>
        </w:tc>
        <w:tc>
          <w:tcPr>
            <w:tcW w:w="220" w:type="dxa"/>
            <w:vAlign w:val="bottom"/>
          </w:tcPr>
          <w:p>
            <w:pPr>
              <w:spacing w:after="0"/>
              <w:rPr>
                <w:sz w:val="14"/>
                <w:szCs w:val="14"/>
                <w:color w:val="auto"/>
              </w:rPr>
            </w:pPr>
          </w:p>
        </w:tc>
        <w:tc>
          <w:tcPr>
            <w:tcW w:w="1100" w:type="dxa"/>
            <w:vAlign w:val="bottom"/>
          </w:tcPr>
          <w:p>
            <w:pPr>
              <w:jc w:val="right"/>
              <w:ind w:right="173"/>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4"/>
                <w:szCs w:val="14"/>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interest rate</w:t>
            </w: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interest rate</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04"/>
        </w:trPr>
        <w:tc>
          <w:tcPr>
            <w:tcW w:w="5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20" w:type="dxa"/>
            <w:vAlign w:val="bottom"/>
            <w:gridSpan w:val="3"/>
          </w:tcPr>
          <w:p>
            <w:pPr>
              <w:jc w:val="right"/>
              <w:ind w:right="693"/>
              <w:spacing w:after="0"/>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60" w:type="dxa"/>
            <w:vAlign w:val="bottom"/>
          </w:tcPr>
          <w:p>
            <w:pPr>
              <w:ind w:left="40"/>
              <w:spacing w:after="0"/>
              <w:rPr>
                <w:sz w:val="20"/>
                <w:szCs w:val="20"/>
                <w:color w:val="auto"/>
              </w:rPr>
            </w:pPr>
            <w:r>
              <w:rPr>
                <w:rFonts w:ascii="Arial" w:cs="Arial" w:eastAsia="Arial" w:hAnsi="Arial"/>
                <w:sz w:val="18"/>
                <w:szCs w:val="18"/>
                <w:color w:val="auto"/>
              </w:rPr>
              <w:t>Leidos Holdings, Inc. senior unsecured notes:</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860" w:type="dxa"/>
            <w:vAlign w:val="bottom"/>
          </w:tcPr>
          <w:p>
            <w:pPr>
              <w:ind w:left="180"/>
              <w:spacing w:after="0"/>
              <w:rPr>
                <w:sz w:val="20"/>
                <w:szCs w:val="20"/>
                <w:color w:val="auto"/>
              </w:rPr>
            </w:pPr>
            <w:r>
              <w:rPr>
                <w:rFonts w:ascii="Arial" w:cs="Arial" w:eastAsia="Arial" w:hAnsi="Arial"/>
                <w:sz w:val="18"/>
                <w:szCs w:val="18"/>
                <w:color w:val="auto"/>
              </w:rPr>
              <w:t>$450 million notes issued in fiscal 2011, which mature in December</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466</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60" w:type="dxa"/>
            <w:vAlign w:val="bottom"/>
          </w:tcPr>
          <w:p>
            <w:pPr>
              <w:ind w:left="34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21"/>
                <w:szCs w:val="21"/>
                <w:color w:val="auto"/>
                <w:vertAlign w:val="superscript"/>
              </w:rPr>
              <w:t>(1)</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4.45%</w:t>
            </w:r>
          </w:p>
        </w:tc>
        <w:tc>
          <w:tcPr>
            <w:tcW w:w="130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3"/>
        </w:trPr>
        <w:tc>
          <w:tcPr>
            <w:tcW w:w="5860" w:type="dxa"/>
            <w:vAlign w:val="bottom"/>
          </w:tcPr>
          <w:p>
            <w:pPr>
              <w:ind w:left="180"/>
              <w:spacing w:after="0" w:line="202" w:lineRule="exact"/>
              <w:rPr>
                <w:sz w:val="20"/>
                <w:szCs w:val="20"/>
                <w:color w:val="auto"/>
              </w:rPr>
            </w:pPr>
            <w:r>
              <w:rPr>
                <w:rFonts w:ascii="Arial" w:cs="Arial" w:eastAsia="Arial" w:hAnsi="Arial"/>
                <w:sz w:val="18"/>
                <w:szCs w:val="18"/>
                <w:color w:val="auto"/>
              </w:rPr>
              <w:t>$300 million notes issued in fiscal 2011, which mature in December</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60" w:type="dxa"/>
            <w:vAlign w:val="bottom"/>
          </w:tcPr>
          <w:p>
            <w:pPr>
              <w:ind w:left="340"/>
              <w:spacing w:after="0"/>
              <w:rPr>
                <w:sz w:val="20"/>
                <w:szCs w:val="20"/>
                <w:color w:val="auto"/>
              </w:rPr>
            </w:pPr>
            <w:r>
              <w:rPr>
                <w:rFonts w:ascii="Arial" w:cs="Arial" w:eastAsia="Arial" w:hAnsi="Arial"/>
                <w:sz w:val="18"/>
                <w:szCs w:val="18"/>
                <w:color w:val="auto"/>
              </w:rPr>
              <w:t>2040</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5.95%</w:t>
            </w:r>
          </w:p>
        </w:tc>
        <w:tc>
          <w:tcPr>
            <w:tcW w:w="1300" w:type="dxa"/>
            <w:vAlign w:val="bottom"/>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Leidos, Inc. senior unsecured notes:</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180"/>
              <w:spacing w:after="0"/>
              <w:rPr>
                <w:sz w:val="20"/>
                <w:szCs w:val="20"/>
                <w:color w:val="auto"/>
              </w:rPr>
            </w:pPr>
            <w:r>
              <w:rPr>
                <w:rFonts w:ascii="Arial" w:cs="Arial" w:eastAsia="Arial" w:hAnsi="Arial"/>
                <w:sz w:val="18"/>
                <w:szCs w:val="18"/>
                <w:color w:val="auto"/>
              </w:rPr>
              <w:t>$250 million notes issued in fiscal 2003, which mature in July 2032</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7.13%</w:t>
            </w: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4"/>
                <w:szCs w:val="24"/>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248</w:t>
            </w:r>
          </w:p>
        </w:tc>
        <w:tc>
          <w:tcPr>
            <w:tcW w:w="280" w:type="dxa"/>
            <w:vAlign w:val="bottom"/>
          </w:tcPr>
          <w:p>
            <w:pPr>
              <w:spacing w:after="0"/>
              <w:rPr>
                <w:sz w:val="24"/>
                <w:szCs w:val="24"/>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$300 million notes issued in fiscal 2004, which mature in July 2033</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5.50%</w:t>
            </w:r>
          </w:p>
        </w:tc>
        <w:tc>
          <w:tcPr>
            <w:tcW w:w="130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182</w:t>
            </w:r>
          </w:p>
        </w:tc>
        <w:tc>
          <w:tcPr>
            <w:tcW w:w="28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2"/>
        </w:trPr>
        <w:tc>
          <w:tcPr>
            <w:tcW w:w="5860" w:type="dxa"/>
            <w:vAlign w:val="bottom"/>
          </w:tcPr>
          <w:p>
            <w:pPr>
              <w:ind w:left="40"/>
              <w:spacing w:after="0"/>
              <w:rPr>
                <w:sz w:val="20"/>
                <w:szCs w:val="20"/>
                <w:color w:val="auto"/>
              </w:rPr>
            </w:pPr>
            <w:r>
              <w:rPr>
                <w:rFonts w:ascii="Arial" w:cs="Arial" w:eastAsia="Arial" w:hAnsi="Arial"/>
                <w:sz w:val="18"/>
                <w:szCs w:val="18"/>
                <w:color w:val="auto"/>
              </w:rPr>
              <w:t>Capital leases and other notes payable due on various dates through</w:t>
            </w: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fiscal 2021</w:t>
            </w: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0%-3.7%</w:t>
            </w: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Various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Total notes payable and long-term debt</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1,166</w:t>
            </w:r>
          </w:p>
        </w:tc>
        <w:tc>
          <w:tcPr>
            <w:tcW w:w="28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current portion</w:t>
            </w:r>
          </w:p>
        </w:tc>
        <w:tc>
          <w:tcPr>
            <w:tcW w:w="1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notes payable and long-term debt, net of current portion</w:t>
            </w:r>
          </w:p>
        </w:tc>
        <w:tc>
          <w:tcPr>
            <w:tcW w:w="1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of notes payable and long-term debt</w:t>
            </w:r>
          </w:p>
        </w:tc>
        <w:tc>
          <w:tcPr>
            <w:tcW w:w="1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340" w:hanging="332"/>
        <w:spacing w:after="0" w:line="25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a result of executing the interest rate swap agreements, the carrying value of $466 million includes a fair value adjustment of $17 million attributable to changes in the benchmark interest rate, the six-month LIBOR rate, from the inception of the interest rate swap agreements to January 30, 2015.</w:t>
      </w:r>
    </w:p>
    <w:p>
      <w:pPr>
        <w:spacing w:after="0" w:line="13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fiscal 2015, we repurchased in the open market and retired principal amounts of $67 million on our $300 million 5.95% notes issued by Leidos Holdings, Inc. maturing in December 2040 and $116 million on our $300 million 5.50% notes issued by Leidos, Inc. maturing in July 2033. We recorded a $3 million gain on extinguishment of debt for the Leidos Holdings, Inc. notes and a $2 million gain for the Leidos, Inc. notes as part of the partial repayment of the respective notes. The total combined gain of $5 million represents the difference between the repurchase price of $175 million and the net carrying amount of the notes repurchased less the write-off of a portion of the unamortized debt discount and deferred financing costs on a pro-rata basis to the reduction of debt. We recorded the gain (loss) on extinguishment of debt in "Other Income, net" in our consolidated statements of income.</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payable outstanding as of January 30, 2015 contain financial covenants and customary restrictive covenants, including, among other things, restrictions on our ability to create liens and enter into sale and leaseback transactions. We were in compliance with all covenants as of January 30, 2015. For additional information on our notes payable and long-term debt, see Note 9 of the combined notes to consolidated financial statements contained within this Annual Report on Form 10-K.</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We have a revolving credit facility, which is fully and unconditionally guaranteed by Leidos, Inc., which had provided for $750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unsecured borrowing capacity at interest rates determined, at our option, based on either LIBOR plus a margin or a defined base rate. During fiscal 2015, we amended the credit facility to, among other things, change the ratio of consolidated funded debt to EBITDA that we are required to maintain. A pro-rata portion of the unamortized deferred costs related to the prior arrangement were written off at the time of the amendment. The remaining unamortized deferred costs relating to the prior arrangement and the immaterial fee paid to amend the credit facility, which was deferred, will be amortized over the term of the amended credit facility. In connection with the amendment to the credit facility, we exercised our right under the credit agreement to voluntarily reduce the combined commitment of the lenders from $750 million to $500 million. The maturity date of the facility is March 2017. As of January 30, 2015 and January 31, 2014, there were no borrowings outstanding under the credit facility.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51</w:t>
      </w:r>
    </w:p>
    <w:p>
      <w:pPr>
        <w:sectPr>
          <w:pgSz w:w="11900" w:h="16838" w:orient="portrait"/>
          <w:cols w:equalWidth="0" w:num="1">
            <w:col w:w="11400"/>
          </w:cols>
          <w:pgMar w:left="240" w:top="495" w:right="259" w:bottom="1440" w:gutter="0" w:footer="0" w:header="0"/>
        </w:sectPr>
      </w:pPr>
    </w:p>
    <w:bookmarkStart w:id="54" w:name="page55"/>
    <w:bookmarkEnd w:id="54"/>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credit facility contains certain customary representations and warranties, as well as certain affirmative and negative covenants. The financial covenants contained in the amended credit facility require that, for a period of four trailing fiscal quarters, we maintain a ratio of consolidated funded debt, including borrowings under this facility, to EBITDA (adjusted for other items as defined in the credit facility) of not more than 4.0 to 1.0 no later than January 29, 2016 and 3.75 to 1.0 thereafter and a ratio of EBITDA (adjusted for certain items as defined in the credit facility) to interest expense of greater than 3.5 to 1.0. We were in compliance with these financial covenants as of January 30, 2015. A failure to meet these financial covenants in the future could eliminate our borrowing capacity under the credit facility.</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available borrowing capacity on the credit facility may vary each quarter based on the trailing four quarters of EBITDA. If our trailing four quarters of EBITDA declines below a certain threshold in relation to outstanding debt, the borrowing capacity available under the credit facility is reduced. Our available borrowing capacity based on the results of our trailing four quarters of EBITDA as of January 30, 2015 is approximately $500 million.</w:t>
      </w:r>
    </w:p>
    <w:p>
      <w:pPr>
        <w:spacing w:after="0" w:line="15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For additional information on our credit facility, see Note 9 of the combined notes to consolidated financial statements contained within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outstanding performance guarantees and cross-indemnity agreements in connection with certain of our unconsolidated joint venture investments. We also have letters of credit outstanding principally related to guarantees on contracts with foreign government customers and surety bonds outstanding principally related to performance and subcontractor payment bonds as described in Note 20 of the combined notes to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Leidos Holdings, Inc. Annual Report 52</w:t>
      </w:r>
    </w:p>
    <w:p>
      <w:pPr>
        <w:sectPr>
          <w:pgSz w:w="11900" w:h="16838" w:orient="portrait"/>
          <w:cols w:equalWidth="0" w:num="1">
            <w:col w:w="11280"/>
          </w:cols>
          <w:pgMar w:left="240" w:top="495" w:right="3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right="1120"/>
        <w:spacing w:after="0" w:line="262" w:lineRule="auto"/>
        <w:rPr>
          <w:sz w:val="20"/>
          <w:szCs w:val="20"/>
          <w:color w:val="auto"/>
        </w:rPr>
      </w:pPr>
      <w:r>
        <w:rPr>
          <w:rFonts w:ascii="Arial" w:cs="Arial" w:eastAsia="Arial" w:hAnsi="Arial"/>
          <w:sz w:val="18"/>
          <w:szCs w:val="18"/>
          <w:color w:val="auto"/>
        </w:rPr>
        <w:t>The following table summarizes, as of January 30, 2015, our obligations to make future payments pursuant to certain contracts or arrangements and provides an estimate of the fiscal years in which these obligations are expected to be satisfied: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color w:val="auto"/>
              </w:rPr>
              <w:t>Payments Due by Fiscal Year</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56"/>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2021 &amp;</w:t>
            </w:r>
          </w:p>
        </w:tc>
      </w:tr>
      <w:tr>
        <w:trPr>
          <w:trHeight w:val="188"/>
        </w:trPr>
        <w:tc>
          <w:tcPr>
            <w:tcW w:w="4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2016</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2019</w:t>
            </w: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92"/>
              </w:rPr>
              <w:t>Thereafter</w:t>
            </w:r>
          </w:p>
        </w:tc>
      </w:tr>
      <w:tr>
        <w:trPr>
          <w:trHeight w:val="204"/>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center"/>
              <w:ind w:left="36"/>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4340" w:type="dxa"/>
            <w:vAlign w:val="bottom"/>
          </w:tcPr>
          <w:p>
            <w:pPr>
              <w:ind w:left="40"/>
              <w:spacing w:after="0"/>
              <w:rPr>
                <w:sz w:val="20"/>
                <w:szCs w:val="20"/>
                <w:color w:val="auto"/>
              </w:rPr>
            </w:pPr>
            <w:r>
              <w:rPr>
                <w:rFonts w:ascii="Arial" w:cs="Arial" w:eastAsia="Arial" w:hAnsi="Arial"/>
                <w:sz w:val="18"/>
                <w:szCs w:val="18"/>
                <w:color w:val="auto"/>
              </w:rPr>
              <w:t>Contractual obligations: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337"/>
        </w:trPr>
        <w:tc>
          <w:tcPr>
            <w:tcW w:w="4340" w:type="dxa"/>
            <w:vAlign w:val="bottom"/>
          </w:tcPr>
          <w:p>
            <w:pPr>
              <w:ind w:left="22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1"/>
                <w:szCs w:val="2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2,154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3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1,829</w:t>
            </w:r>
          </w:p>
        </w:tc>
      </w:tr>
      <w:tr>
        <w:trPr>
          <w:trHeight w:val="217"/>
        </w:trPr>
        <w:tc>
          <w:tcPr>
            <w:tcW w:w="4340" w:type="dxa"/>
            <w:vAlign w:val="bottom"/>
          </w:tcPr>
          <w:p>
            <w:pPr>
              <w:ind w:left="220"/>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70</w:t>
            </w:r>
          </w:p>
        </w:tc>
      </w:tr>
      <w:tr>
        <w:trPr>
          <w:trHeight w:val="270"/>
        </w:trPr>
        <w:tc>
          <w:tcPr>
            <w:tcW w:w="434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84"/>
        </w:trPr>
        <w:tc>
          <w:tcPr>
            <w:tcW w:w="4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w:t>
            </w:r>
          </w:p>
        </w:tc>
      </w:tr>
      <w:tr>
        <w:trPr>
          <w:trHeight w:val="257"/>
        </w:trPr>
        <w:tc>
          <w:tcPr>
            <w:tcW w:w="4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2,599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153</w:t>
            </w:r>
          </w:p>
        </w:tc>
        <w:tc>
          <w:tcPr>
            <w:tcW w:w="3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1,908</w:t>
            </w:r>
          </w:p>
        </w:tc>
      </w:tr>
    </w:tbl>
    <w:p>
      <w:pPr>
        <w:spacing w:after="0" w:line="221" w:lineRule="exact"/>
        <w:rPr>
          <w:sz w:val="20"/>
          <w:szCs w:val="20"/>
          <w:color w:val="auto"/>
        </w:rPr>
      </w:pPr>
    </w:p>
    <w:p>
      <w:pPr>
        <w:ind w:left="340" w:right="20" w:hanging="332"/>
        <w:spacing w:after="0" w:line="225" w:lineRule="auto"/>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total interest payments on our outstanding debt of $63 million in fiscal 2016 through 2020 and $670 million in fiscal 2021 and thereafter. The total interest payments on our outstanding debt are calculated based on the stated fixed rates of the senior unsecured notes and do not reflect the variable interest component due to the interest rate swap agreements.</w:t>
      </w:r>
    </w:p>
    <w:p>
      <w:pPr>
        <w:spacing w:after="0" w:line="44" w:lineRule="exact"/>
        <w:rPr>
          <w:rFonts w:ascii="Arial" w:cs="Arial" w:eastAsia="Arial" w:hAnsi="Arial"/>
          <w:sz w:val="18"/>
          <w:szCs w:val="18"/>
          <w:color w:val="auto"/>
          <w:vertAlign w:val="superscript"/>
        </w:rPr>
      </w:pPr>
    </w:p>
    <w:p>
      <w:pPr>
        <w:ind w:left="340" w:right="80" w:hanging="332"/>
        <w:spacing w:after="0" w:line="233" w:lineRule="auto"/>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Other long-term liabilities were allocated by fiscal year as follows: a liability for our foreign defined benefit pension plan is based upon the expected near-term contributions to the plan (for a discussion of potential changes in these pension obligations, see Note 15 of the combined notes to consolidated financial statements contained within this Annual Report on Form 10-K); liabilities under deferred compensation arrangements are based upon the average annual payments in prior years upon termination of employment by participants; and other liabilities are based on the fiscal year that the liabilities are expected to be realized. The table above does not include income tax liabilities for uncertain tax positions of $6 million and $4 million of additional tax liabilities, as we are not able to reasonably estimate the timing of payments in individual years due to uncertainties in the timing of audit outcomes and when settlements will become due.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see Notes 19 and 20 of the combined notes to the consolidated financial statements contained within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reasonably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152"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color w:val="auto"/>
        </w:rPr>
        <w:t>We have several critical accounting policies that are both important to the portrayal of our financial condition and results of operations and require management’s most difficult, subjective and complex judgments. Typically, the circumstances that make these judgments difficult, subjective and complex have to do with making estimates about the effect of matters that are inherently uncertain. Our critical accounting policies are described below.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53</w:t>
      </w:r>
    </w:p>
    <w:p>
      <w:pPr>
        <w:sectPr>
          <w:pgSz w:w="11900" w:h="16838" w:orient="portrait"/>
          <w:cols w:equalWidth="0" w:num="1">
            <w:col w:w="11420"/>
          </w:cols>
          <w:pgMar w:left="240" w:top="495" w:right="2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generate our revenues from various types of contracts, which include firm-fixed-price, time-and-materials, fixed-price-level-of-effort, cost-plus-fixed-fee, cost-plus-award-fee and cost-plus-incentive-fee contracts.</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Firm-fixed-price contracts—Revenues and fees on these contracts that are system integration or engineering in nature are primarily recognized using the percentage-of-completion method of accounting utilizing the cost-to-cost method. The completed contract method is utilized when reasonable and reliable cost estimates for a project cannot be made.</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Time-and-materials contracts—Revenue is recognized on time-and-materials contracts based on the hours provided in performance under the contract multiplied by the negotiated contract billing rates, plus the negotiated contract billing rate of any allowable material and subcontract costs and out-of-pocket expenses.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Fixed-price-level-of-effort contracts (FP-LOE)—These contracts are substantially similar to time-and-materials contracts except they require a specified level of effort over a stated period of time. Accordingly, we recognize revenue on FP-LOE contracts with the U.S. Government in a manner similar to time-and-materials contracts in which we measure progress toward completion based on the hours provided in performance under the contract multiplied by the negotiated contract billing rates, plus the negotiated contract billing rate of any allowable material costs and out-of-pocket expenses.</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Cost-plus-fixed-fee contracts—Revenue is recognized on cost-plus-fixed-fee contracts with the U.S. Government on the basis of partial performance equal to costs incurred, plus an estimate of applicable fees earned as we become contractually entitled to reimbursement of costs and the applicable fees.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Cost-plus-award-fee/cost-plus-incentive fee contracts—Revenues and fees on these contracts with the U.S. Government are primarily recognized using the percentage-of-completion method of accounting, most often based on the cost-to-cost method. We include an estimate of the ultimate incentive or award fee to be received on the contract in the estimate of contract revenues for purposes of applying the percentage-of-completion method of accounting.</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from services and maintenance contracts, notwithstanding contract type, are recognized over the term of the respective contracts as the services are performed and revenue is earned. Revenues from unit-priced contracts are recognized as transactions are processed based on objective measures of output. Revenues from the sale of manufactured products are recorded upon passage of title and risk of loss to the customer, which is generally upon delivery, provided that all other requirements for revenue recognition have been met.</w:t>
      </w:r>
    </w:p>
    <w:p>
      <w:pPr>
        <w:spacing w:after="0" w:line="15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also use the efforts-expended method of percentage-of-completion using measures such as labor dollars for measuring progress toward completion in situations in which this approach is more representative of the progress on the contract. For example, the efforts-expended method is utilized when there are significant amounts of materials or hardware procured for the contract that is not representative of progress on the contract. Additionally, we utilize the units-of-delivery method under percentage-of-completion on contracts where separate units of output are produced. Under the units-of-delivery method, revenue is generally recognized when the units are delivered to the customer, provided that all other requirements for revenue recognition have been met.</w:t>
      </w:r>
    </w:p>
    <w:p>
      <w:pPr>
        <w:spacing w:after="0" w:line="1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also evaluate contracts for multiple elements, and when appropriate, separate the contracts into separate units of accounting for revenue recognition.</w:t>
      </w:r>
    </w:p>
    <w:p>
      <w:pPr>
        <w:spacing w:after="0" w:line="14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provide for anticipated losses on contracts by recording an expense during the period in which the losses are determined. Amounts billed and collected but not yet recognized as revenues under certain types of contracts are deferred. Contract costs incurred for U.S. Government contracts, including indirect costs, are subject to audit and adjustment through negotiations between us and government representatives. We have agreed upon and settled indirect contract costs through fiscal 2008. Revenues on U.S. Government contracts have been recorded in amounts that are expected to be realized upon final settlement.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54</w:t>
      </w:r>
    </w:p>
    <w:p>
      <w:pPr>
        <w:sectPr>
          <w:pgSz w:w="11900" w:h="16838" w:orient="portrait"/>
          <w:cols w:equalWidth="0" w:num="1">
            <w:col w:w="11380"/>
          </w:cols>
          <w:pgMar w:left="240" w:top="495" w:right="27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Contract claims are unanticipated additional costs incurred but not provided for in the executed contract price that we seek to recover from the customer. Such costs are expensed as incurred. Additional revenue related to contract claims is recognized when the amounts are awarded by the customer. Un-priced change orders are included in revenue when they are probable of recovery in an amount at least equal to the cost.</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certain situations, primarily where we are not the primary obligor on certain elements of a contract such as the provision of administrative oversight and/or management of government-owned facilities or logistical support services related to other vendors’ products, we recognize as revenues the net management fee associated with the services and exclude from our income statement the gross sales and costs associated with the facility or other vendors’ products.</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Changes in Estimates on Contracts. </w:t>
      </w:r>
      <w:r>
        <w:rPr>
          <w:rFonts w:ascii="Arial" w:cs="Arial" w:eastAsia="Arial" w:hAnsi="Arial"/>
          <w:sz w:val="18"/>
          <w:szCs w:val="18"/>
          <w:color w:val="auto"/>
        </w:rPr>
        <w:t>Changes in estimates related to certain types of contracts accounted for using the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method of accounting are recognized in the period in which such changes are made for the inception-to-date effect of the changes. Changes in these estimates can routinely occur over the contract performance period for a variety of reasons, including changes in contract scope, changes in contract cost estimates due to unanticipated cost growth or retirements of risk for amounts different than estimated, and changes in estimated incentive or award fees. Aggregate changes in contract estimates decreased operating loss by $24 million ($0.20 per diluted share) for fiscal 2015 and decreased operating income by $21 million ($0.15 per diluted share) for fiscal 2014. Aggregate changes in contract estimates increased operating income by $19 million ($0.14 per diluted share) for fiscal 2013.</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Receivables. </w:t>
      </w:r>
      <w:r>
        <w:rPr>
          <w:rFonts w:ascii="Arial" w:cs="Arial" w:eastAsia="Arial" w:hAnsi="Arial"/>
          <w:sz w:val="18"/>
          <w:szCs w:val="18"/>
          <w:color w:val="auto"/>
        </w:rPr>
        <w:t>Our accounts receivable include amounts billed and currently due from customers as well as billable receivables that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amounts to be billed within the next month. Since the Company's receivables are primarily with the U.S. Government, we do not have exposure to a material credit risk. Unbilled receivables consists of amounts billable and contract retentions. Amounts billable are stated at estimated realizable value and consist of costs and fees, substantially all of which are expected to be billed and collected within one year. Amounts billable also include rate variances that are billable upon negotiation of final indirect rates with the U.S. Government and, once billed, are subject to audit and approval by government representatives. Contract retentions are billed upon contract completion, or the occurrence of a specified event, and when negotiation of final indirect rates with the U.S. Government is complete. Consequently, the timing of collection of retention balances is outside our control. Based on our historical experience, the majority of retention balances are expected to be collected beyond one year and write-offs of retention balances have not been significant. When events or conditions indicate that amounts outstanding from customers may become uncollectible, an allowance is estimated and recorded.</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extended deferred payment terms with original contractual maturities that may exceed one year to commercial customers related to certain construction projects. As of January 30, 2015, we had outstanding receivables of $18 million, net of allowance of $ 7 million, related to one construction project with deferred payment terms, which have not been paid in accordance with the initial payment terms established with the customer. We have filed a legal claim to enforce the payment terms as established in the contract. Based on these events, we have determined that the receivables are not expected to be collected within the next 12 months. Accordingly, the receivables are classified as non-current in "Other Assets" on the consolidated balance sheet as of January 30, 2015.</w:t>
      </w:r>
    </w:p>
    <w:p>
      <w:pPr>
        <w:spacing w:after="0" w:line="13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Business Combinations and Goodwill and Intangible Assets Impairment. </w:t>
      </w:r>
      <w:r>
        <w:rPr>
          <w:rFonts w:ascii="Arial" w:cs="Arial" w:eastAsia="Arial" w:hAnsi="Arial"/>
          <w:sz w:val="18"/>
          <w:szCs w:val="18"/>
          <w:color w:val="auto"/>
        </w:rPr>
        <w:t>The accounting for business combinations requires management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judgments and estimates of the fair value of assets acquired, including the identification and valuation of intangible assets, as well as the liabilities and contingencies assumed. Such judgments and estimates directly impact the amount of goodwill recognized in connection with each acquisition.</w:t>
      </w:r>
    </w:p>
    <w:p>
      <w:pPr>
        <w:spacing w:after="0" w:line="14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Goodwill is not amortized, but instead is tested for impairment at the reporting unit level annually, at the beginning of the fourth quarter and during interim periods whenever events or circumstances indicate that the carrying value may not be recoverable. Goodwill is evaluated for impairment either under a qualitative assessment option or a two-step quantitative approach depending on facts and circumstances of a reporting unit, including the excess of fair value over carrying amount in previous assessments and changes in business environment.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55</w:t>
      </w:r>
    </w:p>
    <w:p>
      <w:pPr>
        <w:sectPr>
          <w:pgSz w:w="11900" w:h="16838" w:orient="portrait"/>
          <w:cols w:equalWidth="0" w:num="1">
            <w:col w:w="11400"/>
          </w:cols>
          <w:pgMar w:left="240" w:top="495" w:right="25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When performing a qualitative assessment, we consider factors including, but not limited to, current macroeconomic conditions, industry and market conditions, cost factors, financial performance, and other events relevant to the entity or reporting unit under evaluation to determine whether it is more likely or not that the fair value of a reporting unit is less than its carrying amount. If we determine that it is more likely than not that a reporting unit’s fair value is less than its carrying amount, a quantitative two-step goodwill impairment test is performed.</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evaluating the first step of the two-step quantitative goodwill impairment test, the estimated fair value of each reporting unit is compared to its carrying value, which includes the allocated goodwill. If the estimated fair value of a reporting unit is more than its carrying value, including allocated goodwill, no further analysis is required. If the estimated fair value of a reporting unit is less than its carrying value, including allocated goodwill, a second step is performed to compute the amount of the impairment by determining an implied fair value of goodwill. The implied fair value of goodwill is the residual fair value derived by deducting the fair value of a reporting unit’s identifiable assets and liabilities from its estimated fair value calculated in the first step. If the carrying value of a reporting unit’s goodwill exceeds its implied fair value, then we record an impairment charge equal to the difference.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fair value of each reporting unit using both market and income approaches.</w:t>
      </w:r>
    </w:p>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market approach consists of the guideline public company method, which is a valuation technique where the fair value is calculated based on market prices obtained from a detailed market analysis of publicly traded companies that provide a reasonable basis of comparison for each reporting unit. Valuation ratios are selected that relate market prices to selected financial metrics from comparable companies. These ratios are applied after consideration of adjustments and weightings related to financial position, growth, volatility, working capital movement and other factors. Due to the fact that stock prices of comparable companies represent minority interests we also consider an acquisition control premium to reflect the impact of additional value associated with a controlling interest.</w:t>
      </w:r>
    </w:p>
    <w:p>
      <w:pPr>
        <w:spacing w:after="0" w:line="3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income approach is a valuation technique where the fair value is calculated based on forecasted future cash flows within the projection period discounted back to the present value with appropriate risk adjusted discount rates, which represent the weighted-average cost of capital (WACC) for each reporting unit. This includes assessing the cost of equity and debt capital as of the valuation date. In addition, a terminal value is developed for forecasted future cash flows beyond the projection period discounted back to the present value. The forecasts used in our estimation of fair value are developed by management based on business and market considerations.</w:t>
      </w:r>
    </w:p>
    <w:p>
      <w:pPr>
        <w:spacing w:after="0" w:line="1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Each model is based upon certain key assumptions that require the exercise of significant judgment including judgments for the use of appropriate financial projections, economic expectations, discount rates and WACC as well as using available market data. The goodwill impairment test process also requires management to make significant judgments and assumptions, including revenue, profit, expected long-term growth rates and cash flow forecasts about the reporting units to which goodwill is assigned. The fair values of our reporting units are based on estimates and assumptions that are believed to be reasonable. Significant changes to these estimates and assumptions could adversely impact our conclusions and actual future results may differ from the estimates. In addition, the identification of reporting units and the allocation of assets and liabilities to the reporting units when determining the carrying value of each reporting unit also requires judgment.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fiscal 2015 annual goodwill impairment analysis indicated the estimated fair value of all of our reporting units were substantially in excess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their carrying values. Accordingly, no goodwill impairment charges were recorded as part of the annual goodwill impairment analysis. See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Goodwill Interim Impairment Evaluation"</w:t>
      </w:r>
      <w:r>
        <w:rPr>
          <w:rFonts w:ascii="Arial" w:cs="Arial" w:eastAsia="Arial" w:hAnsi="Arial"/>
          <w:sz w:val="18"/>
          <w:szCs w:val="18"/>
          <w:color w:val="auto"/>
        </w:rPr>
        <w:t xml:space="preserve"> discussed above in Results of Operations for information regarding the results of our interim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analysis performed in the second quarter of fiscal 2015.</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carrying value of goodwill as of January 30, 2015 was $1.2 billion. We face continued uncertainty in our business environment due to the substantial fiscal and economic challenges facing the U.S. Government, our primary customer, as well as challenges in the commercial healthcare industry, compounded by lower levels of U.S. Government reimbursements, including reductions in Medicare reimbursements which in turn impact hospital IT spending. Adverse changes in fiscal and economic conditions, such as the manner in which the budget cuts are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56</w:t>
      </w:r>
    </w:p>
    <w:p>
      <w:pPr>
        <w:sectPr>
          <w:pgSz w:w="11900" w:h="16838" w:orient="portrait"/>
          <w:cols w:equalWidth="0" w:num="1">
            <w:col w:w="11420"/>
          </w:cols>
          <w:pgMar w:left="240" w:top="495" w:right="2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implemented, including sequestration, and issues related to the nation’s debt ceiling, could adversely impact our future revenues and profitability. These circumstances could result in an impairment of goodwill and/or other intangibles. Also adverse equity market conditions that result in a decline in market multiples and our stock price could result in an impairment of goodwill and/or other intangibles.</w:t>
      </w:r>
    </w:p>
    <w:p>
      <w:pPr>
        <w:spacing w:after="0" w:line="14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 Intangible assets with indefinite lives are not amortized but are assessed for impairment at the beginning of the fourth quarter and whenever events or changes in circumstances indicate that the carrying value may not be recoverable. In fiscal 2015 and fiscal 2014, we recognized intangible asset impairment charges of $41 million and $51 million, respectively. In fiscal 2013 we did not recognize any intangible asset impairment charges. The carrying value of intangible assets as of January 30, 2015 was $37 million.</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account for income taxes under the asset and liability method of accounting, which requires the recognition of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for the expected future tax consequences of temporary differences between the carrying amounts and the tax bases of assets and liabilities. Under this method, changes in tax rates and laws are recognized in income in the period such changes are enacted. 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15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Recording our provision for income taxes requires management to make significant judgments and estimates for matters whose ultimate resolution may not become known until the final resolution of an examination by the IRS or state agencies. Additionally, recording liabilities for uncertain tax positions involves significant judgment in evaluating our tax positions and developing our best estimate of the taxes ultimately expected to be paid.</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also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have experienced years when liabilities for uncertain tax positions were settled for amounts different from recorded amounts as described in Note 14 of the combined notes to the consolidated financial statements contained within this Annual Report on Form 10-K.</w:t>
      </w:r>
    </w:p>
    <w:p>
      <w:pPr>
        <w:spacing w:after="0" w:line="13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in accordance with the accounting standard for stock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fair value recognition provisions of this standard, share-based compensation cost is measured at the grant date based on the fair value of the award and is recognized as expense over the requisite service period, which is generally the vesting period, net of an estimated forfeiture rate. The estimation of stock option fair value requires management to make complex estimates and judgments about, among other things, employee exercise behavior, forfeiture rates, and the volatility of Leidos common stock. These judgments directly affect the amount of compensation expense that will ultimately be recognized.</w:t>
      </w:r>
    </w:p>
    <w:p>
      <w:pPr>
        <w:spacing w:after="0" w:line="1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Prior to our separation transaction, the expected term of all awards granted was derived from our historical experience with the exception of awards granted to our outside directors prior to fiscal 2013 which were derived utilizing the “simplified” method presented in SEC Staff Accounting Bulletin Nos. 107 and 110, “Share-Based Payment.” Expected volatility was based on an average of the historical volatility of Leidos' stock and the implied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57</w:t>
      </w:r>
    </w:p>
    <w:p>
      <w:pPr>
        <w:sectPr>
          <w:pgSz w:w="11900" w:h="16838" w:orient="portrait"/>
          <w:cols w:equalWidth="0" w:num="1">
            <w:col w:w="11380"/>
          </w:cols>
          <w:pgMar w:left="240" w:top="495" w:right="2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volatility from traded options on Leidos stock. The risk-free interest rate was based on the yield curve of a zero-coupon U.S. Treasury bond with a maturity equal to the expected term of the stock option on the date of grant. We used historical data to estimate forfeitures.</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After the separation transaction, the expected term for all awards granted is derived utilizing the “simplified” method due to the lack of historical experience post separation. Expected volatility is estimated based on a weighted average historical volatility of a group of publicly-traded peer companies for a period consistent with the expected option term. We will continue to use peer group volatility information, until our historical volatility is relevant, to measure expected volatility for future option grants. The risk-free rate is derived in same manner as prior to the separation transaction. We use historical data to estimate forfeitures.</w:t>
      </w:r>
    </w:p>
    <w:p>
      <w:pPr>
        <w:spacing w:after="0" w:line="2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For fiscal 2015 we assumed a weighted average volatility of 25.1%. For fiscal 2014 we assumed weighted average volatilities of 25.0% for awards granted prior to the separation transaction and 30.1% for awards granted after the separation transaction. Weighted average volatility of 24.5% was assumed for fiscal 2013. If other assumptions are held constant, an increase or decrease by 10% in our fiscal 2015 volatility assumptions would have changed the grant-date fair value of our fiscal 2015 option awards by approximately 11%.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this Annual Report on Form 10-K, we refer to internal revenue growth (contraction) percentage, which is a non-GAAP financial measure that we reconcile to the most directly comparable GAAP financial measure. We calculate our internal revenue growth (contraction) percentage by comparing our reported revenue for the current year to the revenue for the prior year adjusted to include the actual revenue of acquired businesses for the comparable prior year before acquisition. This calculation has the effect of adding revenue for the acquired businesses for the comparable prior year to our prior year reported revenue.</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use internal revenue growth (contraction) percentage as an indicator of how successful we are at growing our base business and how successful we are at growing the revenues of the businesses that we acquire. Our integration of acquired businesses allows our current management to leverage business development capabilities, drive internal resource collaboration, utilize access to markets and qualifications, and refine strategies to realize synergies, which benefits both acquired and existing businesses. As a result, the performance of the combined enterprise post-acquisition is an important measurement. In addition, as a means of rewarding the successful integration and growth of acquired businesses, and not acquisitions themselves, incentive compensation for our senior management is based, in part, on achievement of revenue targets linked to internal revenue growth.</w:t>
      </w:r>
    </w:p>
    <w:p>
      <w:pPr>
        <w:spacing w:after="0" w:line="15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limitation of this non-GAAP financial measure as compared to the most directly comparable GAAP financial measure is that internal revenue growth (contraction) percentage is one of two components of the total revenue growth (contraction) percentage, which is the most directly comparable GAAP financial measure. We address this limitation by presenting the total revenue growth (contraction) percentage next to or near disclosures of internal revenue growth (contraction) percentage. This financial measure is not meant to be considered in isolation or as a substitute for comparable GAAP measures and should be read only in conjunction with our consolidated financial statements prepared in accordance with GAAP. The method that we use to calculate internal revenue growth (contraction) percentage is not necessarily comparable to similarly titled financial measures presented by other companies.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58</w:t>
      </w:r>
    </w:p>
    <w:p>
      <w:pPr>
        <w:sectPr>
          <w:pgSz w:w="11900" w:h="16838" w:orient="portrait"/>
          <w:cols w:equalWidth="0" w:num="1">
            <w:col w:w="11400"/>
          </w:cols>
          <w:pgMar w:left="240" w:top="495" w:right="259" w:bottom="1440" w:gutter="0" w:footer="0" w:header="0"/>
        </w:sectPr>
      </w:pPr>
    </w:p>
    <w:bookmarkStart w:id="61" w:name="page62"/>
    <w:bookmarkEnd w:id="61"/>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Internal revenue growth (contraction) percentages for fiscal 2015, 2014 and 2013 were calculated as follows:</w:t>
      </w: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75"/>
        </w:trPr>
        <w:tc>
          <w:tcPr>
            <w:tcW w:w="6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72"/>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220" w:type="dxa"/>
            <w:vAlign w:val="bottom"/>
          </w:tcPr>
          <w:p>
            <w:pPr>
              <w:jc w:val="center"/>
              <w:ind w:right="213"/>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120" w:type="dxa"/>
            <w:vAlign w:val="bottom"/>
          </w:tcPr>
          <w:p>
            <w:pPr>
              <w:jc w:val="right"/>
              <w:ind w:right="212"/>
              <w:spacing w:after="0"/>
              <w:rPr>
                <w:sz w:val="20"/>
                <w:szCs w:val="20"/>
                <w:color w:val="auto"/>
              </w:rPr>
            </w:pPr>
            <w:r>
              <w:rPr>
                <w:rFonts w:ascii="Arial" w:cs="Arial" w:eastAsia="Arial" w:hAnsi="Arial"/>
                <w:sz w:val="14"/>
                <w:szCs w:val="14"/>
                <w:color w:val="auto"/>
              </w:rPr>
              <w:t>January 31,</w:t>
            </w:r>
          </w:p>
        </w:tc>
      </w:tr>
      <w:tr>
        <w:trPr>
          <w:trHeight w:val="196"/>
        </w:trPr>
        <w:tc>
          <w:tcPr>
            <w:tcW w:w="6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2013</w:t>
            </w:r>
          </w:p>
        </w:tc>
      </w:tr>
      <w:tr>
        <w:trPr>
          <w:trHeight w:val="204"/>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National Security Solutions: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4"/>
        </w:trPr>
        <w:tc>
          <w:tcPr>
            <w:tcW w:w="6980" w:type="dxa"/>
            <w:vAlign w:val="bottom"/>
          </w:tcPr>
          <w:p>
            <w:pPr>
              <w:ind w:left="220"/>
              <w:spacing w:after="0"/>
              <w:rPr>
                <w:sz w:val="20"/>
                <w:szCs w:val="20"/>
                <w:color w:val="auto"/>
              </w:rPr>
            </w:pPr>
            <w:r>
              <w:rPr>
                <w:rFonts w:ascii="Arial" w:cs="Arial" w:eastAsia="Arial" w:hAnsi="Arial"/>
                <w:sz w:val="18"/>
                <w:szCs w:val="18"/>
                <w:color w:val="auto"/>
              </w:rPr>
              <w:t>Prior fiscal year’s revenues, as reported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4,049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4,650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4,618</w:t>
            </w:r>
          </w:p>
        </w:tc>
      </w:tr>
      <w:tr>
        <w:trPr>
          <w:trHeight w:val="277"/>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Revenues of acquired businesses for the comparable prior year period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ind w:left="220"/>
              <w:spacing w:after="0"/>
              <w:rPr>
                <w:sz w:val="20"/>
                <w:szCs w:val="20"/>
                <w:color w:val="auto"/>
              </w:rPr>
            </w:pPr>
            <w:r>
              <w:rPr>
                <w:rFonts w:ascii="Arial" w:cs="Arial" w:eastAsia="Arial" w:hAnsi="Arial"/>
                <w:sz w:val="18"/>
                <w:szCs w:val="18"/>
                <w:color w:val="auto"/>
              </w:rPr>
              <w:t>Prior fiscal year’s revenues, as adjusted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4,049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4,650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4,618</w:t>
            </w:r>
          </w:p>
        </w:tc>
      </w:tr>
      <w:tr>
        <w:trPr>
          <w:trHeight w:val="277"/>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fiscal year’s revenues, as reported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3,594</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4,049</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4,650</w:t>
            </w:r>
          </w:p>
        </w:tc>
      </w:tr>
      <w:tr>
        <w:trPr>
          <w:trHeight w:val="264"/>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Internal revenue (contraction) growth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(455)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w:t>
            </w:r>
          </w:p>
        </w:tc>
      </w:tr>
      <w:tr>
        <w:trPr>
          <w:trHeight w:val="264"/>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Internal revenue (contraction) growth percentage</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Health and Engineering:</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4"/>
        </w:trPr>
        <w:tc>
          <w:tcPr>
            <w:tcW w:w="6980" w:type="dxa"/>
            <w:vAlign w:val="bottom"/>
          </w:tcPr>
          <w:p>
            <w:pPr>
              <w:ind w:left="220"/>
              <w:spacing w:after="0"/>
              <w:rPr>
                <w:sz w:val="20"/>
                <w:szCs w:val="20"/>
                <w:color w:val="auto"/>
              </w:rPr>
            </w:pPr>
            <w:r>
              <w:rPr>
                <w:rFonts w:ascii="Arial" w:cs="Arial" w:eastAsia="Arial" w:hAnsi="Arial"/>
                <w:sz w:val="18"/>
                <w:szCs w:val="18"/>
                <w:color w:val="auto"/>
              </w:rPr>
              <w:t>Prior fiscal year’s revenues, as reported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1,718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1,805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1,580</w:t>
            </w:r>
          </w:p>
        </w:tc>
      </w:tr>
      <w:tr>
        <w:trPr>
          <w:trHeight w:val="277"/>
        </w:trPr>
        <w:tc>
          <w:tcPr>
            <w:tcW w:w="6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Revenues of acquired businesses for the comparable prior year period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177</w:t>
            </w:r>
          </w:p>
        </w:tc>
      </w:tr>
      <w:tr>
        <w:trPr>
          <w:trHeight w:val="257"/>
        </w:trPr>
        <w:tc>
          <w:tcPr>
            <w:tcW w:w="6980" w:type="dxa"/>
            <w:vAlign w:val="bottom"/>
          </w:tcPr>
          <w:p>
            <w:pPr>
              <w:ind w:left="220"/>
              <w:spacing w:after="0"/>
              <w:rPr>
                <w:sz w:val="20"/>
                <w:szCs w:val="20"/>
                <w:color w:val="auto"/>
              </w:rPr>
            </w:pPr>
            <w:r>
              <w:rPr>
                <w:rFonts w:ascii="Arial" w:cs="Arial" w:eastAsia="Arial" w:hAnsi="Arial"/>
                <w:sz w:val="18"/>
                <w:szCs w:val="18"/>
                <w:color w:val="auto"/>
              </w:rPr>
              <w:t>Prior fiscal year’s revenues, as adjusted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1,718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1,950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1,757</w:t>
            </w:r>
          </w:p>
        </w:tc>
      </w:tr>
      <w:tr>
        <w:trPr>
          <w:trHeight w:val="277"/>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fiscal year’s revenues, as reported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1,485</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1,718</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1,805</w:t>
            </w:r>
          </w:p>
        </w:tc>
      </w:tr>
      <w:tr>
        <w:trPr>
          <w:trHeight w:val="264"/>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Internal revenue (contraction) growth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(233)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w:t>
            </w:r>
          </w:p>
        </w:tc>
      </w:tr>
      <w:tr>
        <w:trPr>
          <w:trHeight w:val="264"/>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Internal revenue (contraction) growth percentage</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4"/>
        </w:trPr>
        <w:tc>
          <w:tcPr>
            <w:tcW w:w="6980" w:type="dxa"/>
            <w:vAlign w:val="bottom"/>
          </w:tcPr>
          <w:p>
            <w:pPr>
              <w:ind w:left="220"/>
              <w:spacing w:after="0"/>
              <w:rPr>
                <w:sz w:val="20"/>
                <w:szCs w:val="20"/>
                <w:color w:val="auto"/>
              </w:rPr>
            </w:pPr>
            <w:r>
              <w:rPr>
                <w:rFonts w:ascii="Arial" w:cs="Arial" w:eastAsia="Arial" w:hAnsi="Arial"/>
                <w:sz w:val="18"/>
                <w:szCs w:val="18"/>
                <w:color w:val="auto"/>
              </w:rPr>
              <w:t>Prior fiscal year’s revenues, as reported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5,755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6,449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5,804</w:t>
            </w:r>
          </w:p>
        </w:tc>
      </w:tr>
      <w:tr>
        <w:trPr>
          <w:trHeight w:val="277"/>
        </w:trPr>
        <w:tc>
          <w:tcPr>
            <w:tcW w:w="6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Revenues of acquired businesses for the comparable prior year period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177</w:t>
            </w:r>
          </w:p>
        </w:tc>
      </w:tr>
      <w:tr>
        <w:trPr>
          <w:trHeight w:val="257"/>
        </w:trPr>
        <w:tc>
          <w:tcPr>
            <w:tcW w:w="6980" w:type="dxa"/>
            <w:vAlign w:val="bottom"/>
          </w:tcPr>
          <w:p>
            <w:pPr>
              <w:ind w:left="220"/>
              <w:spacing w:after="0"/>
              <w:rPr>
                <w:sz w:val="20"/>
                <w:szCs w:val="20"/>
                <w:color w:val="auto"/>
              </w:rPr>
            </w:pPr>
            <w:r>
              <w:rPr>
                <w:rFonts w:ascii="Arial" w:cs="Arial" w:eastAsia="Arial" w:hAnsi="Arial"/>
                <w:sz w:val="18"/>
                <w:szCs w:val="18"/>
                <w:color w:val="auto"/>
              </w:rPr>
              <w:t>Prior fiscal year’s revenues, as adjusted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212"/>
              <w:spacing w:after="0"/>
              <w:rPr>
                <w:sz w:val="20"/>
                <w:szCs w:val="20"/>
                <w:color w:val="auto"/>
              </w:rPr>
            </w:pPr>
            <w:r>
              <w:rPr>
                <w:rFonts w:ascii="Arial" w:cs="Arial" w:eastAsia="Arial" w:hAnsi="Arial"/>
                <w:sz w:val="18"/>
                <w:szCs w:val="18"/>
                <w:b w:val="1"/>
                <w:bCs w:val="1"/>
                <w:color w:val="auto"/>
              </w:rPr>
              <w:t>5,755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6,594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5,981</w:t>
            </w:r>
          </w:p>
        </w:tc>
      </w:tr>
      <w:tr>
        <w:trPr>
          <w:trHeight w:val="277"/>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Current fiscal year’s revenues, as reported</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5,063</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5,755</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6,449</w:t>
            </w:r>
          </w:p>
        </w:tc>
      </w:tr>
      <w:tr>
        <w:trPr>
          <w:trHeight w:val="264"/>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Internal revenue (contraction) growth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(692)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(839)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468</w:t>
            </w:r>
          </w:p>
        </w:tc>
      </w:tr>
      <w:tr>
        <w:trPr>
          <w:trHeight w:val="264"/>
        </w:trPr>
        <w:tc>
          <w:tcPr>
            <w:tcW w:w="69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Internal revenue (contraction) growth percentage</w:t>
            </w: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Total revenues include amounts related to Corporate and Other intersegment eliminations.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Issued Accounting Pronouncements</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a discussion of these items, see Note 1 - Summary of Significant Accounting Policies of the combined notes to the consolidated financial statements contained with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Approximately 48% of our revenues are derived from cost-reimbursement type contracts, which are generally completed within one year. Bids for longer-term FFP and T&amp;M and FP-LOE contracts typically include sufficient provisions for labor and other cost escalations to cover anticipated cost increases over the period of performance. As a result, our revenues and costs have generally both increased commensurate with inflation and net income as a percentage of total revenues has not been significantly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Leidos Holdings, Inc. Annual Report 59</w:t>
      </w:r>
    </w:p>
    <w:p>
      <w:pPr>
        <w:sectPr>
          <w:pgSz w:w="11900" w:h="16838" w:orient="portrait"/>
          <w:cols w:equalWidth="0" w:num="1">
            <w:col w:w="11320"/>
          </w:cols>
          <w:pgMar w:left="240" w:top="495" w:right="3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exposure to market risk for changes in interest rates relates primarily to our investments and long-term debt obligations. We have established an investment policy that prioritizes our objectives to minimize principal exposure, maximize liquidity and generate after-tax returns. This policy establishes guidelines regarding acceptability of instruments and maximum maturity dates and requires diversification in the investment portfolios by establishing maximum amounts that may be invested in designated instruments and issuers. Our policy authorizes, with board of directors’ approval, the limited use of derivative instruments to hedge specific interest rate risks.</w:t>
      </w:r>
    </w:p>
    <w:p>
      <w:pPr>
        <w:spacing w:after="0" w:line="13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 xml:space="preserve">Debt obligations and derivatives. </w:t>
      </w:r>
      <w:r>
        <w:rPr>
          <w:rFonts w:ascii="Arial" w:cs="Arial" w:eastAsia="Arial" w:hAnsi="Arial"/>
          <w:sz w:val="18"/>
          <w:szCs w:val="18"/>
          <w:color w:val="auto"/>
        </w:rPr>
        <w:t>At January 30, 2015, we had 1.2 billion of fixed rate debt. During fiscal 2015, we entered into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swap agreements with respect to all of the $450 million aggregate principal outstanding on our fixed rate 4.45% notes maturing in December 2020. The interest rate swap agreements effectively converted a portion of our fixed-rate debt to floating-rate debt tied to the changes in the six-month LIBOR benchmark interest rate. As a result, we may experience fluctuations in interest expense.</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January 30, 2015, the fair value of our interest rate swaps was $17 million. Under the terms of the interest rate swap agreements, we will receive semi-annual interest payments at the coupon rate of 4.45% and will pay variable interest based on the six-month LIBOR rate. The counterparties to these agreements are financial institutions. We do not hold or issue derivative financial instruments for trading or speculative purposes. We cannot predict future market fluctuations in interest rates and their impact on our interest rate swaps due to the payment of variable rate interest in comparison to the fixed amount paid. A hypothetical 10% movement in the six-month LIBOR rate would have less than a $2 million impact on our annual interest expense due to the interest rate swaps in comparison to the fixed rate 4.45% notes. For additional information related to our debt and interest rate swap agreements, see Notes 8 and 9, respectively, to the consolidated financial statements contained in this Annual Report.</w:t>
      </w:r>
    </w:p>
    <w:p>
      <w:pPr>
        <w:spacing w:after="0" w:line="188"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At January 30, 2015 and January 31, 2014, our cash and cash equivalents included investments in several large</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money market funds and bank deposits. A 10% interest rate movement would not materially impact the value of the holdings or on interest income.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are immaterial and we do not expect this risk to have a material impact.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See our consolidated financial statements attached hereto and listed on the Index to Consolidated Financial Statements set forth on page F-1 of this Annual Report on Form 10-K.</w:t>
      </w:r>
    </w:p>
    <w:p>
      <w:pPr>
        <w:spacing w:after="0" w:line="120" w:lineRule="exact"/>
        <w:rPr>
          <w:sz w:val="20"/>
          <w:szCs w:val="20"/>
          <w:color w:val="auto"/>
        </w:rPr>
      </w:pPr>
    </w:p>
    <w:p>
      <w:pPr>
        <w:ind w:right="3040"/>
        <w:spacing w:after="0" w:line="475"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60</w:t>
      </w:r>
    </w:p>
    <w:p>
      <w:pPr>
        <w:sectPr>
          <w:pgSz w:w="11900" w:h="16838" w:orient="portrait"/>
          <w:cols w:equalWidth="0" w:num="1">
            <w:col w:w="11400"/>
          </w:cols>
          <w:pgMar w:left="240" w:top="495" w:right="25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management, with the participation of our principal executive officer (our Chief Executive Officer) and principal financial officer (our Executive Vice President and Chief Financial Officer), has evaluated the effectiveness of Leidos’ and Leidos, Inc.'s disclosure controls and procedures (as defined in Rules 13a-15(e) or 15d-15(e) under the Securities Exchange Act of 1934) as of January 30, 2015, and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U.S. Securities Exchange Commission. These disclosure controls and procedures include, without limitation, controls and procedures designed to ensure that information required to be disclosed by us in the reports that we file or submit is accumulated and communicated to our management, including our principal executive officer and our principal financial officer, as appropriate to allow timely decisions regarding required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There have been no changes in our internal control over financial reporting that occurred in the fourth quarter of the fiscal year covered by this report that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8"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 xml:space="preserve">Our management, with the participation of our principal executive officer and principal financial officer, has evaluated the effectiveness of Leidos' and Leidos, Inc.'s internal control over financial reporting as of January 30, 2015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Our management has</w:t>
      </w:r>
      <w:r>
        <w:rPr>
          <w:rFonts w:ascii="Arial" w:cs="Arial" w:eastAsia="Arial" w:hAnsi="Arial"/>
          <w:sz w:val="18"/>
          <w:szCs w:val="18"/>
          <w:i w:val="1"/>
          <w:iCs w:val="1"/>
          <w:color w:val="auto"/>
        </w:rPr>
        <w:t xml:space="preserve"> </w:t>
      </w:r>
      <w:r>
        <w:rPr>
          <w:rFonts w:ascii="Arial" w:cs="Arial" w:eastAsia="Arial" w:hAnsi="Arial"/>
          <w:sz w:val="18"/>
          <w:szCs w:val="18"/>
          <w:color w:val="auto"/>
        </w:rPr>
        <w:t>assessed the effectiveness of our internal control over financial reporting as of January 30, 2015, and has concluded that our internal control over financial reporting as of that date was effective.</w:t>
      </w:r>
    </w:p>
    <w:p>
      <w:pPr>
        <w:spacing w:after="0" w:line="15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Deloitte &amp; Touche LLP, an independent registered public accounting firm, audited our consolidated financial statements included in this Annual Report on Form 10-K and our internal control over financial reporting, and that firm’s reports on our internal control over financial reporting are set forth below.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61</w:t>
      </w:r>
    </w:p>
    <w:p>
      <w:pPr>
        <w:sectPr>
          <w:pgSz w:w="11900" w:h="16838" w:orient="portrait"/>
          <w:cols w:equalWidth="0" w:num="1">
            <w:col w:w="11380"/>
          </w:cols>
          <w:pgMar w:left="240" w:top="495" w:right="27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Leidos Holdings, Inc. and subsidiaries (the “Company”) as of January 30, 2015,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January 30,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January 30, 2015 of the Company and our report dated March 25, 2015, expressed an unqualified opinion on those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62</w:t>
      </w:r>
    </w:p>
    <w:p>
      <w:pPr>
        <w:sectPr>
          <w:pgSz w:w="11900" w:h="16838" w:orient="portrait"/>
          <w:cols w:equalWidth="0" w:num="1">
            <w:col w:w="11420"/>
          </w:cols>
          <w:pgMar w:left="240" w:top="49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Leidos,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have audited the internal control over financial reporting of Leidos, Inc. and subsidiaries (the “Company”) as of January 30, 2015,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January 30, 2015,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w:t>
      </w:r>
    </w:p>
    <w:p>
      <w:pPr>
        <w:spacing w:after="0" w:line="14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January 30, 2015, of the Company and our report dated March 25, 2015, expressed an unqualified opinion on those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63</w:t>
      </w:r>
    </w:p>
    <w:p>
      <w:pPr>
        <w:sectPr>
          <w:pgSz w:w="11900" w:h="16838" w:orient="portrait"/>
          <w:cols w:equalWidth="0" w:num="1">
            <w:col w:w="11420"/>
          </w:cols>
          <w:pgMar w:left="240" w:top="495" w:right="239" w:bottom="1440" w:gutter="0" w:footer="0" w:header="0"/>
        </w:sectPr>
      </w:pPr>
    </w:p>
    <w:bookmarkStart w:id="66" w:name="page67"/>
    <w:bookmarkEnd w:id="66"/>
    <w:p>
      <w:pPr>
        <w:ind w:left="5400"/>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ind w:right="3099"/>
        <w:spacing w:after="0"/>
        <w:rPr>
          <w:sz w:val="20"/>
          <w:szCs w:val="20"/>
          <w:color w:val="auto"/>
        </w:rPr>
      </w:pPr>
      <w:r>
        <w:rPr>
          <w:rFonts w:ascii="Arial" w:cs="Arial" w:eastAsia="Arial" w:hAnsi="Arial"/>
          <w:sz w:val="16"/>
          <w:szCs w:val="16"/>
          <w:color w:val="auto"/>
        </w:rPr>
        <w:t>Leidos Holdings, Inc. Annual Report 64</w:t>
      </w:r>
    </w:p>
    <w:p>
      <w:pPr>
        <w:sectPr>
          <w:pgSz w:w="11900" w:h="16838" w:orient="portrait"/>
          <w:cols w:equalWidth="0" w:num="1">
            <w:col w:w="10219"/>
          </w:cols>
          <w:pgMar w:left="240" w:top="495"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certain information required by Item 10 with respect to executive officers, see “Executive and Other Key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2015 Proxy Statement, which required information is incorporated by reference into this Annual Report on Form 10-K.</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have adopted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8"/>
          <w:szCs w:val="18"/>
          <w:i w:val="1"/>
          <w:iCs w:val="1"/>
          <w:color w:val="auto"/>
        </w:rPr>
        <w:t>www.leidos.com</w:t>
      </w:r>
      <w:r>
        <w:rPr>
          <w:rFonts w:ascii="Arial" w:cs="Arial" w:eastAsia="Arial" w:hAnsi="Arial"/>
          <w:sz w:val="18"/>
          <w:szCs w:val="18"/>
          <w:color w:val="auto"/>
        </w:rPr>
        <w:t xml:space="preserve"> by clicking on the links entitled “Investors” then “Corporate Governance” and then “Code of Conduct.” We intend to post on our website any material changes to or waivers from our code of business ethics. The information on our website is not incorporated by reference into and is not a part of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information required by Item 11 with respect to executive compensation and director compensation, see the information set forth under the captions “Compensation Discussion and Analysis,” “Executive Compensation” and “Corporate Governance” in the 2015 Proxy Statement, which required information is incorporated by reference into this Annual Report on Form 10-K.</w:t>
      </w:r>
    </w:p>
    <w:p>
      <w:pPr>
        <w:spacing w:after="0" w:line="14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For information required by Item 11 with respect to compensation committee interlocks and insider participation, see the information set forth under the caption “Corporate Governance” in the 2015 Proxy Statement, which required information is incorporated by reference into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For information required by Item 12 with respect to the security ownership of certain beneficial owners and management, see the information set forth under the caption “Other Information” in the 2015 Proxy Statement, which required information is incorporated by reference into this Annual Report on Form 10-K.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65</w:t>
      </w:r>
    </w:p>
    <w:p>
      <w:pPr>
        <w:sectPr>
          <w:pgSz w:w="11900" w:h="16838" w:orient="portrait"/>
          <w:cols w:equalWidth="0" w:num="1">
            <w:col w:w="11420"/>
          </w:cols>
          <w:pgMar w:left="240" w:top="49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equity compensation plans as of January 30, 2015 is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Number of securities</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remaining available</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jc w:val="center"/>
              <w:ind w:right="262"/>
              <w:spacing w:after="0"/>
              <w:rPr>
                <w:sz w:val="20"/>
                <w:szCs w:val="20"/>
                <w:color w:val="auto"/>
              </w:rPr>
            </w:pPr>
            <w:r>
              <w:rPr>
                <w:rFonts w:ascii="Arial" w:cs="Arial" w:eastAsia="Arial" w:hAnsi="Arial"/>
                <w:sz w:val="14"/>
                <w:szCs w:val="14"/>
                <w:color w:val="auto"/>
              </w:rPr>
              <w:t>(a)</w:t>
            </w:r>
          </w:p>
        </w:tc>
        <w:tc>
          <w:tcPr>
            <w:tcW w:w="18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color w:val="auto"/>
              </w:rPr>
              <w:t>(b)</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for future issuance</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jc w:val="center"/>
              <w:ind w:right="242"/>
              <w:spacing w:after="0"/>
              <w:rPr>
                <w:sz w:val="20"/>
                <w:szCs w:val="20"/>
                <w:color w:val="auto"/>
              </w:rPr>
            </w:pPr>
            <w:r>
              <w:rPr>
                <w:rFonts w:ascii="Arial" w:cs="Arial" w:eastAsia="Arial" w:hAnsi="Arial"/>
                <w:sz w:val="14"/>
                <w:szCs w:val="14"/>
                <w:color w:val="auto"/>
              </w:rPr>
              <w:t>Number of securities</w:t>
            </w:r>
          </w:p>
        </w:tc>
        <w:tc>
          <w:tcPr>
            <w:tcW w:w="18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color w:val="auto"/>
              </w:rPr>
              <w:t>Weighted-average</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under equity</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jc w:val="center"/>
              <w:ind w:right="262"/>
              <w:spacing w:after="0"/>
              <w:rPr>
                <w:sz w:val="20"/>
                <w:szCs w:val="20"/>
                <w:color w:val="auto"/>
              </w:rPr>
            </w:pPr>
            <w:r>
              <w:rPr>
                <w:rFonts w:ascii="Arial" w:cs="Arial" w:eastAsia="Arial" w:hAnsi="Arial"/>
                <w:sz w:val="14"/>
                <w:szCs w:val="14"/>
                <w:color w:val="auto"/>
              </w:rPr>
              <w:t>to be issued upon</w:t>
            </w:r>
          </w:p>
        </w:tc>
        <w:tc>
          <w:tcPr>
            <w:tcW w:w="18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color w:val="auto"/>
              </w:rPr>
              <w:t>exercise price of</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compensation</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jc w:val="center"/>
              <w:ind w:right="262"/>
              <w:spacing w:after="0"/>
              <w:rPr>
                <w:sz w:val="20"/>
                <w:szCs w:val="20"/>
                <w:color w:val="auto"/>
              </w:rPr>
            </w:pPr>
            <w:r>
              <w:rPr>
                <w:rFonts w:ascii="Arial" w:cs="Arial" w:eastAsia="Arial" w:hAnsi="Arial"/>
                <w:sz w:val="14"/>
                <w:szCs w:val="14"/>
                <w:color w:val="auto"/>
              </w:rPr>
              <w:t>exercise of</w:t>
            </w:r>
          </w:p>
        </w:tc>
        <w:tc>
          <w:tcPr>
            <w:tcW w:w="18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color w:val="auto"/>
              </w:rPr>
              <w:t>outstanding</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plans (excluding</w:t>
            </w:r>
          </w:p>
        </w:tc>
        <w:tc>
          <w:tcPr>
            <w:tcW w:w="38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160" w:type="dxa"/>
            <w:vAlign w:val="bottom"/>
          </w:tcPr>
          <w:p>
            <w:pPr>
              <w:jc w:val="center"/>
              <w:ind w:right="262"/>
              <w:spacing w:after="0"/>
              <w:rPr>
                <w:sz w:val="20"/>
                <w:szCs w:val="20"/>
                <w:color w:val="auto"/>
              </w:rPr>
            </w:pPr>
            <w:r>
              <w:rPr>
                <w:rFonts w:ascii="Arial" w:cs="Arial" w:eastAsia="Arial" w:hAnsi="Arial"/>
                <w:sz w:val="14"/>
                <w:szCs w:val="14"/>
                <w:color w:val="auto"/>
              </w:rPr>
              <w:t>outstanding options,</w:t>
            </w:r>
          </w:p>
        </w:tc>
        <w:tc>
          <w:tcPr>
            <w:tcW w:w="18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Arial" w:cs="Arial" w:eastAsia="Arial" w:hAnsi="Arial"/>
                <w:sz w:val="14"/>
                <w:szCs w:val="14"/>
                <w:color w:val="auto"/>
              </w:rPr>
              <w:t>options, warrants</w:t>
            </w:r>
          </w:p>
        </w:tc>
        <w:tc>
          <w:tcPr>
            <w:tcW w:w="3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rPr>
              <w:t>securities reflected</w:t>
            </w:r>
          </w:p>
        </w:tc>
        <w:tc>
          <w:tcPr>
            <w:tcW w:w="380" w:type="dxa"/>
            <w:vAlign w:val="bottom"/>
          </w:tcPr>
          <w:p>
            <w:pPr>
              <w:spacing w:after="0"/>
              <w:rPr>
                <w:sz w:val="14"/>
                <w:szCs w:val="14"/>
                <w:color w:val="auto"/>
              </w:rPr>
            </w:pPr>
          </w:p>
        </w:tc>
      </w:tr>
      <w:tr>
        <w:trPr>
          <w:trHeight w:val="17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216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color w:val="auto"/>
              </w:rPr>
              <w:t>warrants and rights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and rights</w:t>
            </w: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column (a))</w:t>
            </w:r>
          </w:p>
        </w:tc>
        <w:tc>
          <w:tcPr>
            <w:tcW w:w="380" w:type="dxa"/>
            <w:vAlign w:val="bottom"/>
            <w:tcBorders>
              <w:bottom w:val="single" w:sz="8" w:color="auto"/>
            </w:tcBorders>
          </w:tcPr>
          <w:p>
            <w:pPr>
              <w:spacing w:after="0"/>
              <w:rPr>
                <w:sz w:val="15"/>
                <w:szCs w:val="15"/>
                <w:color w:val="auto"/>
              </w:rPr>
            </w:pPr>
          </w:p>
        </w:tc>
      </w:tr>
      <w:tr>
        <w:trPr>
          <w:trHeight w:val="280"/>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8"/>
                <w:szCs w:val="18"/>
                <w:color w:val="auto"/>
                <w:vertAlign w:val="superscript"/>
              </w:rPr>
              <w:t>(1)</w:t>
            </w:r>
          </w:p>
        </w:tc>
        <w:tc>
          <w:tcPr>
            <w:tcW w:w="2160" w:type="dxa"/>
            <w:vAlign w:val="bottom"/>
          </w:tcPr>
          <w:p>
            <w:pPr>
              <w:jc w:val="right"/>
              <w:ind w:right="102"/>
              <w:spacing w:after="0"/>
              <w:rPr>
                <w:sz w:val="20"/>
                <w:szCs w:val="20"/>
                <w:color w:val="auto"/>
              </w:rPr>
            </w:pPr>
            <w:r>
              <w:rPr>
                <w:rFonts w:ascii="Arial" w:cs="Arial" w:eastAsia="Arial" w:hAnsi="Arial"/>
                <w:sz w:val="18"/>
                <w:szCs w:val="18"/>
                <w:color w:val="auto"/>
              </w:rPr>
              <w:t xml:space="preserve">6,298,370  </w:t>
            </w:r>
            <w:r>
              <w:rPr>
                <w:rFonts w:ascii="Arial" w:cs="Arial" w:eastAsia="Arial" w:hAnsi="Arial"/>
                <w:sz w:val="21"/>
                <w:szCs w:val="2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
              <w:spacing w:after="0"/>
              <w:rPr>
                <w:sz w:val="20"/>
                <w:szCs w:val="20"/>
                <w:color w:val="auto"/>
              </w:rPr>
            </w:pPr>
            <w:r>
              <w:rPr>
                <w:rFonts w:ascii="Arial" w:cs="Arial" w:eastAsia="Arial" w:hAnsi="Arial"/>
                <w:sz w:val="18"/>
                <w:szCs w:val="18"/>
                <w:color w:val="auto"/>
              </w:rPr>
              <w:t>38.50</w:t>
            </w:r>
          </w:p>
        </w:tc>
        <w:tc>
          <w:tcPr>
            <w:tcW w:w="38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760" w:type="dxa"/>
            <w:vAlign w:val="bottom"/>
          </w:tcPr>
          <w:p>
            <w:pPr>
              <w:jc w:val="right"/>
              <w:spacing w:after="0"/>
              <w:rPr>
                <w:sz w:val="20"/>
                <w:szCs w:val="20"/>
                <w:color w:val="auto"/>
              </w:rPr>
            </w:pPr>
            <w:r>
              <w:rPr>
                <w:rFonts w:ascii="Arial" w:cs="Arial" w:eastAsia="Arial" w:hAnsi="Arial"/>
                <w:sz w:val="18"/>
                <w:szCs w:val="18"/>
                <w:color w:val="auto"/>
              </w:rPr>
              <w:t>16,270,926</w:t>
            </w:r>
          </w:p>
        </w:tc>
        <w:tc>
          <w:tcPr>
            <w:tcW w:w="380" w:type="dxa"/>
            <w:vAlign w:val="bottom"/>
          </w:tcPr>
          <w:p>
            <w:pPr>
              <w:jc w:val="right"/>
              <w:ind w:right="126"/>
              <w:spacing w:after="0"/>
              <w:rPr>
                <w:sz w:val="20"/>
                <w:szCs w:val="20"/>
                <w:color w:val="auto"/>
              </w:rPr>
            </w:pPr>
            <w:r>
              <w:rPr>
                <w:rFonts w:ascii="Arial" w:cs="Arial" w:eastAsia="Arial" w:hAnsi="Arial"/>
                <w:sz w:val="11"/>
                <w:szCs w:val="11"/>
                <w:color w:val="auto"/>
              </w:rPr>
              <w:t>(4)</w:t>
            </w:r>
          </w:p>
        </w:tc>
      </w:tr>
      <w:tr>
        <w:trPr>
          <w:trHeight w:val="232"/>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8"/>
                <w:szCs w:val="18"/>
                <w:color w:val="auto"/>
                <w:vertAlign w:val="superscript"/>
              </w:rPr>
              <w:t>(5)</w:t>
            </w:r>
          </w:p>
        </w:tc>
        <w:tc>
          <w:tcPr>
            <w:tcW w:w="216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ind w:right="382"/>
              <w:spacing w:after="0"/>
              <w:rPr>
                <w:sz w:val="20"/>
                <w:szCs w:val="20"/>
                <w:color w:val="auto"/>
              </w:rPr>
            </w:pPr>
            <w:r>
              <w:rPr>
                <w:rFonts w:ascii="Arial" w:cs="Arial" w:eastAsia="Arial" w:hAnsi="Arial"/>
                <w:sz w:val="18"/>
                <w:szCs w:val="18"/>
                <w:color w:val="auto"/>
              </w:rPr>
              <w:t>6,298,370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6"/>
              <w:spacing w:after="0"/>
              <w:rPr>
                <w:sz w:val="20"/>
                <w:szCs w:val="20"/>
                <w:color w:val="auto"/>
              </w:rPr>
            </w:pPr>
            <w:r>
              <w:rPr>
                <w:rFonts w:ascii="Arial" w:cs="Arial" w:eastAsia="Arial" w:hAnsi="Arial"/>
                <w:sz w:val="11"/>
                <w:szCs w:val="11"/>
                <w:color w:val="auto"/>
              </w:rPr>
              <w:t>(3)</w:t>
            </w:r>
          </w:p>
        </w:tc>
        <w:tc>
          <w:tcPr>
            <w:tcW w:w="1760" w:type="dxa"/>
            <w:vAlign w:val="bottom"/>
          </w:tcPr>
          <w:p>
            <w:pPr>
              <w:jc w:val="right"/>
              <w:spacing w:after="0"/>
              <w:rPr>
                <w:sz w:val="20"/>
                <w:szCs w:val="20"/>
                <w:color w:val="auto"/>
              </w:rPr>
            </w:pPr>
            <w:r>
              <w:rPr>
                <w:rFonts w:ascii="Arial" w:cs="Arial" w:eastAsia="Arial" w:hAnsi="Arial"/>
                <w:sz w:val="18"/>
                <w:szCs w:val="18"/>
                <w:color w:val="auto"/>
              </w:rPr>
              <w:t>16,270,926</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8890</wp:posOffset>
            </wp:positionV>
            <wp:extent cx="13633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63345"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8890</wp:posOffset>
            </wp:positionV>
            <wp:extent cx="13804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66" w:lineRule="exact"/>
        <w:rPr>
          <w:sz w:val="20"/>
          <w:szCs w:val="20"/>
          <w:color w:val="auto"/>
        </w:rPr>
      </w:pPr>
    </w:p>
    <w:p>
      <w:pPr>
        <w:ind w:left="340" w:right="480" w:hanging="332"/>
        <w:spacing w:after="0" w:line="218"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following equity compensation plans approved by security holders are included in this plan category: the 2006 Equity Incentive Plan and the 2006 Employee Stock Purchase Plan.</w:t>
      </w:r>
    </w:p>
    <w:p>
      <w:pPr>
        <w:spacing w:after="0" w:line="43" w:lineRule="exact"/>
        <w:rPr>
          <w:rFonts w:ascii="Arial" w:cs="Arial" w:eastAsia="Arial" w:hAnsi="Arial"/>
          <w:sz w:val="18"/>
          <w:szCs w:val="18"/>
          <w:color w:val="auto"/>
          <w:vertAlign w:val="superscript"/>
        </w:rPr>
      </w:pPr>
    </w:p>
    <w:p>
      <w:pPr>
        <w:ind w:left="340" w:right="80" w:hanging="332"/>
        <w:spacing w:after="0" w:line="231"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Represents (i) 2,429,467 shares of Leidos common stock reserved for future issuance for performance-based awards assuming achievement of the target level of performance for unearned performance-based awards (does not include an additional 63,531 shares if the maximum level of performance is achieved) and other stock awards under the 2006 Equity Incentive Plan, (ii) 287,687 shares of Leidos common stock issuable pursuant to dividend equivalent rights and (iii) 3,581,216 shares of Leidos common stock reserved for future issuance upon the exercise of outstanding options awarded under the 2006 Equity Incentive Plan. Does not include shares to be issued pursuant to purchase rights under the 2006 Employee Stock Purchase Plan.</w:t>
      </w:r>
    </w:p>
    <w:p>
      <w:pPr>
        <w:spacing w:after="0" w:line="45" w:lineRule="exact"/>
        <w:rPr>
          <w:rFonts w:ascii="Arial" w:cs="Arial" w:eastAsia="Arial" w:hAnsi="Arial"/>
          <w:sz w:val="18"/>
          <w:szCs w:val="18"/>
          <w:color w:val="auto"/>
          <w:vertAlign w:val="superscript"/>
        </w:rPr>
      </w:pPr>
    </w:p>
    <w:p>
      <w:pPr>
        <w:ind w:left="340" w:hanging="332"/>
        <w:spacing w:after="0" w:line="218"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to be issued for performance-based and other stock awards and shares of stock issuable pursuant to dividend equivalent rights, which will not require any payment upon issuance of those shares.</w:t>
      </w:r>
    </w:p>
    <w:p>
      <w:pPr>
        <w:spacing w:after="0" w:line="43" w:lineRule="exact"/>
        <w:rPr>
          <w:rFonts w:ascii="Arial" w:cs="Arial" w:eastAsia="Arial" w:hAnsi="Arial"/>
          <w:sz w:val="18"/>
          <w:szCs w:val="18"/>
          <w:color w:val="auto"/>
          <w:vertAlign w:val="superscript"/>
        </w:rPr>
      </w:pPr>
    </w:p>
    <w:p>
      <w:pPr>
        <w:ind w:left="340" w:right="140" w:hanging="332"/>
        <w:spacing w:after="0" w:line="235"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Represents 12,488,011 shares of Leidos common stock under the 2006 Employee Stock Purchase Plan and 3,782,915 shares of Leidos common stock under the 2006 Equity Incentive Plan. The maximum number of shares initially available for issuance under the 2006 Employee Stock Purchase Plan was 2.3 million. The 2006 Employee Stock Purchase Plan provides for an automatic increase to the share reserve on the first day of each fiscal year beginning on February 1, 2007 in an amount equal to the lesser of (i) 2.3 million shares, (ii) two percent of the number of shares of Leidos common stock outstanding on the last day of the immediately preceding fiscal year or (iii) a number determined by the compensation committee of the board of directors. The 2006 Equity Incentive Plan was amended in June 2012 to provide that the maximum number of shares available for issuance thereunder is 12.5 million. Those shares (i) that are issued under the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 (iii) that are not delivered to or are award shares surrendered by a holder in consideration for applicable tax withholding will continue to be available for issuance under the plan.</w:t>
      </w:r>
    </w:p>
    <w:p>
      <w:pPr>
        <w:spacing w:after="0" w:line="48" w:lineRule="exact"/>
        <w:rPr>
          <w:rFonts w:ascii="Arial" w:cs="Arial" w:eastAsia="Arial" w:hAnsi="Arial"/>
          <w:sz w:val="18"/>
          <w:szCs w:val="18"/>
          <w:color w:val="auto"/>
          <w:vertAlign w:val="superscript"/>
        </w:rPr>
      </w:pPr>
    </w:p>
    <w:p>
      <w:pPr>
        <w:ind w:left="340" w:right="320" w:hanging="332"/>
        <w:spacing w:after="0" w:line="218"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The Stock Compensation Plan and the Management Stock Compensation Plan have not been approved by security holders and are included in this plan category. These plans do not provide for a maximum number of shares available for future issuance.</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Some of the principal features of the Stock Compensation Plan and the Management Stock Compensation Plan, together referred to as the Stock Compensation Plans, are summarized below, which summary is qualified in its entirety by the full text of the Stock Compensation Plans. Stockholder approval of the Stock Compensation Plans was not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Stock Compensation Plans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Stock Compensation Plans have been adopted to provide a long-term incentive to key employees by making deferred awards of shares of Leidos stock. All officers and employees are eligible to receive awards under the Stock Compensation Plan. However, only a select group of management and highly compensated senior employees are eligible to receive awards under the Management Stock Compensation Plan. We intend to limit participants of the Management Stock Compensation Plan to individuals that would permit the plan to be treated as a “top hat” plan under applicable Internal Revenue Service and Department of Labor Regulations.</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awarding authority (as appointed by our board of directors) designates those key employees receiving awards and the number of share units to be awarded. Each share unit generally corresponds to one share of stock, but the employee receiving an award of share units will not have a direct ownership interest in the shares of stock represented by the share units. We have established a trust which enables us to transfer shares of Leidos stock into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66</w:t>
      </w:r>
    </w:p>
    <w:p>
      <w:pPr>
        <w:sectPr>
          <w:pgSz w:w="11900" w:h="16838" w:orient="portrait"/>
          <w:cols w:equalWidth="0" w:num="1">
            <w:col w:w="11420"/>
          </w:cols>
          <w:pgMar w:left="240" w:top="495"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trust for purposes of funding the Stock Compensation Plans’ obligations. The trust, which is maintained by Vanguard Fiduciary Trust Company as trustee under a trust agreement between the trustee and us, is a special type of trust known as a rabbi trust. In order to avoid current taxation of awards under the Stock Compensation Plans, the trust must permit our creditors to reach the assets of the trust in the event of our bankruptcy or insolvency.</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awarding authority will establish a vesting schedule of not more than seven years for each award. Awards will generally vest 100% at the end of the fourth year following the date of award. The death of a participant or a change in control of us will result in full vesting of an award. A participant will forfeit any unvested portions of the account if the participant’s employment terminates for any reason other than death. We receive the benefit of forfeited amounts to satisfy future awards under the Stock Compensation Plans.</w:t>
      </w:r>
    </w:p>
    <w:p>
      <w:pPr>
        <w:spacing w:after="0" w:line="1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Participants of the Stock Compensation Plan receive a lump sum distribution of their awards in shares of stock once they become vested while participants of the Management Stock Compensation Plan receive a distribution of their awards in shares of stock following termination or retirement. Participants will be taxed on the value of any amounts distributed from the Stock Compensation Plans at the time of the distribution.</w:t>
      </w:r>
    </w:p>
    <w:p>
      <w:pPr>
        <w:spacing w:after="0" w:line="14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day-to-day administration of the Stock Compensation Plans is provided by the nonqualified plans committee appointed by our board of directors. We have the right to amend or terminate the Stock Compensation Plans at any time and for any reason.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information required by Item 13 with respect to certain relationships and related transactions and the independence of directors and nominees, see the information set forth under the caption “Corporate Governance” in the 2015 Proxy Statement, which required information is incorporated by reference into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information required by Item 14 with respect to principal accounting fees and services, see the information set forth under the caption “Audit Matters” in the 2015 Proxy Statement, which required information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67</w:t>
      </w:r>
    </w:p>
    <w:p>
      <w:pPr>
        <w:sectPr>
          <w:pgSz w:w="11900" w:h="16838" w:orient="portrait"/>
          <w:cols w:equalWidth="0" w:num="1">
            <w:col w:w="11420"/>
          </w:cols>
          <w:pgMar w:left="240" w:top="495"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Documents filed as part of the report:</w:t>
      </w:r>
    </w:p>
    <w:p>
      <w:pPr>
        <w:spacing w:after="0" w:line="153" w:lineRule="exact"/>
        <w:rPr>
          <w:sz w:val="20"/>
          <w:szCs w:val="20"/>
          <w:color w:val="auto"/>
        </w:rPr>
      </w:pPr>
    </w:p>
    <w:p>
      <w:pPr>
        <w:ind w:left="860" w:hanging="204"/>
        <w:spacing w:after="0"/>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consolidated financial statements are attached hereto and listed on the Index to Consolidated Financial Statements set forth on page F-1 of this Annual Report on Form 10-K.</w:t>
      </w:r>
    </w:p>
    <w:p>
      <w:pPr>
        <w:spacing w:after="0" w:line="124" w:lineRule="exact"/>
        <w:rPr>
          <w:sz w:val="20"/>
          <w:szCs w:val="20"/>
          <w:color w:val="auto"/>
        </w:rPr>
      </w:pPr>
    </w:p>
    <w:p>
      <w:pPr>
        <w:ind w:left="860" w:hanging="204"/>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8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Financial statement schedules are omitted because they are not applicable or the required information is shown in our consolidated financial statements or the notes thereto.</w:t>
      </w:r>
    </w:p>
    <w:p>
      <w:pPr>
        <w:spacing w:after="0" w:line="124" w:lineRule="exact"/>
        <w:rPr>
          <w:sz w:val="20"/>
          <w:szCs w:val="20"/>
          <w:color w:val="auto"/>
        </w:rPr>
      </w:pPr>
    </w:p>
    <w:p>
      <w:pPr>
        <w:ind w:left="860" w:hanging="204"/>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Exhibit</w:t>
            </w:r>
          </w:p>
        </w:tc>
        <w:tc>
          <w:tcPr>
            <w:tcW w:w="10540" w:type="dxa"/>
            <w:vAlign w:val="bottom"/>
          </w:tcPr>
          <w:p>
            <w:pPr>
              <w:spacing w:after="0"/>
              <w:rPr>
                <w:sz w:val="14"/>
                <w:szCs w:val="14"/>
                <w:color w:val="auto"/>
              </w:rPr>
            </w:pPr>
          </w:p>
        </w:tc>
      </w:tr>
      <w:tr>
        <w:trPr>
          <w:trHeight w:val="178"/>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Number</w:t>
            </w:r>
          </w:p>
        </w:tc>
        <w:tc>
          <w:tcPr>
            <w:tcW w:w="10540" w:type="dxa"/>
            <w:vAlign w:val="bottom"/>
            <w:tcBorders>
              <w:bottom w:val="single" w:sz="8" w:color="auto"/>
            </w:tcBorders>
          </w:tcPr>
          <w:p>
            <w:pPr>
              <w:ind w:left="4740"/>
              <w:spacing w:after="0"/>
              <w:rPr>
                <w:sz w:val="20"/>
                <w:szCs w:val="20"/>
                <w:color w:val="auto"/>
              </w:rPr>
            </w:pPr>
            <w:r>
              <w:rPr>
                <w:rFonts w:ascii="Arial" w:cs="Arial" w:eastAsia="Arial" w:hAnsi="Arial"/>
                <w:sz w:val="14"/>
                <w:szCs w:val="14"/>
                <w:color w:val="auto"/>
              </w:rPr>
              <w:t>Description of Exhibit</w:t>
            </w:r>
          </w:p>
        </w:tc>
      </w:tr>
      <w:tr>
        <w:trPr>
          <w:trHeight w:val="228"/>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2.1</w:t>
            </w:r>
          </w:p>
        </w:tc>
        <w:tc>
          <w:tcPr>
            <w:tcW w:w="10540" w:type="dxa"/>
            <w:vAlign w:val="bottom"/>
          </w:tcPr>
          <w:p>
            <w:pPr>
              <w:ind w:left="320"/>
              <w:spacing w:after="0"/>
              <w:rPr>
                <w:sz w:val="20"/>
                <w:szCs w:val="20"/>
                <w:color w:val="auto"/>
              </w:rPr>
            </w:pPr>
            <w:r>
              <w:rPr>
                <w:rFonts w:ascii="Arial" w:cs="Arial" w:eastAsia="Arial" w:hAnsi="Arial"/>
                <w:sz w:val="18"/>
                <w:szCs w:val="18"/>
                <w:color w:val="auto"/>
              </w:rPr>
              <w:t>Distribution Agreement dated September 25, 2013. Incorporated by referenced to Exhibit 2.1 to our Current Report on Form 8-K</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filed with the SEC on October 1, 2013.</w:t>
            </w:r>
          </w:p>
        </w:tc>
      </w:tr>
      <w:tr>
        <w:trPr>
          <w:trHeight w:val="364"/>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3.1</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Amended and Restated Certificate of Incorporation of Leidos Holdings, Inc. Incorporated by reference to Exhibit 3.1 to our</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Current Report on Form 8-K filed with the SEC on October 1, 2013.</w:t>
            </w:r>
          </w:p>
        </w:tc>
      </w:tr>
      <w:tr>
        <w:trPr>
          <w:trHeight w:val="378"/>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3.2</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Amended and Restated Bylaws of Leidos Holdings, Inc.</w:t>
            </w:r>
          </w:p>
        </w:tc>
      </w:tr>
      <w:tr>
        <w:trPr>
          <w:trHeight w:val="364"/>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3.3</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Amended and Restated Certificate of Incorporation of Leidos, Inc. Incorporated by reference to Exhibit 3.3 to our Current Report</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on From 8-K filed with the SEC on October 1, 2013.</w:t>
            </w:r>
          </w:p>
        </w:tc>
      </w:tr>
      <w:tr>
        <w:trPr>
          <w:trHeight w:val="378"/>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3.4</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Amended and Restated Bylaws of Leidos, Inc.</w:t>
            </w:r>
          </w:p>
        </w:tc>
      </w:tr>
      <w:tr>
        <w:trPr>
          <w:trHeight w:val="364"/>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10540" w:type="dxa"/>
            <w:vAlign w:val="bottom"/>
          </w:tcPr>
          <w:p>
            <w:pPr>
              <w:ind w:left="320"/>
              <w:spacing w:after="0"/>
              <w:rPr>
                <w:sz w:val="20"/>
                <w:szCs w:val="20"/>
                <w:color w:val="auto"/>
              </w:rPr>
            </w:pPr>
            <w:r>
              <w:rPr>
                <w:rFonts w:ascii="Arial" w:cs="Arial" w:eastAsia="Arial" w:hAnsi="Arial"/>
                <w:sz w:val="18"/>
                <w:szCs w:val="18"/>
                <w:color w:val="auto"/>
              </w:rPr>
              <w:t>Indenture dated June 28, 2002 between Leidos, Inc. and JPMorgan Chase Bank, as trustee. Incorporated by reference to</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Exhibit 4.2 to our Current Report on Form 8-K as filed on July 3, 2002 with the SEC. (SEC File No. 000-12771)</w:t>
            </w:r>
          </w:p>
        </w:tc>
      </w:tr>
      <w:tr>
        <w:trPr>
          <w:trHeight w:val="364"/>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4.2</w:t>
            </w:r>
          </w:p>
        </w:tc>
        <w:tc>
          <w:tcPr>
            <w:tcW w:w="10540" w:type="dxa"/>
            <w:vAlign w:val="bottom"/>
          </w:tcPr>
          <w:p>
            <w:pPr>
              <w:ind w:left="320"/>
              <w:spacing w:after="0"/>
              <w:rPr>
                <w:sz w:val="20"/>
                <w:szCs w:val="20"/>
                <w:color w:val="auto"/>
              </w:rPr>
            </w:pPr>
            <w:r>
              <w:rPr>
                <w:rFonts w:ascii="Arial" w:cs="Arial" w:eastAsia="Arial" w:hAnsi="Arial"/>
                <w:sz w:val="18"/>
                <w:szCs w:val="18"/>
                <w:color w:val="auto"/>
              </w:rPr>
              <w:t>First Supplemental Indenture, dated October 13, 2006, by and among Leidos, Inc., Leidos Holdings, Inc. and The Bank of New</w:t>
            </w:r>
          </w:p>
        </w:tc>
      </w:tr>
      <w:tr>
        <w:trPr>
          <w:trHeight w:val="203"/>
        </w:trPr>
        <w:tc>
          <w:tcPr>
            <w:tcW w:w="86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York Trust Company, N.A., as successor trustee to JPMorgan Chase Bank, N.A. Incorporated by reference to Exhibit 4.2 to our</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Current Report on Form 8-K as filed on October 17, 2006 with the SEC. (SEC File No. 001-33072)</w:t>
            </w:r>
          </w:p>
        </w:tc>
      </w:tr>
      <w:tr>
        <w:trPr>
          <w:trHeight w:val="364"/>
        </w:trPr>
        <w:tc>
          <w:tcPr>
            <w:tcW w:w="860" w:type="dxa"/>
            <w:vAlign w:val="bottom"/>
          </w:tcPr>
          <w:p>
            <w:pPr>
              <w:jc w:val="right"/>
              <w:ind w:right="352"/>
              <w:spacing w:after="0"/>
              <w:rPr>
                <w:sz w:val="20"/>
                <w:szCs w:val="20"/>
                <w:color w:val="auto"/>
              </w:rPr>
            </w:pPr>
            <w:r>
              <w:rPr>
                <w:rFonts w:ascii="Arial" w:cs="Arial" w:eastAsia="Arial" w:hAnsi="Arial"/>
                <w:sz w:val="18"/>
                <w:szCs w:val="18"/>
                <w:color w:val="auto"/>
              </w:rPr>
              <w:t>4.3</w:t>
            </w:r>
          </w:p>
        </w:tc>
        <w:tc>
          <w:tcPr>
            <w:tcW w:w="10540" w:type="dxa"/>
            <w:vAlign w:val="bottom"/>
          </w:tcPr>
          <w:p>
            <w:pPr>
              <w:ind w:left="320"/>
              <w:spacing w:after="0"/>
              <w:rPr>
                <w:sz w:val="20"/>
                <w:szCs w:val="20"/>
                <w:color w:val="auto"/>
              </w:rPr>
            </w:pPr>
            <w:r>
              <w:rPr>
                <w:rFonts w:ascii="Arial" w:cs="Arial" w:eastAsia="Arial" w:hAnsi="Arial"/>
                <w:sz w:val="18"/>
                <w:szCs w:val="18"/>
                <w:color w:val="auto"/>
              </w:rPr>
              <w:t>Indenture dated as of December 20, 2010, among Leidos Holdings, Inc., Leidos, Inc., and The Bank of New York Mellon Trust</w:t>
            </w:r>
          </w:p>
        </w:tc>
      </w:tr>
      <w:tr>
        <w:trPr>
          <w:trHeight w:val="203"/>
        </w:trPr>
        <w:tc>
          <w:tcPr>
            <w:tcW w:w="86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Company, N.A. as Trustee. Incorporated by reference to Exhibit 4.1 to our Current Report on Form 8-K as filed on December</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22, 2010 with the SEC.</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10.1*</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Holdings, Inc.’s 2006 Equity Incentive Plan. Incorporated by reference to Exhibit 10.1 to our Annual Report on Form 10-</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K as filed with the SEC on March 27, 2014.</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10.2*</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Inc. Stock Compensation Plan. Incorporated by reference to Exhibits 10.2 to our Annual Report on Form 10-K as filed</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with the SEC on March 27, 2014.</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10.3*</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Inc.’s Management Stock Compensation Plan. Incorporated by reference to Exhibit 10.3 to our Annual Report on Form</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10-K as filed with the SEC on March 27, 2014.</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10.4*</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Inc.'s Keystaff Deferral Plan. Incorporated by reference to Exhibit 10.4 to our Annual Report on Form 10-K as filed with</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the SEC on March 27, 2014.</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10.5*</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Inc.’s Key Executive Stock Deferral Plan. Incorporated by reference to Exhibit 10.5 to our Annual Report on Form-10K</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as filed with the SEC on March 27, 2014.</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10.6*</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Holdings, Inc.’s 2006 Employee Stock Purchase Plan. Incorporated by reference to Exhibit 10.6 to our Annual Report on</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Form 10-K as filed with the SEC on March 27, 2014.</w:t>
            </w:r>
          </w:p>
        </w:tc>
      </w:tr>
    </w:tbl>
    <w:p>
      <w:pPr>
        <w:spacing w:after="0" w:line="200" w:lineRule="exact"/>
        <w:rPr>
          <w:sz w:val="20"/>
          <w:szCs w:val="20"/>
          <w:color w:val="auto"/>
        </w:rPr>
      </w:pPr>
    </w:p>
    <w:p>
      <w:pPr>
        <w:sectPr>
          <w:pgSz w:w="11900" w:h="16838" w:orient="portrait"/>
          <w:cols w:equalWidth="0" w:num="1">
            <w:col w:w="11400"/>
          </w:cols>
          <w:pgMar w:left="240" w:top="495" w:right="25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68</w:t>
      </w:r>
    </w:p>
    <w:p>
      <w:pPr>
        <w:sectPr>
          <w:pgSz w:w="11900" w:h="16838" w:orient="portrait"/>
          <w:cols w:equalWidth="0" w:num="1">
            <w:col w:w="11400"/>
          </w:cols>
          <w:pgMar w:left="240" w:top="495" w:right="25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40" w:type="dxa"/>
            <w:vAlign w:val="bottom"/>
          </w:tcPr>
          <w:p>
            <w:pPr>
              <w:ind w:left="4500"/>
              <w:spacing w:after="0"/>
              <w:rPr>
                <w:sz w:val="20"/>
                <w:szCs w:val="20"/>
                <w:color w:val="auto"/>
              </w:rPr>
            </w:pPr>
            <w:r>
              <w:rPr>
                <w:rFonts w:ascii="Arial" w:cs="Arial" w:eastAsia="Arial" w:hAnsi="Arial"/>
                <w:sz w:val="18"/>
                <w:szCs w:val="18"/>
                <w:b w:val="1"/>
                <w:bCs w:val="1"/>
                <w:color w:val="auto"/>
              </w:rPr>
              <w:t>PART IV</w:t>
            </w:r>
          </w:p>
        </w:tc>
      </w:tr>
      <w:tr>
        <w:trPr>
          <w:trHeight w:val="365"/>
        </w:trPr>
        <w:tc>
          <w:tcPr>
            <w:tcW w:w="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r>
      <w:tr>
        <w:trPr>
          <w:trHeight w:val="620"/>
        </w:trPr>
        <w:tc>
          <w:tcPr>
            <w:tcW w:w="86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540" w:type="dxa"/>
            <w:vAlign w:val="bottom"/>
          </w:tcPr>
          <w:p>
            <w:pPr>
              <w:spacing w:after="0"/>
              <w:rPr>
                <w:sz w:val="24"/>
                <w:szCs w:val="24"/>
                <w:color w:val="auto"/>
              </w:rPr>
            </w:pPr>
          </w:p>
        </w:tc>
      </w:tr>
      <w:tr>
        <w:trPr>
          <w:trHeight w:val="178"/>
        </w:trPr>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Number</w:t>
            </w:r>
          </w:p>
        </w:tc>
        <w:tc>
          <w:tcPr>
            <w:tcW w:w="10540" w:type="dxa"/>
            <w:vAlign w:val="bottom"/>
            <w:tcBorders>
              <w:bottom w:val="single" w:sz="8" w:color="auto"/>
            </w:tcBorders>
          </w:tcPr>
          <w:p>
            <w:pPr>
              <w:ind w:left="4740"/>
              <w:spacing w:after="0"/>
              <w:rPr>
                <w:sz w:val="20"/>
                <w:szCs w:val="20"/>
                <w:color w:val="auto"/>
              </w:rPr>
            </w:pPr>
            <w:r>
              <w:rPr>
                <w:rFonts w:ascii="Arial" w:cs="Arial" w:eastAsia="Arial" w:hAnsi="Arial"/>
                <w:sz w:val="14"/>
                <w:szCs w:val="14"/>
                <w:color w:val="auto"/>
              </w:rPr>
              <w:t>Description of Exhibit</w:t>
            </w:r>
          </w:p>
        </w:tc>
      </w:tr>
      <w:tr>
        <w:trPr>
          <w:trHeight w:val="228"/>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10540" w:type="dxa"/>
            <w:vAlign w:val="bottom"/>
          </w:tcPr>
          <w:p>
            <w:pPr>
              <w:ind w:left="320"/>
              <w:spacing w:after="0"/>
              <w:rPr>
                <w:sz w:val="20"/>
                <w:szCs w:val="20"/>
                <w:color w:val="auto"/>
              </w:rPr>
            </w:pPr>
            <w:r>
              <w:rPr>
                <w:rFonts w:ascii="Arial" w:cs="Arial" w:eastAsia="Arial" w:hAnsi="Arial"/>
                <w:sz w:val="18"/>
                <w:szCs w:val="18"/>
                <w:color w:val="auto"/>
              </w:rPr>
              <w:t>Leidos, Inc.’s 401(k) Excess Deferral Plan. Incorporated by reference to Exhibit 10.7 to our Annual Report on Form 10-K as filed</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Stock Award Agreement of Leidos Holdings, Inc.’s 2006 Equity Incentive Plan. Incorporated by reference to Exhibit</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10.5 to our Quarterly Report on Form 10-Q for the quarterly period ended October 31, 2009 as filed on December 9, 2009 with</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the SEC.</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Stock Award Agreement (Non-Employee Directors) of Leidos Holdings, Inc.’s 2006 Equity Incentive Plan. Incorporated</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by reference to Exhibit 10.7 to our Quarterly Report on Form 10-Q for the quarterly period ended October 31, 2009 as filed on</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December 9, 2009 with the SEC.</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Nonstatutory Stock Option Agreement of Leidos Holdings, Inc.’s 2006 Equity Incentive Plan. Incorporated by reference</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to Exhibit 10.10 to our Annual Report on Form 10-K as filed 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Nonstatutory Stock Option Agreement (Non-Employee Directors) of Leidos Holdings, Inc.’s 2006 Equity Incentive Plan.</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Incorporated by reference to Exhibit 10.11 to our Annual Report on Form 10-K as filed 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Performance Share Award Agreement of Leidos Holdings, Inc.’s 2006 Equity Incentive Plan. Incorporated by reference</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to Exhibit 10.2 to our Quarterly Report on Form 10-Q for the quarterly period ended April 30, 2011 as filed on June 3 2011 with</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the SEC.</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Amendment to Performance Share Award Agreement of Leidos Holdings, Inc.’s 2006 Equity Incentive Plan (for</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Performance Share Award Agreements entered into prior to March 22, 2012). Incorporated by reference to Exhibit 10.10 to our</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Quarterly Report on Form 10-Q for the quarterly period ended April 30, 2012 as filed on June 1, 2012 with the SEC.</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Restricted Stock Unit Award Agreement of Leidos Holdings, Inc.’s 2006 Equity Incentive Plan. Incorporated by</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reference to Exhibit 10.14 to our Annual Report on Form 10-K as filed 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10.15*</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Restricted Stock Unit Award Agreement (Non-Employee Directors) of Leidos Holdings, Inc.’s 2006 Equity Incentive</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Plan. Incorporated by reference to Exhibit 10.15 to our Annual Report on Form 10-K as filed 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Restricted Unit Award Agreement (Management) of Leidos Holdings, Inc.’s 2006 Equity Incentive Plan. Incorporated by</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reference to Exhibit 10.16 to our Annual Report on Form 10-K filed as 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Recoupment Policy and Non-Solicitation Acknowledgment and Agreement. Incorporated by reference to Exhibit 10.1 to</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Leidos Holdings, Inc.’s Quarterly Report on Form 10-Q for the quarterly period ended April 30, 2010 as filed on June 4, 2010</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with the SEC.</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Amended and Restated Four Year Credit Agreement, dated March 11, 2011, among Leidos Holdings, Inc., as borrower, Leidos,</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Inc., as guarantor, Citibank, N.A., as administrative agent, Bank of America, N.A., as syndication agent, Morgan Stanley Bank,</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N.A., The Bank of Nova Scotia and Wells Fargo Bank, National Association, as co-documentation agents, and the other lenders</w:t>
            </w: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party thereto. Incorporated by reference to Exhibit 10.1 to Leidos Holdings, Inc.’s Current Report on Form 8-K as filed on March</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15, 2011 with the SEC.</w:t>
            </w:r>
          </w:p>
        </w:tc>
      </w:tr>
      <w:tr>
        <w:trPr>
          <w:trHeight w:val="378"/>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Indemnification Agreement.</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10540" w:type="dxa"/>
            <w:vAlign w:val="bottom"/>
          </w:tcPr>
          <w:p>
            <w:pPr>
              <w:ind w:left="320"/>
              <w:spacing w:after="0"/>
              <w:rPr>
                <w:sz w:val="20"/>
                <w:szCs w:val="20"/>
                <w:color w:val="auto"/>
              </w:rPr>
            </w:pPr>
            <w:r>
              <w:rPr>
                <w:rFonts w:ascii="Arial" w:cs="Arial" w:eastAsia="Arial" w:hAnsi="Arial"/>
                <w:sz w:val="18"/>
                <w:szCs w:val="18"/>
                <w:color w:val="auto"/>
              </w:rPr>
              <w:t>Form of Severance Protection Agreement. Incorporated by reference to Exhibit 10.20 to our Annual Report on Form 10-K filed</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with the SEC on March 27, 2014.</w:t>
            </w:r>
          </w:p>
        </w:tc>
      </w:tr>
      <w:tr>
        <w:trPr>
          <w:trHeight w:val="364"/>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10540" w:type="dxa"/>
            <w:vAlign w:val="bottom"/>
          </w:tcPr>
          <w:p>
            <w:pPr>
              <w:ind w:left="320"/>
              <w:spacing w:after="0"/>
              <w:rPr>
                <w:sz w:val="20"/>
                <w:szCs w:val="20"/>
                <w:color w:val="auto"/>
              </w:rPr>
            </w:pPr>
            <w:r>
              <w:rPr>
                <w:rFonts w:ascii="Arial" w:cs="Arial" w:eastAsia="Arial" w:hAnsi="Arial"/>
                <w:sz w:val="18"/>
                <w:szCs w:val="18"/>
                <w:color w:val="auto"/>
              </w:rPr>
              <w:t>Employment Letter Agreement dated February 29, 2012, to John P. Jumper. Incorporated by reference to Exhibit 10.1 to Leidos</w:t>
            </w:r>
          </w:p>
        </w:tc>
      </w:tr>
      <w:tr>
        <w:trPr>
          <w:trHeight w:val="217"/>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Holdings, Inc.’s Current Report on Form 8-K/A as filed on March 2, 2012 with the SEC.</w:t>
            </w: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69</w:t>
      </w:r>
    </w:p>
    <w:p>
      <w:pPr>
        <w:sectPr>
          <w:pgSz w:w="11900" w:h="16838" w:orient="portrait"/>
          <w:cols w:equalWidth="0" w:num="1">
            <w:col w:w="11400"/>
          </w:cols>
          <w:pgMar w:left="240" w:top="495"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460" w:type="dxa"/>
            <w:vAlign w:val="bottom"/>
          </w:tcPr>
          <w:p>
            <w:pPr>
              <w:ind w:left="4420"/>
              <w:spacing w:after="0"/>
              <w:rPr>
                <w:sz w:val="20"/>
                <w:szCs w:val="20"/>
                <w:color w:val="auto"/>
              </w:rPr>
            </w:pPr>
            <w:r>
              <w:rPr>
                <w:rFonts w:ascii="Arial" w:cs="Arial" w:eastAsia="Arial" w:hAnsi="Arial"/>
                <w:sz w:val="18"/>
                <w:szCs w:val="18"/>
                <w:b w:val="1"/>
                <w:bCs w:val="1"/>
                <w:color w:val="auto"/>
              </w:rPr>
              <w:t>PART IV</w:t>
            </w:r>
          </w:p>
        </w:tc>
      </w:tr>
      <w:tr>
        <w:trPr>
          <w:trHeight w:val="365"/>
        </w:trPr>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r>
        <w:trPr>
          <w:trHeight w:val="620"/>
        </w:trPr>
        <w:tc>
          <w:tcPr>
            <w:tcW w:w="940" w:type="dxa"/>
            <w:vAlign w:val="bottom"/>
            <w:gridSpan w:val="2"/>
          </w:tcPr>
          <w:p>
            <w:pPr>
              <w:ind w:left="40"/>
              <w:spacing w:after="0"/>
              <w:rPr>
                <w:sz w:val="20"/>
                <w:szCs w:val="20"/>
                <w:color w:val="auto"/>
              </w:rPr>
            </w:pPr>
            <w:r>
              <w:rPr>
                <w:rFonts w:ascii="Arial" w:cs="Arial" w:eastAsia="Arial" w:hAnsi="Arial"/>
                <w:sz w:val="14"/>
                <w:szCs w:val="14"/>
                <w:color w:val="auto"/>
              </w:rPr>
              <w:t>Exhibit</w:t>
            </w:r>
          </w:p>
        </w:tc>
        <w:tc>
          <w:tcPr>
            <w:tcW w:w="10460" w:type="dxa"/>
            <w:vAlign w:val="bottom"/>
          </w:tcPr>
          <w:p>
            <w:pPr>
              <w:spacing w:after="0"/>
              <w:rPr>
                <w:sz w:val="24"/>
                <w:szCs w:val="24"/>
                <w:color w:val="auto"/>
              </w:rPr>
            </w:pPr>
          </w:p>
        </w:tc>
      </w:tr>
      <w:tr>
        <w:trPr>
          <w:trHeight w:val="178"/>
        </w:trPr>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Number</w:t>
            </w:r>
          </w:p>
        </w:tc>
        <w:tc>
          <w:tcPr>
            <w:tcW w:w="10460" w:type="dxa"/>
            <w:vAlign w:val="bottom"/>
            <w:tcBorders>
              <w:bottom w:val="single" w:sz="8" w:color="auto"/>
            </w:tcBorders>
          </w:tcPr>
          <w:p>
            <w:pPr>
              <w:ind w:left="4660"/>
              <w:spacing w:after="0"/>
              <w:rPr>
                <w:sz w:val="20"/>
                <w:szCs w:val="20"/>
                <w:color w:val="auto"/>
              </w:rPr>
            </w:pPr>
            <w:r>
              <w:rPr>
                <w:rFonts w:ascii="Arial" w:cs="Arial" w:eastAsia="Arial" w:hAnsi="Arial"/>
                <w:sz w:val="14"/>
                <w:szCs w:val="14"/>
                <w:color w:val="auto"/>
              </w:rPr>
              <w:t>Description of Exhibit</w:t>
            </w:r>
          </w:p>
        </w:tc>
      </w:tr>
      <w:tr>
        <w:trPr>
          <w:trHeight w:val="228"/>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10460" w:type="dxa"/>
            <w:vAlign w:val="bottom"/>
          </w:tcPr>
          <w:p>
            <w:pPr>
              <w:ind w:left="240"/>
              <w:spacing w:after="0"/>
              <w:rPr>
                <w:sz w:val="20"/>
                <w:szCs w:val="20"/>
                <w:color w:val="auto"/>
              </w:rPr>
            </w:pPr>
            <w:r>
              <w:rPr>
                <w:rFonts w:ascii="Arial" w:cs="Arial" w:eastAsia="Arial" w:hAnsi="Arial"/>
                <w:sz w:val="18"/>
                <w:szCs w:val="18"/>
                <w:color w:val="auto"/>
              </w:rPr>
              <w:t>Stock Offer Letter dated February 29, 2012 to John P. Jumper. Incorporated by reference to Exhibit 10.2 to Leidos Holdings,</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Inc.’s Current Report on Form 8-K/A as filed on March 2, 2012 with the SEC.</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10460" w:type="dxa"/>
            <w:vAlign w:val="bottom"/>
          </w:tcPr>
          <w:p>
            <w:pPr>
              <w:ind w:left="240"/>
              <w:spacing w:after="0"/>
              <w:rPr>
                <w:sz w:val="20"/>
                <w:szCs w:val="20"/>
                <w:color w:val="auto"/>
              </w:rPr>
            </w:pPr>
            <w:r>
              <w:rPr>
                <w:rFonts w:ascii="Arial" w:cs="Arial" w:eastAsia="Arial" w:hAnsi="Arial"/>
                <w:sz w:val="18"/>
                <w:szCs w:val="18"/>
                <w:color w:val="auto"/>
              </w:rPr>
              <w:t>Deferred Prosecution Agreement between Leidos, Inc. and the U.S. Attorney’s Office for the Southern District of New York</w:t>
            </w:r>
          </w:p>
        </w:tc>
      </w:tr>
      <w:tr>
        <w:trPr>
          <w:trHeight w:val="203"/>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60" w:type="dxa"/>
            <w:vAlign w:val="bottom"/>
          </w:tcPr>
          <w:p>
            <w:pPr>
              <w:ind w:left="240"/>
              <w:spacing w:after="0" w:line="202" w:lineRule="exact"/>
              <w:rPr>
                <w:sz w:val="20"/>
                <w:szCs w:val="20"/>
                <w:color w:val="auto"/>
              </w:rPr>
            </w:pPr>
            <w:r>
              <w:rPr>
                <w:rFonts w:ascii="Arial" w:cs="Arial" w:eastAsia="Arial" w:hAnsi="Arial"/>
                <w:sz w:val="18"/>
                <w:szCs w:val="18"/>
                <w:color w:val="auto"/>
              </w:rPr>
              <w:t>effective March 14, 2012. Incorporated by reference to Exhibit 10.1 to our Current Report on Form 8-K filed on March 14, 2012</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with the SEC.</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10460" w:type="dxa"/>
            <w:vAlign w:val="bottom"/>
          </w:tcPr>
          <w:p>
            <w:pPr>
              <w:ind w:left="240"/>
              <w:spacing w:after="0"/>
              <w:rPr>
                <w:sz w:val="20"/>
                <w:szCs w:val="20"/>
                <w:color w:val="auto"/>
              </w:rPr>
            </w:pPr>
            <w:r>
              <w:rPr>
                <w:rFonts w:ascii="Arial" w:cs="Arial" w:eastAsia="Arial" w:hAnsi="Arial"/>
                <w:sz w:val="18"/>
                <w:szCs w:val="18"/>
                <w:color w:val="auto"/>
              </w:rPr>
              <w:t>Administrative Agreement between Leidos, Inc. and the United States Army on behalf of the U.S. Government, dated August</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21, 2012. Incorporated by reference to Exhibit 10.1 to our Current Report on Form 8-K filed on August 21, 2012 with the SEC.</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10460" w:type="dxa"/>
            <w:vAlign w:val="bottom"/>
          </w:tcPr>
          <w:p>
            <w:pPr>
              <w:ind w:left="240"/>
              <w:spacing w:after="0"/>
              <w:rPr>
                <w:sz w:val="20"/>
                <w:szCs w:val="20"/>
                <w:color w:val="auto"/>
              </w:rPr>
            </w:pPr>
            <w:r>
              <w:rPr>
                <w:rFonts w:ascii="Arial" w:cs="Arial" w:eastAsia="Arial" w:hAnsi="Arial"/>
                <w:sz w:val="18"/>
                <w:szCs w:val="18"/>
                <w:color w:val="auto"/>
              </w:rPr>
              <w:t>Employee Matters Agreement dated September 25, 2013. Incorporated by reference to Exhibit 10.1 to our Current Report on</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Form 8-K filed with the SEC on October 1, 2013.</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10.26</w:t>
            </w:r>
          </w:p>
        </w:tc>
        <w:tc>
          <w:tcPr>
            <w:tcW w:w="10460" w:type="dxa"/>
            <w:vAlign w:val="bottom"/>
          </w:tcPr>
          <w:p>
            <w:pPr>
              <w:ind w:left="240"/>
              <w:spacing w:after="0"/>
              <w:rPr>
                <w:sz w:val="20"/>
                <w:szCs w:val="20"/>
                <w:color w:val="auto"/>
              </w:rPr>
            </w:pPr>
            <w:r>
              <w:rPr>
                <w:rFonts w:ascii="Arial" w:cs="Arial" w:eastAsia="Arial" w:hAnsi="Arial"/>
                <w:sz w:val="18"/>
                <w:szCs w:val="18"/>
                <w:color w:val="auto"/>
              </w:rPr>
              <w:t>Tax Matters Agreement dated September 25, 2013. Incorporated by reference to Exhibit 10.2 to our Current Report on Form 8-</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K filed with the SEC on October 1, 2013.</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10.27</w:t>
            </w:r>
          </w:p>
        </w:tc>
        <w:tc>
          <w:tcPr>
            <w:tcW w:w="10460" w:type="dxa"/>
            <w:vAlign w:val="bottom"/>
          </w:tcPr>
          <w:p>
            <w:pPr>
              <w:ind w:left="240"/>
              <w:spacing w:after="0"/>
              <w:rPr>
                <w:sz w:val="20"/>
                <w:szCs w:val="20"/>
                <w:color w:val="auto"/>
              </w:rPr>
            </w:pPr>
            <w:r>
              <w:rPr>
                <w:rFonts w:ascii="Arial" w:cs="Arial" w:eastAsia="Arial" w:hAnsi="Arial"/>
                <w:sz w:val="18"/>
                <w:szCs w:val="18"/>
                <w:color w:val="auto"/>
              </w:rPr>
              <w:t>Transition Services Agreement dated September 25, 2013. Incorporated by reference to Exhibit 10.3 to our Current Report on</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Form 8-K filed with the SEC on October 1, 2013.</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10.28</w:t>
            </w:r>
          </w:p>
        </w:tc>
        <w:tc>
          <w:tcPr>
            <w:tcW w:w="10460" w:type="dxa"/>
            <w:vAlign w:val="bottom"/>
          </w:tcPr>
          <w:p>
            <w:pPr>
              <w:ind w:left="240"/>
              <w:spacing w:after="0"/>
              <w:rPr>
                <w:sz w:val="20"/>
                <w:szCs w:val="20"/>
                <w:color w:val="auto"/>
              </w:rPr>
            </w:pPr>
            <w:r>
              <w:rPr>
                <w:rFonts w:ascii="Arial" w:cs="Arial" w:eastAsia="Arial" w:hAnsi="Arial"/>
                <w:sz w:val="18"/>
                <w:szCs w:val="18"/>
                <w:color w:val="auto"/>
              </w:rPr>
              <w:t>Agreement, dated October 11, 2013, by and among Leidos Renewable Energy, LLC, Plainfield Renewable Energy Owner, LLC</w:t>
            </w:r>
          </w:p>
        </w:tc>
      </w:tr>
      <w:tr>
        <w:trPr>
          <w:trHeight w:val="203"/>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60" w:type="dxa"/>
            <w:vAlign w:val="bottom"/>
          </w:tcPr>
          <w:p>
            <w:pPr>
              <w:ind w:left="240"/>
              <w:spacing w:after="0" w:line="202" w:lineRule="exact"/>
              <w:rPr>
                <w:sz w:val="20"/>
                <w:szCs w:val="20"/>
                <w:color w:val="auto"/>
              </w:rPr>
            </w:pPr>
            <w:r>
              <w:rPr>
                <w:rFonts w:ascii="Arial" w:cs="Arial" w:eastAsia="Arial" w:hAnsi="Arial"/>
                <w:sz w:val="18"/>
                <w:szCs w:val="18"/>
                <w:color w:val="auto"/>
              </w:rPr>
              <w:t>and Plainfield Renewable Energy Holdings, LLC. Incorporated by reference to Exhibit 10.4 to our Quarterly Report on Form 10-</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Q filed with the SEC on December 10, 2013.</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10.29††</w:t>
            </w:r>
          </w:p>
        </w:tc>
        <w:tc>
          <w:tcPr>
            <w:tcW w:w="10460" w:type="dxa"/>
            <w:vAlign w:val="bottom"/>
          </w:tcPr>
          <w:p>
            <w:pPr>
              <w:ind w:left="240"/>
              <w:spacing w:after="0"/>
              <w:rPr>
                <w:sz w:val="20"/>
                <w:szCs w:val="20"/>
                <w:color w:val="auto"/>
              </w:rPr>
            </w:pPr>
            <w:r>
              <w:rPr>
                <w:rFonts w:ascii="Arial" w:cs="Arial" w:eastAsia="Arial" w:hAnsi="Arial"/>
                <w:sz w:val="18"/>
                <w:szCs w:val="18"/>
                <w:color w:val="auto"/>
              </w:rPr>
              <w:t>Confirmation, dated December 13, 2013, regarding Issuer Forward Repurchase Transaction to between Leidos Holdings, Inc.</w:t>
            </w:r>
          </w:p>
        </w:tc>
      </w:tr>
      <w:tr>
        <w:trPr>
          <w:trHeight w:val="203"/>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60" w:type="dxa"/>
            <w:vAlign w:val="bottom"/>
          </w:tcPr>
          <w:p>
            <w:pPr>
              <w:ind w:left="240"/>
              <w:spacing w:after="0" w:line="202" w:lineRule="exact"/>
              <w:rPr>
                <w:sz w:val="20"/>
                <w:szCs w:val="20"/>
                <w:color w:val="auto"/>
              </w:rPr>
            </w:pPr>
            <w:r>
              <w:rPr>
                <w:rFonts w:ascii="Arial" w:cs="Arial" w:eastAsia="Arial" w:hAnsi="Arial"/>
                <w:sz w:val="18"/>
                <w:szCs w:val="18"/>
                <w:color w:val="auto"/>
              </w:rPr>
              <w:t>and Bank of America, N.A. Incorporated by reference to Exhibit 10.29 our Annual Report on Form 10-K filed with the SEC on</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March 27, 2014.</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10.30*</w:t>
            </w:r>
          </w:p>
        </w:tc>
        <w:tc>
          <w:tcPr>
            <w:tcW w:w="10460" w:type="dxa"/>
            <w:vAlign w:val="bottom"/>
          </w:tcPr>
          <w:p>
            <w:pPr>
              <w:ind w:left="240"/>
              <w:spacing w:after="0"/>
              <w:rPr>
                <w:sz w:val="20"/>
                <w:szCs w:val="20"/>
                <w:color w:val="auto"/>
              </w:rPr>
            </w:pPr>
            <w:r>
              <w:rPr>
                <w:rFonts w:ascii="Arial" w:cs="Arial" w:eastAsia="Arial" w:hAnsi="Arial"/>
                <w:sz w:val="18"/>
                <w:szCs w:val="18"/>
                <w:color w:val="auto"/>
              </w:rPr>
              <w:t>Executive Employment Agreement dated June 30, 2014. Incorporated by reference to Exhibit 10.1 to our Current Report on</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Form 8-K filed with the SEC on July, 2, 2014.</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10.31</w:t>
            </w:r>
          </w:p>
        </w:tc>
        <w:tc>
          <w:tcPr>
            <w:tcW w:w="10460" w:type="dxa"/>
            <w:vAlign w:val="bottom"/>
          </w:tcPr>
          <w:p>
            <w:pPr>
              <w:ind w:left="240"/>
              <w:spacing w:after="0"/>
              <w:rPr>
                <w:sz w:val="20"/>
                <w:szCs w:val="20"/>
                <w:color w:val="auto"/>
              </w:rPr>
            </w:pPr>
            <w:r>
              <w:rPr>
                <w:rFonts w:ascii="Arial" w:cs="Arial" w:eastAsia="Arial" w:hAnsi="Arial"/>
                <w:sz w:val="18"/>
                <w:szCs w:val="18"/>
                <w:color w:val="auto"/>
              </w:rPr>
              <w:t>Amendment No. 2 to the Amended and Restated Four Year Credit Agreement dated as of March 11, 2011, as amended by</w:t>
            </w:r>
          </w:p>
        </w:tc>
      </w:tr>
      <w:tr>
        <w:trPr>
          <w:trHeight w:val="203"/>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60" w:type="dxa"/>
            <w:vAlign w:val="bottom"/>
          </w:tcPr>
          <w:p>
            <w:pPr>
              <w:ind w:left="240"/>
              <w:spacing w:after="0" w:line="202" w:lineRule="exact"/>
              <w:rPr>
                <w:sz w:val="20"/>
                <w:szCs w:val="20"/>
                <w:color w:val="auto"/>
              </w:rPr>
            </w:pPr>
            <w:r>
              <w:rPr>
                <w:rFonts w:ascii="Arial" w:cs="Arial" w:eastAsia="Arial" w:hAnsi="Arial"/>
                <w:sz w:val="18"/>
                <w:szCs w:val="18"/>
                <w:color w:val="auto"/>
              </w:rPr>
              <w:t>Amendment No. 1 dated April 19, 2013, among Leidos Holdings, Inc., as borrower, and Leidos, Inc., as guarantor, Citibank,</w:t>
            </w:r>
          </w:p>
        </w:tc>
      </w:tr>
      <w:tr>
        <w:trPr>
          <w:trHeight w:val="203"/>
        </w:trPr>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60" w:type="dxa"/>
            <w:vAlign w:val="bottom"/>
          </w:tcPr>
          <w:p>
            <w:pPr>
              <w:ind w:left="240"/>
              <w:spacing w:after="0" w:line="202" w:lineRule="exact"/>
              <w:rPr>
                <w:sz w:val="20"/>
                <w:szCs w:val="20"/>
                <w:color w:val="auto"/>
              </w:rPr>
            </w:pPr>
            <w:r>
              <w:rPr>
                <w:rFonts w:ascii="Arial" w:cs="Arial" w:eastAsia="Arial" w:hAnsi="Arial"/>
                <w:sz w:val="18"/>
                <w:szCs w:val="18"/>
                <w:color w:val="auto"/>
              </w:rPr>
              <w:t>N.A., as administrative agent and the other lending institutions party thereto. Incorporated by reference to Exhibit 10.1 to our</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Current Report on Form 8-K filed with the SEC on October 20, 2014.</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10.32*</w:t>
            </w:r>
          </w:p>
        </w:tc>
        <w:tc>
          <w:tcPr>
            <w:tcW w:w="10460" w:type="dxa"/>
            <w:vAlign w:val="bottom"/>
          </w:tcPr>
          <w:p>
            <w:pPr>
              <w:ind w:left="240"/>
              <w:spacing w:after="0"/>
              <w:rPr>
                <w:sz w:val="20"/>
                <w:szCs w:val="20"/>
                <w:color w:val="auto"/>
              </w:rPr>
            </w:pPr>
            <w:r>
              <w:rPr>
                <w:rFonts w:ascii="Arial" w:cs="Arial" w:eastAsia="Arial" w:hAnsi="Arial"/>
                <w:sz w:val="18"/>
                <w:szCs w:val="18"/>
                <w:color w:val="auto"/>
              </w:rPr>
              <w:t>Transition Agreement, dated January 23, 2015, between Leidos Holdings, Inc. and Mark W. Sopp. Incorporated by reference to</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Exhibit 10.1 to our Current Report on Form 8-K filed with the SEC on January, 29, 2015.</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10.33*</w:t>
            </w:r>
          </w:p>
        </w:tc>
        <w:tc>
          <w:tcPr>
            <w:tcW w:w="10460" w:type="dxa"/>
            <w:vAlign w:val="bottom"/>
          </w:tcPr>
          <w:p>
            <w:pPr>
              <w:ind w:left="240"/>
              <w:spacing w:after="0"/>
              <w:rPr>
                <w:sz w:val="20"/>
                <w:szCs w:val="20"/>
                <w:color w:val="auto"/>
              </w:rPr>
            </w:pPr>
            <w:r>
              <w:rPr>
                <w:rFonts w:ascii="Arial" w:cs="Arial" w:eastAsia="Arial" w:hAnsi="Arial"/>
                <w:sz w:val="18"/>
                <w:szCs w:val="18"/>
                <w:color w:val="auto"/>
              </w:rPr>
              <w:t>Form of Performance Share Award Agreement of Leidos Holdings, Inc.'s 2006 Equity Incentive Plan (for Performance Share</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Award Agreements entered into on or after April 3, 2015).</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10.34*</w:t>
            </w:r>
          </w:p>
        </w:tc>
        <w:tc>
          <w:tcPr>
            <w:tcW w:w="10460" w:type="dxa"/>
            <w:vAlign w:val="bottom"/>
          </w:tcPr>
          <w:p>
            <w:pPr>
              <w:ind w:left="240"/>
              <w:spacing w:after="0"/>
              <w:rPr>
                <w:sz w:val="20"/>
                <w:szCs w:val="20"/>
                <w:color w:val="auto"/>
              </w:rPr>
            </w:pPr>
            <w:r>
              <w:rPr>
                <w:rFonts w:ascii="Arial" w:cs="Arial" w:eastAsia="Arial" w:hAnsi="Arial"/>
                <w:sz w:val="18"/>
                <w:szCs w:val="18"/>
                <w:color w:val="auto"/>
              </w:rPr>
              <w:t>Memorandum of Understanding, executed on March 24, 2014, between the Company and K. Stuart Shea. Incorporated by</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10.5 to our Quarterly Report on Form 10-Q filed with the SEC on June 4, 2014.</w:t>
            </w:r>
          </w:p>
        </w:tc>
      </w:tr>
      <w:tr>
        <w:trPr>
          <w:trHeight w:val="378"/>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rPr>
              <w:t>Subsidiaries of Registrants.</w:t>
            </w:r>
          </w:p>
        </w:tc>
      </w:tr>
      <w:tr>
        <w:trPr>
          <w:trHeight w:val="378"/>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378"/>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378"/>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364"/>
        </w:trPr>
        <w:tc>
          <w:tcPr>
            <w:tcW w:w="9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w:t>
            </w:r>
          </w:p>
        </w:tc>
      </w:tr>
      <w:tr>
        <w:trPr>
          <w:trHeight w:val="217"/>
        </w:trPr>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Sarbanes-Oxley Act of 2002.</w:t>
            </w:r>
          </w:p>
        </w:tc>
      </w:tr>
    </w:tbl>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70</w:t>
      </w:r>
    </w:p>
    <w:p>
      <w:pPr>
        <w:sectPr>
          <w:pgSz w:w="11900" w:h="16838" w:orient="portrait"/>
          <w:cols w:equalWidth="0" w:num="1">
            <w:col w:w="11400"/>
          </w:cols>
          <w:pgMar w:left="240" w:top="495"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252095</wp:posOffset>
            </wp:positionV>
            <wp:extent cx="72123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ind w:left="40"/>
              <w:spacing w:after="0"/>
              <w:rPr>
                <w:sz w:val="20"/>
                <w:szCs w:val="20"/>
                <w:color w:val="auto"/>
              </w:rPr>
            </w:pPr>
            <w:r>
              <w:rPr>
                <w:rFonts w:ascii="Arial" w:cs="Arial" w:eastAsia="Arial" w:hAnsi="Arial"/>
                <w:sz w:val="14"/>
                <w:szCs w:val="14"/>
                <w:color w:val="auto"/>
              </w:rPr>
              <w:t>Exhibit</w:t>
            </w:r>
          </w:p>
        </w:tc>
        <w:tc>
          <w:tcPr>
            <w:tcW w:w="10540" w:type="dxa"/>
            <w:vAlign w:val="bottom"/>
          </w:tcPr>
          <w:p>
            <w:pPr>
              <w:spacing w:after="0"/>
              <w:rPr>
                <w:sz w:val="14"/>
                <w:szCs w:val="14"/>
                <w:color w:val="auto"/>
              </w:rPr>
            </w:pPr>
          </w:p>
        </w:tc>
      </w:tr>
      <w:tr>
        <w:trPr>
          <w:trHeight w:val="178"/>
        </w:trPr>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Number</w:t>
            </w:r>
          </w:p>
        </w:tc>
        <w:tc>
          <w:tcPr>
            <w:tcW w:w="10540" w:type="dxa"/>
            <w:vAlign w:val="bottom"/>
            <w:tcBorders>
              <w:bottom w:val="single" w:sz="8" w:color="auto"/>
            </w:tcBorders>
          </w:tcPr>
          <w:p>
            <w:pPr>
              <w:ind w:left="4740"/>
              <w:spacing w:after="0"/>
              <w:rPr>
                <w:sz w:val="20"/>
                <w:szCs w:val="20"/>
                <w:color w:val="auto"/>
              </w:rPr>
            </w:pPr>
            <w:r>
              <w:rPr>
                <w:rFonts w:ascii="Arial" w:cs="Arial" w:eastAsia="Arial" w:hAnsi="Arial"/>
                <w:sz w:val="14"/>
                <w:szCs w:val="14"/>
                <w:color w:val="auto"/>
              </w:rPr>
              <w:t>Description of Exhibit</w:t>
            </w:r>
          </w:p>
        </w:tc>
      </w:tr>
      <w:tr>
        <w:trPr>
          <w:trHeight w:val="228"/>
        </w:trPr>
        <w:tc>
          <w:tcPr>
            <w:tcW w:w="860" w:type="dxa"/>
            <w:vAlign w:val="bottom"/>
          </w:tcPr>
          <w:p>
            <w:pPr>
              <w:ind w:left="40"/>
              <w:spacing w:after="0"/>
              <w:rPr>
                <w:sz w:val="20"/>
                <w:szCs w:val="20"/>
                <w:color w:val="auto"/>
              </w:rPr>
            </w:pPr>
            <w:r>
              <w:rPr>
                <w:rFonts w:ascii="Arial" w:cs="Arial" w:eastAsia="Arial" w:hAnsi="Arial"/>
                <w:sz w:val="18"/>
                <w:szCs w:val="18"/>
                <w:color w:val="auto"/>
              </w:rPr>
              <w:t>32.2</w:t>
            </w:r>
          </w:p>
        </w:tc>
        <w:tc>
          <w:tcPr>
            <w:tcW w:w="1054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Oxley Act of 2002.</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99.1</w:t>
            </w:r>
          </w:p>
        </w:tc>
        <w:tc>
          <w:tcPr>
            <w:tcW w:w="10540" w:type="dxa"/>
            <w:vAlign w:val="bottom"/>
          </w:tcPr>
          <w:p>
            <w:pPr>
              <w:ind w:left="320"/>
              <w:spacing w:after="0"/>
              <w:rPr>
                <w:sz w:val="20"/>
                <w:szCs w:val="20"/>
                <w:color w:val="auto"/>
              </w:rPr>
            </w:pPr>
            <w:r>
              <w:rPr>
                <w:rFonts w:ascii="Arial" w:cs="Arial" w:eastAsia="Arial" w:hAnsi="Arial"/>
                <w:sz w:val="18"/>
                <w:szCs w:val="18"/>
                <w:color w:val="auto"/>
              </w:rPr>
              <w:t>Patent License and Assignment Agreement dated as of August 12, 2005 between Leidos, Inc. and VirnetX, Inc. Incorporated by</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reference to Exhibit 99.1 to Leidos Holdings, Inc.’s Annual Report on Form 10-K as filed on April 1, 2010 with the SEC.</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99.2†</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Amendment No. 1 dated as of November 2, 2006 to Patent License and Assignment Agreement between Leidos, Inc. and</w:t>
            </w:r>
          </w:p>
        </w:tc>
      </w:tr>
      <w:tr>
        <w:trPr>
          <w:trHeight w:val="203"/>
        </w:trPr>
        <w:tc>
          <w:tcPr>
            <w:tcW w:w="86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VirnetX, Inc. Incorporated by reference to Exhibit 99.2 to Leidos Holdings, Inc.’s Annual Report on Form 10-K as filed on April 1,</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2010 with the SEC.</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99.3</w:t>
            </w:r>
          </w:p>
        </w:tc>
        <w:tc>
          <w:tcPr>
            <w:tcW w:w="10540" w:type="dxa"/>
            <w:vAlign w:val="bottom"/>
          </w:tcPr>
          <w:p>
            <w:pPr>
              <w:ind w:left="320"/>
              <w:spacing w:after="0"/>
              <w:rPr>
                <w:sz w:val="20"/>
                <w:szCs w:val="20"/>
                <w:color w:val="auto"/>
              </w:rPr>
            </w:pPr>
            <w:r>
              <w:rPr>
                <w:rFonts w:ascii="Arial" w:cs="Arial" w:eastAsia="Arial" w:hAnsi="Arial"/>
                <w:sz w:val="18"/>
                <w:szCs w:val="18"/>
                <w:color w:val="auto"/>
              </w:rPr>
              <w:t>Amendment No. 2 dated as of March 12, 2008 to Patent License and Assignment Agreement between Leidos, Inc. and VirnetX,</w:t>
            </w:r>
          </w:p>
        </w:tc>
      </w:tr>
      <w:tr>
        <w:trPr>
          <w:trHeight w:val="203"/>
        </w:trPr>
        <w:tc>
          <w:tcPr>
            <w:tcW w:w="86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Inc. Incorporated by reference to Exhibit 99.3 to Leidos Holdings, Inc.’s Annual Report on Form 10-K as filed on April 1, 2010</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with the SEC.</w:t>
            </w:r>
          </w:p>
        </w:tc>
      </w:tr>
      <w:tr>
        <w:trPr>
          <w:trHeight w:val="364"/>
        </w:trPr>
        <w:tc>
          <w:tcPr>
            <w:tcW w:w="860" w:type="dxa"/>
            <w:vAlign w:val="bottom"/>
          </w:tcPr>
          <w:p>
            <w:pPr>
              <w:ind w:left="40"/>
              <w:spacing w:after="0"/>
              <w:rPr>
                <w:sz w:val="20"/>
                <w:szCs w:val="20"/>
                <w:color w:val="auto"/>
              </w:rPr>
            </w:pPr>
            <w:r>
              <w:rPr>
                <w:rFonts w:ascii="Arial" w:cs="Arial" w:eastAsia="Arial" w:hAnsi="Arial"/>
                <w:sz w:val="18"/>
                <w:szCs w:val="18"/>
                <w:color w:val="auto"/>
              </w:rPr>
              <w:t>99.4†</w:t>
            </w:r>
          </w:p>
        </w:tc>
        <w:tc>
          <w:tcPr>
            <w:tcW w:w="10540" w:type="dxa"/>
            <w:vAlign w:val="bottom"/>
          </w:tcPr>
          <w:p>
            <w:pPr>
              <w:ind w:left="320"/>
              <w:spacing w:after="0"/>
              <w:rPr>
                <w:sz w:val="20"/>
                <w:szCs w:val="20"/>
                <w:color w:val="auto"/>
              </w:rPr>
            </w:pPr>
            <w:r>
              <w:rPr>
                <w:rFonts w:ascii="Arial" w:cs="Arial" w:eastAsia="Arial" w:hAnsi="Arial"/>
                <w:sz w:val="18"/>
                <w:szCs w:val="18"/>
                <w:color w:val="auto"/>
              </w:rPr>
              <w:t>Professional Services Contract effective September 7, 1999 between Leidos, Inc. and In-Q-Tel, Inc. (f/k/a In-Q-It, Inc.).</w:t>
            </w:r>
          </w:p>
        </w:tc>
      </w:tr>
      <w:tr>
        <w:trPr>
          <w:trHeight w:val="203"/>
        </w:trPr>
        <w:tc>
          <w:tcPr>
            <w:tcW w:w="860" w:type="dxa"/>
            <w:vAlign w:val="bottom"/>
          </w:tcPr>
          <w:p>
            <w:pPr>
              <w:spacing w:after="0"/>
              <w:rPr>
                <w:sz w:val="17"/>
                <w:szCs w:val="17"/>
                <w:color w:val="auto"/>
              </w:rPr>
            </w:pPr>
          </w:p>
        </w:tc>
        <w:tc>
          <w:tcPr>
            <w:tcW w:w="10540" w:type="dxa"/>
            <w:vAlign w:val="bottom"/>
          </w:tcPr>
          <w:p>
            <w:pPr>
              <w:ind w:left="320"/>
              <w:spacing w:after="0" w:line="202" w:lineRule="exact"/>
              <w:rPr>
                <w:sz w:val="20"/>
                <w:szCs w:val="20"/>
                <w:color w:val="auto"/>
              </w:rPr>
            </w:pPr>
            <w:r>
              <w:rPr>
                <w:rFonts w:ascii="Arial" w:cs="Arial" w:eastAsia="Arial" w:hAnsi="Arial"/>
                <w:sz w:val="18"/>
                <w:szCs w:val="18"/>
                <w:color w:val="auto"/>
              </w:rPr>
              <w:t>Incorporated by reference to Exhibit 99.4 to Leidos Holdings, Inc.’s Annual Report on Form 10-K as filed on April 1, 2010 with</w:t>
            </w:r>
          </w:p>
        </w:tc>
      </w:tr>
      <w:tr>
        <w:trPr>
          <w:trHeight w:val="217"/>
        </w:trPr>
        <w:tc>
          <w:tcPr>
            <w:tcW w:w="860" w:type="dxa"/>
            <w:vAlign w:val="bottom"/>
          </w:tcPr>
          <w:p>
            <w:pPr>
              <w:spacing w:after="0"/>
              <w:rPr>
                <w:sz w:val="18"/>
                <w:szCs w:val="18"/>
                <w:color w:val="auto"/>
              </w:rPr>
            </w:pPr>
          </w:p>
        </w:tc>
        <w:tc>
          <w:tcPr>
            <w:tcW w:w="10540" w:type="dxa"/>
            <w:vAlign w:val="bottom"/>
          </w:tcPr>
          <w:p>
            <w:pPr>
              <w:ind w:left="320"/>
              <w:spacing w:after="0"/>
              <w:rPr>
                <w:sz w:val="20"/>
                <w:szCs w:val="20"/>
                <w:color w:val="auto"/>
              </w:rPr>
            </w:pPr>
            <w:r>
              <w:rPr>
                <w:rFonts w:ascii="Arial" w:cs="Arial" w:eastAsia="Arial" w:hAnsi="Arial"/>
                <w:sz w:val="18"/>
                <w:szCs w:val="18"/>
                <w:color w:val="auto"/>
              </w:rPr>
              <w:t>the SEC.</w:t>
            </w:r>
          </w:p>
        </w:tc>
      </w:tr>
    </w:tbl>
    <w:p>
      <w:pPr>
        <w:spacing w:after="0" w:line="161" w:lineRule="exact"/>
        <w:rPr>
          <w:sz w:val="20"/>
          <w:szCs w:val="20"/>
          <w:color w:val="auto"/>
        </w:rPr>
      </w:pPr>
    </w:p>
    <w:p>
      <w:pPr>
        <w:ind w:left="1180" w:hanging="1145"/>
        <w:spacing w:after="0"/>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5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*Executive Compensation Plans and Arrangements</w:t>
      </w:r>
    </w:p>
    <w:p>
      <w:pPr>
        <w:spacing w:after="0" w:line="7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these exhibits.</w:t>
      </w:r>
    </w:p>
    <w:p>
      <w:pPr>
        <w:spacing w:after="0" w:line="5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this exhibit.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71</w:t>
      </w:r>
    </w:p>
    <w:p>
      <w:pPr>
        <w:sectPr>
          <w:pgSz w:w="11900" w:h="16838" w:orient="portrait"/>
          <w:cols w:equalWidth="0" w:num="1">
            <w:col w:w="11400"/>
          </w:cols>
          <w:pgMar w:left="240" w:top="495" w:right="259" w:bottom="1440" w:gutter="0" w:footer="0" w:header="0"/>
        </w:sectPr>
      </w:pPr>
    </w:p>
    <w:bookmarkStart w:id="74" w:name="page75"/>
    <w:bookmarkEnd w:id="74"/>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each registrant has duly caused this report to be signed on its behalf by the undersigned, thereunto duly authorized.</w:t>
      </w:r>
    </w:p>
    <w:p>
      <w:pPr>
        <w:spacing w:after="0" w:line="33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Leidos Holdings, Inc.</w:t>
      </w:r>
    </w:p>
    <w:p>
      <w:pPr>
        <w:spacing w:after="0" w:line="171" w:lineRule="exact"/>
        <w:rPr>
          <w:sz w:val="20"/>
          <w:szCs w:val="20"/>
          <w:color w:val="auto"/>
        </w:rPr>
      </w:pPr>
    </w:p>
    <w:p>
      <w:pPr>
        <w:ind w:left="516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W. Sopp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Mark W. Sopp</w:t>
      </w:r>
    </w:p>
    <w:p>
      <w:pPr>
        <w:spacing w:after="0" w:line="1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2015</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Leidos, Inc.</w:t>
      </w:r>
    </w:p>
    <w:p>
      <w:pPr>
        <w:spacing w:after="0" w:line="171" w:lineRule="exact"/>
        <w:rPr>
          <w:sz w:val="20"/>
          <w:szCs w:val="20"/>
          <w:color w:val="auto"/>
        </w:rPr>
      </w:pPr>
    </w:p>
    <w:p>
      <w:pPr>
        <w:ind w:left="5160"/>
        <w:spacing w:after="0"/>
        <w:tabs>
          <w:tab w:leader="none" w:pos="7680" w:val="left"/>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Mark W. Sopp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5159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1"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Mark W. Sopp</w:t>
      </w:r>
    </w:p>
    <w:p>
      <w:pPr>
        <w:spacing w:after="0" w:line="1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March 25, 2015</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each of Leidos Holdings, Inc. and Leidos, Inc.,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2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4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2"/>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Roger A. Krone</w:t>
            </w:r>
          </w:p>
        </w:tc>
        <w:tc>
          <w:tcPr>
            <w:tcW w:w="3900" w:type="dxa"/>
            <w:vAlign w:val="bottom"/>
            <w:gridSpan w:val="3"/>
          </w:tcPr>
          <w:p>
            <w:pPr>
              <w:jc w:val="center"/>
              <w:ind w:left="230"/>
              <w:spacing w:after="0"/>
              <w:rPr>
                <w:sz w:val="20"/>
                <w:szCs w:val="20"/>
                <w:color w:val="auto"/>
              </w:rPr>
            </w:pPr>
            <w:r>
              <w:rPr>
                <w:rFonts w:ascii="Arial" w:cs="Arial" w:eastAsia="Arial" w:hAnsi="Arial"/>
                <w:sz w:val="18"/>
                <w:szCs w:val="18"/>
                <w:color w:val="auto"/>
                <w:w w:val="99"/>
              </w:rPr>
              <w:t>Principal Executive Officer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Roger A. Krone</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4"/>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8"/>
              </w:rPr>
              <w:t>Mark W. Sopp</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Principal Financial Officer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Mark W. Sopp</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8"/>
              </w:rPr>
              <w:t>Kenneth P. Sharp</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w w:val="99"/>
              </w:rPr>
              <w:t>Principal Accounting Officer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50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rPr>
              <w:t>Kenneth P. Sharp</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David G. Fubini</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David G. Fubini</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John J. Hamre</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John J. Hamre</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Miriam E. John</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Miriam E. John</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8"/>
              </w:rPr>
              <w:t>John P. Jumper</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John P. Jumper</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50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8"/>
                <w:szCs w:val="18"/>
                <w:color w:val="auto"/>
                <w:w w:val="98"/>
              </w:rPr>
              <w:t>Harry M. J. Kraemer, Jr.</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50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rPr>
              <w:t>Harry M. J. Kraemer, Jr.</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center"/>
              <w:ind w:right="1720"/>
              <w:spacing w:after="0"/>
              <w:rPr>
                <w:sz w:val="20"/>
                <w:szCs w:val="20"/>
                <w:color w:val="auto"/>
              </w:rPr>
            </w:pPr>
            <w:r>
              <w:rPr>
                <w:rFonts w:ascii="Arial" w:cs="Arial" w:eastAsia="Arial" w:hAnsi="Arial"/>
                <w:sz w:val="18"/>
                <w:szCs w:val="18"/>
                <w:color w:val="auto"/>
              </w:rPr>
              <w:t>/s/  Gary S. May</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rPr>
              <w:t>Gary S. May</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4"/>
              </w:rPr>
              <w:t>/s/</w:t>
            </w:r>
          </w:p>
        </w:tc>
        <w:tc>
          <w:tcPr>
            <w:tcW w:w="350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8"/>
                <w:szCs w:val="18"/>
                <w:color w:val="auto"/>
                <w:w w:val="99"/>
              </w:rPr>
              <w:t>Lawrence C. Nussdorf</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50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rPr>
              <w:t>Lawrence C. Nussdorf</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206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Robert S. Shapard</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500" w:type="dxa"/>
            <w:vAlign w:val="bottom"/>
            <w:gridSpan w:val="4"/>
          </w:tcPr>
          <w:p>
            <w:pPr>
              <w:jc w:val="center"/>
              <w:ind w:right="1720"/>
              <w:spacing w:after="0"/>
              <w:rPr>
                <w:sz w:val="20"/>
                <w:szCs w:val="20"/>
                <w:color w:val="auto"/>
              </w:rPr>
            </w:pPr>
            <w:r>
              <w:rPr>
                <w:rFonts w:ascii="Arial" w:cs="Arial" w:eastAsia="Arial" w:hAnsi="Arial"/>
                <w:sz w:val="14"/>
                <w:szCs w:val="14"/>
                <w:b w:val="1"/>
                <w:bCs w:val="1"/>
                <w:color w:val="auto"/>
              </w:rPr>
              <w:t>Robert S. Shapard</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84"/>
        </w:trPr>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rPr>
              <w:t>Noel B. Williams</w:t>
            </w:r>
          </w:p>
        </w:tc>
        <w:tc>
          <w:tcPr>
            <w:tcW w:w="3900" w:type="dxa"/>
            <w:vAlign w:val="bottom"/>
            <w:gridSpan w:val="3"/>
          </w:tcPr>
          <w:p>
            <w:pPr>
              <w:jc w:val="center"/>
              <w:ind w:left="250"/>
              <w:spacing w:after="0"/>
              <w:rPr>
                <w:sz w:val="20"/>
                <w:szCs w:val="20"/>
                <w:color w:val="auto"/>
              </w:rPr>
            </w:pPr>
            <w:r>
              <w:rPr>
                <w:rFonts w:ascii="Arial" w:cs="Arial" w:eastAsia="Arial" w:hAnsi="Arial"/>
                <w:sz w:val="18"/>
                <w:szCs w:val="18"/>
                <w:color w:val="auto"/>
              </w:rPr>
              <w:t>Director</w:t>
            </w:r>
          </w:p>
        </w:tc>
        <w:tc>
          <w:tcPr>
            <w:tcW w:w="1920" w:type="dxa"/>
            <w:vAlign w:val="bottom"/>
            <w:gridSpan w:val="3"/>
          </w:tcPr>
          <w:p>
            <w:pPr>
              <w:jc w:val="center"/>
              <w:ind w:left="570"/>
              <w:spacing w:after="0"/>
              <w:rPr>
                <w:sz w:val="20"/>
                <w:szCs w:val="20"/>
                <w:color w:val="auto"/>
              </w:rPr>
            </w:pPr>
            <w:r>
              <w:rPr>
                <w:rFonts w:ascii="Arial" w:cs="Arial" w:eastAsia="Arial" w:hAnsi="Arial"/>
                <w:sz w:val="18"/>
                <w:szCs w:val="18"/>
                <w:color w:val="auto"/>
              </w:rPr>
              <w:t>March 25, 2015</w:t>
            </w:r>
          </w:p>
        </w:tc>
      </w:tr>
      <w:tr>
        <w:trPr>
          <w:trHeight w:val="204"/>
        </w:trPr>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rPr>
              <w:t>Noel B. Williams</w:t>
            </w: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Leidos Holdings, Inc. Annual Report 72</w:t>
      </w:r>
    </w:p>
    <w:p>
      <w:pPr>
        <w:sectPr>
          <w:pgSz w:w="11900" w:h="16838" w:orient="portrait"/>
          <w:cols w:equalWidth="0" w:num="1">
            <w:col w:w="11240"/>
          </w:cols>
          <w:pgMar w:left="240" w:top="360" w:right="419" w:bottom="1440" w:gutter="0" w:footer="0" w:header="0"/>
        </w:sectPr>
      </w:pPr>
    </w:p>
    <w:bookmarkStart w:id="75" w:name="page76"/>
    <w:bookmarkEnd w:id="75"/>
    <w:p>
      <w:pPr>
        <w:ind w:left="4640"/>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LEIDOS,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243"/>
        </w:trPr>
        <w:tc>
          <w:tcPr>
            <w:tcW w:w="1084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580" w:type="dxa"/>
            <w:vAlign w:val="bottom"/>
          </w:tcPr>
          <w:p>
            <w:pPr>
              <w:spacing w:after="0"/>
              <w:rPr>
                <w:sz w:val="21"/>
                <w:szCs w:val="21"/>
                <w:color w:val="auto"/>
              </w:rPr>
            </w:pPr>
          </w:p>
        </w:tc>
      </w:tr>
      <w:tr>
        <w:trPr>
          <w:trHeight w:val="378"/>
        </w:trPr>
        <w:tc>
          <w:tcPr>
            <w:tcW w:w="10840" w:type="dxa"/>
            <w:vAlign w:val="bottom"/>
          </w:tcPr>
          <w:p>
            <w:pPr>
              <w:ind w:left="40"/>
              <w:spacing w:after="0"/>
              <w:rPr>
                <w:sz w:val="20"/>
                <w:szCs w:val="20"/>
                <w:color w:val="auto"/>
              </w:rPr>
            </w:pPr>
            <w:r>
              <w:rPr>
                <w:rFonts w:ascii="Arial" w:cs="Arial" w:eastAsia="Arial" w:hAnsi="Arial"/>
                <w:sz w:val="18"/>
                <w:szCs w:val="18"/>
                <w:b w:val="1"/>
                <w:bCs w:val="1"/>
                <w:color w:val="auto"/>
              </w:rPr>
              <w:t>Leidos Holdings, Inc.</w:t>
            </w:r>
          </w:p>
        </w:tc>
        <w:tc>
          <w:tcPr>
            <w:tcW w:w="580" w:type="dxa"/>
            <w:vAlign w:val="bottom"/>
          </w:tcPr>
          <w:p>
            <w:pPr>
              <w:spacing w:after="0"/>
              <w:rPr>
                <w:sz w:val="24"/>
                <w:szCs w:val="24"/>
                <w:color w:val="auto"/>
              </w:rPr>
            </w:pPr>
          </w:p>
        </w:tc>
      </w:tr>
      <w:tr>
        <w:trPr>
          <w:trHeight w:val="378"/>
        </w:trPr>
        <w:tc>
          <w:tcPr>
            <w:tcW w:w="10840" w:type="dxa"/>
            <w:vAlign w:val="bottom"/>
          </w:tcPr>
          <w:p>
            <w:pPr>
              <w:ind w:left="180"/>
              <w:spacing w:after="0"/>
              <w:rPr>
                <w:rFonts w:ascii="Arial" w:cs="Arial" w:eastAsia="Arial" w:hAnsi="Arial"/>
                <w:sz w:val="18"/>
                <w:szCs w:val="18"/>
                <w:color w:val="auto"/>
              </w:rPr>
            </w:pPr>
            <w:hyperlink w:anchor="page77">
              <w:r>
                <w:rPr>
                  <w:rFonts w:ascii="Arial" w:cs="Arial" w:eastAsia="Arial" w:hAnsi="Arial"/>
                  <w:sz w:val="18"/>
                  <w:szCs w:val="18"/>
                  <w:color w:val="auto"/>
                </w:rPr>
                <w:t>Report of Independent Registered Public Accounting Firm</w:t>
              </w:r>
            </w:hyperlink>
          </w:p>
        </w:tc>
        <w:tc>
          <w:tcPr>
            <w:tcW w:w="5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F-2</w:t>
              </w:r>
            </w:hyperlink>
          </w:p>
        </w:tc>
      </w:tr>
      <w:tr>
        <w:trPr>
          <w:trHeight w:val="378"/>
        </w:trPr>
        <w:tc>
          <w:tcPr>
            <w:tcW w:w="10840" w:type="dxa"/>
            <w:vAlign w:val="bottom"/>
          </w:tcPr>
          <w:p>
            <w:pPr>
              <w:ind w:left="180"/>
              <w:spacing w:after="0"/>
              <w:rPr>
                <w:sz w:val="20"/>
                <w:szCs w:val="20"/>
                <w:color w:val="auto"/>
              </w:rPr>
            </w:pPr>
            <w:r>
              <w:rPr>
                <w:rFonts w:ascii="Arial" w:cs="Arial" w:eastAsia="Arial" w:hAnsi="Arial"/>
                <w:sz w:val="18"/>
                <w:szCs w:val="18"/>
                <w:color w:val="auto"/>
              </w:rPr>
              <w:t>Consolidated Balance Sheets as of January 30, 2015 and January 31, 2014</w:t>
            </w:r>
          </w:p>
        </w:tc>
        <w:tc>
          <w:tcPr>
            <w:tcW w:w="58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F-3</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78">
              <w:r>
                <w:rPr>
                  <w:rFonts w:ascii="Arial" w:cs="Arial" w:eastAsia="Arial" w:hAnsi="Arial"/>
                  <w:sz w:val="18"/>
                  <w:szCs w:val="18"/>
                  <w:color w:val="auto"/>
                </w:rPr>
                <w:t xml:space="preserve">Consolidated Statements of Income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F-4</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79">
              <w:r>
                <w:rPr>
                  <w:rFonts w:ascii="Arial" w:cs="Arial" w:eastAsia="Arial" w:hAnsi="Arial"/>
                  <w:sz w:val="18"/>
                  <w:szCs w:val="18"/>
                  <w:color w:val="auto"/>
                </w:rPr>
                <w:t xml:space="preserve">Consolidated Statements of Comprehensive Income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F-5</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80">
              <w:r>
                <w:rPr>
                  <w:rFonts w:ascii="Arial" w:cs="Arial" w:eastAsia="Arial" w:hAnsi="Arial"/>
                  <w:sz w:val="18"/>
                  <w:szCs w:val="18"/>
                  <w:color w:val="auto"/>
                </w:rPr>
                <w:t xml:space="preserve">Consolidated Statements of Stockholders’ Equity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F-6</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81">
              <w:r>
                <w:rPr>
                  <w:rFonts w:ascii="Arial" w:cs="Arial" w:eastAsia="Arial" w:hAnsi="Arial"/>
                  <w:sz w:val="18"/>
                  <w:szCs w:val="18"/>
                  <w:color w:val="auto"/>
                </w:rPr>
                <w:t xml:space="preserve">Consolidated Statements of Cash Flows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F-7</w:t>
              </w:r>
            </w:hyperlink>
          </w:p>
        </w:tc>
      </w:tr>
      <w:tr>
        <w:trPr>
          <w:trHeight w:val="378"/>
        </w:trPr>
        <w:tc>
          <w:tcPr>
            <w:tcW w:w="10840" w:type="dxa"/>
            <w:vAlign w:val="bottom"/>
          </w:tcPr>
          <w:p>
            <w:pPr>
              <w:ind w:left="40"/>
              <w:spacing w:after="0"/>
              <w:rPr>
                <w:sz w:val="20"/>
                <w:szCs w:val="20"/>
                <w:color w:val="auto"/>
              </w:rPr>
            </w:pPr>
            <w:r>
              <w:rPr>
                <w:rFonts w:ascii="Arial" w:cs="Arial" w:eastAsia="Arial" w:hAnsi="Arial"/>
                <w:sz w:val="18"/>
                <w:szCs w:val="18"/>
                <w:b w:val="1"/>
                <w:bCs w:val="1"/>
                <w:color w:val="auto"/>
              </w:rPr>
              <w:t>Leidos, Inc.</w:t>
            </w:r>
          </w:p>
        </w:tc>
        <w:tc>
          <w:tcPr>
            <w:tcW w:w="580" w:type="dxa"/>
            <w:vAlign w:val="bottom"/>
          </w:tcPr>
          <w:p>
            <w:pPr>
              <w:spacing w:after="0"/>
              <w:rPr>
                <w:sz w:val="24"/>
                <w:szCs w:val="24"/>
                <w:color w:val="auto"/>
              </w:rPr>
            </w:pPr>
          </w:p>
        </w:tc>
      </w:tr>
      <w:tr>
        <w:trPr>
          <w:trHeight w:val="378"/>
        </w:trPr>
        <w:tc>
          <w:tcPr>
            <w:tcW w:w="10840" w:type="dxa"/>
            <w:vAlign w:val="bottom"/>
          </w:tcPr>
          <w:p>
            <w:pPr>
              <w:ind w:left="180"/>
              <w:spacing w:after="0"/>
              <w:rPr>
                <w:rFonts w:ascii="Arial" w:cs="Arial" w:eastAsia="Arial" w:hAnsi="Arial"/>
                <w:sz w:val="18"/>
                <w:szCs w:val="18"/>
                <w:color w:val="auto"/>
              </w:rPr>
            </w:pPr>
            <w:hyperlink w:anchor="page84">
              <w:r>
                <w:rPr>
                  <w:rFonts w:ascii="Arial" w:cs="Arial" w:eastAsia="Arial" w:hAnsi="Arial"/>
                  <w:sz w:val="18"/>
                  <w:szCs w:val="18"/>
                  <w:color w:val="auto"/>
                </w:rPr>
                <w:t>Report of Independent Registered Public Accounting Firm</w:t>
              </w:r>
            </w:hyperlink>
          </w:p>
        </w:tc>
        <w:tc>
          <w:tcPr>
            <w:tcW w:w="5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F-9</w:t>
              </w:r>
            </w:hyperlink>
          </w:p>
        </w:tc>
      </w:tr>
      <w:tr>
        <w:trPr>
          <w:trHeight w:val="378"/>
        </w:trPr>
        <w:tc>
          <w:tcPr>
            <w:tcW w:w="10840" w:type="dxa"/>
            <w:vAlign w:val="bottom"/>
          </w:tcPr>
          <w:p>
            <w:pPr>
              <w:ind w:left="180"/>
              <w:spacing w:after="0"/>
              <w:rPr>
                <w:sz w:val="20"/>
                <w:szCs w:val="20"/>
                <w:color w:val="auto"/>
              </w:rPr>
            </w:pPr>
            <w:r>
              <w:rPr>
                <w:rFonts w:ascii="Arial" w:cs="Arial" w:eastAsia="Arial" w:hAnsi="Arial"/>
                <w:sz w:val="18"/>
                <w:szCs w:val="18"/>
                <w:color w:val="auto"/>
              </w:rPr>
              <w:t>Consolidated Balance Sheets as of January 30, 2015 and January 31, 2014</w:t>
            </w:r>
          </w:p>
        </w:tc>
        <w:tc>
          <w:tcPr>
            <w:tcW w:w="5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F-10</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85">
              <w:r>
                <w:rPr>
                  <w:rFonts w:ascii="Arial" w:cs="Arial" w:eastAsia="Arial" w:hAnsi="Arial"/>
                  <w:sz w:val="18"/>
                  <w:szCs w:val="18"/>
                  <w:color w:val="auto"/>
                </w:rPr>
                <w:t xml:space="preserve">Consolidated Statements of Income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F-11</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86">
              <w:r>
                <w:rPr>
                  <w:rFonts w:ascii="Arial" w:cs="Arial" w:eastAsia="Arial" w:hAnsi="Arial"/>
                  <w:sz w:val="18"/>
                  <w:szCs w:val="18"/>
                  <w:color w:val="auto"/>
                </w:rPr>
                <w:t xml:space="preserve">Consolidated Statements of Comprehensive Income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F-12</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87">
              <w:r>
                <w:rPr>
                  <w:rFonts w:ascii="Arial" w:cs="Arial" w:eastAsia="Arial" w:hAnsi="Arial"/>
                  <w:sz w:val="18"/>
                  <w:szCs w:val="18"/>
                  <w:color w:val="auto"/>
                </w:rPr>
                <w:t xml:space="preserve">Consolidated Statements of Stockholder’s Equity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F-13</w:t>
              </w:r>
            </w:hyperlink>
          </w:p>
        </w:tc>
      </w:tr>
      <w:tr>
        <w:trPr>
          <w:trHeight w:val="378"/>
        </w:trPr>
        <w:tc>
          <w:tcPr>
            <w:tcW w:w="10840" w:type="dxa"/>
            <w:vAlign w:val="bottom"/>
          </w:tcPr>
          <w:p>
            <w:pPr>
              <w:ind w:left="180"/>
              <w:spacing w:after="0"/>
              <w:rPr>
                <w:rFonts w:ascii="Arial" w:cs="Arial" w:eastAsia="Arial" w:hAnsi="Arial"/>
                <w:sz w:val="18"/>
                <w:szCs w:val="18"/>
                <w:color w:val="auto"/>
              </w:rPr>
            </w:pPr>
            <w:hyperlink w:anchor="page88">
              <w:r>
                <w:rPr>
                  <w:rFonts w:ascii="Arial" w:cs="Arial" w:eastAsia="Arial" w:hAnsi="Arial"/>
                  <w:sz w:val="18"/>
                  <w:szCs w:val="18"/>
                  <w:color w:val="auto"/>
                </w:rPr>
                <w:t xml:space="preserve">Consolidated Statements of Cash Flows for each of the three years in the period ended January </w:t>
              </w:r>
            </w:hyperlink>
            <w:r>
              <w:rPr>
                <w:rFonts w:ascii="Arial" w:cs="Arial" w:eastAsia="Arial" w:hAnsi="Arial"/>
                <w:sz w:val="18"/>
                <w:szCs w:val="18"/>
                <w:color w:val="auto"/>
              </w:rPr>
              <w:t>30, 2015</w:t>
            </w:r>
          </w:p>
        </w:tc>
        <w:tc>
          <w:tcPr>
            <w:tcW w:w="580" w:type="dxa"/>
            <w:vAlign w:val="bottom"/>
          </w:tcPr>
          <w:p>
            <w:pPr>
              <w:jc w:val="right"/>
              <w:spacing w:after="0"/>
              <w:rPr>
                <w:rFonts w:ascii="Arial" w:cs="Arial" w:eastAsia="Arial" w:hAnsi="Arial"/>
                <w:sz w:val="18"/>
                <w:szCs w:val="18"/>
                <w:color w:val="auto"/>
              </w:rPr>
            </w:pPr>
            <w:hyperlink w:anchor="page88">
              <w:r>
                <w:rPr>
                  <w:rFonts w:ascii="Arial" w:cs="Arial" w:eastAsia="Arial" w:hAnsi="Arial"/>
                  <w:sz w:val="18"/>
                  <w:szCs w:val="18"/>
                  <w:color w:val="auto"/>
                </w:rPr>
                <w:t>F-14</w:t>
              </w:r>
            </w:hyperlink>
          </w:p>
        </w:tc>
      </w:tr>
      <w:tr>
        <w:trPr>
          <w:trHeight w:val="378"/>
        </w:trPr>
        <w:tc>
          <w:tcPr>
            <w:tcW w:w="10840" w:type="dxa"/>
            <w:vAlign w:val="bottom"/>
          </w:tcPr>
          <w:p>
            <w:pPr>
              <w:ind w:left="40"/>
              <w:spacing w:after="0"/>
              <w:rPr>
                <w:sz w:val="20"/>
                <w:szCs w:val="20"/>
                <w:color w:val="auto"/>
              </w:rPr>
            </w:pPr>
            <w:r>
              <w:rPr>
                <w:rFonts w:ascii="Arial" w:cs="Arial" w:eastAsia="Arial" w:hAnsi="Arial"/>
                <w:sz w:val="18"/>
                <w:szCs w:val="18"/>
                <w:b w:val="1"/>
                <w:bCs w:val="1"/>
                <w:color w:val="auto"/>
              </w:rPr>
              <w:t>Leidos Holdings, Inc. and Leidos, Inc.</w:t>
            </w:r>
          </w:p>
        </w:tc>
        <w:tc>
          <w:tcPr>
            <w:tcW w:w="580" w:type="dxa"/>
            <w:vAlign w:val="bottom"/>
          </w:tcPr>
          <w:p>
            <w:pPr>
              <w:spacing w:after="0"/>
              <w:rPr>
                <w:sz w:val="24"/>
                <w:szCs w:val="24"/>
                <w:color w:val="auto"/>
              </w:rPr>
            </w:pPr>
          </w:p>
        </w:tc>
      </w:tr>
      <w:tr>
        <w:trPr>
          <w:trHeight w:val="378"/>
        </w:trPr>
        <w:tc>
          <w:tcPr>
            <w:tcW w:w="10840" w:type="dxa"/>
            <w:vAlign w:val="bottom"/>
          </w:tcPr>
          <w:p>
            <w:pPr>
              <w:ind w:left="180"/>
              <w:spacing w:after="0"/>
              <w:rPr>
                <w:rFonts w:ascii="Arial" w:cs="Arial" w:eastAsia="Arial" w:hAnsi="Arial"/>
                <w:sz w:val="18"/>
                <w:szCs w:val="18"/>
                <w:color w:val="auto"/>
              </w:rPr>
            </w:pPr>
            <w:hyperlink w:anchor="page91">
              <w:r>
                <w:rPr>
                  <w:rFonts w:ascii="Arial" w:cs="Arial" w:eastAsia="Arial" w:hAnsi="Arial"/>
                  <w:sz w:val="18"/>
                  <w:szCs w:val="18"/>
                  <w:color w:val="auto"/>
                </w:rPr>
                <w:t>Combined Notes to Consolidated Financial Statements</w:t>
              </w:r>
            </w:hyperlink>
          </w:p>
        </w:tc>
        <w:tc>
          <w:tcPr>
            <w:tcW w:w="580" w:type="dxa"/>
            <w:vAlign w:val="bottom"/>
          </w:tcPr>
          <w:p>
            <w:pPr>
              <w:jc w:val="right"/>
              <w:spacing w:after="0"/>
              <w:rPr>
                <w:rFonts w:ascii="Arial" w:cs="Arial" w:eastAsia="Arial" w:hAnsi="Arial"/>
                <w:sz w:val="18"/>
                <w:szCs w:val="18"/>
                <w:color w:val="auto"/>
              </w:rPr>
            </w:pPr>
            <w:hyperlink w:anchor="page91">
              <w:r>
                <w:rPr>
                  <w:rFonts w:ascii="Arial" w:cs="Arial" w:eastAsia="Arial" w:hAnsi="Arial"/>
                  <w:sz w:val="18"/>
                  <w:szCs w:val="18"/>
                  <w:color w:val="auto"/>
                </w:rPr>
                <w:t>F-16</w:t>
              </w:r>
            </w:hyperlink>
          </w:p>
        </w:tc>
      </w:tr>
      <w:tr>
        <w:trPr>
          <w:trHeight w:val="445"/>
        </w:trPr>
        <w:tc>
          <w:tcPr>
            <w:tcW w:w="10840" w:type="dxa"/>
            <w:vAlign w:val="bottom"/>
          </w:tcPr>
          <w:p>
            <w:pPr>
              <w:spacing w:after="0"/>
              <w:rPr>
                <w:sz w:val="20"/>
                <w:szCs w:val="20"/>
                <w:color w:val="auto"/>
              </w:rPr>
            </w:pPr>
            <w:r>
              <w:rPr>
                <w:rFonts w:ascii="Arial" w:cs="Arial" w:eastAsia="Arial" w:hAnsi="Arial"/>
                <w:sz w:val="18"/>
                <w:szCs w:val="18"/>
                <w:color w:val="auto"/>
              </w:rPr>
              <w:t>Financial statement schedules are omitted because they are not applicable or the required information is presented in the consolidated</w:t>
            </w:r>
          </w:p>
        </w:tc>
        <w:tc>
          <w:tcPr>
            <w:tcW w:w="580" w:type="dxa"/>
            <w:vAlign w:val="bottom"/>
          </w:tcPr>
          <w:p>
            <w:pPr>
              <w:spacing w:after="0"/>
              <w:rPr>
                <w:sz w:val="24"/>
                <w:szCs w:val="24"/>
                <w:color w:val="auto"/>
              </w:rPr>
            </w:pPr>
          </w:p>
        </w:tc>
      </w:tr>
      <w:tr>
        <w:trPr>
          <w:trHeight w:val="217"/>
        </w:trPr>
        <w:tc>
          <w:tcPr>
            <w:tcW w:w="10840" w:type="dxa"/>
            <w:vAlign w:val="bottom"/>
          </w:tcPr>
          <w:p>
            <w:pPr>
              <w:spacing w:after="0"/>
              <w:rPr>
                <w:sz w:val="20"/>
                <w:szCs w:val="20"/>
                <w:color w:val="auto"/>
              </w:rPr>
            </w:pPr>
            <w:r>
              <w:rPr>
                <w:rFonts w:ascii="Arial" w:cs="Arial" w:eastAsia="Arial" w:hAnsi="Arial"/>
                <w:sz w:val="18"/>
                <w:szCs w:val="18"/>
                <w:color w:val="auto"/>
              </w:rPr>
              <w:t>financial statements or the notes thereto.</w:t>
            </w:r>
          </w:p>
        </w:tc>
        <w:tc>
          <w:tcPr>
            <w:tcW w:w="5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F-1</w:t>
      </w:r>
    </w:p>
    <w:p>
      <w:pPr>
        <w:sectPr>
          <w:pgSz w:w="11900" w:h="16838" w:orient="portrait"/>
          <w:cols w:equalWidth="0" w:num="1">
            <w:col w:w="11420"/>
          </w:cols>
          <w:pgMar w:left="240" w:top="36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Leidos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audited the accompanying consolidated balance sheets of Leidos Holdings, Inc. and subsidiaries (the “Company”) as of January 30, 2015 and January 31, 2014, respectively, and the related consolidated statements of income, comprehensive income, stockholders’ equity, and cash flows for each of the three years in the period ended January 30, 2015. These financial statements are the responsibility of the Company’s management. Our responsibility is to express an opinion on these financial statements based on our audits.</w:t>
      </w:r>
    </w:p>
    <w:p>
      <w:pPr>
        <w:spacing w:after="0" w:line="150"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Leidos Holdings, Inc. and subsidiaries as of January 30, 2015 and January 31, 2014, respectively, and the results of their operations and their cash flows for each of the three years in the period ended January 30, 2015, in conformity with accounting principles generally accepted in the United States of America.</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January 30, 2015,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March 25, 2015,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Company’s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F-2</w:t>
      </w:r>
    </w:p>
    <w:p>
      <w:pPr>
        <w:sectPr>
          <w:pgSz w:w="11900" w:h="16838" w:orient="portrait"/>
          <w:cols w:equalWidth="0" w:num="1">
            <w:col w:w="11420"/>
          </w:cols>
          <w:pgMar w:left="240" w:top="576"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277495</wp:posOffset>
            </wp:positionV>
            <wp:extent cx="1663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04"/>
        </w:trPr>
        <w:tc>
          <w:tcPr>
            <w:tcW w:w="8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60" w:type="dxa"/>
            <w:vAlign w:val="bottom"/>
            <w:gridSpan w:val="3"/>
          </w:tcPr>
          <w:p>
            <w:pPr>
              <w:jc w:val="right"/>
              <w:ind w:right="85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5"/>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443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57"/>
        </w:trPr>
        <w:tc>
          <w:tcPr>
            <w:tcW w:w="8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896</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57"/>
        </w:trPr>
        <w:tc>
          <w:tcPr>
            <w:tcW w:w="8620" w:type="dxa"/>
            <w:vAlign w:val="bottom"/>
          </w:tcPr>
          <w:p>
            <w:pPr>
              <w:ind w:left="180"/>
              <w:spacing w:after="0"/>
              <w:rPr>
                <w:sz w:val="20"/>
                <w:szCs w:val="20"/>
                <w:color w:val="auto"/>
              </w:rPr>
            </w:pPr>
            <w:r>
              <w:rPr>
                <w:rFonts w:ascii="Arial" w:cs="Arial" w:eastAsia="Arial" w:hAnsi="Arial"/>
                <w:sz w:val="18"/>
                <w:szCs w:val="18"/>
                <w:color w:val="auto"/>
              </w:rPr>
              <w:t>Inventory, prepaid expenses and other current assets</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273</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Assets of discontinued operations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1,618</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308</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1,207</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97</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2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57"/>
        </w:trPr>
        <w:tc>
          <w:tcPr>
            <w:tcW w:w="8620" w:type="dxa"/>
            <w:vAlign w:val="bottom"/>
          </w:tcPr>
          <w:p>
            <w:pPr>
              <w:ind w:left="180"/>
              <w:spacing w:after="0"/>
              <w:rPr>
                <w:sz w:val="20"/>
                <w:szCs w:val="20"/>
                <w:color w:val="auto"/>
              </w:rPr>
            </w:pPr>
            <w:r>
              <w:rPr>
                <w:rFonts w:ascii="Arial" w:cs="Arial" w:eastAsia="Arial" w:hAnsi="Arial"/>
                <w:sz w:val="18"/>
                <w:szCs w:val="18"/>
                <w:color w:val="auto"/>
              </w:rPr>
              <w:t>Accrued payroll and employee benefits</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264</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7"/>
        </w:trPr>
        <w:tc>
          <w:tcPr>
            <w:tcW w:w="8620" w:type="dxa"/>
            <w:vAlign w:val="bottom"/>
          </w:tcPr>
          <w:p>
            <w:pPr>
              <w:ind w:left="180"/>
              <w:spacing w:after="0"/>
              <w:rPr>
                <w:sz w:val="20"/>
                <w:szCs w:val="20"/>
                <w:color w:val="auto"/>
              </w:rPr>
            </w:pPr>
            <w:r>
              <w:rPr>
                <w:rFonts w:ascii="Arial" w:cs="Arial" w:eastAsia="Arial" w:hAnsi="Arial"/>
                <w:sz w:val="18"/>
                <w:szCs w:val="18"/>
                <w:color w:val="auto"/>
              </w:rPr>
              <w:t>Notes payable and long-term debt, current portion</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951</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Notes payable and long-term debt, net of current portion</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1,164</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168</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8620" w:type="dxa"/>
            <w:vAlign w:val="bottom"/>
          </w:tcPr>
          <w:p>
            <w:pPr>
              <w:ind w:left="40"/>
              <w:spacing w:after="0"/>
              <w:rPr>
                <w:sz w:val="20"/>
                <w:szCs w:val="20"/>
                <w:color w:val="auto"/>
              </w:rPr>
            </w:pPr>
            <w:r>
              <w:rPr>
                <w:rFonts w:ascii="Arial" w:cs="Arial" w:eastAsia="Arial" w:hAnsi="Arial"/>
                <w:sz w:val="18"/>
                <w:szCs w:val="18"/>
                <w:color w:val="auto"/>
              </w:rPr>
              <w:t>Commitments and contingencies (Notes 16, 19 and 20)</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6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20" w:type="dxa"/>
            <w:vAlign w:val="bottom"/>
          </w:tcPr>
          <w:p>
            <w:pPr>
              <w:ind w:left="180"/>
              <w:spacing w:after="0"/>
              <w:rPr>
                <w:sz w:val="20"/>
                <w:szCs w:val="20"/>
                <w:color w:val="auto"/>
              </w:rPr>
            </w:pPr>
            <w:r>
              <w:rPr>
                <w:rFonts w:ascii="Arial" w:cs="Arial" w:eastAsia="Arial" w:hAnsi="Arial"/>
                <w:sz w:val="18"/>
                <w:szCs w:val="18"/>
                <w:color w:val="auto"/>
              </w:rPr>
              <w:t>Preferred stock, $.0001 par value,10 million shares authorized and no shares issued and outstanding at</w:t>
            </w:r>
          </w:p>
        </w:tc>
        <w:tc>
          <w:tcPr>
            <w:tcW w:w="320" w:type="dxa"/>
            <w:vAlign w:val="bottom"/>
          </w:tcPr>
          <w:p>
            <w:pPr>
              <w:spacing w:after="0"/>
              <w:rPr>
                <w:sz w:val="22"/>
                <w:szCs w:val="22"/>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620" w:type="dxa"/>
            <w:vAlign w:val="bottom"/>
          </w:tcPr>
          <w:p>
            <w:pPr>
              <w:ind w:left="340"/>
              <w:spacing w:after="0"/>
              <w:rPr>
                <w:sz w:val="20"/>
                <w:szCs w:val="20"/>
                <w:color w:val="auto"/>
              </w:rPr>
            </w:pPr>
            <w:r>
              <w:rPr>
                <w:rFonts w:ascii="Arial" w:cs="Arial" w:eastAsia="Arial" w:hAnsi="Arial"/>
                <w:sz w:val="18"/>
                <w:szCs w:val="18"/>
                <w:color w:val="auto"/>
              </w:rPr>
              <w:t>January 30, 2015 and January 31, 2014</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8620" w:type="dxa"/>
            <w:vAlign w:val="bottom"/>
          </w:tcPr>
          <w:p>
            <w:pPr>
              <w:ind w:left="180"/>
              <w:spacing w:after="0"/>
              <w:rPr>
                <w:sz w:val="20"/>
                <w:szCs w:val="20"/>
                <w:color w:val="auto"/>
              </w:rPr>
            </w:pPr>
            <w:r>
              <w:rPr>
                <w:rFonts w:ascii="Arial" w:cs="Arial" w:eastAsia="Arial" w:hAnsi="Arial"/>
                <w:sz w:val="18"/>
                <w:szCs w:val="18"/>
                <w:color w:val="auto"/>
              </w:rPr>
              <w:t>Common stock, $.0001 par value, 500 million shares authorized, 74 million and 80 million shares issued</w:t>
            </w:r>
          </w:p>
        </w:tc>
        <w:tc>
          <w:tcPr>
            <w:tcW w:w="320" w:type="dxa"/>
            <w:vAlign w:val="bottom"/>
          </w:tcPr>
          <w:p>
            <w:pPr>
              <w:spacing w:after="0"/>
              <w:rPr>
                <w:sz w:val="21"/>
                <w:szCs w:val="21"/>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20" w:type="dxa"/>
            <w:vAlign w:val="bottom"/>
          </w:tcPr>
          <w:p>
            <w:pPr>
              <w:ind w:left="340"/>
              <w:spacing w:after="0"/>
              <w:rPr>
                <w:sz w:val="20"/>
                <w:szCs w:val="20"/>
                <w:color w:val="auto"/>
              </w:rPr>
            </w:pPr>
            <w:r>
              <w:rPr>
                <w:rFonts w:ascii="Arial" w:cs="Arial" w:eastAsia="Arial" w:hAnsi="Arial"/>
                <w:sz w:val="18"/>
                <w:szCs w:val="18"/>
                <w:color w:val="auto"/>
              </w:rPr>
              <w:t>and outstanding at January 30, 2015 and January 31, 2014, respectively</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6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1,433</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57"/>
        </w:trPr>
        <w:tc>
          <w:tcPr>
            <w:tcW w:w="8620" w:type="dxa"/>
            <w:vAlign w:val="bottom"/>
          </w:tcPr>
          <w:p>
            <w:pPr>
              <w:ind w:left="180"/>
              <w:spacing w:after="0"/>
              <w:rPr>
                <w:sz w:val="20"/>
                <w:szCs w:val="20"/>
                <w:color w:val="auto"/>
              </w:rPr>
            </w:pPr>
            <w:r>
              <w:rPr>
                <w:rFonts w:ascii="Arial" w:cs="Arial" w:eastAsia="Arial" w:hAnsi="Arial"/>
                <w:sz w:val="18"/>
                <w:szCs w:val="18"/>
                <w:color w:val="auto"/>
              </w:rPr>
              <w:t>Accumulated (deficit) earnings</w:t>
            </w:r>
          </w:p>
        </w:tc>
        <w:tc>
          <w:tcPr>
            <w:tcW w:w="32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b w:val="1"/>
                <w:bCs w:val="1"/>
                <w:color w:val="auto"/>
              </w:rPr>
              <w:t>(424)</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8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998</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F-3</w:t>
      </w:r>
    </w:p>
    <w:p>
      <w:pPr>
        <w:sectPr>
          <w:pgSz w:w="11900" w:h="16838" w:orient="portrait"/>
          <w:cols w:equalWidth="0" w:num="1">
            <w:col w:w="11400"/>
          </w:cols>
          <w:pgMar w:left="240" w:top="360" w:right="25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51"/>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5"/>
                <w:szCs w:val="15"/>
                <w:color w:val="auto"/>
              </w:rPr>
            </w:pPr>
          </w:p>
        </w:tc>
        <w:tc>
          <w:tcPr>
            <w:tcW w:w="1240" w:type="dxa"/>
            <w:vAlign w:val="bottom"/>
          </w:tcPr>
          <w:p>
            <w:pPr>
              <w:jc w:val="right"/>
              <w:ind w:right="293"/>
              <w:spacing w:after="0"/>
              <w:rPr>
                <w:sz w:val="20"/>
                <w:szCs w:val="20"/>
                <w:color w:val="auto"/>
              </w:rPr>
            </w:pPr>
            <w:r>
              <w:rPr>
                <w:rFonts w:ascii="Arial" w:cs="Arial" w:eastAsia="Arial" w:hAnsi="Arial"/>
                <w:sz w:val="14"/>
                <w:szCs w:val="14"/>
                <w:color w:val="auto"/>
              </w:rPr>
              <w:t>January 31,</w:t>
            </w:r>
          </w:p>
        </w:tc>
        <w:tc>
          <w:tcPr>
            <w:tcW w:w="180" w:type="dxa"/>
            <w:vAlign w:val="bottom"/>
          </w:tcPr>
          <w:p>
            <w:pPr>
              <w:spacing w:after="0"/>
              <w:rPr>
                <w:sz w:val="15"/>
                <w:szCs w:val="15"/>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2014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2013</w:t>
            </w:r>
          </w:p>
        </w:tc>
      </w:tr>
      <w:tr>
        <w:trPr>
          <w:trHeight w:val="193"/>
        </w:trPr>
        <w:tc>
          <w:tcPr>
            <w:tcW w:w="7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color w:val="auto"/>
              </w:rPr>
              <w:t>(in millions, except per</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2"/>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ind w:right="113"/>
              <w:spacing w:after="0"/>
              <w:rPr>
                <w:sz w:val="20"/>
                <w:szCs w:val="20"/>
                <w:color w:val="auto"/>
              </w:rPr>
            </w:pPr>
            <w:r>
              <w:rPr>
                <w:rFonts w:ascii="Arial" w:cs="Arial" w:eastAsia="Arial" w:hAnsi="Arial"/>
                <w:sz w:val="14"/>
                <w:szCs w:val="14"/>
                <w:color w:val="auto"/>
              </w:rPr>
              <w:t>share amounts)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5,063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5,755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6,449</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4,392</w:t>
            </w:r>
          </w:p>
        </w:tc>
        <w:tc>
          <w:tcPr>
            <w:tcW w:w="240" w:type="dxa"/>
            <w:vAlign w:val="bottom"/>
          </w:tcPr>
          <w:p>
            <w:pPr>
              <w:spacing w:after="0"/>
              <w:rPr>
                <w:sz w:val="24"/>
                <w:szCs w:val="24"/>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4,992</w:t>
            </w:r>
          </w:p>
        </w:tc>
        <w:tc>
          <w:tcPr>
            <w:tcW w:w="18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5,548</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310</w:t>
            </w:r>
          </w:p>
        </w:tc>
        <w:tc>
          <w:tcPr>
            <w:tcW w:w="24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467</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486</w:t>
            </w:r>
          </w:p>
        </w:tc>
        <w:tc>
          <w:tcPr>
            <w:tcW w:w="24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23"/>
                <w:szCs w:val="23"/>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Separation transaction and restructuring expenses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24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421</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4"/>
                <w:szCs w:val="24"/>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23"/>
                <w:szCs w:val="23"/>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(283)</w:t>
            </w:r>
          </w:p>
        </w:tc>
        <w:tc>
          <w:tcPr>
            <w:tcW w:w="24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345</w:t>
            </w:r>
          </w:p>
        </w:tc>
      </w:tr>
      <w:tr>
        <w:trPr>
          <w:trHeight w:val="277"/>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240" w:type="dxa"/>
            <w:vAlign w:val="bottom"/>
          </w:tcPr>
          <w:p>
            <w:pPr>
              <w:spacing w:after="0"/>
              <w:rPr>
                <w:sz w:val="22"/>
                <w:szCs w:val="22"/>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323</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Discontinued operations (Note 2):</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(Loss) income from discontinued operations before income taxes</w:t>
            </w: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40" w:type="dxa"/>
            <w:vAlign w:val="bottom"/>
          </w:tcPr>
          <w:p>
            <w:pPr>
              <w:spacing w:after="0"/>
              <w:rPr>
                <w:sz w:val="24"/>
                <w:szCs w:val="24"/>
                <w:color w:val="auto"/>
              </w:rPr>
            </w:pP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330</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earnings per share (Note 12):</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4"/>
        </w:trPr>
        <w:tc>
          <w:tcPr>
            <w:tcW w:w="7400" w:type="dxa"/>
            <w:vAlign w:val="bottom"/>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0.98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3.81</w:t>
            </w:r>
          </w:p>
        </w:tc>
      </w:tr>
      <w:tr>
        <w:trPr>
          <w:trHeight w:val="277"/>
        </w:trPr>
        <w:tc>
          <w:tcPr>
            <w:tcW w:w="7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0.10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0.96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w:t>
            </w:r>
          </w:p>
        </w:tc>
      </w:tr>
      <w:tr>
        <w:trPr>
          <w:trHeight w:val="264"/>
        </w:trPr>
        <w:tc>
          <w:tcPr>
            <w:tcW w:w="7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6.19</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0.98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3.81</w:t>
            </w:r>
          </w:p>
        </w:tc>
      </w:tr>
      <w:tr>
        <w:trPr>
          <w:trHeight w:val="277"/>
        </w:trPr>
        <w:tc>
          <w:tcPr>
            <w:tcW w:w="74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0.10</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0.96</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w:t>
            </w:r>
          </w:p>
        </w:tc>
      </w:tr>
      <w:tr>
        <w:trPr>
          <w:trHeight w:val="264"/>
        </w:trPr>
        <w:tc>
          <w:tcPr>
            <w:tcW w:w="7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6.19</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F-4</w:t>
      </w:r>
    </w:p>
    <w:p>
      <w:pPr>
        <w:sectPr>
          <w:pgSz w:w="11900" w:h="16838" w:orient="portrait"/>
          <w:cols w:equalWidth="0" w:num="1">
            <w:col w:w="11400"/>
          </w:cols>
          <w:pgMar w:left="240" w:top="36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525</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r>
      <w:tr>
        <w:trPr>
          <w:trHeight w:val="264"/>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 adjustments,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Reclassification of realized loss on settled derivative instruments to net income</w:t>
            </w:r>
          </w:p>
        </w:tc>
        <w:tc>
          <w:tcPr>
            <w:tcW w:w="18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Reclassification of realized loss on settled derivative instruments to net income,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Pension liability adjustments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Pension liability adjustments,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534</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F-5</w:t>
      </w:r>
    </w:p>
    <w:p>
      <w:pPr>
        <w:sectPr>
          <w:pgSz w:w="11900" w:h="16838" w:orient="portrait"/>
          <w:cols w:equalWidth="0" w:num="1">
            <w:col w:w="11400"/>
          </w:cols>
          <w:pgMar w:left="240" w:top="360"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4120" w:type="dxa"/>
            <w:vAlign w:val="bottom"/>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center"/>
              <w:ind w:right="112"/>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vMerge w:val="restart"/>
          </w:tcPr>
          <w:p>
            <w:pPr>
              <w:jc w:val="center"/>
              <w:ind w:right="152"/>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4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color w:val="auto"/>
              </w:rPr>
              <w:t>Common</w:t>
            </w:r>
          </w:p>
        </w:tc>
        <w:tc>
          <w:tcPr>
            <w:tcW w:w="820" w:type="dxa"/>
            <w:vAlign w:val="bottom"/>
          </w:tcPr>
          <w:p>
            <w:pPr>
              <w:spacing w:after="0"/>
              <w:rPr>
                <w:sz w:val="20"/>
                <w:szCs w:val="20"/>
                <w:color w:val="auto"/>
              </w:rPr>
            </w:pPr>
            <w:r>
              <w:rPr>
                <w:rFonts w:ascii="Arial" w:cs="Arial" w:eastAsia="Arial" w:hAnsi="Arial"/>
                <w:sz w:val="14"/>
                <w:szCs w:val="14"/>
                <w:color w:val="auto"/>
              </w:rPr>
              <w:t>Preferred</w:t>
            </w:r>
          </w:p>
        </w:tc>
        <w:tc>
          <w:tcPr>
            <w:tcW w:w="260" w:type="dxa"/>
            <w:vAlign w:val="bottom"/>
          </w:tcPr>
          <w:p>
            <w:pPr>
              <w:spacing w:after="0"/>
              <w:rPr>
                <w:sz w:val="14"/>
                <w:szCs w:val="14"/>
                <w:color w:val="auto"/>
              </w:rPr>
            </w:pPr>
          </w:p>
        </w:tc>
        <w:tc>
          <w:tcPr>
            <w:tcW w:w="920" w:type="dxa"/>
            <w:vAlign w:val="bottom"/>
          </w:tcPr>
          <w:p>
            <w:pPr>
              <w:jc w:val="center"/>
              <w:ind w:right="112"/>
              <w:spacing w:after="0"/>
              <w:rPr>
                <w:sz w:val="20"/>
                <w:szCs w:val="20"/>
                <w:color w:val="auto"/>
              </w:rPr>
            </w:pPr>
            <w:r>
              <w:rPr>
                <w:rFonts w:ascii="Arial" w:cs="Arial" w:eastAsia="Arial" w:hAnsi="Arial"/>
                <w:sz w:val="14"/>
                <w:szCs w:val="14"/>
                <w:color w:val="auto"/>
              </w:rPr>
              <w:t>paid-in</w:t>
            </w:r>
          </w:p>
        </w:tc>
        <w:tc>
          <w:tcPr>
            <w:tcW w:w="220" w:type="dxa"/>
            <w:vAlign w:val="bottom"/>
          </w:tcPr>
          <w:p>
            <w:pPr>
              <w:spacing w:after="0"/>
              <w:rPr>
                <w:sz w:val="14"/>
                <w:szCs w:val="14"/>
                <w:color w:val="auto"/>
              </w:rPr>
            </w:pPr>
          </w:p>
        </w:tc>
        <w:tc>
          <w:tcPr>
            <w:tcW w:w="1040" w:type="dxa"/>
            <w:vAlign w:val="bottom"/>
          </w:tcPr>
          <w:p>
            <w:pPr>
              <w:jc w:val="right"/>
              <w:ind w:right="111"/>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4"/>
                <w:szCs w:val="14"/>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color w:val="auto"/>
              </w:rPr>
              <w:t>comprehensive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rPr>
              <w:t>stock</w:t>
            </w: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stock</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rPr>
              <w:t>capital</w:t>
            </w: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earnings (deficit)</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rPr>
              <w:t>loss</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40" w:type="dxa"/>
            <w:vAlign w:val="bottom"/>
            <w:gridSpan w:val="6"/>
          </w:tcPr>
          <w:p>
            <w:pPr>
              <w:jc w:val="right"/>
              <w:ind w:right="1112"/>
              <w:spacing w:after="0"/>
              <w:rPr>
                <w:sz w:val="20"/>
                <w:szCs w:val="20"/>
                <w:color w:val="auto"/>
              </w:rPr>
            </w:pPr>
            <w:r>
              <w:rPr>
                <w:rFonts w:ascii="Arial" w:cs="Arial" w:eastAsia="Arial" w:hAnsi="Arial"/>
                <w:sz w:val="14"/>
                <w:szCs w:val="14"/>
                <w:color w:val="auto"/>
              </w:rPr>
              <w:t>(in millions, except for per share amounts)</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Balance at January 31, 2012</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85</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2,028</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525</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Issuances of stock (less forfeitures)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Shares repurchased or retired or withheld for tax</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withholdings on vesting of restricted stock</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Dividends of $1.92 per common share</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Adjustments for income tax benefits from stock-</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based compensation</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Stock-based compensation (including</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1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discontinued operations of $31 million)</w:t>
            </w: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January 31, 2013</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86</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2,110</w:t>
            </w:r>
          </w:p>
        </w:tc>
        <w:tc>
          <w:tcPr>
            <w:tcW w:w="22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comprehensive loss, net of tax</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Issuances of stock (less forfeitures)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Shares repurchased or retired or withheld for tax</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withholdings on vesting of restricted stock</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(6)</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Dividends of $1.60 per common share</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Special cash dividend of $4.00 per share</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Adjustments for income tax benefits from stock-</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based compensation</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Stock-based compensation (including</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discontinued operations of $21 million)</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Dividend received, net of contribution paid, from</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the spin-off of New SAIC</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Spin-off of New SAIC</w:t>
            </w: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January 31, 2014</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80</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1,576</w:t>
            </w:r>
          </w:p>
        </w:tc>
        <w:tc>
          <w:tcPr>
            <w:tcW w:w="22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Other comprehensive loss, net of tax</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Issuances of stock (less forfeitures)</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Shares repurchased or retired or withheld for tax</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180"/>
              <w:spacing w:after="0"/>
              <w:rPr>
                <w:sz w:val="20"/>
                <w:szCs w:val="20"/>
                <w:color w:val="auto"/>
              </w:rPr>
            </w:pPr>
            <w:r>
              <w:rPr>
                <w:rFonts w:ascii="Arial" w:cs="Arial" w:eastAsia="Arial" w:hAnsi="Arial"/>
                <w:sz w:val="18"/>
                <w:szCs w:val="18"/>
                <w:color w:val="auto"/>
              </w:rPr>
              <w:t>withholdings on equity awards</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(7)</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Dividends of $1.28 per common share</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Adjustments for income tax benefits from stock-</w:t>
            </w:r>
          </w:p>
        </w:tc>
        <w:tc>
          <w:tcPr>
            <w:tcW w:w="1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based compensation</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2B4C9B"/>
            </w:tcBorders>
          </w:tcPr>
          <w:p>
            <w:pPr>
              <w:jc w:val="right"/>
              <w:ind w:right="33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2B4C9B"/>
            </w:tcBorders>
          </w:tcPr>
          <w:p>
            <w:pPr>
              <w:ind w:left="5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24"/>
                <w:szCs w:val="24"/>
                <w:color w:val="auto"/>
              </w:rPr>
            </w:pPr>
          </w:p>
        </w:tc>
        <w:tc>
          <w:tcPr>
            <w:tcW w:w="92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2B4C9B"/>
            </w:tcBorders>
          </w:tcPr>
          <w:p>
            <w:pPr>
              <w:spacing w:after="0"/>
              <w:rPr>
                <w:sz w:val="24"/>
                <w:szCs w:val="24"/>
                <w:color w:val="auto"/>
              </w:rPr>
            </w:pPr>
          </w:p>
        </w:tc>
        <w:tc>
          <w:tcPr>
            <w:tcW w:w="1040" w:type="dxa"/>
            <w:vAlign w:val="bottom"/>
            <w:tcBorders>
              <w:bottom w:val="single" w:sz="8" w:color="2B4C9B"/>
            </w:tcBorders>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2B4C9B"/>
            </w:tcBorders>
          </w:tcPr>
          <w:p>
            <w:pPr>
              <w:spacing w:after="0"/>
              <w:rPr>
                <w:sz w:val="24"/>
                <w:szCs w:val="24"/>
                <w:color w:val="auto"/>
              </w:rPr>
            </w:pPr>
          </w:p>
        </w:tc>
        <w:tc>
          <w:tcPr>
            <w:tcW w:w="1340" w:type="dxa"/>
            <w:vAlign w:val="bottom"/>
            <w:tcBorders>
              <w:bottom w:val="single" w:sz="8" w:color="2B4C9B"/>
            </w:tcBorders>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2B4C9B"/>
            </w:tcBorders>
          </w:tcPr>
          <w:p>
            <w:pPr>
              <w:spacing w:after="0"/>
              <w:rPr>
                <w:sz w:val="24"/>
                <w:szCs w:val="24"/>
                <w:color w:val="auto"/>
              </w:rPr>
            </w:pPr>
          </w:p>
        </w:tc>
        <w:tc>
          <w:tcPr>
            <w:tcW w:w="800" w:type="dxa"/>
            <w:vAlign w:val="bottom"/>
            <w:tcBorders>
              <w:bottom w:val="single" w:sz="8" w:color="2B4C9B"/>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Balance at January 30, 2015</w:t>
            </w:r>
          </w:p>
        </w:tc>
        <w:tc>
          <w:tcPr>
            <w:tcW w:w="1340" w:type="dxa"/>
            <w:vAlign w:val="bottom"/>
          </w:tcPr>
          <w:p>
            <w:pPr>
              <w:jc w:val="right"/>
              <w:ind w:right="332"/>
              <w:spacing w:after="0"/>
              <w:rPr>
                <w:sz w:val="20"/>
                <w:szCs w:val="20"/>
                <w:color w:val="auto"/>
              </w:rPr>
            </w:pPr>
            <w:r>
              <w:rPr>
                <w:rFonts w:ascii="Arial" w:cs="Arial" w:eastAsia="Arial" w:hAnsi="Arial"/>
                <w:sz w:val="18"/>
                <w:szCs w:val="18"/>
                <w:b w:val="1"/>
                <w:bCs w:val="1"/>
                <w:color w:val="auto"/>
              </w:rPr>
              <w:t>74</w:t>
            </w:r>
          </w:p>
        </w:tc>
        <w:tc>
          <w:tcPr>
            <w:tcW w:w="820" w:type="dxa"/>
            <w:vAlign w:val="bottom"/>
          </w:tcPr>
          <w:p>
            <w:pPr>
              <w:ind w:left="5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1,433</w:t>
            </w:r>
          </w:p>
        </w:tc>
        <w:tc>
          <w:tcPr>
            <w:tcW w:w="220" w:type="dxa"/>
            <w:vAlign w:val="bottom"/>
          </w:tcPr>
          <w:p>
            <w:pPr>
              <w:ind w:left="10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b w:val="1"/>
                <w:bCs w:val="1"/>
                <w:color w:val="auto"/>
              </w:rPr>
              <w:t>(11)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b w:val="1"/>
                <w:bCs w:val="1"/>
                <w:color w:val="auto"/>
              </w:rPr>
              <w:t>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F-6</w:t>
      </w:r>
    </w:p>
    <w:p>
      <w:pPr>
        <w:sectPr>
          <w:pgSz w:w="11900" w:h="16838" w:orient="portrait"/>
          <w:cols w:equalWidth="0" w:num="1">
            <w:col w:w="11420"/>
          </w:cols>
          <w:pgMar w:left="240" w:top="360" w:right="23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1"/>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operating activities of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525</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provided by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62</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486</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Asset impairment charges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81</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Restructuring charges, net</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400" w:type="dxa"/>
            <w:vAlign w:val="bottom"/>
          </w:tcPr>
          <w:p>
            <w:pPr>
              <w:ind w:left="380"/>
              <w:spacing w:after="0"/>
              <w:rPr>
                <w:sz w:val="20"/>
                <w:szCs w:val="20"/>
                <w:color w:val="auto"/>
              </w:rPr>
            </w:pPr>
            <w:r>
              <w:rPr>
                <w:rFonts w:ascii="Arial" w:cs="Arial" w:eastAsia="Arial" w:hAnsi="Arial"/>
                <w:sz w:val="18"/>
                <w:szCs w:val="18"/>
                <w:color w:val="auto"/>
              </w:rPr>
              <w:t>Change in assets and liabilities, net of effects of acquisitions and dispositions: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60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162</w:t>
            </w: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218</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Inventory, prepaid expenses and other current assets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Income taxes receivable/payable</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77"/>
        </w:trPr>
        <w:tc>
          <w:tcPr>
            <w:tcW w:w="7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Total cash flows provided by operating activities of continuing operations</w:t>
            </w:r>
          </w:p>
        </w:tc>
        <w:tc>
          <w:tcPr>
            <w:tcW w:w="18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396</w:t>
            </w:r>
          </w:p>
        </w:tc>
        <w:tc>
          <w:tcPr>
            <w:tcW w:w="26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investing activities of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 of $9 million in fiscal 2013</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Net proceeds for purchase price adjustments related to prior year acquisitions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U.S. Treasury cash grant</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Net proceeds of cost method investments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Dividend received from the separation of New SAIC</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Contribution paid related to the separation of New SAIC</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Total cash flows provided by (used in) investing activities of continuing operations</w:t>
            </w:r>
          </w:p>
        </w:tc>
        <w:tc>
          <w:tcPr>
            <w:tcW w:w="18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51</w:t>
            </w:r>
          </w:p>
        </w:tc>
        <w:tc>
          <w:tcPr>
            <w:tcW w:w="26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r>
    </w:tbl>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F-7</w:t>
      </w:r>
    </w:p>
    <w:p>
      <w:pPr>
        <w:sectPr>
          <w:pgSz w:w="11900" w:h="16838" w:orient="portrait"/>
          <w:cols w:equalWidth="0" w:num="1">
            <w:col w:w="11400"/>
          </w:cols>
          <w:pgMar w:left="240" w:top="549" w:right="2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financing activities of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Payments on notes payable and long-term debt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260" w:type="dxa"/>
            <w:vAlign w:val="bottom"/>
          </w:tcPr>
          <w:p>
            <w:pPr>
              <w:spacing w:after="0"/>
              <w:rPr>
                <w:sz w:val="24"/>
                <w:szCs w:val="24"/>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Payments for deferred financing costs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 from New SAIC for deferred financing costs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real estate financing transaction</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debt issuance</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Distribution of debt to New SAIC</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Sales of stock and exercises of stock options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Repurchases of stock</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Dividend payments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cash flows used in financing activities of continuing operations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Decrease in cash and cash equivalents from continuing operations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discontinued operations: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Cash provided by operating activities of discontinued operations</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Cash provided by (used in) investing activities of discontinued operations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Cash used in financing activities of discontinued operations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Increase in cash and cash equivalents from discontinued operations</w:t>
            </w:r>
          </w:p>
        </w:tc>
        <w:tc>
          <w:tcPr>
            <w:tcW w:w="18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spacing w:after="0"/>
              <w:rPr>
                <w:sz w:val="22"/>
                <w:szCs w:val="22"/>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358</w:t>
            </w:r>
          </w:p>
        </w:tc>
      </w:tr>
      <w:tr>
        <w:trPr>
          <w:trHeight w:val="277"/>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430</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735</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1,590</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735</w:t>
            </w: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F-8</w:t>
      </w:r>
    </w:p>
    <w:p>
      <w:pPr>
        <w:sectPr>
          <w:pgSz w:w="11900" w:h="16838" w:orient="portrait"/>
          <w:cols w:equalWidth="0" w:num="1">
            <w:col w:w="11400"/>
          </w:cols>
          <w:pgMar w:left="240" w:top="549" w:right="25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110490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Leidos,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have audited the accompanying consolidated balance sheets of Leidos, Inc. and subsidiaries (the “Company”) as of January 30, 2015 and January 31, 2014, respectively, and the related consolidated statements of income, comprehensive income, stockholder’s equity, and cash flows for each of the three years in the period ended January 30, 2015. These financial statements are the responsibility of the Company’s management. Our responsibility is to express an opinion on these financial statements based on our audits.</w:t>
      </w:r>
    </w:p>
    <w:p>
      <w:pPr>
        <w:spacing w:after="0" w:line="150"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Leidos, Inc. and subsidiaries as of January 30, 2015 and January 31, 2014, respectively, and the results of their operations and their cash flows for each of the three years in the period ended January 30, 2015, in conformity with accounting principles generally accepted in the United States of America.</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January 30, 2015,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March 25, 2015, expressed an</w:t>
      </w:r>
      <w:r>
        <w:rPr>
          <w:rFonts w:ascii="Arial" w:cs="Arial" w:eastAsia="Arial" w:hAnsi="Arial"/>
          <w:sz w:val="18"/>
          <w:szCs w:val="18"/>
          <w:i w:val="1"/>
          <w:iCs w:val="1"/>
          <w:color w:val="auto"/>
        </w:rPr>
        <w:t xml:space="preserve"> </w:t>
      </w:r>
      <w:r>
        <w:rPr>
          <w:rFonts w:ascii="Arial" w:cs="Arial" w:eastAsia="Arial" w:hAnsi="Arial"/>
          <w:sz w:val="18"/>
          <w:szCs w:val="18"/>
          <w:color w:val="auto"/>
        </w:rPr>
        <w:t>unqualified opinion on the Company’s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2015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F-9</w:t>
      </w:r>
    </w:p>
    <w:p>
      <w:pPr>
        <w:sectPr>
          <w:pgSz w:w="11900" w:h="16838" w:orient="portrait"/>
          <w:cols w:equalWidth="0" w:num="1">
            <w:col w:w="11420"/>
          </w:cols>
          <w:pgMar w:left="240" w:top="373" w:right="2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277495</wp:posOffset>
            </wp:positionV>
            <wp:extent cx="1663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12"/>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4"/>
                <w:szCs w:val="14"/>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04"/>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3"/>
          </w:tcPr>
          <w:p>
            <w:pPr>
              <w:jc w:val="right"/>
              <w:ind w:right="85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5"/>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7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443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0"/>
        </w:trPr>
        <w:tc>
          <w:tcPr>
            <w:tcW w:w="87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896</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0"/>
        </w:trPr>
        <w:tc>
          <w:tcPr>
            <w:tcW w:w="8740" w:type="dxa"/>
            <w:vAlign w:val="bottom"/>
          </w:tcPr>
          <w:p>
            <w:pPr>
              <w:ind w:left="180"/>
              <w:spacing w:after="0"/>
              <w:rPr>
                <w:sz w:val="20"/>
                <w:szCs w:val="20"/>
                <w:color w:val="auto"/>
              </w:rPr>
            </w:pPr>
            <w:r>
              <w:rPr>
                <w:rFonts w:ascii="Arial" w:cs="Arial" w:eastAsia="Arial" w:hAnsi="Arial"/>
                <w:sz w:val="18"/>
                <w:szCs w:val="18"/>
                <w:color w:val="auto"/>
              </w:rPr>
              <w:t>Inventory, prepaid expenses and other current assets</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273</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7"/>
        </w:trPr>
        <w:tc>
          <w:tcPr>
            <w:tcW w:w="8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Assets of discontinued operations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7"/>
        </w:trPr>
        <w:tc>
          <w:tcPr>
            <w:tcW w:w="87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1,618</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308</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1,207</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97</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87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Note receivable from Leidos Holdings, Inc. (Note 10)</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1,412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64"/>
        </w:trPr>
        <w:tc>
          <w:tcPr>
            <w:tcW w:w="87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4,693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43"/>
        </w:trPr>
        <w:tc>
          <w:tcPr>
            <w:tcW w:w="874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8740" w:type="dxa"/>
            <w:vAlign w:val="bottom"/>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675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0"/>
        </w:trPr>
        <w:tc>
          <w:tcPr>
            <w:tcW w:w="8740" w:type="dxa"/>
            <w:vAlign w:val="bottom"/>
          </w:tcPr>
          <w:p>
            <w:pPr>
              <w:ind w:left="180"/>
              <w:spacing w:after="0"/>
              <w:rPr>
                <w:sz w:val="20"/>
                <w:szCs w:val="20"/>
                <w:color w:val="auto"/>
              </w:rPr>
            </w:pPr>
            <w:r>
              <w:rPr>
                <w:rFonts w:ascii="Arial" w:cs="Arial" w:eastAsia="Arial" w:hAnsi="Arial"/>
                <w:sz w:val="18"/>
                <w:szCs w:val="18"/>
                <w:color w:val="auto"/>
              </w:rPr>
              <w:t>Accrued payroll and employee benefits</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264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0"/>
        </w:trPr>
        <w:tc>
          <w:tcPr>
            <w:tcW w:w="8740" w:type="dxa"/>
            <w:vAlign w:val="bottom"/>
          </w:tcPr>
          <w:p>
            <w:pPr>
              <w:ind w:left="180"/>
              <w:spacing w:after="0"/>
              <w:rPr>
                <w:sz w:val="20"/>
                <w:szCs w:val="20"/>
                <w:color w:val="auto"/>
              </w:rPr>
            </w:pPr>
            <w:r>
              <w:rPr>
                <w:rFonts w:ascii="Arial" w:cs="Arial" w:eastAsia="Arial" w:hAnsi="Arial"/>
                <w:sz w:val="18"/>
                <w:szCs w:val="18"/>
                <w:color w:val="auto"/>
              </w:rPr>
              <w:t>Notes payable and long-term debt, current portion</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8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Liabilities of discontinued operations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87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951</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Notes payable and long-term debt, net of current portion</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1,164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168</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8740" w:type="dxa"/>
            <w:vAlign w:val="bottom"/>
          </w:tcPr>
          <w:p>
            <w:pPr>
              <w:ind w:left="40"/>
              <w:spacing w:after="0"/>
              <w:rPr>
                <w:sz w:val="20"/>
                <w:szCs w:val="20"/>
                <w:color w:val="auto"/>
              </w:rPr>
            </w:pPr>
            <w:r>
              <w:rPr>
                <w:rFonts w:ascii="Arial" w:cs="Arial" w:eastAsia="Arial" w:hAnsi="Arial"/>
                <w:sz w:val="18"/>
                <w:szCs w:val="18"/>
                <w:color w:val="auto"/>
              </w:rPr>
              <w:t>Commitments and contingencies (Notes 16, 19 and 20)</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7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740" w:type="dxa"/>
            <w:vAlign w:val="bottom"/>
          </w:tcPr>
          <w:p>
            <w:pPr>
              <w:ind w:left="180"/>
              <w:spacing w:after="0"/>
              <w:rPr>
                <w:sz w:val="20"/>
                <w:szCs w:val="20"/>
                <w:color w:val="auto"/>
              </w:rPr>
            </w:pPr>
            <w:r>
              <w:rPr>
                <w:rFonts w:ascii="Arial" w:cs="Arial" w:eastAsia="Arial" w:hAnsi="Arial"/>
                <w:sz w:val="18"/>
                <w:szCs w:val="18"/>
                <w:color w:val="auto"/>
              </w:rPr>
              <w:t>Common stock, $.01 par value, 10,000 shares authorized, 5,000 shares issued and outstanding at January</w:t>
            </w:r>
          </w:p>
        </w:tc>
        <w:tc>
          <w:tcPr>
            <w:tcW w:w="200" w:type="dxa"/>
            <w:vAlign w:val="bottom"/>
          </w:tcPr>
          <w:p>
            <w:pPr>
              <w:spacing w:after="0"/>
              <w:rPr>
                <w:sz w:val="22"/>
                <w:szCs w:val="22"/>
                <w:color w:val="auto"/>
              </w:rPr>
            </w:pPr>
          </w:p>
        </w:tc>
        <w:tc>
          <w:tcPr>
            <w:tcW w:w="11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740" w:type="dxa"/>
            <w:vAlign w:val="bottom"/>
          </w:tcPr>
          <w:p>
            <w:pPr>
              <w:ind w:left="340"/>
              <w:spacing w:after="0"/>
              <w:rPr>
                <w:sz w:val="20"/>
                <w:szCs w:val="20"/>
                <w:color w:val="auto"/>
              </w:rPr>
            </w:pPr>
            <w:r>
              <w:rPr>
                <w:rFonts w:ascii="Arial" w:cs="Arial" w:eastAsia="Arial" w:hAnsi="Arial"/>
                <w:sz w:val="18"/>
                <w:szCs w:val="18"/>
                <w:color w:val="auto"/>
              </w:rPr>
              <w:t>30, 2015 and January 31, 2014</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7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207</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8740" w:type="dxa"/>
            <w:vAlign w:val="bottom"/>
          </w:tcPr>
          <w:p>
            <w:pPr>
              <w:ind w:left="180"/>
              <w:spacing w:after="0"/>
              <w:rPr>
                <w:sz w:val="20"/>
                <w:szCs w:val="20"/>
                <w:color w:val="auto"/>
              </w:rPr>
            </w:pPr>
            <w:r>
              <w:rPr>
                <w:rFonts w:ascii="Arial" w:cs="Arial" w:eastAsia="Arial" w:hAnsi="Arial"/>
                <w:sz w:val="18"/>
                <w:szCs w:val="18"/>
                <w:color w:val="auto"/>
              </w:rPr>
              <w:t>Accumulated earnings</w:t>
            </w:r>
          </w:p>
        </w:tc>
        <w:tc>
          <w:tcPr>
            <w:tcW w:w="200" w:type="dxa"/>
            <w:vAlign w:val="bottom"/>
          </w:tcPr>
          <w:p>
            <w:pPr>
              <w:spacing w:after="0"/>
              <w:rPr>
                <w:sz w:val="23"/>
                <w:szCs w:val="23"/>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2,214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77"/>
        </w:trPr>
        <w:tc>
          <w:tcPr>
            <w:tcW w:w="8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87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2,410</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64"/>
        </w:trPr>
        <w:tc>
          <w:tcPr>
            <w:tcW w:w="87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4,693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F-10</w:t>
      </w:r>
    </w:p>
    <w:p>
      <w:pPr>
        <w:sectPr>
          <w:pgSz w:w="11900" w:h="16838" w:orient="portrait"/>
          <w:cols w:equalWidth="0" w:num="1">
            <w:col w:w="11400"/>
          </w:cols>
          <w:pgMar w:left="240" w:top="360" w:right="2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5,063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5,755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6,449</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4,392</w:t>
            </w:r>
          </w:p>
        </w:tc>
        <w:tc>
          <w:tcPr>
            <w:tcW w:w="26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4,992</w:t>
            </w:r>
          </w:p>
        </w:tc>
        <w:tc>
          <w:tcPr>
            <w:tcW w:w="2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5,548</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467</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486</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Asset impairment charges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81</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Separation transaction and restructuring expenses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260" w:type="dxa"/>
            <w:vAlign w:val="bottom"/>
          </w:tcPr>
          <w:p>
            <w:pPr>
              <w:spacing w:after="0"/>
              <w:rPr>
                <w:sz w:val="22"/>
                <w:szCs w:val="22"/>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421</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income taxes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60" w:type="dxa"/>
            <w:vAlign w:val="bottom"/>
          </w:tcPr>
          <w:p>
            <w:pPr>
              <w:spacing w:after="0"/>
              <w:rPr>
                <w:sz w:val="22"/>
                <w:szCs w:val="22"/>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346</w:t>
            </w:r>
          </w:p>
        </w:tc>
      </w:tr>
      <w:tr>
        <w:trPr>
          <w:trHeight w:val="277"/>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260" w:type="dxa"/>
            <w:vAlign w:val="bottom"/>
          </w:tcPr>
          <w:p>
            <w:pPr>
              <w:spacing w:after="0"/>
              <w:rPr>
                <w:sz w:val="22"/>
                <w:szCs w:val="22"/>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324</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Discontinued operations (Note 2):</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(Loss) income from discontinued operations before income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330</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526</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F-11</w:t>
      </w:r>
    </w:p>
    <w:p>
      <w:pPr>
        <w:sectPr>
          <w:pgSz w:w="11900" w:h="16838" w:orient="portrait"/>
          <w:cols w:equalWidth="0" w:num="1">
            <w:col w:w="11400"/>
          </w:cols>
          <w:pgMar w:left="240" w:top="360" w:right="25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526</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r>
      <w:tr>
        <w:trPr>
          <w:trHeight w:val="264"/>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 currency translation adjustments,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Reclassification of realized loss on settled derivative instruments to net income</w:t>
            </w:r>
          </w:p>
        </w:tc>
        <w:tc>
          <w:tcPr>
            <w:tcW w:w="180" w:type="dxa"/>
            <w:vAlign w:val="bottom"/>
          </w:tcPr>
          <w:p>
            <w:pPr>
              <w:spacing w:after="0"/>
              <w:rPr>
                <w:sz w:val="22"/>
                <w:szCs w:val="22"/>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Reclassification of realized loss on settled derivative instruments to net income,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Pension liability adjustments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2"/>
                <w:szCs w:val="22"/>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Pension liability adjustments,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Comprehensive (loss)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535</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F-12</w:t>
      </w:r>
    </w:p>
    <w:p>
      <w:pPr>
        <w:sectPr>
          <w:pgSz w:w="11900" w:h="16838" w:orient="portrait"/>
          <w:cols w:equalWidth="0" w:num="1">
            <w:col w:w="11400"/>
          </w:cols>
          <w:pgMar w:left="240" w:top="360"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right="195"/>
              <w:spacing w:after="0"/>
              <w:rPr>
                <w:sz w:val="20"/>
                <w:szCs w:val="20"/>
                <w:color w:val="auto"/>
              </w:rPr>
            </w:pPr>
            <w:r>
              <w:rPr>
                <w:rFonts w:ascii="Arial" w:cs="Arial" w:eastAsia="Arial" w:hAnsi="Arial"/>
                <w:sz w:val="14"/>
                <w:szCs w:val="14"/>
                <w:color w:val="auto"/>
              </w:rPr>
              <w:t>Accumulated</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Shares of</w:t>
            </w:r>
          </w:p>
        </w:tc>
        <w:tc>
          <w:tcPr>
            <w:tcW w:w="340" w:type="dxa"/>
            <w:vAlign w:val="bottom"/>
          </w:tcPr>
          <w:p>
            <w:pPr>
              <w:spacing w:after="0"/>
              <w:rPr>
                <w:sz w:val="14"/>
                <w:szCs w:val="14"/>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color w:val="auto"/>
              </w:rPr>
              <w:t>Additional</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ind w:right="195"/>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rPr>
              <w:t>common</w:t>
            </w:r>
          </w:p>
        </w:tc>
        <w:tc>
          <w:tcPr>
            <w:tcW w:w="340" w:type="dxa"/>
            <w:vAlign w:val="bottom"/>
          </w:tcPr>
          <w:p>
            <w:pPr>
              <w:spacing w:after="0"/>
              <w:rPr>
                <w:sz w:val="14"/>
                <w:szCs w:val="14"/>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1440" w:type="dxa"/>
            <w:vAlign w:val="bottom"/>
          </w:tcPr>
          <w:p>
            <w:pPr>
              <w:jc w:val="center"/>
              <w:ind w:right="175"/>
              <w:spacing w:after="0"/>
              <w:rPr>
                <w:sz w:val="20"/>
                <w:szCs w:val="20"/>
                <w:color w:val="auto"/>
              </w:rPr>
            </w:pPr>
            <w:r>
              <w:rPr>
                <w:rFonts w:ascii="Arial" w:cs="Arial" w:eastAsia="Arial" w:hAnsi="Arial"/>
                <w:sz w:val="14"/>
                <w:szCs w:val="14"/>
                <w:color w:val="auto"/>
              </w:rPr>
              <w:t>comprehensive</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8"/>
        </w:trPr>
        <w:tc>
          <w:tcPr>
            <w:tcW w:w="4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stock</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rPr>
              <w:t>capital</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earnings</w:t>
            </w: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color w:val="auto"/>
              </w:rPr>
              <w:t>loss</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Total</w:t>
            </w:r>
          </w:p>
        </w:tc>
      </w:tr>
      <w:tr>
        <w:trPr>
          <w:trHeight w:val="204"/>
        </w:trPr>
        <w:tc>
          <w:tcPr>
            <w:tcW w:w="4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380" w:type="dxa"/>
            <w:vAlign w:val="bottom"/>
            <w:gridSpan w:val="5"/>
          </w:tcPr>
          <w:p>
            <w:pPr>
              <w:jc w:val="right"/>
              <w:ind w:right="895"/>
              <w:spacing w:after="0"/>
              <w:rPr>
                <w:sz w:val="20"/>
                <w:szCs w:val="20"/>
                <w:color w:val="auto"/>
              </w:rPr>
            </w:pPr>
            <w:r>
              <w:rPr>
                <w:rFonts w:ascii="Arial" w:cs="Arial" w:eastAsia="Arial" w:hAnsi="Arial"/>
                <w:sz w:val="14"/>
                <w:szCs w:val="14"/>
                <w:color w:val="auto"/>
              </w:rPr>
              <w:t>(in millions, except for share amounts)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Balance at January 31, 2012</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1,839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2,061</w:t>
            </w: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23"/>
                <w:szCs w:val="23"/>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526</w:t>
            </w:r>
          </w:p>
        </w:tc>
      </w:tr>
      <w:tr>
        <w:trPr>
          <w:trHeight w:val="277"/>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January 31, 2013</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22"/>
                <w:szCs w:val="22"/>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2,365</w:t>
            </w:r>
          </w:p>
        </w:tc>
        <w:tc>
          <w:tcPr>
            <w:tcW w:w="280" w:type="dxa"/>
            <w:vAlign w:val="bottom"/>
          </w:tcPr>
          <w:p>
            <w:pPr>
              <w:spacing w:after="0"/>
              <w:rPr>
                <w:sz w:val="22"/>
                <w:szCs w:val="22"/>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2,596</w:t>
            </w: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23"/>
                <w:szCs w:val="23"/>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166</w:t>
            </w:r>
          </w:p>
        </w:tc>
      </w:tr>
      <w:tr>
        <w:trPr>
          <w:trHeight w:val="242"/>
        </w:trPr>
        <w:tc>
          <w:tcPr>
            <w:tcW w:w="4120" w:type="dxa"/>
            <w:vAlign w:val="bottom"/>
          </w:tcPr>
          <w:p>
            <w:pPr>
              <w:ind w:left="180"/>
              <w:spacing w:after="0"/>
              <w:rPr>
                <w:sz w:val="20"/>
                <w:szCs w:val="20"/>
                <w:color w:val="auto"/>
              </w:rPr>
            </w:pPr>
            <w:r>
              <w:rPr>
                <w:rFonts w:ascii="Arial" w:cs="Arial" w:eastAsia="Arial" w:hAnsi="Arial"/>
                <w:sz w:val="18"/>
                <w:szCs w:val="18"/>
                <w:color w:val="auto"/>
              </w:rPr>
              <w:t>Contribution paid related to the spin-off of New</w:t>
            </w: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4120" w:type="dxa"/>
            <w:vAlign w:val="bottom"/>
          </w:tcPr>
          <w:p>
            <w:pPr>
              <w:ind w:left="340"/>
              <w:spacing w:after="0"/>
              <w:rPr>
                <w:sz w:val="20"/>
                <w:szCs w:val="20"/>
                <w:color w:val="auto"/>
              </w:rPr>
            </w:pPr>
            <w:r>
              <w:rPr>
                <w:rFonts w:ascii="Arial" w:cs="Arial" w:eastAsia="Arial" w:hAnsi="Arial"/>
                <w:sz w:val="18"/>
                <w:szCs w:val="18"/>
                <w:color w:val="auto"/>
              </w:rPr>
              <w:t>SAIC</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7"/>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comprehensive loss, net of tax</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January 31, 2014</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5,000</w:t>
            </w:r>
          </w:p>
        </w:tc>
        <w:tc>
          <w:tcPr>
            <w:tcW w:w="340" w:type="dxa"/>
            <w:vAlign w:val="bottom"/>
          </w:tcPr>
          <w:p>
            <w:pPr>
              <w:spacing w:after="0"/>
              <w:rPr>
                <w:sz w:val="22"/>
                <w:szCs w:val="22"/>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2"/>
                <w:szCs w:val="22"/>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2,531</w:t>
            </w:r>
          </w:p>
        </w:tc>
        <w:tc>
          <w:tcPr>
            <w:tcW w:w="280" w:type="dxa"/>
            <w:vAlign w:val="bottom"/>
          </w:tcPr>
          <w:p>
            <w:pPr>
              <w:spacing w:after="0"/>
              <w:rPr>
                <w:sz w:val="22"/>
                <w:szCs w:val="22"/>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2,732</w:t>
            </w:r>
          </w:p>
        </w:tc>
      </w:tr>
      <w:tr>
        <w:trPr>
          <w:trHeight w:val="270"/>
        </w:trPr>
        <w:tc>
          <w:tcPr>
            <w:tcW w:w="41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23"/>
                <w:szCs w:val="23"/>
                <w:color w:val="auto"/>
              </w:rPr>
            </w:pP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7"/>
        </w:trPr>
        <w:tc>
          <w:tcPr>
            <w:tcW w:w="41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 comprehensive loss, net of tax</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January 30, 2015</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5,000</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2,214</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2,410</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F-13</w:t>
      </w:r>
    </w:p>
    <w:p>
      <w:pPr>
        <w:sectPr>
          <w:pgSz w:w="11900" w:h="16838" w:orient="portrait"/>
          <w:cols w:equalWidth="0" w:num="1">
            <w:col w:w="11400"/>
          </w:cols>
          <w:pgMar w:left="240" w:top="360"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1"/>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2"/>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1"/>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operating activities of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526</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57"/>
        </w:trPr>
        <w:tc>
          <w:tcPr>
            <w:tcW w:w="740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provided by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62</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42</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486</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Asset impairment charges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81</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Restructuring charges, net</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7400" w:type="dxa"/>
            <w:vAlign w:val="bottom"/>
          </w:tcPr>
          <w:p>
            <w:pPr>
              <w:ind w:left="380"/>
              <w:spacing w:after="0"/>
              <w:rPr>
                <w:sz w:val="20"/>
                <w:szCs w:val="20"/>
                <w:color w:val="auto"/>
              </w:rPr>
            </w:pPr>
            <w:r>
              <w:rPr>
                <w:rFonts w:ascii="Arial" w:cs="Arial" w:eastAsia="Arial" w:hAnsi="Arial"/>
                <w:sz w:val="18"/>
                <w:szCs w:val="18"/>
                <w:color w:val="auto"/>
              </w:rPr>
              <w:t>Change in assets and liabilities, net of effects of acquisitions and dispositions: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60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162</w:t>
            </w:r>
          </w:p>
        </w:tc>
        <w:tc>
          <w:tcPr>
            <w:tcW w:w="26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218</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Inventory, prepaid expenses and other current assets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Income taxes receivable/payable</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56</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67</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70"/>
        </w:trPr>
        <w:tc>
          <w:tcPr>
            <w:tcW w:w="7400" w:type="dxa"/>
            <w:vAlign w:val="bottom"/>
          </w:tcPr>
          <w:p>
            <w:pPr>
              <w:ind w:left="600"/>
              <w:spacing w:after="0"/>
              <w:rPr>
                <w:sz w:val="20"/>
                <w:szCs w:val="20"/>
                <w:color w:val="auto"/>
              </w:rPr>
            </w:pPr>
            <w:r>
              <w:rPr>
                <w:rFonts w:ascii="Arial" w:cs="Arial" w:eastAsia="Arial" w:hAnsi="Arial"/>
                <w:sz w:val="18"/>
                <w:szCs w:val="18"/>
                <w:color w:val="auto"/>
              </w:rPr>
              <w:t>Accrued payroll and employee benefits</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w:t>
            </w:r>
          </w:p>
        </w:tc>
      </w:tr>
      <w:tr>
        <w:trPr>
          <w:trHeight w:val="277"/>
        </w:trPr>
        <w:tc>
          <w:tcPr>
            <w:tcW w:w="74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Total cash flows provided by operating activities of continuing operations</w:t>
            </w:r>
          </w:p>
        </w:tc>
        <w:tc>
          <w:tcPr>
            <w:tcW w:w="180" w:type="dxa"/>
            <w:vAlign w:val="bottom"/>
          </w:tcPr>
          <w:p>
            <w:pPr>
              <w:spacing w:after="0"/>
              <w:rPr>
                <w:sz w:val="22"/>
                <w:szCs w:val="22"/>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396</w:t>
            </w:r>
          </w:p>
        </w:tc>
        <w:tc>
          <w:tcPr>
            <w:tcW w:w="260" w:type="dxa"/>
            <w:vAlign w:val="bottom"/>
          </w:tcPr>
          <w:p>
            <w:pPr>
              <w:spacing w:after="0"/>
              <w:rPr>
                <w:sz w:val="22"/>
                <w:szCs w:val="22"/>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investing activities of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Proceeds on obligations of Leidos Holdings, Inc.</w:t>
            </w:r>
          </w:p>
        </w:tc>
        <w:tc>
          <w:tcPr>
            <w:tcW w:w="180" w:type="dxa"/>
            <w:vAlign w:val="bottom"/>
          </w:tcPr>
          <w:p>
            <w:pPr>
              <w:spacing w:after="0"/>
              <w:rPr>
                <w:sz w:val="24"/>
                <w:szCs w:val="24"/>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156</w:t>
            </w:r>
          </w:p>
        </w:tc>
        <w:tc>
          <w:tcPr>
            <w:tcW w:w="260" w:type="dxa"/>
            <w:vAlign w:val="bottom"/>
          </w:tcPr>
          <w:p>
            <w:pPr>
              <w:spacing w:after="0"/>
              <w:rPr>
                <w:sz w:val="24"/>
                <w:szCs w:val="24"/>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Payments on obligations of Leidos Holdings, Inc.</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(457)</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 of $9 million in fiscal 2013</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Net proceeds for purchase price adjustments related to prior year acquisitions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U.S. Treasury cash grant</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80</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Net proceeds of cost method investments</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Contribution paid related to the separation of New SAIC</w:t>
            </w:r>
          </w:p>
        </w:tc>
        <w:tc>
          <w:tcPr>
            <w:tcW w:w="18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Total cash flows used in investing activities of continuing operations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2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r>
    </w:tbl>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F-14</w:t>
      </w:r>
    </w:p>
    <w:p>
      <w:pPr>
        <w:sectPr>
          <w:pgSz w:w="11900" w:h="16838" w:orient="portrait"/>
          <w:cols w:equalWidth="0" w:num="1">
            <w:col w:w="11400"/>
          </w:cols>
          <w:pgMar w:left="240" w:top="549"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3"/>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financing activities of continuing operations: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Proceeds on obligations of Leidos Holdings, Inc.</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244</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Payments on obligations of Leidos Holdings, Inc.</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Payments on notes payable and long-term debt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Payments for deferred financing costs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Payment from New SAIC for deferred financing costs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Proceeds from real estate financing transaction</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Dividend payments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cash flows used in financing activities of continuing operations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Decrease in cash and cash equivalents from continuing operations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Cash flows from discontinued operations: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Cash provided by operating activities of discontinued operations</w:t>
            </w:r>
          </w:p>
        </w:tc>
        <w:tc>
          <w:tcPr>
            <w:tcW w:w="180" w:type="dxa"/>
            <w:vAlign w:val="bottom"/>
          </w:tcPr>
          <w:p>
            <w:pPr>
              <w:spacing w:after="0"/>
              <w:rPr>
                <w:sz w:val="24"/>
                <w:szCs w:val="24"/>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320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Cash provided by (used in) investing activities of discontinued operations</w:t>
            </w:r>
          </w:p>
        </w:tc>
        <w:tc>
          <w:tcPr>
            <w:tcW w:w="180" w:type="dxa"/>
            <w:vAlign w:val="bottom"/>
          </w:tcPr>
          <w:p>
            <w:pPr>
              <w:spacing w:after="0"/>
              <w:rPr>
                <w:sz w:val="23"/>
                <w:szCs w:val="23"/>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Cash used in financing activities of discontinued operations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Increase in cash and cash equivalents from discontinued operations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44</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358</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430</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735</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1,590</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735</w:t>
            </w: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F-15</w:t>
      </w:r>
    </w:p>
    <w:p>
      <w:pPr>
        <w:sectPr>
          <w:pgSz w:w="11900" w:h="16838" w:orient="portrait"/>
          <w:cols w:equalWidth="0" w:num="1">
            <w:col w:w="11400"/>
          </w:cols>
          <w:pgMar w:left="240" w:top="549"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 and Basis of Presentation</w:t>
      </w:r>
    </w:p>
    <w:p>
      <w:pPr>
        <w:spacing w:after="0" w:line="19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Leidos Holdings, Inc. (“Leidos”) is a holding company whose direct 100%-owned subsidiary is Leidos, Inc., an applied technology company focused on delivering solutions and services that leverage expertise in the national security, health and engineering markets. Leidos, Inc. provides these solutions and services to government and commercial customers, both domestically and internationally. These customers include agencies of the U.S. Department of Defense ("DoD"), the intelligence community, the U.S. Department of Homeland Security ("DHS"), and other U.S. Government civil agencies, state and local government agencies and foreign governments. Unless indicated otherwise, references to the "Company," "we," "us" and "our" refer collectively to Leidos Holdings, Inc., Leidos, Inc., and its consolidated subsidiaries.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27, 2013 (the "Distribution Date"), Leidos completed the spin-off of its technical services and enterprise information technology services business into an independent, publicly traded company named Science Applications International Corporation (“New SAIC”). The separation was effected through a tax-free distribution to Leidos' stockholders of 100% of the shares of New SAIC's common stock. On the Distribution Date, New SAIC's common stock was distributed, on a pro rata basis, to Leidos' stockholders of record as of the close of business on September 19, 2013, the record date. Each holder of Leidos common stock received one share of New SAIC common stock for every seven shares of Leidos common stock held on the record date. Prior to the Distribution Date, Leidos Holdings, Inc. was named SAIC, Inc. and Leidos, Inc. was named Science Applications International Corporation.</w:t>
      </w:r>
    </w:p>
    <w:p>
      <w:pPr>
        <w:spacing w:after="0" w:line="2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As a result of the spin-off, the assets, liabilities, results of operations and cash flows of New SAIC have been classified as discontinued operations for all periods presented. References to financial data are to the Company’s continuing operations, unless otherwise noted. See Note 2-Dispositions for further information.</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Immediately following the spin-off, Leidos effectuated a one-for-four reverse stock split of its shares of common stock, so that every four shares of Leidos common stock issued and outstanding were combined and converted into one share of Leidos common stock. Each reference to the number of shares outstanding or per share amounts has been adjusted to reflect the reverse stock split for all periods presented.</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consolidated financial statements of Leidos include the accounts of its majority-owned and 100%-owned subsidiaries, including Leidos, Inc. The consolidated financial statements of Leidos, Inc. include the accounts of its majority-owned and 100%-owned subsidiaries. Leidos does not have separate operations, assets or liabilities independent of Leidos, Inc., except for a note with Leidos, Inc. (the “related party note”), on which interest is recognized. From time to time, Leidos issues stock to employees of Leidos, Inc. and its subsidiaries, which is reflected in Leidos' Consolidated Statements of Stockholders’ Equity and results in an increase to the related party note (see Note 10). All intercompany transactions and accounts have been eliminated in consolidation.</w:t>
      </w:r>
    </w:p>
    <w:p>
      <w:pPr>
        <w:spacing w:after="0" w:line="13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These </w:t>
      </w:r>
      <w:r>
        <w:rPr>
          <w:rFonts w:ascii="Arial" w:cs="Arial" w:eastAsia="Arial" w:hAnsi="Arial"/>
          <w:sz w:val="18"/>
          <w:szCs w:val="18"/>
          <w:i w:val="1"/>
          <w:iCs w:val="1"/>
          <w:color w:val="auto"/>
        </w:rPr>
        <w:t>Combined Notes to Consolidated Financial Statements</w:t>
      </w:r>
      <w:r>
        <w:rPr>
          <w:rFonts w:ascii="Arial" w:cs="Arial" w:eastAsia="Arial" w:hAnsi="Arial"/>
          <w:sz w:val="18"/>
          <w:szCs w:val="18"/>
          <w:color w:val="auto"/>
        </w:rPr>
        <w:t xml:space="preserve"> apply to both Leidos and Leidos, Inc. As Leidos consolidates Leidos, Inc. for financial statement purposes, disclosures that relate to activities of Leidos, Inc. also apply to Leidos.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F-16</w:t>
      </w:r>
    </w:p>
    <w:p>
      <w:pPr>
        <w:sectPr>
          <w:pgSz w:w="11900" w:h="16838" w:orient="portrait"/>
          <w:cols w:equalWidth="0" w:num="1">
            <w:col w:w="11400"/>
          </w:cols>
          <w:pgMar w:left="240" w:top="360"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Periods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Unless otherwise noted, references to fiscal years are to fiscal years ended the Friday closest to January 31, for fiscal 2014 or later periods or fiscal year ended January 31, for fiscal 2013. Effective in fiscal 2014, the Company changed its fiscal year to a 52/53 week fiscal year ending on the Friday closest to January 31, with fiscal quarters typically consisting of 13 weeks. Fiscal 2015 began on February 1, 2014 and ended on January 30, 2015. The Company does not believe that the change in its fiscal year has a material effect on the comparability of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allowances for doubtful accounts, inventories, fair value and impairment of intangible assets and goodwill, income taxes, estimated profitability of long-term contracts, pension benefits, stock-based compensation expense, contingencies and litigation. Estimates and assumptions have been prepared by management on the basis of the most current and best available information at the time of estimation and actual results could differ from those estimates. Certain amounts in the prior year financial statements have been reclassified to conform to the current year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Transaction and Restructuring Expenses</w:t>
      </w:r>
    </w:p>
    <w:p>
      <w:pPr>
        <w:spacing w:after="0" w:line="24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anticipation of the spin-off of New SAIC from the Company, the Company initiated an overall spin-off program to align the Company’s cost structure for post-spin-off. In fiscal 2014 the Company reduced headcount, which resulted in severance costs, and reduced its real estate footprint by vacating facilities that are not necessary for its future requirements, which resulted in lease termination and facility consolidation expenses.</w:t>
      </w:r>
    </w:p>
    <w:p>
      <w:pPr>
        <w:spacing w:after="0" w:line="20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Separation transaction and restructuring expenses related to New SAIC, exclusive of any tax impacts, of $55 million for the year ended January 31, 2014, and $28 million for the year ended January 31, 2013, respectively, were reclassified as discontinued operations.</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separation transaction and restructuring expenses for continuing operations for each of the three years ended January 30, 2015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Year Ended</w:t>
            </w:r>
          </w:p>
        </w:tc>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January 31, 2014</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January 31, 2013</w:t>
            </w:r>
          </w:p>
        </w:tc>
      </w:tr>
      <w:tr>
        <w:trPr>
          <w:trHeight w:val="204"/>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Strategic advisory services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7</w:t>
            </w:r>
          </w:p>
        </w:tc>
        <w:tc>
          <w:tcPr>
            <w:tcW w:w="600" w:type="dxa"/>
            <w:vAlign w:val="bottom"/>
          </w:tcPr>
          <w:p>
            <w:pPr>
              <w:jc w:val="right"/>
              <w:ind w:right="336"/>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Legal and accounting services</w:t>
            </w:r>
          </w:p>
        </w:tc>
        <w:tc>
          <w:tcPr>
            <w:tcW w:w="18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Lease termination and facility consolidation expenses</w:t>
            </w:r>
          </w:p>
        </w:tc>
        <w:tc>
          <w:tcPr>
            <w:tcW w:w="18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7"/>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Severance costs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Separation transaction and restructuring expenses in operating (loss) income</w:t>
            </w:r>
          </w:p>
        </w:tc>
        <w:tc>
          <w:tcPr>
            <w:tcW w:w="180" w:type="dxa"/>
            <w:vAlign w:val="bottom"/>
          </w:tcPr>
          <w:p>
            <w:pPr>
              <w:spacing w:after="0"/>
              <w:rPr>
                <w:sz w:val="22"/>
                <w:szCs w:val="22"/>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22"/>
                <w:szCs w:val="22"/>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65</w:t>
            </w:r>
          </w:p>
        </w:tc>
        <w:tc>
          <w:tcPr>
            <w:tcW w:w="60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7"/>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income tax benefit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w:t>
            </w: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Separation transaction and restructuring expenses, net of tax</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w:t>
            </w:r>
          </w:p>
        </w:tc>
        <w:tc>
          <w:tcPr>
            <w:tcW w:w="6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F-17</w:t>
      </w:r>
    </w:p>
    <w:p>
      <w:pPr>
        <w:sectPr>
          <w:pgSz w:w="11900" w:h="16838" w:orient="portrait"/>
          <w:cols w:equalWidth="0" w:num="1">
            <w:col w:w="11420"/>
          </w:cols>
          <w:pgMar w:left="240" w:top="33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years ended January 30, 2015, January 31, 2014, and January 31, 2013, all separation transaction and restructuring expenses for continuing operations were in the Corporate and Other segment. The Company does not expect to incur significant additional other separation transaction and restructuring expenses in future fiscal years related to the spin-off transaction.</w:t>
      </w:r>
    </w:p>
    <w:p>
      <w:pPr>
        <w:spacing w:after="0" w:line="202"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The following table represents the restructuring liability balance as of January 30, 2015 and summarizes the changes during the period attributable to costs incurred and charged to expense, costs paid or otherwise settled, and any adjustments to the liability: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color w:val="auto"/>
              </w:rPr>
              <w:t>Lease Termination</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color w:val="auto"/>
              </w:rPr>
              <w:t>and Facility</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17"/>
              <w:spacing w:after="0"/>
              <w:rPr>
                <w:sz w:val="20"/>
                <w:szCs w:val="20"/>
                <w:color w:val="auto"/>
              </w:rPr>
            </w:pPr>
            <w:r>
              <w:rPr>
                <w:rFonts w:ascii="Arial" w:cs="Arial" w:eastAsia="Arial" w:hAnsi="Arial"/>
                <w:sz w:val="14"/>
                <w:szCs w:val="14"/>
                <w:color w:val="auto"/>
              </w:rPr>
              <w:t>Consolidation</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8"/>
        </w:trPr>
        <w:tc>
          <w:tcPr>
            <w:tcW w:w="506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rPr>
              <w:t>Severance Costs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rPr>
              <w:t>Expenses</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Total</w:t>
            </w:r>
          </w:p>
        </w:tc>
      </w:tr>
      <w:tr>
        <w:trPr>
          <w:trHeight w:val="258"/>
        </w:trPr>
        <w:tc>
          <w:tcPr>
            <w:tcW w:w="50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69"/>
        </w:trPr>
        <w:tc>
          <w:tcPr>
            <w:tcW w:w="5060" w:type="dxa"/>
            <w:vAlign w:val="bottom"/>
          </w:tcPr>
          <w:p>
            <w:pPr>
              <w:ind w:left="40"/>
              <w:spacing w:after="0"/>
              <w:rPr>
                <w:sz w:val="20"/>
                <w:szCs w:val="20"/>
                <w:color w:val="auto"/>
              </w:rPr>
            </w:pPr>
            <w:r>
              <w:rPr>
                <w:rFonts w:ascii="Arial" w:cs="Arial" w:eastAsia="Arial" w:hAnsi="Arial"/>
                <w:sz w:val="18"/>
                <w:szCs w:val="18"/>
                <w:color w:val="auto"/>
              </w:rPr>
              <w:t>Balance as of January 31, 2013</w:t>
            </w:r>
          </w:p>
        </w:tc>
        <w:tc>
          <w:tcPr>
            <w:tcW w:w="284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0"/>
        </w:trPr>
        <w:tc>
          <w:tcPr>
            <w:tcW w:w="5060" w:type="dxa"/>
            <w:vAlign w:val="bottom"/>
          </w:tcPr>
          <w:p>
            <w:pPr>
              <w:ind w:left="40"/>
              <w:spacing w:after="0"/>
              <w:rPr>
                <w:sz w:val="20"/>
                <w:szCs w:val="20"/>
                <w:color w:val="auto"/>
              </w:rPr>
            </w:pPr>
            <w:r>
              <w:rPr>
                <w:rFonts w:ascii="Arial" w:cs="Arial" w:eastAsia="Arial" w:hAnsi="Arial"/>
                <w:sz w:val="18"/>
                <w:szCs w:val="18"/>
                <w:color w:val="auto"/>
              </w:rPr>
              <w:t>Charges</w:t>
            </w:r>
          </w:p>
        </w:tc>
        <w:tc>
          <w:tcPr>
            <w:tcW w:w="284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7"/>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payments</w:t>
            </w: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as of January 31, 2014</w:t>
            </w:r>
          </w:p>
        </w:tc>
        <w:tc>
          <w:tcPr>
            <w:tcW w:w="28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20</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r>
      <w:tr>
        <w:trPr>
          <w:trHeight w:val="257"/>
        </w:trPr>
        <w:tc>
          <w:tcPr>
            <w:tcW w:w="5060" w:type="dxa"/>
            <w:vAlign w:val="bottom"/>
          </w:tcPr>
          <w:p>
            <w:pPr>
              <w:ind w:left="40"/>
              <w:spacing w:after="0"/>
              <w:rPr>
                <w:sz w:val="20"/>
                <w:szCs w:val="20"/>
                <w:color w:val="auto"/>
              </w:rPr>
            </w:pPr>
            <w:r>
              <w:rPr>
                <w:rFonts w:ascii="Arial" w:cs="Arial" w:eastAsia="Arial" w:hAnsi="Arial"/>
                <w:sz w:val="18"/>
                <w:szCs w:val="18"/>
                <w:color w:val="auto"/>
              </w:rPr>
              <w:t>Charges</w:t>
            </w:r>
          </w:p>
        </w:tc>
        <w:tc>
          <w:tcPr>
            <w:tcW w:w="28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7"/>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payments</w:t>
            </w:r>
          </w:p>
        </w:tc>
        <w:tc>
          <w:tcPr>
            <w:tcW w:w="2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Balance as of January 30, 2015</w:t>
            </w:r>
          </w:p>
        </w:tc>
        <w:tc>
          <w:tcPr>
            <w:tcW w:w="28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11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Cycle</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operating cycle for long-term contracts may be greater than one year and is measured by the average time intervening between the inception and the completion of those contracts. Contract-related assets and liabilities are classified as current assets and current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9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is consequently required to consolidate the VIE.</w:t>
      </w:r>
    </w:p>
    <w:p>
      <w:pPr>
        <w:spacing w:after="0" w:line="15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fiscal 2012, the Company entered into a fixed price agreement to provide engineering, procurement, and construction services to a special purpose limited liability company (Plainfield Renewable Energy LLC or "Plainfield") for a specific renewable energy project. The Company analyzed this arrangement and determined that Plainfield was a VIE. Prior to the third quarter of fiscal 2014, the VIE was not consolidated by the Company because the Company was not the primary beneficiary.</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October 11, 2013, the Company and Plainfield Renewable Energy Owner, LLC (“project owner”) entered into a consensual foreclosure agreement pursuant to which, the project owners agreed to transfer 100% of the equity interest of Plainfield Renewable Energy Holdings, LLC (“PRE Holdings”) to an indirect wholly owned subsidiary of Leidos in full satisfaction of certain secured obligations owed by the project owner to the Company. Plainfield is a wholly-owned subsidiary of PRE Holdings. As a result of the entry into the foreclosure agreement, the Company determined that it has the power to direct the activities of the VIE and has the right to receive benefits from or the obligation to absorb the losses of the VIE. Accordingly, the Company was deemed the primary beneficiary of the VIE, resulting in the consolidation of Plainfield as of October 11, 2013. See Note 3 - Acquisitions,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F-18</w:t>
      </w:r>
    </w:p>
    <w:p>
      <w:pPr>
        <w:sectPr>
          <w:pgSz w:w="11900" w:h="16838" w:orient="portrait"/>
          <w:cols w:equalWidth="0" w:num="1">
            <w:col w:w="11420"/>
          </w:cols>
          <w:pgMar w:left="240" w:top="333" w:right="2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The Company’s revenues are generated primarily from contracts with the U.S. Government, commercial customers, and various international, state and local governments or from subcontracts with other contractors engaged in work with such customers. The Company performs under various types of contracts, which include firm-fixed-price, time-and-materials, fixed-price-level-of-effort, cost-plus-fixed-fee, cost-plus-award-fee and cost-plus-incentive-fee contracts.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Firm-fixed-price contracts—Revenues and fees on these contracts that are system integration or engineering in nature are primarily recognized using the percentage-of-completion method of accounting utilizing the cost-to-cost method. The completed contract method is utilized when reasonable and reliable cost estimates for a project can not be made.</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Time-and-materials contracts—Revenue is recognized on time-and-materials contracts based on the hours provided in performance under the contract multiplied by the negotiated contract billing rates, plus the negotiated contract billing rate of any allowable material and subcontract costs and out-of-pocket expenses.</w:t>
      </w:r>
    </w:p>
    <w:p>
      <w:pPr>
        <w:spacing w:after="0" w:line="14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Fixed-price-level-of-effort contracts (FP-LOE)—These contracts are substantially similar to time-and-materials contracts except they require a specified level of effort over a stated period of time. Accordingly, the Company recognizes revenue on FP-LOE contracts with the U.S. Government in a manner similar to time-and-materials contracts in which the Company measures progress toward completion based on the hours provided in performance under the contract multiplied by the negotiated contract billing rates, plus the negotiated contract billing rate of any allowable material costs and out-of-pocket expenses.</w:t>
      </w:r>
    </w:p>
    <w:p>
      <w:pPr>
        <w:spacing w:after="0" w:line="152"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Cost-plus-fixed-fee contracts—Revenue is recognized on cost-plus-fixed-fee contracts with the U.S. Government on the basis of partial performance equal to costs incurred, plus an estimate of applicable fees earned as the Company becomes contractually entitled to reimbursement of costs and the applicable fees.</w:t>
      </w:r>
    </w:p>
    <w:p>
      <w:pPr>
        <w:spacing w:after="0" w:line="14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Cost-plus-award-fee/cost-plus-incentive fee contracts—Revenues and fees on these contracts with the U.S. Government are primarily recognized using the percentage-of-completion method of accounting, most often based on the cost-to-cost method. The Company includes an estimate of the ultimate incentive or award fee to be received on the contract in the estimate of contract revenues for purposes of applying the percentage-of-completion method of accounting.</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Revenues from services and maintenance contracts, notwithstanding contract type, are recognized over the term of the respective contracts as the services are performed and revenue is earned. Revenues from unit-priced contracts are recognized as transactions are processed based on objective measures of output. Revenues from the sale of manufactured products are recorded upon passage of title and risk of loss to the customer, which is generally upon delivery, provided that all other requirements for revenue recognition have been met.</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also uses the efforts-expended method of percentage-of-completion using measures such as labor dollars for measuring progress toward completion in situations in which this approach is more representative of the progress on the contract. For example, the efforts-expended method is utilized when there are significant amounts of materials or hardware procured for the contract that is not representative of progress on the contract. Additionally, the Company utilizes the units-of-delivery method under percentage-of-completion on contracts where separate units of output are produced. Under the units-of-delivery method, revenue is generally recognized when the units are delivered to the customer, provided that all other requirements for revenue recognition have been met.</w:t>
      </w:r>
    </w:p>
    <w:p>
      <w:pPr>
        <w:spacing w:after="0" w:line="15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evaluates its contracts for multiple elements, and when appropriate, separates the contracts into separate units of accounting for revenue recognition.</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provides for anticipated losses on contracts by recording an expense during the period in which the losses are determined. Amounts billed and collected but not yet recognized as revenues under certain types of contracts are deferred. Contract costs incurred for U.S. Government contracts, including indirect costs, are subject to audit and adjustment through negotiations between the Company and government representatives. The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F-19</w:t>
      </w:r>
    </w:p>
    <w:p>
      <w:pPr>
        <w:sectPr>
          <w:pgSz w:w="11900" w:h="16838" w:orient="portrait"/>
          <w:cols w:equalWidth="0" w:num="1">
            <w:col w:w="11400"/>
          </w:cols>
          <w:pgMar w:left="240" w:top="333" w:right="259" w:bottom="1440" w:gutter="0" w:footer="0" w:header="0"/>
        </w:sectPr>
      </w:pPr>
    </w:p>
    <w:bookmarkStart w:id="94" w:name="page95"/>
    <w:bookmarkEnd w:id="94"/>
    <w:p>
      <w:pPr>
        <w:jc w:val="center"/>
        <w:ind w:right="-9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Company has agreed upon and settled indirect contract costs through fiscal 2008. Revenues on U.S. Government contracts have been recorded in amounts that are expected to be realized upon final settlement.</w:t>
      </w:r>
    </w:p>
    <w:p>
      <w:pPr>
        <w:spacing w:after="0" w:line="1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Contract claims are unanticipated additional costs incurred but not provided for in the executed contract price that the Company seeks to recover from the customer. Such costs are expensed as incurred. Additional revenue related to contract claims is recognized when the amounts are awarded by the customer. Un-priced change orders are included in revenue when they are probable of recovery in an amount at least equal to the cost.</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certain situations, primarily where the Company is not the primary obligor on certain elements of a contract such as the provision of administrative oversight and/or management of government-owned facilities or logistical support services related to other vendors’ products, the Company recognizes as revenue the net management fee associated with the services and excludes from its income statement the gross sales and costs associated with the facility or other vendors’ products.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on Contracts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Changes in estimates related to certain types of contracts accounted for using the percentage of completion method of accounting are recognized in the period in which such changes are made for the inception-to-date effect of the changes. Changes in these estimates can routinely occur over the contract performance period for a variety of reasons, including changes in contract scope, changes in contract cost estimates due to unanticipated cost growth or retirements of risk for amounts different than estimated, and changes in estimated incentive or award fees. Aggregate changes in contract estimates decreased operating loss by $ 24 million ($0.20 per diluted share) for fiscal 2015 and decreased operating income by $21 million ($0.15 per diluted share) for fiscal 2014. Aggregate changes in contract estimates increased operating income by $19 million ($0.14 per diluted share) for fiscal 2013.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From time-to-time, the Company may dispose (or management may commit to plans to dispose) of non-strategic components of the business, which are reclassified as discontinued operations for all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Pre-contract Costs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Costs incurred on projects as pre-contract costs are deferred as assets (inventory, prepaid expenses and other current assets) when the Company has been requested by the customer to begin work under a new arrangement prior to contract execution and it is probable that the Company will recover the costs through the issuance of a contract. When the formal contract has been executed, the costs are recorded to the contract and revenue is recognized.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the quoted prices in active markets that are observable either directly or indirectly (Level 2); and unobservable inputs in which there is little or no market data, which requires the Company to develop its own assumptions (Level 3).</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fair value of financial instruments is determined based on quoted market prices, if available, or management’s best estimate. It is management’s belief that the carrying amounts of the Company’s financial instruments other than derivatives (see Financial Instruments below), which include cash equivalents and long-term investments, are reasonable estimates of their related fair values. The carrying value of accounts receivable, accounts payable, and accrued expenses approximate their fair values. The fair value of long-term debt (see Note 9) is determined based on current interest rates available for debt with terms and maturities similar to the Company’s existing debt arrangements (Level 2 inputs).</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Leidos Holdings, Inc. Annual Report F-20</w:t>
      </w:r>
    </w:p>
    <w:p>
      <w:pPr>
        <w:sectPr>
          <w:pgSz w:w="11900" w:h="16838" w:orient="portrait"/>
          <w:cols w:equalWidth="0" w:num="1">
            <w:col w:w="11340"/>
          </w:cols>
          <w:pgMar w:left="240" w:top="333" w:right="31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Management evaluates its investments for other-than-temporary impairment at each balance sheet date. When testing long-term investments for recovery of carrying value, the fair value of long-term investments is determined using various valuation techniques and factors, such as market prices of comparable companies (Level 2 input), discounted cash flow models (Level 3 input) and recent capital transactions of the portfolio companies being valued (Level 3 input). If management determines that an other-than-temporary decline in the fair value of an investment has occurred, an impairment loss is recognized to reduce the investment to its estimated fair value (Level 2 input). At January 30, 2015, the Company did not have any financial assets or liabilities measured at fair value on a recurring basis using Level 2 or Level 3 inputs.</w:t>
      </w:r>
    </w:p>
    <w:p>
      <w:pPr>
        <w:spacing w:after="0" w:line="15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Company’s non financial instruments measured at fair value on a nonrecurring basis included goodwill, indefinite-lived intangible assets and long-lived tangible assets. The valuation methods used to determine fair value require a significant degree of management judgment to determine the key assumptions, as such the Company generally classifies non financial instruments as either Level 2 or Level 3 fair value measurements. At January 30, 2015, goodwill, certain indefinite-lived intangible assets, and tangible assets are measured at fair value. See Note 4 - Goodwill and Intangible Assets and Note 3 - Acquisitions, respectively,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is exposed to certain market risks which are inherent in certain transactions entered into during the normal course of business. These transactions include sales or purchase contracts denominated in foreign currencies, investments in equity securities and exposure to changing interest rates. The Company uses a risk management policy to assess and manage cash flow and fair value exposure. The policy permits the use of derivative instruments with certain restrictions.</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uses interest rate swaps to hedge its fixed rate debt against changes in fair value due to variability in interest rates. The Company is party to interest rate swap agreements that have been designated as fair value hedges and are recorded at fair value on the consolidated balance sheet. The fair value of the interest rate swaps are determined based on observed values for underlying interest rates on the LIBOR yield curve (Level 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hold derivative instruments for trading or speculative purposes.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cash equivalents were primarily comprised of investments in several large institutional money market funds and bank deposits. There are no restrictions on the withdrawal of the Company’s cash and cash equivalents. The Company's cash equivalents are recorded at historical cost, which equals fair value based on quoted market prices (Level 1 input as defined by the accounting standard for fair value measurements).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3"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The Company has restricted cash balances, primarily representing advances from a customer, that are restricted as to use for certain expenditures related to that customer’s contract. Restricted cash balances are included as "Other assets" in the Company's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3"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equivalents and accounts receivable. At January 30, 2015, the Company’s cash and cash equivalents bear both fixed and variable interest rates. Although credit risk is limited, the Company’s receivables are concentrated with its principal customers, which are the various agencies of the U.S. Government and customers engaged in work for the U.S. Government, and to a lesser degree, commercial companies.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F-21</w:t>
      </w:r>
    </w:p>
    <w:p>
      <w:pPr>
        <w:sectPr>
          <w:pgSz w:w="11900" w:h="16838" w:orient="portrait"/>
          <w:cols w:equalWidth="0" w:num="1">
            <w:col w:w="11380"/>
          </w:cols>
          <w:pgMar w:left="240" w:top="333" w:right="27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Investments in entities and corporate joint ventures where the Company has a noncontrolling ownership interest representing less than 50% and over which the Company has the ability to exercise significant influence, are accounted for under the equity method of accounting whereby the Company recognizes its proportionate share of the entities’ net income or loss and does not consolidate the entities’ assets and liabilities. Equity investments in entities over which the Company does not have the ability to exercise significant influence and whose securities do not have a readily determinable fair value are carried at cost or cost net of other-than-temporary impairments.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Inventories are valued at the lower of cost or estimated net realizable value. Raw material inventory is valued using the average cost method. Work-in-process inventory includes raw material costs plus labor costs, including fringe benefits, and allocable overhead costs. The majority of finished goods inventory consists of border, port and mobile security products and baggage scanning equipment. The Company evaluates inventory against historical and planned usage to determine appropriate provisions for obsolete inventory. For the years ended January 30, 2015 and January 31, 2014, the Company's inventory balance consisted primarily of inventoried costs relating to long-term contracts.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Purchases of property, plant and equipment as well as costs associated with major renewals and betterments are capitalized. Maintenance, repairs and minor renewals and betterments are expensed as incurred.</w:t>
      </w:r>
    </w:p>
    <w:p>
      <w:pPr>
        <w:spacing w:after="0" w:line="142"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Construction in Progress (CIP) is used to accumulate all costs for projects that are not yet complete. CIP balances are transferred to the appropriate asset account when the asset is capitalized and ready for its intended use.</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When assets are sold or otherwise disposed of, the cost and related accumulated depreciation or amortization are removed from the accounts and any resulting gain or loss is recognized. Depreciation is recognized using the methods and estimated useful lives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2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jc w:val="center"/>
              <w:ind w:left="133"/>
              <w:spacing w:after="0"/>
              <w:rPr>
                <w:sz w:val="20"/>
                <w:szCs w:val="20"/>
                <w:color w:val="auto"/>
              </w:rPr>
            </w:pPr>
            <w:r>
              <w:rPr>
                <w:rFonts w:ascii="Arial" w:cs="Arial" w:eastAsia="Arial" w:hAnsi="Arial"/>
                <w:sz w:val="14"/>
                <w:szCs w:val="14"/>
                <w:color w:val="auto"/>
              </w:rPr>
              <w:t>Depreciation method</w:t>
            </w:r>
          </w:p>
        </w:tc>
        <w:tc>
          <w:tcPr>
            <w:tcW w:w="120" w:type="dxa"/>
            <w:vAlign w:val="bottom"/>
            <w:tcBorders>
              <w:bottom w:val="single" w:sz="8" w:color="2B4C9B"/>
            </w:tcBorders>
          </w:tcPr>
          <w:p>
            <w:pPr>
              <w:spacing w:after="0"/>
              <w:rPr>
                <w:sz w:val="15"/>
                <w:szCs w:val="15"/>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Estimated useful lives (in years)</w:t>
            </w:r>
          </w:p>
        </w:tc>
      </w:tr>
      <w:tr>
        <w:trPr>
          <w:trHeight w:val="256"/>
        </w:trPr>
        <w:tc>
          <w:tcPr>
            <w:tcW w:w="4820" w:type="dxa"/>
            <w:vAlign w:val="bottom"/>
          </w:tcPr>
          <w:p>
            <w:pPr>
              <w:ind w:left="40"/>
              <w:spacing w:after="0"/>
              <w:rPr>
                <w:sz w:val="20"/>
                <w:szCs w:val="20"/>
                <w:color w:val="auto"/>
              </w:rPr>
            </w:pPr>
            <w:r>
              <w:rPr>
                <w:rFonts w:ascii="Arial" w:cs="Arial" w:eastAsia="Arial" w:hAnsi="Arial"/>
                <w:sz w:val="18"/>
                <w:szCs w:val="18"/>
                <w:color w:val="auto"/>
              </w:rPr>
              <w:t>Computers and other equipment</w:t>
            </w:r>
          </w:p>
        </w:tc>
        <w:tc>
          <w:tcPr>
            <w:tcW w:w="376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Straight-line or declining-balance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2-10</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9"/>
              </w:rPr>
              <w:t>Straight-line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30-40</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Building improvements and leasehold improvements</w:t>
            </w: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9"/>
              </w:rPr>
              <w:t>Straight-line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Shorter of lease term or 25</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Office furniture</w:t>
            </w:r>
          </w:p>
        </w:tc>
        <w:tc>
          <w:tcPr>
            <w:tcW w:w="376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Straight-line or declining-balance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6-9</w:t>
            </w:r>
          </w:p>
        </w:tc>
      </w:tr>
      <w:tr>
        <w:trPr>
          <w:trHeight w:val="270"/>
        </w:trPr>
        <w:tc>
          <w:tcPr>
            <w:tcW w:w="4820" w:type="dxa"/>
            <w:vAlign w:val="bottom"/>
          </w:tcPr>
          <w:p>
            <w:pPr>
              <w:ind w:left="40"/>
              <w:spacing w:after="0"/>
              <w:rPr>
                <w:sz w:val="20"/>
                <w:szCs w:val="20"/>
                <w:color w:val="auto"/>
              </w:rPr>
            </w:pPr>
            <w:r>
              <w:rPr>
                <w:rFonts w:ascii="Arial" w:cs="Arial" w:eastAsia="Arial" w:hAnsi="Arial"/>
                <w:sz w:val="18"/>
                <w:szCs w:val="18"/>
                <w:color w:val="auto"/>
              </w:rPr>
              <w:t>Electric generation facility</w:t>
            </w:r>
          </w:p>
        </w:tc>
        <w:tc>
          <w:tcPr>
            <w:tcW w:w="3760" w:type="dxa"/>
            <w:vAlign w:val="bottom"/>
            <w:gridSpan w:val="2"/>
          </w:tcPr>
          <w:p>
            <w:pPr>
              <w:jc w:val="center"/>
              <w:spacing w:after="0"/>
              <w:rPr>
                <w:sz w:val="20"/>
                <w:szCs w:val="20"/>
                <w:color w:val="auto"/>
              </w:rPr>
            </w:pPr>
            <w:r>
              <w:rPr>
                <w:rFonts w:ascii="Arial" w:cs="Arial" w:eastAsia="Arial" w:hAnsi="Arial"/>
                <w:sz w:val="18"/>
                <w:szCs w:val="18"/>
                <w:color w:val="auto"/>
                <w:w w:val="99"/>
              </w:rPr>
              <w:t>Straight-line</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25</w:t>
            </w:r>
          </w:p>
        </w:tc>
      </w:tr>
    </w:tbl>
    <w:p>
      <w:pPr>
        <w:spacing w:after="0" w:line="22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Company evaluates its long-lived assets for potential impairment whenever there is evidence that events or changes in circumstances indicate that the carrying value may not be recoverable and the carrying amount of the asset exceeds its estimated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F-22</w:t>
      </w:r>
    </w:p>
    <w:p>
      <w:pPr>
        <w:sectPr>
          <w:pgSz w:w="11900" w:h="16838" w:orient="portrait"/>
          <w:cols w:equalWidth="0" w:num="1">
            <w:col w:w="11420"/>
          </w:cols>
          <w:pgMar w:left="240" w:top="333" w:right="2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9"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Goodwill is not amortized, but instead is tested for impairment at the reporting unit level annually, at the beginning of the fourth quarter and during interim periods whenever events or circumstances indicate that the carrying value may not be recoverable. Goodwill is evaluated for impairment either under a qualitative assessment option or a two-step quantitative approach depending on facts and circumstances of a reporting unit, including the excess of fair value over carrying amount in previous assessments and changes in business environment.</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When performing a qualitative assessment, the Company considers factors including, but not limited to, current macroeconomic conditions, industry and market conditions, cost factors, financial performance and other events relevant to the entity or reporting unit under evaluation to determine whether it is more likely or not that the fair value of a reporting unit is less than its carrying amount. If the Company determines that it is more likely than not that a reporting unit’s fair value is less than its carrying amount, a quantitative two-step goodwill impairment test is performed.</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evaluating the first step of the two-step quantitative goodwill impairment test, the estimated fair value of each reporting unit is compared to its carrying value, which includes the allocated goodwill. If the estimated fair value of a reporting unit is more than its carrying value, including allocated goodwill, no further analysis is required. If the estimated fair value of a reporting unit is less than its carrying value, including allocated goodwill, a second step is performed to compute the amount of the impairment by determining an implied fair value of goodwill. The implied fair value of goodwill is the residual fair value derived by deducting the fair value of a reporting unit’s identifiable assets and liabilities from its estimated fair value calculated in the first step. If the carrying value of a reporting unit’s goodwill exceeds its implied fair value, then the Company records an impairment charge equal to the difference.</w:t>
      </w:r>
    </w:p>
    <w:p>
      <w:pPr>
        <w:spacing w:after="0" w:line="15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estimates the fair value of each reporting unit using both market and income approaches (Level 3) when a quantitative analysis is required.</w:t>
      </w:r>
    </w:p>
    <w:p>
      <w:pPr>
        <w:spacing w:after="0" w:line="14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market approach consists of the guideline public company method which is a valuation technique where the fair value is calculated based on market prices obtained from a detailed market analysis of publicly traded companies that provide a reasonable basis of comparison for each reporting unit. Valuation ratios are selected that relate market prices to selected financial metrics from comparable companies. These ratios are applied after consideration of adjustments and weightings related to financial position, growth, volatility, working capital movement, and other factors. Due to the fact that stock prices of comparable companies represent minority interests the Company also considers an acquisition control premium to reflect the impact of additional value associated with a controlling interest.</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income approach is a valuation technique where the fair value is calculated based on forecasted future cash flows within the projection period discounted back to the present value with appropriate risk adjusted discount rates, which represent the weighted-average cost of capital ("WACC") for each reporting unit. This includes assessing the cost of equity and debt capital as of the valuation date. In addition, a terminal value is developed for forecasted future cash flows beyond the projection period discounted back to the present value. The forecasts used in the Company’s estimation of fair value are developed by management based on business and market considerations.</w:t>
      </w:r>
    </w:p>
    <w:p>
      <w:pPr>
        <w:spacing w:after="0" w:line="152"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goodwill impairment test process and valuation model is based upon certain key assumptions that require the exercise of significant judgment including judgments for the use of appropriate financial projections, economic expectations, discount rates and WACC as well as using available market data.</w:t>
      </w:r>
    </w:p>
    <w:p>
      <w:pPr>
        <w:spacing w:after="0" w:line="14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An interim goodwill impairment evaluation was performed during the second quarter of fiscal 2015 and resulted in goodwill impairment charges of $486 million. See Note 4–Goodwill and Intangible Assets for further information.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F-23</w:t>
      </w:r>
    </w:p>
    <w:p>
      <w:pPr>
        <w:sectPr>
          <w:pgSz w:w="11900" w:h="16838" w:orient="portrait"/>
          <w:cols w:equalWidth="0" w:num="1">
            <w:col w:w="11400"/>
          </w:cols>
          <w:pgMar w:left="240" w:top="333" w:right="25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8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Intangible assets with finite lives are amortized using the method that best reflects how their economic benefits are utilized or, if a pattern of economic benefits cannot be reliably determined, on a straight-line basis over their estimated useful lives.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with finite lives are being amortized over the following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ind w:left="2520"/>
              <w:spacing w:after="0"/>
              <w:rPr>
                <w:sz w:val="20"/>
                <w:szCs w:val="20"/>
                <w:color w:val="auto"/>
              </w:rPr>
            </w:pPr>
            <w:r>
              <w:rPr>
                <w:rFonts w:ascii="Arial" w:cs="Arial" w:eastAsia="Arial" w:hAnsi="Arial"/>
                <w:sz w:val="14"/>
                <w:szCs w:val="14"/>
                <w:color w:val="auto"/>
              </w:rPr>
              <w:t>Estimated useful lives (in years)</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4680" w:type="dxa"/>
            <w:vAlign w:val="bottom"/>
          </w:tcPr>
          <w:p>
            <w:pPr>
              <w:jc w:val="center"/>
              <w:ind w:left="2314"/>
              <w:spacing w:after="0"/>
              <w:rPr>
                <w:sz w:val="20"/>
                <w:szCs w:val="20"/>
                <w:color w:val="auto"/>
              </w:rPr>
            </w:pPr>
            <w:r>
              <w:rPr>
                <w:rFonts w:ascii="Arial" w:cs="Arial" w:eastAsia="Arial" w:hAnsi="Arial"/>
                <w:sz w:val="18"/>
                <w:szCs w:val="18"/>
                <w:color w:val="auto"/>
                <w:w w:val="99"/>
              </w:rPr>
              <w:t>5-10</w:t>
            </w: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Software and technology</w:t>
            </w:r>
          </w:p>
        </w:tc>
        <w:tc>
          <w:tcPr>
            <w:tcW w:w="4680" w:type="dxa"/>
            <w:vAlign w:val="bottom"/>
          </w:tcPr>
          <w:p>
            <w:pPr>
              <w:jc w:val="center"/>
              <w:ind w:left="2314"/>
              <w:spacing w:after="0"/>
              <w:rPr>
                <w:sz w:val="20"/>
                <w:szCs w:val="20"/>
                <w:color w:val="auto"/>
              </w:rPr>
            </w:pPr>
            <w:r>
              <w:rPr>
                <w:rFonts w:ascii="Arial" w:cs="Arial" w:eastAsia="Arial" w:hAnsi="Arial"/>
                <w:sz w:val="18"/>
                <w:szCs w:val="18"/>
                <w:color w:val="auto"/>
                <w:w w:val="99"/>
              </w:rPr>
              <w:t>9-15</w:t>
            </w: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4680" w:type="dxa"/>
            <w:vAlign w:val="bottom"/>
            <w:tcBorders>
              <w:bottom w:val="single" w:sz="8" w:color="auto"/>
            </w:tcBorders>
          </w:tcPr>
          <w:p>
            <w:pPr>
              <w:jc w:val="center"/>
              <w:ind w:left="2334"/>
              <w:spacing w:after="0"/>
              <w:rPr>
                <w:sz w:val="20"/>
                <w:szCs w:val="20"/>
                <w:color w:val="auto"/>
              </w:rPr>
            </w:pPr>
            <w:r>
              <w:rPr>
                <w:rFonts w:ascii="Arial" w:cs="Arial" w:eastAsia="Arial" w:hAnsi="Arial"/>
                <w:sz w:val="18"/>
                <w:szCs w:val="18"/>
                <w:color w:val="auto"/>
                <w:w w:val="99"/>
              </w:rPr>
              <w:t>5</w:t>
            </w:r>
          </w:p>
        </w:tc>
      </w:tr>
    </w:tbl>
    <w:p>
      <w:pPr>
        <w:spacing w:after="0" w:line="161"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Intangible assets with finite lives are assessed for impairment whenever events or changes in circumstances indicate that the carrying value may not be recoverable. See Note 4 – Goodwill and Intangible Assets for impairment charges taken during the period. Intangible assets with indefinite lives are not amortized but are assessed for impairment at the beginning of the fourth quarter and whenever events or changes in circumstances indicate that the carrying value may not be recoverable.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classifies indirect costs incurred within or allocated to its U.S. Government customers as overhead (included in cost of revenues) or general and administrative expenses in the same manner as such costs are defined in the Company’s disclosure statements under U.S. Government Cost Accounting Standards.</w:t>
      </w:r>
    </w:p>
    <w:p>
      <w:pPr>
        <w:spacing w:after="0" w:line="1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Selling, general and administrative expenses include general and administrative, bid and proposal and internal research and development ("IR&amp;D") expenses.</w:t>
      </w:r>
    </w:p>
    <w:p>
      <w:pPr>
        <w:spacing w:after="0" w:line="14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conducts research and development activities under customer-funded contracts and with company-funded IR&amp;D funds. In fiscal 2015, 2014, and 2013, company-funded IR&amp;D expense was $37 million, $45 million, and $47 million, respectively. Expenses for research and development activities performed under customer contracts are charged directly to cost of revenues for those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accounts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results of operations. If the Company were to determine that it would be able to realize its deferred income tax assets in the future in excess of their net recorded amount or would no longer be able to realize its deferred income tax assets in the future as currently recorded, the Company would make an adjustment to the valuation allowance which would decrease or increase the provision for income taxes.</w:t>
      </w:r>
    </w:p>
    <w:p>
      <w:pPr>
        <w:spacing w:after="0" w:line="1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F-24</w:t>
      </w:r>
    </w:p>
    <w:p>
      <w:pPr>
        <w:sectPr>
          <w:pgSz w:w="11900" w:h="16838" w:orient="portrait"/>
          <w:cols w:equalWidth="0" w:num="1">
            <w:col w:w="11400"/>
          </w:cols>
          <w:pgMar w:left="240" w:top="333" w:right="25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recognizes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The Company recognizes interest and penalties related to uncertain tax positions in its income tax expense.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recognizes the fair value of all stock-based awards, including stock options, granted to employees and directors in exchange for services as compensation expense over the requisite service period, which is typically the vesting period, net of an estimated forfeiture 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Cash Dividend</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fiscal 2014, Leidos' board of directors declared a special cash dividend of $ 4.00 per share of Leidos common stock and paid an aggregate of $342 million to stockholders as of the record date of June 14, 2013. See Note 13 – Stock-Based Compensation, for further information regarding the modifications made to the Company’s outstanding stock options resulting from the special cash dividend. There were no modifications made to the Company’s vesting stock awards and performance-based stock awards as a result of the special dividend.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income (loss) in stockholders’ equity. Transaction gains and losses are recognized in the statement of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Adopted</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February 2013, the FASB issued ASU 2013-04: Liabilities (Topic 405): </w:t>
      </w:r>
      <w:r>
        <w:rPr>
          <w:rFonts w:ascii="Arial" w:cs="Arial" w:eastAsia="Arial" w:hAnsi="Arial"/>
          <w:sz w:val="18"/>
          <w:szCs w:val="18"/>
          <w:i w:val="1"/>
          <w:iCs w:val="1"/>
          <w:color w:val="auto"/>
        </w:rPr>
        <w:t>Obligations Resulting from Joint and Several Liability Arrangements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Which the Total Amount of the Obligation Is Fixed at the Reporting Date</w:t>
      </w:r>
      <w:r>
        <w:rPr>
          <w:rFonts w:ascii="Arial" w:cs="Arial" w:eastAsia="Arial" w:hAnsi="Arial"/>
          <w:sz w:val="18"/>
          <w:szCs w:val="18"/>
          <w:color w:val="auto"/>
        </w:rPr>
        <w:t>. This standard requires an entity to measure obligations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joint and several liability arrangements for which the total amount of the obligation within the scope of this guidance is fixed at the reporting date, as the sum of the amount the reporting entity agreed to pay on the basis of its arrangement among its co-obligors and any additional amount the reporting entity expects to pay on behalf of its co-obligors. The guidance also requires an entity to disclose the nature and amount of the obligation as well as other information about those obligations. The amendments in this update are effective for fiscal years, and interim periods within those years, beginning after December 15, 2013. The adoption of the provisions of ASU 2013-04 did not have a material effect on the Company's consolidated financial position, results of operations or cash flows.</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March 2013, the FASB issued ASU No. 2013-05, Foreign Currency Matters (Topic 830): </w:t>
      </w:r>
      <w:r>
        <w:rPr>
          <w:rFonts w:ascii="Arial" w:cs="Arial" w:eastAsia="Arial" w:hAnsi="Arial"/>
          <w:sz w:val="18"/>
          <w:szCs w:val="18"/>
          <w:i w:val="1"/>
          <w:iCs w:val="1"/>
          <w:color w:val="auto"/>
        </w:rPr>
        <w:t>Parent’s Accounting for the Cumulative Translation</w:t>
      </w:r>
      <w:r>
        <w:rPr>
          <w:rFonts w:ascii="Arial" w:cs="Arial" w:eastAsia="Arial" w:hAnsi="Arial"/>
          <w:sz w:val="18"/>
          <w:szCs w:val="18"/>
          <w:color w:val="auto"/>
        </w:rPr>
        <w:t xml:space="preserve"> </w:t>
      </w:r>
      <w:r>
        <w:rPr>
          <w:rFonts w:ascii="Arial" w:cs="Arial" w:eastAsia="Arial" w:hAnsi="Arial"/>
          <w:sz w:val="18"/>
          <w:szCs w:val="18"/>
          <w:i w:val="1"/>
          <w:iCs w:val="1"/>
          <w:color w:val="auto"/>
        </w:rPr>
        <w:t>Adjustment upon Derecognition of Certain Subsidiaries or Groups of Assets within a Foreign Entity or of an Investment in a Foreign Entity</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applies to the release of the cumulative translation adjustment into net income when a parent either sells a part of or all of its investment in a foreign entity or no longer holds a controlling financial interest in a subsidiary or group of assets that is a nonprofit activity or a business within a foreign entity. In addition, the amendments resolve the diversity in practice for the treatment of business combinations achieved in stages (i.e. step acquisitions) involving a foreign entity. The amendments in this are effective for fiscal years, and interim periods within those years, beginning after December 15, 2013. The adoption of the provisions of ASU 2013-04 did not have a material effect on the Company's consolidated financial position, results of operations or cash flows.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F-25</w:t>
      </w:r>
    </w:p>
    <w:p>
      <w:pPr>
        <w:sectPr>
          <w:pgSz w:w="11900" w:h="16838" w:orient="portrait"/>
          <w:cols w:equalWidth="0" w:num="1">
            <w:col w:w="11380"/>
          </w:cols>
          <w:pgMar w:left="240" w:top="333" w:right="27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April 2014, the FASB issued ASU No. 2014-08, </w:t>
      </w:r>
      <w:r>
        <w:rPr>
          <w:rFonts w:ascii="Arial" w:cs="Arial" w:eastAsia="Arial" w:hAnsi="Arial"/>
          <w:sz w:val="18"/>
          <w:szCs w:val="18"/>
          <w:i w:val="1"/>
          <w:iCs w:val="1"/>
          <w:color w:val="auto"/>
        </w:rPr>
        <w:t>Presentation of Financial Statements (Topic 205) and Property, Plant, and Equipment (Topic</w:t>
      </w:r>
      <w:r>
        <w:rPr>
          <w:rFonts w:ascii="Arial" w:cs="Arial" w:eastAsia="Arial" w:hAnsi="Arial"/>
          <w:sz w:val="18"/>
          <w:szCs w:val="18"/>
          <w:color w:val="auto"/>
        </w:rPr>
        <w:t xml:space="preserve"> </w:t>
      </w:r>
      <w:r>
        <w:rPr>
          <w:rFonts w:ascii="Arial" w:cs="Arial" w:eastAsia="Arial" w:hAnsi="Arial"/>
          <w:sz w:val="18"/>
          <w:szCs w:val="18"/>
          <w:i w:val="1"/>
          <w:iCs w:val="1"/>
          <w:color w:val="auto"/>
        </w:rPr>
        <w:t>360): Reporting Discontinued Operations and Disclosures of Disposals of Components of an Entity</w:t>
      </w:r>
      <w:r>
        <w:rPr>
          <w:rFonts w:ascii="Arial" w:cs="Arial" w:eastAsia="Arial" w:hAnsi="Arial"/>
          <w:sz w:val="18"/>
          <w:szCs w:val="18"/>
          <w:color w:val="auto"/>
        </w:rPr>
        <w:t>. The amendments in the ASU change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for reporting discontinued operations while enhancing disclosures in this area. Under the new guidance, only disposals representing a strategic shift in operations should be presented as discontinued operations. Those strategic shifts should have a major effect on the organization’s operations and financial results. Examples include a disposal of a major geographic location, a major line of business or a major equity method investment. In addition, the new guidance requires expanded disclosures about discontinued operations that will provide financial statement users with more information about the assets, liabilities, income and expenses of discontinued operations. The new guidance also requires disclosure of the pre-tax income attributable to a disposal of a significant part of an organization that does not qualify for discontinued operations reporting. This disclosure will provide users with information about the ongoing trends in a reporting organization’s results from continuing operations. The amendments in the ASU are effective in the first quarter of 2015 for public organizations with calendar year ends. The Company elected to early adopt the provisions of ASU No. 2014-08 and the standard did not have a material effect on the Company's consolidated financial position, results of operations, or cash flows.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June 2014, the FASB issued ASU No. 2014-12, Stock Compensation (Topic 718): </w:t>
      </w:r>
      <w:r>
        <w:rPr>
          <w:rFonts w:ascii="Arial" w:cs="Arial" w:eastAsia="Arial" w:hAnsi="Arial"/>
          <w:sz w:val="18"/>
          <w:szCs w:val="18"/>
          <w:i w:val="1"/>
          <w:iCs w:val="1"/>
          <w:color w:val="auto"/>
        </w:rPr>
        <w:t>Accounting for Share-Based Payments When the Terms of</w:t>
      </w:r>
      <w:r>
        <w:rPr>
          <w:rFonts w:ascii="Arial" w:cs="Arial" w:eastAsia="Arial" w:hAnsi="Arial"/>
          <w:sz w:val="18"/>
          <w:szCs w:val="18"/>
          <w:color w:val="auto"/>
        </w:rPr>
        <w:t xml:space="preserve"> </w:t>
      </w:r>
      <w:r>
        <w:rPr>
          <w:rFonts w:ascii="Arial" w:cs="Arial" w:eastAsia="Arial" w:hAnsi="Arial"/>
          <w:sz w:val="18"/>
          <w:szCs w:val="18"/>
          <w:i w:val="1"/>
          <w:iCs w:val="1"/>
          <w:color w:val="auto"/>
        </w:rPr>
        <w:t>an Award Provide That a Performance Target Could Be Achieved after the Requisite Service Period</w:t>
      </w:r>
      <w:r>
        <w:rPr>
          <w:rFonts w:ascii="Arial" w:cs="Arial" w:eastAsia="Arial" w:hAnsi="Arial"/>
          <w:sz w:val="18"/>
          <w:szCs w:val="18"/>
          <w:color w:val="auto"/>
        </w:rPr>
        <w:t>. This standard was issued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share based payment awards in which a performance target may be achieved after an employee completes the requisite service period to achieve the award. In some instances, this has led to a performance award being granted subsequent to the employee no longer rendering services to the issuing company. Previously, no guidance had been included in the codification on how to account for these transactions. The amendments require that a performance target that affects vesting and that could be achieved after the requisite service period be treated as a performance condition. The amendments in this ASU are effective for all entities for annual periods and interim periods within those annual periods beginning after December 15, 2015. Early adoption is permitted. The amendments may be adopted prospectively or retrospectively. The Company elected to early adopt the provisions of ASU No. 2014-12 and the standard did not have a material effect on the Company's consolidated financial position, results of operations, or cash flows.</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fiscal years presented, the Company adopted various accounting standards issued by the FASB, none of which had a material effect on the Company's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Updates Issued But Not Yet Adopted</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ASU affects any entity that either enters into contracts with customers to transfer goods or services or enters into contracts for the transfer of non-financial assets unless those contracts are within the scope of other standards (for example, insurance contracts or lease contracts). This ASU will supersede all revenue recognition requirements in Topic 605, Revenue Recognition and industry-specific guidance throughout the Industry Topics of the codification. The guidance's core principle is that an entity should recognize revenue to depict the transfer of promised goods or services to customers in an amount that reflects the consideration to which the entity expects to be entitled in exchange for those goods or services. In applying the revenue principles, an entity will identify the contract(s) with a customer, identify the performance obligations, determine the transaction price, allocate the transaction price to the performance obligations and recognize revenue when the performance obligation is satisfied (either over time or point in time). The ASU further states that an entity should disclose sufficient information to enable users of financial statements to understand the nature, amount, timing, and uncertainty of revenue and cash flows arising from contracts with customers. The amendments in this ASU are effective for annual reporting periods (including interim reporting periods within those periods) beginning after December 15, 2016, for public companies. Early adoption is not permitted. The Company is still evaluating the provisions of ASU 2014-09 and its impact on the Company's consolidated financial position, results of operations, or cash flows.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F-26</w:t>
      </w:r>
    </w:p>
    <w:p>
      <w:pPr>
        <w:sectPr>
          <w:pgSz w:w="11900" w:h="16838" w:orient="portrait"/>
          <w:cols w:equalWidth="0" w:num="1">
            <w:col w:w="11420"/>
          </w:cols>
          <w:pgMar w:left="240" w:top="333"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220980</wp:posOffset>
            </wp:positionV>
            <wp:extent cx="72123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In January 2015, the FASB issued ASU 2015-01, </w:t>
      </w:r>
      <w:r>
        <w:rPr>
          <w:rFonts w:ascii="Arial" w:cs="Arial" w:eastAsia="Arial" w:hAnsi="Arial"/>
          <w:sz w:val="18"/>
          <w:szCs w:val="18"/>
          <w:i w:val="1"/>
          <w:iCs w:val="1"/>
          <w:color w:val="auto"/>
        </w:rPr>
        <w:t>Income Statement-Extraordinary and Unusual Items (Subtopic 225-20)</w:t>
      </w:r>
      <w:r>
        <w:rPr>
          <w:rFonts w:ascii="Arial" w:cs="Arial" w:eastAsia="Arial" w:hAnsi="Arial"/>
          <w:sz w:val="18"/>
          <w:szCs w:val="18"/>
          <w:color w:val="auto"/>
        </w:rPr>
        <w:t>. This Update eliminates from GAAP the concept of extraordinary items and it is intended to simplify income statement classification. Under the existing guidance, an entity is required to separately disclose extraordinary items, net of tax, in the income statement after income from continuing operations if an event or transaction is of an unusual nature and occurs infrequently. This separate, net-of-tax presentation (and corresponding earnings per share impact) will no longer be allowed. The existing presentation and disclosure guidance for items that are unusual in nature or occur infrequently will be retained and will be expanded to include items that are both unusual in nature and infrequently occurring. The amendments in this ASU are effective for fiscal years, and interim periods within those years, beginning after December 15, 2015. Early adoption is permitted, but only as of the beginning of the fiscal year of adoption. The Company does not expect the provisions of ASU 2015-01 to have a material effect on the Company's consolidated financial position, results of operations or 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Discontinued Operations:</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2014, the Company committed to plans to dispose of a business primarily focused on full service emergency management consulting for disaster preparedness, response, recovery, and mitigation historically included in the Company's Health and Engineering segment. The sale transaction was completed in the third quarter of fiscal 2015 with cash proceeds received of $19 million, resulting in an immaterial gain on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New SAIC</w:t>
      </w:r>
    </w:p>
    <w:p>
      <w:pPr>
        <w:spacing w:after="0" w:line="247" w:lineRule="exact"/>
        <w:rPr>
          <w:sz w:val="20"/>
          <w:szCs w:val="20"/>
          <w:color w:val="auto"/>
        </w:rPr>
      </w:pPr>
    </w:p>
    <w:p>
      <w:pPr>
        <w:jc w:val="both"/>
        <w:ind w:right="40"/>
        <w:spacing w:after="0" w:line="265" w:lineRule="auto"/>
        <w:rPr>
          <w:sz w:val="20"/>
          <w:szCs w:val="20"/>
          <w:color w:val="auto"/>
        </w:rPr>
      </w:pPr>
      <w:r>
        <w:rPr>
          <w:rFonts w:ascii="Arial" w:cs="Arial" w:eastAsia="Arial" w:hAnsi="Arial"/>
          <w:sz w:val="17"/>
          <w:szCs w:val="17"/>
          <w:color w:val="auto"/>
        </w:rPr>
        <w:t>As discussed in Note 1, the Company completed the spin-off of New SAIC on September 27, 2013. In anticipation of this spin-off, the Company entered into a credit agreement in June 2013 as a guarantor that consisted of a unsecured term credit facility of $500 million with New SAIC as the borrower. New SAIC was a subsidiary of Leidos prior to the separation date. On September 26, 2013, New SAIC borrowed $500</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million under this term credit facility which was unconditionally guaranteed by the Company. The Company was released from its guaranty on September 27, 2013, the completion date of the separation transaction. At separation, New SAIC made a $295 million dividend payment to Leidos and reimbursed Leidos, Inc. $5 million for financing costs previously advanced to New SAIC to secure the revolving and term credit facility, and Leidos, Inc. made a $26 million capital contribution to New SAIC.</w:t>
      </w:r>
    </w:p>
    <w:p>
      <w:pPr>
        <w:spacing w:after="0" w:line="20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spin-off was made pursuant to the terms of a Distribution Agreement and several other agreements entered into between the Company and New SAIC on September 25, 2013. These agreements set forth, among other things, the principal actions needed to be taken in connection with the separation and govern certain aspects of the relationship between the Company and New SAIC following the separation. These agreements generally provide with certain exceptions, that each party is responsible for its respective assets, liabilities and obligations, including employee benefits, insurance and tax related assets and liabilities, whether accrued or contingent, except that unknown liabilities will be shared between the parties in certain circumstances. The agreements also describe the party’s commitments to provide each other with certain services for a limited time to help ensure an orderly transition. The agreements also include the treatment of existing contracts, proposals, and teaming arrangements where New SAIC will jointly perform work after separation on Leidos contracts. While the Company is a party to the Distribution Agreement and the ancillary agreements, the Company has determined that it does not have significant continuing involvement in the operations of New SAIC, nor does the Company expect significant continuing cash flows from New SAIC.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F-27</w:t>
      </w:r>
    </w:p>
    <w:p>
      <w:pPr>
        <w:sectPr>
          <w:pgSz w:w="11900" w:h="16838" w:orient="portrait"/>
          <w:cols w:equalWidth="0" w:num="1">
            <w:col w:w="11420"/>
          </w:cols>
          <w:pgMar w:left="240" w:top="33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The operating results of New SAIC through the Distribution Date, which have been classified as discontinued operations, for the periods presented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5"/>
                <w:szCs w:val="15"/>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2013</w:t>
            </w:r>
          </w:p>
        </w:tc>
      </w:tr>
      <w:tr>
        <w:trPr>
          <w:trHeight w:val="258"/>
        </w:trPr>
        <w:tc>
          <w:tcPr>
            <w:tcW w:w="7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2,712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4,683</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2,447</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4,230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65</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Separation transaction and restructuring expenses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28</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358</w:t>
            </w:r>
          </w:p>
        </w:tc>
      </w:tr>
    </w:tbl>
    <w:p>
      <w:pPr>
        <w:spacing w:after="0" w:line="2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major classes of assets and liabilities included in discontinued operations through the Distribution Date related to the spin-off of New SAIC are presented in the table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tcPr>
          <w:p>
            <w:pPr>
              <w:jc w:val="center"/>
              <w:ind w:right="113"/>
              <w:spacing w:after="0"/>
              <w:rPr>
                <w:sz w:val="20"/>
                <w:szCs w:val="20"/>
                <w:color w:val="auto"/>
              </w:rPr>
            </w:pPr>
            <w:r>
              <w:rPr>
                <w:rFonts w:ascii="Arial" w:cs="Arial" w:eastAsia="Arial" w:hAnsi="Arial"/>
                <w:sz w:val="14"/>
                <w:szCs w:val="14"/>
                <w:color w:val="auto"/>
              </w:rPr>
              <w:t>January 31,</w:t>
            </w:r>
          </w:p>
        </w:tc>
      </w:tr>
      <w:tr>
        <w:trPr>
          <w:trHeight w:val="178"/>
        </w:trPr>
        <w:tc>
          <w:tcPr>
            <w:tcW w:w="72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2013</w:t>
            </w:r>
          </w:p>
        </w:tc>
      </w:tr>
      <w:tr>
        <w:trPr>
          <w:trHeight w:val="258"/>
        </w:trPr>
        <w:tc>
          <w:tcPr>
            <w:tcW w:w="72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080" w:type="dxa"/>
            <w:vAlign w:val="bottom"/>
          </w:tcPr>
          <w:p>
            <w:pPr>
              <w:jc w:val="center"/>
              <w:ind w:right="113"/>
              <w:spacing w:after="0"/>
              <w:rPr>
                <w:sz w:val="20"/>
                <w:szCs w:val="20"/>
                <w:color w:val="auto"/>
              </w:rPr>
            </w:pPr>
            <w:r>
              <w:rPr>
                <w:rFonts w:ascii="Arial" w:cs="Arial" w:eastAsia="Arial" w:hAnsi="Arial"/>
                <w:sz w:val="14"/>
                <w:szCs w:val="14"/>
                <w:color w:val="auto"/>
              </w:rPr>
              <w:t>(in millions)</w:t>
            </w:r>
          </w:p>
        </w:tc>
      </w:tr>
      <w:tr>
        <w:trPr>
          <w:trHeight w:val="255"/>
        </w:trPr>
        <w:tc>
          <w:tcPr>
            <w:tcW w:w="72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1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57"/>
        </w:trPr>
        <w:tc>
          <w:tcPr>
            <w:tcW w:w="722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31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717</w:t>
            </w:r>
          </w:p>
        </w:tc>
      </w:tr>
      <w:tr>
        <w:trPr>
          <w:trHeight w:val="264"/>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Inventory, prepaid expenses and other current assets</w:t>
            </w:r>
          </w:p>
        </w:tc>
        <w:tc>
          <w:tcPr>
            <w:tcW w:w="3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r>
      <w:tr>
        <w:trPr>
          <w:trHeight w:val="250"/>
        </w:trPr>
        <w:tc>
          <w:tcPr>
            <w:tcW w:w="7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current assets</w:t>
            </w:r>
          </w:p>
        </w:tc>
        <w:tc>
          <w:tcPr>
            <w:tcW w:w="3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819</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72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1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57"/>
        </w:trPr>
        <w:tc>
          <w:tcPr>
            <w:tcW w:w="7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1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491</w:t>
            </w:r>
          </w:p>
        </w:tc>
      </w:tr>
      <w:tr>
        <w:trPr>
          <w:trHeight w:val="257"/>
        </w:trPr>
        <w:tc>
          <w:tcPr>
            <w:tcW w:w="72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1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264"/>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3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50"/>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assets</w:t>
            </w:r>
          </w:p>
        </w:tc>
        <w:tc>
          <w:tcPr>
            <w:tcW w:w="3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1,348</w:t>
            </w: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461</w:t>
            </w:r>
          </w:p>
        </w:tc>
      </w:tr>
      <w:tr>
        <w:trPr>
          <w:trHeight w:val="257"/>
        </w:trPr>
        <w:tc>
          <w:tcPr>
            <w:tcW w:w="7220" w:type="dxa"/>
            <w:vAlign w:val="bottom"/>
          </w:tcPr>
          <w:p>
            <w:pPr>
              <w:ind w:left="40"/>
              <w:spacing w:after="0"/>
              <w:rPr>
                <w:sz w:val="20"/>
                <w:szCs w:val="20"/>
                <w:color w:val="auto"/>
              </w:rPr>
            </w:pPr>
            <w:r>
              <w:rPr>
                <w:rFonts w:ascii="Arial" w:cs="Arial" w:eastAsia="Arial" w:hAnsi="Arial"/>
                <w:sz w:val="18"/>
                <w:szCs w:val="18"/>
                <w:color w:val="auto"/>
              </w:rPr>
              <w:t>Accrued payroll and employee benefits</w:t>
            </w:r>
          </w:p>
        </w:tc>
        <w:tc>
          <w:tcPr>
            <w:tcW w:w="312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185</w:t>
            </w:r>
          </w:p>
        </w:tc>
      </w:tr>
      <w:tr>
        <w:trPr>
          <w:trHeight w:val="264"/>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Notes payable and long-term debt</w:t>
            </w:r>
          </w:p>
        </w:tc>
        <w:tc>
          <w:tcPr>
            <w:tcW w:w="3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r>
      <w:tr>
        <w:trPr>
          <w:trHeight w:val="250"/>
        </w:trPr>
        <w:tc>
          <w:tcPr>
            <w:tcW w:w="72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current liabilities</w:t>
            </w:r>
          </w:p>
        </w:tc>
        <w:tc>
          <w:tcPr>
            <w:tcW w:w="3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647</w:t>
            </w:r>
          </w:p>
        </w:tc>
      </w:tr>
      <w:tr>
        <w:trPr>
          <w:trHeight w:val="250"/>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Non-current liabilities</w:t>
            </w:r>
          </w:p>
        </w:tc>
        <w:tc>
          <w:tcPr>
            <w:tcW w:w="3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50"/>
        </w:trPr>
        <w:tc>
          <w:tcPr>
            <w:tcW w:w="7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647</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F-28</w:t>
      </w:r>
    </w:p>
    <w:p>
      <w:pPr>
        <w:sectPr>
          <w:pgSz w:w="11900" w:h="16838" w:orient="portrait"/>
          <w:cols w:equalWidth="0" w:num="1">
            <w:col w:w="11420"/>
          </w:cols>
          <w:pgMar w:left="240" w:top="333"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Fiscal 2014 Discontinued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fiscal 2014 other non-strategic dispositions were historically included in the Company's National Security Solutions segment.</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August 2013, the Company committed to plans to dispose of a business primarily focused on technology used to detect if an individual is concealing explosive devices or other hidden weapons. In the first quarter of fiscal 2015, the Company adjusted the carrying values of the business's assets to their fair value based on the estimated selling price of the business. The carrying value exceeded the fair value which resulted in approximately $12 million of impairment charges recorded in discontinued operations, of which $ 9 million related to fixed assets and inventory and the remainder related to intangible assets. The sale transaction was completed in the second quarter of fiscal 2015 with insignificant cash proceeds received, resulting in an immaterial loss on sale.</w:t>
      </w:r>
    </w:p>
    <w:p>
      <w:pPr>
        <w:spacing w:after="0" w:line="155"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In November 2013, the Company sold a certain component of the Company's business, focused on machine language translation with insignificant cash proceeds received, resulting in an immaterial gain on sale.</w:t>
      </w:r>
    </w:p>
    <w:p>
      <w:pPr>
        <w:spacing w:after="0" w:line="1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January 2014, the Company committed to plans to dispose of Cloudshield Technologies, Inc. ("Cloudshield"), previously acquired in fiscal 2011, which is focused on producing a suite of cybersecurity hardware and associated software and services. The sale transaction was completed in February 2015 with cash proceeds received of $5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2013 Dispositions: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sold certain components of its business, which were historically included in the Company’s Health and Engineering segment, primarily focused on providing operational test and evaluation services to U.S. Government customers. The Company received net proceeds of $51 million resulting in a gain on sale before income taxes of $17 million related to this sale.</w:t>
      </w:r>
    </w:p>
    <w:p>
      <w:pPr>
        <w:spacing w:after="0" w:line="14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pre-sale operating results through the date of disposal of the Company's discontinued operations discussed above, excluding the spin-off of New SAIC, for each of the three years ended January 30, 2015 were as follows: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Year Ended</w:t>
            </w:r>
          </w:p>
        </w:tc>
        <w:tc>
          <w:tcPr>
            <w:tcW w:w="5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214"/>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January 31, 2014</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January 31, 2013</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74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54"/>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580" w:type="dxa"/>
            <w:vAlign w:val="bottom"/>
          </w:tcPr>
          <w:p>
            <w:pPr>
              <w:jc w:val="right"/>
              <w:ind w:right="294"/>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74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16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23"/>
                <w:szCs w:val="23"/>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2"/>
        </w:trPr>
        <w:tc>
          <w:tcPr>
            <w:tcW w:w="740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expenses (including impairment charges of $9 million</w:t>
            </w:r>
          </w:p>
        </w:tc>
        <w:tc>
          <w:tcPr>
            <w:tcW w:w="180" w:type="dxa"/>
            <w:vAlign w:val="bottom"/>
          </w:tcPr>
          <w:p>
            <w:pPr>
              <w:spacing w:after="0"/>
              <w:rPr>
                <w:sz w:val="21"/>
                <w:szCs w:val="21"/>
                <w:color w:val="auto"/>
              </w:rPr>
            </w:pPr>
          </w:p>
        </w:tc>
        <w:tc>
          <w:tcPr>
            <w:tcW w:w="1120" w:type="dxa"/>
            <w:vAlign w:val="bottom"/>
            <w:vMerge w:val="restart"/>
          </w:tcPr>
          <w:p>
            <w:pPr>
              <w:jc w:val="right"/>
              <w:ind w:right="54"/>
              <w:spacing w:after="0"/>
              <w:rPr>
                <w:sz w:val="20"/>
                <w:szCs w:val="20"/>
                <w:color w:val="auto"/>
              </w:rPr>
            </w:pPr>
            <w:r>
              <w:rPr>
                <w:rFonts w:ascii="Arial" w:cs="Arial" w:eastAsia="Arial" w:hAnsi="Arial"/>
                <w:sz w:val="18"/>
                <w:szCs w:val="18"/>
                <w:b w:val="1"/>
                <w:bCs w:val="1"/>
                <w:color w:val="auto"/>
              </w:rPr>
              <w:t>29</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400" w:type="dxa"/>
            <w:vAlign w:val="bottom"/>
          </w:tcPr>
          <w:p>
            <w:pPr>
              <w:ind w:left="160"/>
              <w:spacing w:after="0"/>
              <w:rPr>
                <w:sz w:val="20"/>
                <w:szCs w:val="20"/>
                <w:color w:val="auto"/>
              </w:rPr>
            </w:pPr>
            <w:r>
              <w:rPr>
                <w:rFonts w:ascii="Arial" w:cs="Arial" w:eastAsia="Arial" w:hAnsi="Arial"/>
                <w:sz w:val="18"/>
                <w:szCs w:val="18"/>
                <w:color w:val="auto"/>
              </w:rPr>
              <w:t>for the fiscal year ended January 30, 2015)</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7"/>
        </w:trPr>
        <w:tc>
          <w:tcPr>
            <w:tcW w:w="7400" w:type="dxa"/>
            <w:vAlign w:val="bottom"/>
            <w:tcBorders>
              <w:bottom w:val="single" w:sz="8" w:color="333399"/>
            </w:tcBorders>
          </w:tcPr>
          <w:p>
            <w:pPr>
              <w:ind w:left="160"/>
              <w:spacing w:after="0"/>
              <w:rPr>
                <w:sz w:val="20"/>
                <w:szCs w:val="20"/>
                <w:color w:val="auto"/>
              </w:rPr>
            </w:pPr>
            <w:r>
              <w:rPr>
                <w:rFonts w:ascii="Arial" w:cs="Arial" w:eastAsia="Arial" w:hAnsi="Arial"/>
                <w:sz w:val="18"/>
                <w:szCs w:val="18"/>
                <w:color w:val="auto"/>
              </w:rPr>
              <w:t>Intangible asset impairment charges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w:t>
            </w: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Non-operating income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5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major classes of assets and liabilities included in discontinued operations through the date of disposal, not including the spin-off of New SAIC, are immaterial for disclosure purposes.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F-29</w:t>
      </w:r>
    </w:p>
    <w:p>
      <w:pPr>
        <w:sectPr>
          <w:pgSz w:w="11900" w:h="16838" w:orient="portrait"/>
          <w:cols w:equalWidth="0" w:num="1">
            <w:col w:w="11400"/>
          </w:cols>
          <w:pgMar w:left="240" w:top="333"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acquires businesses as part of its growth strategy to provide new or enhance existing capabilities and offerings to customers. The Company completed acquisitions during each of the years presented, which individually and in the aggregate were not considered significant business combinations in the year acquired. No businesses were acquired during the year ended January 30, 2015.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Acquisition information for the years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color w:val="auto"/>
              </w:rPr>
              <w:t>Year Ended</w:t>
            </w:r>
          </w:p>
        </w:tc>
      </w:tr>
      <w:tr>
        <w:trPr>
          <w:trHeight w:val="193"/>
        </w:trPr>
        <w:tc>
          <w:tcPr>
            <w:tcW w:w="8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82"/>
              <w:spacing w:after="0"/>
              <w:rPr>
                <w:sz w:val="20"/>
                <w:szCs w:val="20"/>
                <w:color w:val="auto"/>
              </w:rPr>
            </w:pPr>
            <w:r>
              <w:rPr>
                <w:rFonts w:ascii="Arial" w:cs="Arial" w:eastAsia="Arial" w:hAnsi="Arial"/>
                <w:sz w:val="14"/>
                <w:szCs w:val="14"/>
                <w:color w:val="auto"/>
              </w:rPr>
              <w:t>January 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99"/>
              <w:spacing w:after="0"/>
              <w:rPr>
                <w:sz w:val="20"/>
                <w:szCs w:val="20"/>
                <w:color w:val="auto"/>
              </w:rPr>
            </w:pPr>
            <w:r>
              <w:rPr>
                <w:rFonts w:ascii="Arial" w:cs="Arial" w:eastAsia="Arial" w:hAnsi="Arial"/>
                <w:sz w:val="14"/>
                <w:szCs w:val="14"/>
                <w:color w:val="auto"/>
              </w:rPr>
              <w:t>January 31,</w:t>
            </w:r>
          </w:p>
        </w:tc>
      </w:tr>
      <w:tr>
        <w:trPr>
          <w:trHeight w:val="178"/>
        </w:trPr>
        <w:tc>
          <w:tcPr>
            <w:tcW w:w="8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2B4C9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2013</w:t>
            </w:r>
          </w:p>
        </w:tc>
      </w:tr>
      <w:tr>
        <w:trPr>
          <w:trHeight w:val="204"/>
        </w:trPr>
        <w:tc>
          <w:tcPr>
            <w:tcW w:w="8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4"/>
          </w:tcPr>
          <w:p>
            <w:pPr>
              <w:jc w:val="right"/>
              <w:ind w:right="799"/>
              <w:spacing w:after="0"/>
              <w:rPr>
                <w:sz w:val="20"/>
                <w:szCs w:val="20"/>
                <w:color w:val="auto"/>
              </w:rPr>
            </w:pPr>
            <w:r>
              <w:rPr>
                <w:rFonts w:ascii="Arial" w:cs="Arial" w:eastAsia="Arial" w:hAnsi="Arial"/>
                <w:sz w:val="14"/>
                <w:szCs w:val="14"/>
                <w:color w:val="auto"/>
              </w:rPr>
              <w:t>($ in millions)</w:t>
            </w:r>
          </w:p>
        </w:tc>
      </w:tr>
      <w:tr>
        <w:trPr>
          <w:trHeight w:val="269"/>
        </w:trPr>
        <w:tc>
          <w:tcPr>
            <w:tcW w:w="8780" w:type="dxa"/>
            <w:vAlign w:val="bottom"/>
          </w:tcPr>
          <w:p>
            <w:pPr>
              <w:ind w:left="40"/>
              <w:spacing w:after="0"/>
              <w:rPr>
                <w:sz w:val="20"/>
                <w:szCs w:val="20"/>
                <w:color w:val="auto"/>
              </w:rPr>
            </w:pPr>
            <w:r>
              <w:rPr>
                <w:rFonts w:ascii="Arial" w:cs="Arial" w:eastAsia="Arial" w:hAnsi="Arial"/>
                <w:sz w:val="18"/>
                <w:szCs w:val="18"/>
                <w:color w:val="auto"/>
              </w:rPr>
              <w:t>Number of acquisitions</w:t>
            </w:r>
          </w:p>
        </w:tc>
        <w:tc>
          <w:tcPr>
            <w:tcW w:w="180" w:type="dxa"/>
            <w:vAlign w:val="bottom"/>
          </w:tcPr>
          <w:p>
            <w:pPr>
              <w:spacing w:after="0"/>
              <w:rPr>
                <w:sz w:val="23"/>
                <w:szCs w:val="23"/>
                <w:color w:val="auto"/>
              </w:rPr>
            </w:pPr>
          </w:p>
        </w:tc>
        <w:tc>
          <w:tcPr>
            <w:tcW w:w="1060" w:type="dxa"/>
            <w:vAlign w:val="bottom"/>
          </w:tcPr>
          <w:p>
            <w:pPr>
              <w:jc w:val="right"/>
              <w:ind w:right="2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w:t>
            </w:r>
          </w:p>
        </w:tc>
      </w:tr>
      <w:tr>
        <w:trPr>
          <w:trHeight w:val="277"/>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Purchase consideration (paid and accrued)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505</w:t>
            </w:r>
          </w:p>
        </w:tc>
      </w:tr>
    </w:tbl>
    <w:p>
      <w:pPr>
        <w:spacing w:after="0" w:line="1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following table summarizes the fair value (preliminary or final) of goodwill and intangible assets acquired at the date of acquisition as well as the components and weighted average useful lives of the intangible asset: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2013</w:t>
            </w:r>
          </w:p>
        </w:tc>
      </w:tr>
      <w:tr>
        <w:trPr>
          <w:trHeight w:val="258"/>
        </w:trPr>
        <w:tc>
          <w:tcPr>
            <w:tcW w:w="63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500" w:type="dxa"/>
            <w:vAlign w:val="bottom"/>
            <w:gridSpan w:val="2"/>
          </w:tcPr>
          <w:p>
            <w:pPr>
              <w:ind w:left="620"/>
              <w:spacing w:after="0"/>
              <w:rPr>
                <w:sz w:val="20"/>
                <w:szCs w:val="20"/>
                <w:color w:val="auto"/>
              </w:rPr>
            </w:pPr>
            <w:r>
              <w:rPr>
                <w:rFonts w:ascii="Arial" w:cs="Arial" w:eastAsia="Arial" w:hAnsi="Arial"/>
                <w:sz w:val="14"/>
                <w:szCs w:val="14"/>
                <w:color w:val="auto"/>
              </w:rPr>
              <w:t>($ in millions)</w:t>
            </w:r>
          </w:p>
        </w:tc>
        <w:tc>
          <w:tcPr>
            <w:tcW w:w="840" w:type="dxa"/>
            <w:vAlign w:val="bottom"/>
          </w:tcPr>
          <w:p>
            <w:pPr>
              <w:spacing w:after="0"/>
              <w:rPr>
                <w:sz w:val="22"/>
                <w:szCs w:val="22"/>
                <w:color w:val="auto"/>
              </w:rPr>
            </w:pPr>
          </w:p>
        </w:tc>
      </w:tr>
      <w:tr>
        <w:trPr>
          <w:trHeight w:val="255"/>
        </w:trPr>
        <w:tc>
          <w:tcPr>
            <w:tcW w:w="63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4"/>
        </w:trPr>
        <w:tc>
          <w:tcPr>
            <w:tcW w:w="6360" w:type="dxa"/>
            <w:vAlign w:val="bottom"/>
          </w:tcPr>
          <w:p>
            <w:pPr>
              <w:ind w:left="380"/>
              <w:spacing w:after="0"/>
              <w:rPr>
                <w:sz w:val="20"/>
                <w:szCs w:val="20"/>
                <w:color w:val="auto"/>
              </w:rPr>
            </w:pPr>
            <w:r>
              <w:rPr>
                <w:rFonts w:ascii="Arial" w:cs="Arial" w:eastAsia="Arial" w:hAnsi="Arial"/>
                <w:sz w:val="18"/>
                <w:szCs w:val="18"/>
                <w:color w:val="auto"/>
              </w:rPr>
              <w:t>Tax deductible goodwill</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tcPr>
          <w:p>
            <w:pPr>
              <w:ind w:left="380"/>
              <w:spacing w:after="0"/>
              <w:rPr>
                <w:sz w:val="20"/>
                <w:szCs w:val="20"/>
                <w:color w:val="auto"/>
              </w:rPr>
            </w:pPr>
            <w:r>
              <w:rPr>
                <w:rFonts w:ascii="Arial" w:cs="Arial" w:eastAsia="Arial" w:hAnsi="Arial"/>
                <w:sz w:val="18"/>
                <w:szCs w:val="18"/>
                <w:color w:val="auto"/>
              </w:rPr>
              <w:t>Non-tax deductible goodwill</w:t>
            </w:r>
          </w:p>
        </w:tc>
        <w:tc>
          <w:tcPr>
            <w:tcW w:w="270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395</w:t>
            </w:r>
          </w:p>
        </w:tc>
      </w:tr>
      <w:tr>
        <w:trPr>
          <w:trHeight w:val="257"/>
        </w:trPr>
        <w:tc>
          <w:tcPr>
            <w:tcW w:w="6360" w:type="dxa"/>
            <w:vAlign w:val="bottom"/>
          </w:tcPr>
          <w:p>
            <w:pPr>
              <w:ind w:left="180"/>
              <w:spacing w:after="0"/>
              <w:rPr>
                <w:sz w:val="20"/>
                <w:szCs w:val="20"/>
                <w:color w:val="auto"/>
              </w:rPr>
            </w:pPr>
            <w:r>
              <w:rPr>
                <w:rFonts w:ascii="Arial" w:cs="Arial" w:eastAsia="Arial" w:hAnsi="Arial"/>
                <w:sz w:val="18"/>
                <w:szCs w:val="18"/>
                <w:color w:val="auto"/>
              </w:rPr>
              <w:t>Identifiable intangible assets:</w:t>
            </w:r>
          </w:p>
        </w:tc>
        <w:tc>
          <w:tcPr>
            <w:tcW w:w="2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84"/>
        </w:trPr>
        <w:tc>
          <w:tcPr>
            <w:tcW w:w="6360" w:type="dxa"/>
            <w:vAlign w:val="bottom"/>
          </w:tcPr>
          <w:p>
            <w:pPr>
              <w:ind w:left="380"/>
              <w:spacing w:after="0"/>
              <w:rPr>
                <w:sz w:val="20"/>
                <w:szCs w:val="20"/>
                <w:color w:val="auto"/>
              </w:rPr>
            </w:pPr>
            <w:r>
              <w:rPr>
                <w:rFonts w:ascii="Arial" w:cs="Arial" w:eastAsia="Arial" w:hAnsi="Arial"/>
                <w:sz w:val="18"/>
                <w:szCs w:val="18"/>
                <w:color w:val="auto"/>
              </w:rPr>
              <w:t>Customer relationships (finite-lived)</w:t>
            </w:r>
          </w:p>
        </w:tc>
        <w:tc>
          <w:tcPr>
            <w:tcW w:w="2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62</w:t>
            </w:r>
          </w:p>
        </w:tc>
      </w:tr>
      <w:tr>
        <w:trPr>
          <w:trHeight w:val="277"/>
        </w:trPr>
        <w:tc>
          <w:tcPr>
            <w:tcW w:w="63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Other (finite-lived)</w:t>
            </w:r>
          </w:p>
        </w:tc>
        <w:tc>
          <w:tcPr>
            <w:tcW w:w="2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Weighted average lives of finite-lived intangibles:</w:t>
            </w:r>
          </w:p>
        </w:tc>
        <w:tc>
          <w:tcPr>
            <w:tcW w:w="2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4"/>
        </w:trPr>
        <w:tc>
          <w:tcPr>
            <w:tcW w:w="63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700" w:type="dxa"/>
            <w:vAlign w:val="bottom"/>
          </w:tcPr>
          <w:p>
            <w:pPr>
              <w:spacing w:after="0"/>
              <w:rPr>
                <w:sz w:val="24"/>
                <w:szCs w:val="24"/>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 years</w:t>
            </w:r>
          </w:p>
        </w:tc>
      </w:tr>
      <w:tr>
        <w:trPr>
          <w:trHeight w:val="270"/>
        </w:trPr>
        <w:tc>
          <w:tcPr>
            <w:tcW w:w="6360" w:type="dxa"/>
            <w:vAlign w:val="bottom"/>
          </w:tcPr>
          <w:p>
            <w:pPr>
              <w:ind w:left="180"/>
              <w:spacing w:after="0"/>
              <w:rPr>
                <w:sz w:val="20"/>
                <w:szCs w:val="20"/>
                <w:color w:val="auto"/>
              </w:rPr>
            </w:pPr>
            <w:r>
              <w:rPr>
                <w:rFonts w:ascii="Arial" w:cs="Arial" w:eastAsia="Arial" w:hAnsi="Arial"/>
                <w:sz w:val="18"/>
                <w:szCs w:val="18"/>
                <w:color w:val="auto"/>
              </w:rPr>
              <w:t>Other</w:t>
            </w:r>
          </w:p>
        </w:tc>
        <w:tc>
          <w:tcPr>
            <w:tcW w:w="2700" w:type="dxa"/>
            <w:vAlign w:val="bottom"/>
          </w:tcPr>
          <w:p>
            <w:pPr>
              <w:spacing w:after="0"/>
              <w:rPr>
                <w:sz w:val="23"/>
                <w:szCs w:val="23"/>
                <w:color w:val="auto"/>
              </w:rPr>
            </w:pPr>
          </w:p>
        </w:tc>
        <w:tc>
          <w:tcPr>
            <w:tcW w:w="980" w:type="dxa"/>
            <w:vAlign w:val="bottom"/>
          </w:tcPr>
          <w:p>
            <w:pPr>
              <w:ind w:left="180"/>
              <w:spacing w:after="0"/>
              <w:rPr>
                <w:sz w:val="20"/>
                <w:szCs w:val="20"/>
                <w:color w:val="auto"/>
              </w:rPr>
            </w:pPr>
            <w:r>
              <w:rPr>
                <w:rFonts w:ascii="Arial" w:cs="Arial" w:eastAsia="Arial" w:hAnsi="Arial"/>
                <w:sz w:val="18"/>
                <w:szCs w:val="18"/>
                <w:color w:val="auto"/>
              </w:rPr>
              <w:t>12 years</w:t>
            </w:r>
          </w:p>
        </w:tc>
        <w:tc>
          <w:tcPr>
            <w:tcW w:w="520" w:type="dxa"/>
            <w:vAlign w:val="bottom"/>
          </w:tcPr>
          <w:p>
            <w:pPr>
              <w:spacing w:after="0"/>
              <w:rPr>
                <w:sz w:val="23"/>
                <w:szCs w:val="23"/>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 year</w:t>
            </w:r>
          </w:p>
        </w:tc>
      </w:tr>
      <w:tr>
        <w:trPr>
          <w:trHeight w:val="277"/>
        </w:trPr>
        <w:tc>
          <w:tcPr>
            <w:tcW w:w="6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All finite-lived intangible assets</w:t>
            </w:r>
          </w:p>
        </w:tc>
        <w:tc>
          <w:tcPr>
            <w:tcW w:w="2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12 years</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 years</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Plainfield Renewable Energy Holdings LLC</w:t>
      </w:r>
    </w:p>
    <w:p>
      <w:pPr>
        <w:spacing w:after="0" w:line="189"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As described in Note 1, the Company became the primary beneficiary of Plainfield on October 11, 2013 (the "transaction"), which required the consolidation of the VIE. The Company also determined that Plainfield met the definition of a business and as such is gaining control</w:t>
      </w:r>
    </w:p>
    <w:p>
      <w:pPr>
        <w:spacing w:after="0" w:line="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of 100% of PRE Holdings equity through the consensual foreclosure agreement which constituted a change in control accounted for as a business combination.</w:t>
      </w:r>
    </w:p>
    <w:p>
      <w:pPr>
        <w:spacing w:after="0" w:line="14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Plainfield Renewable Energy Project involves the design, construction, and financing of a 37.5 megawatt biomass-fueled power plant in Plainfield, Connecticut (the "plant"). Connecticut Light &amp; Power will purchase approximately 80% of the power produced by the plant based on a 15-year off-take agreement, utilizing the plant's status as a renewable power source. In addition, there are fuel supply agreements with initial terms of 5 to 15 years and minimum purchase requirements either at prevailing market prices or a set price plus a CPI index. Subsequent to the business combination, three of the acquired fuel supply agreements were impaired in fiscal 2015. See Note 4 - Goodwill and Intangible Assets for further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F-30</w:t>
      </w:r>
    </w:p>
    <w:p>
      <w:pPr>
        <w:sectPr>
          <w:pgSz w:w="11900" w:h="16838" w:orient="portrait"/>
          <w:cols w:equalWidth="0" w:num="1">
            <w:col w:w="11400"/>
          </w:cols>
          <w:pgMar w:left="240" w:top="333" w:right="25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project was partially financed by the Company’s provision of extended payment terms for certain of its services performed on the project and, at the time of this transaction, the Company had a receivable of $137 million due from Plainfield. The remainder of the project was financed by the Carlyle Group with two secured notes aggregating $148 million, which these notes were assumed by the Company as part of consensual foreclosure. On December 6, 2013, the Company entered into an Early Payoff Agreement with the Carlyle Group to settle the two secured notes totaling $152 million in principal and paid on December 16, 2013 an aggregate of $165 million to fully satisfy its obligation to Carlyle which included the principal amount, interest due on the notes of $7 million, including an additional interest payment per the Early Payoff agreement and $6 million in an early termination fee. In addition, the unamortized deferred debt issuance costs and debt discount at the time of the pay off was expensed and included in "Other Income, net" in the Company's consolidated statements of income.</w:t>
      </w:r>
    </w:p>
    <w:p>
      <w:pPr>
        <w:spacing w:after="0" w:line="15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At the time the Company became the primary beneficiary of Plainfield, the Company measured the assets acquired and liabilities assumed at their fair values. The difference between the estimated fair value of the plant in comparison to the carrying value of the Company's deferred payment term receivables forgiven as of the date of the transaction resulted in a $32 million loss as "Bad debt expense" in the Company's consolidated statements of income during the third quarter of fiscal 2014. In addition as part of the transaction, contingent consideration of approximately $3 million remains to be paid as of January 30, 2015, of which $2 million will be paid on the earlier of November 2015 or the successful sale of the plant, and the remainder of which will be paid solely upon the successful sale of the plant.</w:t>
      </w:r>
    </w:p>
    <w:p>
      <w:pPr>
        <w:spacing w:after="0" w:line="15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July 2014, the Company received a cash grant of $80 million from the U.S. Treasury Department, which was recorded as a reduction to the fixed asset basis of the plant on the consolidated balance sheet. For tax purposes, the tax basis of the plant was reduced by half of the amount of the cash grant. This difference between the excess tax basis of the plant over the book basis resulted in a $ 27 million deferred tax asset which was recorded as a reduction to the fixed asset basis of the plant. The U.S. Treasury grant also contains a recapture provision that could require the Company to repay funds to the Treasury in certain circumstances which the Company deems not probable.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660" w:type="dxa"/>
            <w:vAlign w:val="bottom"/>
          </w:tcPr>
          <w:p>
            <w:pPr>
              <w:spacing w:after="0"/>
              <w:rPr>
                <w:sz w:val="20"/>
                <w:szCs w:val="20"/>
                <w:color w:val="auto"/>
              </w:rPr>
            </w:pPr>
            <w:r>
              <w:rPr>
                <w:rFonts w:ascii="Arial" w:cs="Arial" w:eastAsia="Arial" w:hAnsi="Arial"/>
                <w:sz w:val="18"/>
                <w:szCs w:val="18"/>
                <w:color w:val="auto"/>
              </w:rPr>
              <w:t>The aggregate purchase consideration that the Company exchanged for PRE Holdings is as follows (in millions):</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78"/>
        </w:trPr>
        <w:tc>
          <w:tcPr>
            <w:tcW w:w="9660" w:type="dxa"/>
            <w:vAlign w:val="bottom"/>
          </w:tcPr>
          <w:p>
            <w:pPr>
              <w:ind w:left="40"/>
              <w:spacing w:after="0"/>
              <w:rPr>
                <w:sz w:val="20"/>
                <w:szCs w:val="20"/>
                <w:color w:val="auto"/>
              </w:rPr>
            </w:pPr>
            <w:r>
              <w:rPr>
                <w:rFonts w:ascii="Arial" w:cs="Arial" w:eastAsia="Arial" w:hAnsi="Arial"/>
                <w:sz w:val="18"/>
                <w:szCs w:val="18"/>
                <w:color w:val="auto"/>
              </w:rPr>
              <w:t>Forgiveness of accounts receivable (net of $32 million bad debt expense)</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64"/>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Contingent consideration</w:t>
            </w:r>
          </w:p>
        </w:tc>
        <w:tc>
          <w:tcPr>
            <w:tcW w:w="9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purchase consideration</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378"/>
        </w:trPr>
        <w:tc>
          <w:tcPr>
            <w:tcW w:w="9660" w:type="dxa"/>
            <w:vAlign w:val="bottom"/>
          </w:tcPr>
          <w:p>
            <w:pPr>
              <w:spacing w:after="0"/>
              <w:rPr>
                <w:sz w:val="20"/>
                <w:szCs w:val="20"/>
                <w:color w:val="auto"/>
              </w:rPr>
            </w:pPr>
            <w:r>
              <w:rPr>
                <w:rFonts w:ascii="Arial" w:cs="Arial" w:eastAsia="Arial" w:hAnsi="Arial"/>
                <w:sz w:val="18"/>
                <w:szCs w:val="18"/>
                <w:color w:val="auto"/>
              </w:rPr>
              <w:t>The fair values of the assets acquired and liabilities assumed at the date of acquisition were as follows (in millions):</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96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57"/>
        </w:trPr>
        <w:tc>
          <w:tcPr>
            <w:tcW w:w="9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22"/>
                <w:szCs w:val="22"/>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64"/>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Notes payable assumed (net of debt discount)</w:t>
            </w:r>
          </w:p>
        </w:tc>
        <w:tc>
          <w:tcPr>
            <w:tcW w:w="9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9660" w:type="dxa"/>
            <w:vAlign w:val="bottom"/>
          </w:tcPr>
          <w:p>
            <w:pPr>
              <w:ind w:left="40"/>
              <w:spacing w:after="0"/>
              <w:rPr>
                <w:sz w:val="20"/>
                <w:szCs w:val="20"/>
                <w:color w:val="auto"/>
              </w:rPr>
            </w:pPr>
            <w:r>
              <w:rPr>
                <w:rFonts w:ascii="Arial" w:cs="Arial" w:eastAsia="Arial" w:hAnsi="Arial"/>
                <w:sz w:val="18"/>
                <w:szCs w:val="18"/>
                <w:color w:val="auto"/>
              </w:rPr>
              <w:t>Total identifiable net assets acquired</w:t>
            </w:r>
          </w:p>
        </w:tc>
        <w:tc>
          <w:tcPr>
            <w:tcW w:w="9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64"/>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Intangible assets</w:t>
            </w:r>
          </w:p>
        </w:tc>
        <w:tc>
          <w:tcPr>
            <w:tcW w:w="9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purchase consideration</w:t>
            </w: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bl>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March 2015, the Company entered into a definitive agreement to sell 100% of the equity membership interest in Plainfield. The Company adjusted the carrying values of Plainfield's assets to their fair values based on the estimated selling price of the business pursuant to the terms of the agreement (Level 1 fair value measurement). The carrying value exceeded the fair value which resulted in approximately $40 million of impairment charges. The sale transaction is expected to be completed in the first half of the next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F-31</w:t>
      </w:r>
    </w:p>
    <w:p>
      <w:pPr>
        <w:sectPr>
          <w:pgSz w:w="11900" w:h="16838" w:orient="portrait"/>
          <w:cols w:equalWidth="0" w:num="1">
            <w:col w:w="11420"/>
          </w:cols>
          <w:pgMar w:left="240" w:top="33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maxIT Healthcare Holdings, Inc.</w:t>
      </w:r>
    </w:p>
    <w:p>
      <w:pPr>
        <w:spacing w:after="0" w:line="18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August 2012, the Company acquired 100% of the stock of maxIT Healthcare Holdings, Inc. ("maxIT"), a provider of clinical, business and information technology services primarily to commercial hospital groups and other medical delivery organizations. This acquisition expanded the Company’s commercial consulting practice in electronic health record ("EHR") implementation and optimization and strengthened the Company’s capabilities to provide these services to its federal healthcare customers as those customers migrate to commercial off-the-shelf EHR applications. This acquisition was in the Health and Engineering segment. The results of maxIT have been included in the financial statements since the date of acquisition.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940" w:type="dxa"/>
            <w:vAlign w:val="bottom"/>
          </w:tcPr>
          <w:p>
            <w:pPr>
              <w:spacing w:after="0"/>
              <w:rPr>
                <w:sz w:val="20"/>
                <w:szCs w:val="20"/>
                <w:color w:val="auto"/>
              </w:rPr>
            </w:pPr>
            <w:r>
              <w:rPr>
                <w:rFonts w:ascii="Arial" w:cs="Arial" w:eastAsia="Arial" w:hAnsi="Arial"/>
                <w:sz w:val="18"/>
                <w:szCs w:val="18"/>
                <w:color w:val="auto"/>
              </w:rPr>
              <w:t>The fair values of the maxIT assets acquired and liabilities assumed at the date of acquisition were as follows (in millions):</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78"/>
        </w:trPr>
        <w:tc>
          <w:tcPr>
            <w:tcW w:w="9940" w:type="dxa"/>
            <w:vAlign w:val="bottom"/>
          </w:tcPr>
          <w:p>
            <w:pPr>
              <w:ind w:left="40"/>
              <w:spacing w:after="0"/>
              <w:rPr>
                <w:sz w:val="20"/>
                <w:szCs w:val="20"/>
                <w:color w:val="auto"/>
              </w:rPr>
            </w:pPr>
            <w:r>
              <w:rPr>
                <w:rFonts w:ascii="Arial" w:cs="Arial" w:eastAsia="Arial" w:hAnsi="Arial"/>
                <w:sz w:val="18"/>
                <w:szCs w:val="18"/>
                <w:color w:val="auto"/>
              </w:rPr>
              <w:t>Cash</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Receivables</w:t>
            </w:r>
          </w:p>
        </w:tc>
        <w:tc>
          <w:tcPr>
            <w:tcW w:w="70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Accounts payable, accrued liabilities and accrued payroll and employee benefits</w:t>
            </w:r>
          </w:p>
        </w:tc>
        <w:tc>
          <w:tcPr>
            <w:tcW w:w="7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Deferred tax liabilities, net</w:t>
            </w: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 acquired</w:t>
            </w:r>
          </w:p>
        </w:tc>
        <w:tc>
          <w:tcPr>
            <w:tcW w:w="7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70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64"/>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Intangible assets</w:t>
            </w:r>
          </w:p>
        </w:tc>
        <w:tc>
          <w:tcPr>
            <w:tcW w:w="7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50"/>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purchase price</w:t>
            </w: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4—Goodwill and Intangible Assets:</w:t>
      </w:r>
    </w:p>
    <w:p>
      <w:pPr>
        <w:spacing w:after="0" w:line="193"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Company has the following reportable segments that contain goodwill: National Security Solutions (NSS) and Health and Engineering (HES).</w:t>
      </w:r>
    </w:p>
    <w:p>
      <w:pPr>
        <w:spacing w:after="0" w:line="14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Goodwill is tested for impairment at the reporting unit level annually, at the beginning of the fourth quarter, and during interim periods whenever events or circumstances indicate that the carrying value may not be recoverable. In the second quarter of fiscal 2015, as part of its normal quarterly procedures, the Company considered both qualitative and quantitative factors associated with each of the Company's reporting units and determined that there were indicators that the carrying values of the Health Solutions and Engineering reporting units may not be fully recoverable due to operating performance shortfalls and forecasted declines of revenues and operating income. The Company performed an interim evaluation for these reporting units that resulted in impairments of the goodwill carrying value.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balance and changes in the carrying amount of goodwill by segment were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NSS</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HES</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Total</w:t>
            </w:r>
          </w:p>
        </w:tc>
      </w:tr>
      <w:tr>
        <w:trPr>
          <w:trHeight w:val="204"/>
        </w:trPr>
        <w:tc>
          <w:tcPr>
            <w:tcW w:w="5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69"/>
        </w:trPr>
        <w:tc>
          <w:tcPr>
            <w:tcW w:w="5100" w:type="dxa"/>
            <w:vAlign w:val="bottom"/>
          </w:tcPr>
          <w:p>
            <w:pPr>
              <w:ind w:left="40"/>
              <w:spacing w:after="0"/>
              <w:rPr>
                <w:sz w:val="20"/>
                <w:szCs w:val="20"/>
                <w:color w:val="auto"/>
              </w:rPr>
            </w:pPr>
            <w:r>
              <w:rPr>
                <w:rFonts w:ascii="Arial" w:cs="Arial" w:eastAsia="Arial" w:hAnsi="Arial"/>
                <w:sz w:val="18"/>
                <w:szCs w:val="18"/>
                <w:color w:val="auto"/>
              </w:rPr>
              <w:t>Balance at January 31, 2013</w:t>
            </w:r>
          </w:p>
        </w:tc>
        <w:tc>
          <w:tcPr>
            <w:tcW w:w="336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719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974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1,693</w:t>
            </w:r>
          </w:p>
        </w:tc>
      </w:tr>
      <w:tr>
        <w:trPr>
          <w:trHeight w:val="277"/>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reorganizations</w:t>
            </w:r>
          </w:p>
        </w:tc>
        <w:tc>
          <w:tcPr>
            <w:tcW w:w="3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Balance at January 31, 2014</w:t>
            </w:r>
          </w:p>
        </w:tc>
        <w:tc>
          <w:tcPr>
            <w:tcW w:w="336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788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905</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1,693</w:t>
            </w:r>
          </w:p>
        </w:tc>
      </w:tr>
      <w:tr>
        <w:trPr>
          <w:trHeight w:val="264"/>
        </w:trPr>
        <w:tc>
          <w:tcPr>
            <w:tcW w:w="51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Goodwill impairment</w:t>
            </w:r>
          </w:p>
        </w:tc>
        <w:tc>
          <w:tcPr>
            <w:tcW w:w="33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64"/>
        </w:trPr>
        <w:tc>
          <w:tcPr>
            <w:tcW w:w="51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Balance at January 30, 2015</w:t>
            </w:r>
          </w:p>
        </w:tc>
        <w:tc>
          <w:tcPr>
            <w:tcW w:w="336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788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419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1,207</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F-32</w:t>
      </w:r>
    </w:p>
    <w:p>
      <w:pPr>
        <w:sectPr>
          <w:pgSz w:w="11900" w:h="16838" w:orient="portrait"/>
          <w:cols w:equalWidth="0" w:num="1">
            <w:col w:w="11420"/>
          </w:cols>
          <w:pgMar w:left="240" w:top="333"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Goodwill corporate reorganizations in fiscal 2014 resulted from the transfer of certain operations between reportable segments. The carrying value of goodwill by segment at January 31, 2013 has been recast to give effect to the change in reportable segments and for discontinued operations ($11 million for discontinued operations occurring in fiscal 2015).</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second quarter of fiscal 2015, the Health Solutions reporting unit experienced a significant decline in both actual and forecasted revenue volumes primarily in the Company's commercial health consulting business resulting from a reduction in project opportunities, delayed award decisions, and completion of several larger electronic health records ("EHR") implementation engagements that were not extended or replaced with other projects. The declines were also impacted by delays in legislative compliance deadlines (i.e. ICD-10 and Meaningful Use Stage 2). These events attributed to a significant reduction in the Company's sales pipeline, forecasted revenue, and operating income. The nature of the Company's commercial health consulting engagements are short term in nature and the aforementioned events transpired and became known during the second quarter of fiscal 2015 and triggered a revised and lower financial forecast.</w:t>
      </w:r>
    </w:p>
    <w:p>
      <w:pPr>
        <w:spacing w:after="0" w:line="15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the second quarter of fiscal 2015, the Engineering reporting unit experienced delayed or lost award decisions and reductions in scope on several large engineering construction projects as clients shifted priorities and adjusted their capital expenditure plans that were anticipated to be awarded to the Company during the second quarter of fiscal 2015. The Engineering reporting unit was also impacted by significant reduction in scope of services with an existing client. These events culminated in a significant reduction in the Company's sales pipeline, revenue, and operating income. The aforementioned events transpired and became known during the second quarter of fiscal 2015 and triggered a revised and lower financial forecast.</w:t>
      </w:r>
    </w:p>
    <w:p>
      <w:pPr>
        <w:spacing w:after="0" w:line="1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Based on the unexpected impacts and other unanticipated factors discussed above, the Company conducted an interim goodwill impairment test using the two-step quantitative approach.</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described in Note 1, the Company utilized both the market and income approach as part of the first step of the two-step quantitative goodwill impairment test to determine the estimated fair value of both the Health Solutions and Engineering reporting units.</w:t>
      </w:r>
    </w:p>
    <w:p>
      <w:pPr>
        <w:spacing w:after="0" w:line="15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performed the market approach, guideline public company method, by applying pricing multiples derived from publicly traded guideline companies that are comparable to the reporting units to determine their fair values. The Company utilized enterprise/earnings before interest, taxes, depreciation, and amortization ("EBITDA") multiples and enterprise/revenue multiples which averaged 6.0 and 0.5, respectively, for the Health Solutions reporting unit, and 6.8 and 0.4, respectively, for the Engineering reporting unit. In addition, the fair value under the guideline public company method included a control premium of 20%, which was determined based on a review of comparable market transactions.</w:t>
      </w:r>
    </w:p>
    <w:p>
      <w:pPr>
        <w:spacing w:after="0" w:line="16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income approach was performed by calculating the fair value based on forecasted future cash flows discounted back to the present value, including significant judgments related to the risk adjusted discount rates, terminal growth rates, and weighted-average cost of capital ("WACC"). The projected cash flows were developed by management for planning purposes based on current known business and market conditions as well as future anticipated industry trends. The method included certain cost adjustments that a market participant buyer would not incur to operate the respective reporting units. A terminal value growth rate of 3% and 2% and WACC of 12% and 14% (which includes a specific company risk premium of 2%) were used for the Health Solutions and Engineering reporting units, respectively.</w:t>
      </w:r>
    </w:p>
    <w:p>
      <w:pPr>
        <w:spacing w:after="0" w:line="16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Based on the first step of the two-step quantitative goodwill impairment test, the Company determined that the fair values of the Health Solutions and Engineering reporting units were 62% and 91% of their carrying values, respectively. Due to the fact that indicators of impairment existed, the second step of the two-step quantitative goodwill impairment test was performed to determine the implied fair value of goodwill and the impairment amount of the respective reporting units.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F-33</w:t>
      </w:r>
    </w:p>
    <w:p>
      <w:pPr>
        <w:sectPr>
          <w:pgSz w:w="11900" w:h="16838" w:orient="portrait"/>
          <w:cols w:equalWidth="0" w:num="1">
            <w:col w:w="11420"/>
          </w:cols>
          <w:pgMar w:left="240" w:top="33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As a result of the second step evaluation, the Company recorded goodwill impairment charges in the Health Solutions and Engineering reporting units of $369 million and $ 117 million, respectively, for the three months ended August 1, 2014, which represents the difference between the carrying value and the implied fair value.</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Based on a qualitative analysis performed during the Company's fiscal 2015 and 2014 annual impairment evaluation for certain of its reporting units, it was determined that it is more likely than not that the fair values of the reporting units were in excess of the individual reporting unit carrying values, and as a result, a quantitative step one analysis was not necessary. Additionally, based on the results of the quantitative step one analysis for certain other of its reporting units, it was determined that their fair values were in excess of the individual reporting units carrying values. As a result, no goodwill impairments were identified as part of the annual goodwill impairment evaluation. In fiscal 2013, the Company performed a quantitative step one analysis of its reporting units as part of the annual goodwill impairment evaluation and determined there was no goodwill impairment as all of the reporting unit fair values exceeded their carrying values.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including those arising from preliminary estimates of assets acquired relating to acquisitions,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January 30, 2015</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January 31, 2014</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5"/>
                <w:szCs w:val="15"/>
                <w:color w:val="auto"/>
              </w:rPr>
            </w:pPr>
          </w:p>
        </w:tc>
        <w:tc>
          <w:tcPr>
            <w:tcW w:w="940" w:type="dxa"/>
            <w:vAlign w:val="bottom"/>
          </w:tcPr>
          <w:p>
            <w:pPr>
              <w:jc w:val="center"/>
              <w:ind w:right="275"/>
              <w:spacing w:after="0"/>
              <w:rPr>
                <w:sz w:val="20"/>
                <w:szCs w:val="20"/>
                <w:color w:val="auto"/>
              </w:rPr>
            </w:pPr>
            <w:r>
              <w:rPr>
                <w:rFonts w:ascii="Arial" w:cs="Arial" w:eastAsia="Arial" w:hAnsi="Arial"/>
                <w:sz w:val="14"/>
                <w:szCs w:val="14"/>
                <w:color w:val="auto"/>
              </w:rPr>
              <w:t>Gross</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color w:val="auto"/>
              </w:rPr>
              <w:t>Net</w:t>
            </w:r>
          </w:p>
        </w:tc>
      </w:t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155"/>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160" w:type="dxa"/>
            <w:vAlign w:val="bottom"/>
          </w:tcPr>
          <w:p>
            <w:pPr>
              <w:jc w:val="center"/>
              <w:ind w:right="134"/>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4"/>
                <w:szCs w:val="14"/>
                <w:color w:val="auto"/>
              </w:rPr>
            </w:pPr>
          </w:p>
        </w:tc>
        <w:tc>
          <w:tcPr>
            <w:tcW w:w="940" w:type="dxa"/>
            <w:vAlign w:val="bottom"/>
          </w:tcPr>
          <w:p>
            <w:pPr>
              <w:jc w:val="center"/>
              <w:ind w:right="275"/>
              <w:spacing w:after="0"/>
              <w:rPr>
                <w:sz w:val="20"/>
                <w:szCs w:val="20"/>
                <w:color w:val="auto"/>
              </w:rPr>
            </w:pPr>
            <w:r>
              <w:rPr>
                <w:rFonts w:ascii="Arial" w:cs="Arial" w:eastAsia="Arial" w:hAnsi="Arial"/>
                <w:sz w:val="14"/>
                <w:szCs w:val="14"/>
                <w:color w:val="auto"/>
              </w:rPr>
              <w:t>carrying</w:t>
            </w:r>
          </w:p>
        </w:tc>
        <w:tc>
          <w:tcPr>
            <w:tcW w:w="260" w:type="dxa"/>
            <w:vAlign w:val="bottom"/>
          </w:tcPr>
          <w:p>
            <w:pPr>
              <w:spacing w:after="0"/>
              <w:rPr>
                <w:sz w:val="14"/>
                <w:szCs w:val="14"/>
                <w:color w:val="auto"/>
              </w:rPr>
            </w:pPr>
          </w:p>
        </w:tc>
        <w:tc>
          <w:tcPr>
            <w:tcW w:w="1140" w:type="dxa"/>
            <w:vAlign w:val="bottom"/>
          </w:tcPr>
          <w:p>
            <w:pPr>
              <w:jc w:val="center"/>
              <w:ind w:right="114"/>
              <w:spacing w:after="0"/>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4"/>
                <w:szCs w:val="14"/>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color w:val="auto"/>
              </w:rPr>
              <w:t>carrying</w:t>
            </w:r>
          </w:p>
        </w:tc>
      </w:tr>
      <w:tr>
        <w:trPr>
          <w:trHeight w:val="196"/>
        </w:trPr>
        <w:tc>
          <w:tcPr>
            <w:tcW w:w="3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color w:val="auto"/>
              </w:rPr>
              <w:t>value</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rPr>
              <w:t>value</w:t>
            </w:r>
          </w:p>
        </w:tc>
      </w:tr>
      <w:tr>
        <w:trPr>
          <w:trHeight w:val="204"/>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326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326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70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47</w:t>
            </w:r>
          </w:p>
        </w:tc>
      </w:tr>
      <w:tr>
        <w:trPr>
          <w:trHeight w:val="270"/>
        </w:trPr>
        <w:tc>
          <w:tcPr>
            <w:tcW w:w="3260" w:type="dxa"/>
            <w:vAlign w:val="bottom"/>
          </w:tcPr>
          <w:p>
            <w:pPr>
              <w:ind w:left="180"/>
              <w:spacing w:after="0"/>
              <w:rPr>
                <w:sz w:val="20"/>
                <w:szCs w:val="20"/>
                <w:color w:val="auto"/>
              </w:rPr>
            </w:pPr>
            <w:r>
              <w:rPr>
                <w:rFonts w:ascii="Arial" w:cs="Arial" w:eastAsia="Arial" w:hAnsi="Arial"/>
                <w:sz w:val="18"/>
                <w:szCs w:val="18"/>
                <w:color w:val="auto"/>
              </w:rPr>
              <w:t>Software and technology</w:t>
            </w:r>
          </w:p>
        </w:tc>
        <w:tc>
          <w:tcPr>
            <w:tcW w:w="240" w:type="dxa"/>
            <w:vAlign w:val="bottom"/>
          </w:tcPr>
          <w:p>
            <w:pPr>
              <w:spacing w:after="0"/>
              <w:rPr>
                <w:sz w:val="23"/>
                <w:szCs w:val="23"/>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52</w:t>
            </w:r>
          </w:p>
        </w:tc>
        <w:tc>
          <w:tcPr>
            <w:tcW w:w="26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23"/>
                <w:szCs w:val="23"/>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29</w:t>
            </w:r>
          </w:p>
        </w:tc>
      </w:tr>
      <w:tr>
        <w:trPr>
          <w:trHeight w:val="277"/>
        </w:trPr>
        <w:tc>
          <w:tcPr>
            <w:tcW w:w="3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122</w:t>
            </w:r>
          </w:p>
        </w:tc>
        <w:tc>
          <w:tcPr>
            <w:tcW w:w="26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(98)</w:t>
            </w:r>
          </w:p>
        </w:tc>
        <w:tc>
          <w:tcPr>
            <w:tcW w:w="300" w:type="dxa"/>
            <w:vAlign w:val="bottom"/>
          </w:tcPr>
          <w:p>
            <w:pPr>
              <w:spacing w:after="0"/>
              <w:rPr>
                <w:sz w:val="22"/>
                <w:szCs w:val="22"/>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79</w:t>
            </w: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326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24"/>
                <w:szCs w:val="24"/>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24"/>
                <w:szCs w:val="24"/>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4"/>
                <w:szCs w:val="24"/>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w:t>
            </w:r>
          </w:p>
        </w:tc>
      </w:tr>
      <w:tr>
        <w:trPr>
          <w:trHeight w:val="277"/>
        </w:trPr>
        <w:tc>
          <w:tcPr>
            <w:tcW w:w="3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w:t>
            </w: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w:t>
            </w:r>
          </w:p>
        </w:tc>
      </w:tr>
      <w:tr>
        <w:trPr>
          <w:trHeight w:val="264"/>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93</w:t>
            </w:r>
          </w:p>
        </w:tc>
      </w:tr>
    </w:tbl>
    <w:p>
      <w:pPr>
        <w:spacing w:after="0" w:line="14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Amortization expense related to amortizable intangible assets was $15 million, $35 million, and $35 million for the fiscal years ended January 30, 2015, January 31, 2014, and January 31, 2013, respectively.</w:t>
      </w:r>
    </w:p>
    <w:p>
      <w:pPr>
        <w:spacing w:after="0" w:line="13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recognized intangible asset impairment charges of $41 million for the fiscal year ended January 30, 2015. The Company recognized intangible asset impairment charges of $51 million, including an additional $2 million of other intangible asset impairment charges not described below, for the fiscal year ended January 31, 2014. There were no intangible asset impairment charges for fiscal year 2013.</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fiscal 2015, the Company determined that certain intangible assets associated with fuel supply contracts obtained through the Plainfield Renewable Energy Project foreclosure were not recoverable due to changes in the Company's fuel supply strategy and newly identified requirements to operate the plant which impacted expected benefits from the related fuel supply arrangements. As a result, the Health and Engineering reportable segment recognized an impairment charge of $3 million to write-off the carrying value associated with the intangible assets of three fuel supply agreements.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F-34</w:t>
      </w:r>
    </w:p>
    <w:p>
      <w:pPr>
        <w:sectPr>
          <w:pgSz w:w="11900" w:h="16838" w:orient="portrait"/>
          <w:cols w:equalWidth="0" w:num="1">
            <w:col w:w="11420"/>
          </w:cols>
          <w:pgMar w:left="240" w:top="33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Company determined that certain intangible assets consisting of software and technology, associated with the acquisition of Reveal Imaging Technologies, Inc. in fiscal 2011, were not recoverable due to lower projected revenue levels from the associated products and customers. As a result, the Health and Engineering reportable segment recognized impairment charges of $14 million and $30 million during fiscal 2015 and fiscal 2014, respectively, to reduce the carrying value of these intangible assets to their estimated fair values. Fair value was estimated using the income approach based on management's forecast of future cash flows to be derived from the assets' use (Level 3).</w:t>
      </w:r>
    </w:p>
    <w:p>
      <w:pPr>
        <w:spacing w:after="0" w:line="1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determined that certain customer relationship intangible assets associated with the acquisitions of Vitalize and maxIT in fiscal 2012 and 2013, respectively, were not recoverable due to lower projected revenue and operating income levels from the associated customers. As a result, the Health and Engineering reportable segment recognized impairment charges of $24 million and $19 million during fiscal 2015 and fiscal 2014, respectively, to reduce the carrying value of these intangible assets to their estimated fair values. Fair value was estimated using the income approach based on management’s forecast of future cash flows to be derived from the assets’ use (Level 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annual amortization expense related to finite-lived intangible assets as of January 30, 2015 was as follows: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Year Ending January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(in millions)</w:t>
            </w:r>
          </w:p>
        </w:tc>
      </w:tr>
      <w:tr>
        <w:trPr>
          <w:trHeight w:val="255"/>
        </w:trPr>
        <w:tc>
          <w:tcPr>
            <w:tcW w:w="10160" w:type="dxa"/>
            <w:vAlign w:val="bottom"/>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64"/>
        </w:trPr>
        <w:tc>
          <w:tcPr>
            <w:tcW w:w="10160" w:type="dxa"/>
            <w:vAlign w:val="bottom"/>
            <w:tcBorders>
              <w:bottom w:val="single" w:sz="8" w:color="auto"/>
            </w:tcBorders>
          </w:tcPr>
          <w:p>
            <w:pPr>
              <w:jc w:val="right"/>
              <w:ind w:right="8470"/>
              <w:spacing w:after="0"/>
              <w:rPr>
                <w:sz w:val="20"/>
                <w:szCs w:val="20"/>
                <w:color w:val="auto"/>
              </w:rPr>
            </w:pPr>
            <w:r>
              <w:rPr>
                <w:rFonts w:ascii="Arial" w:cs="Arial" w:eastAsia="Arial" w:hAnsi="Arial"/>
                <w:sz w:val="18"/>
                <w:szCs w:val="18"/>
                <w:color w:val="auto"/>
              </w:rPr>
              <w:t>2021 and thereafter</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10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bl>
    <w:p>
      <w:pPr>
        <w:spacing w:after="0" w:line="16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Actual amortization expense in future periods could differ from these estimates as a result of future acquisitions, divestitures, impairments, the outcome and timing of completion of in-process research and development projects (the assets of which will become amortizable upon completion and placement into service, or will be impaired if abandoned), adjustments to preliminary valuations of intangible assets and other factors.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F-35</w:t>
      </w:r>
    </w:p>
    <w:p>
      <w:pPr>
        <w:sectPr>
          <w:pgSz w:w="11900" w:h="16838" w:orient="portrait"/>
          <w:cols w:equalWidth="0" w:num="1">
            <w:col w:w="11420"/>
          </w:cols>
          <w:pgMar w:left="240" w:top="333"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5—Receivables: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194945</wp:posOffset>
            </wp:positionV>
            <wp:extent cx="18180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4"/>
                <w:szCs w:val="14"/>
                <w:color w:val="auto"/>
              </w:rPr>
            </w:pPr>
          </w:p>
        </w:tc>
        <w:tc>
          <w:tcPr>
            <w:tcW w:w="1180" w:type="dxa"/>
            <w:vAlign w:val="bottom"/>
          </w:tcPr>
          <w:p>
            <w:pPr>
              <w:jc w:val="right"/>
              <w:ind w:right="255"/>
              <w:spacing w:after="0"/>
              <w:rPr>
                <w:sz w:val="20"/>
                <w:szCs w:val="20"/>
                <w:color w:val="auto"/>
              </w:rPr>
            </w:pPr>
            <w:r>
              <w:rPr>
                <w:rFonts w:ascii="Arial" w:cs="Arial" w:eastAsia="Arial" w:hAnsi="Arial"/>
                <w:sz w:val="14"/>
                <w:szCs w:val="14"/>
                <w:color w:val="auto"/>
              </w:rPr>
              <w:t>January 31,</w:t>
            </w:r>
          </w:p>
        </w:tc>
      </w:tr>
      <w:tr>
        <w:trPr>
          <w:trHeight w:val="196"/>
        </w:trPr>
        <w:tc>
          <w:tcPr>
            <w:tcW w:w="55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2014</w:t>
            </w:r>
          </w:p>
        </w:tc>
      </w:tr>
      <w:tr>
        <w:trPr>
          <w:trHeight w:val="204"/>
        </w:trPr>
        <w:tc>
          <w:tcPr>
            <w:tcW w:w="5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80" w:type="dxa"/>
            <w:vAlign w:val="bottom"/>
            <w:gridSpan w:val="3"/>
          </w:tcPr>
          <w:p>
            <w:pPr>
              <w:jc w:val="right"/>
              <w:ind w:right="975"/>
              <w:spacing w:after="0"/>
              <w:rPr>
                <w:sz w:val="20"/>
                <w:szCs w:val="20"/>
                <w:color w:val="auto"/>
              </w:rPr>
            </w:pPr>
            <w:r>
              <w:rPr>
                <w:rFonts w:ascii="Arial" w:cs="Arial" w:eastAsia="Arial" w:hAnsi="Arial"/>
                <w:sz w:val="14"/>
                <w:szCs w:val="14"/>
                <w:color w:val="auto"/>
              </w:rPr>
              <w:t>(in millions)</w:t>
            </w:r>
          </w:p>
        </w:tc>
      </w:tr>
      <w:tr>
        <w:trPr>
          <w:trHeight w:val="269"/>
        </w:trPr>
        <w:tc>
          <w:tcPr>
            <w:tcW w:w="5540" w:type="dxa"/>
            <w:vAlign w:val="bottom"/>
          </w:tcPr>
          <w:p>
            <w:pPr>
              <w:ind w:left="20"/>
              <w:spacing w:after="0"/>
              <w:rPr>
                <w:sz w:val="20"/>
                <w:szCs w:val="20"/>
                <w:color w:val="auto"/>
              </w:rPr>
            </w:pPr>
            <w:r>
              <w:rPr>
                <w:rFonts w:ascii="Arial" w:cs="Arial" w:eastAsia="Arial" w:hAnsi="Arial"/>
                <w:sz w:val="18"/>
                <w:szCs w:val="18"/>
                <w:color w:val="auto"/>
              </w:rPr>
              <w:t>Billed and billable receivables</w:t>
            </w: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7"/>
              <w:spacing w:after="0"/>
              <w:rPr>
                <w:sz w:val="20"/>
                <w:szCs w:val="20"/>
                <w:color w:val="auto"/>
              </w:rPr>
            </w:pPr>
            <w:r>
              <w:rPr>
                <w:rFonts w:ascii="Arial" w:cs="Arial" w:eastAsia="Arial" w:hAnsi="Arial"/>
                <w:sz w:val="18"/>
                <w:szCs w:val="18"/>
                <w:b w:val="1"/>
                <w:bCs w:val="1"/>
                <w:color w:val="auto"/>
              </w:rPr>
              <w:t>655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794</w:t>
            </w:r>
          </w:p>
        </w:tc>
      </w:tr>
      <w:tr>
        <w:trPr>
          <w:trHeight w:val="257"/>
        </w:trPr>
        <w:tc>
          <w:tcPr>
            <w:tcW w:w="55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3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4"/>
        </w:trPr>
        <w:tc>
          <w:tcPr>
            <w:tcW w:w="5540" w:type="dxa"/>
            <w:vAlign w:val="bottom"/>
          </w:tcPr>
          <w:p>
            <w:pPr>
              <w:ind w:left="160"/>
              <w:spacing w:after="0"/>
              <w:rPr>
                <w:sz w:val="20"/>
                <w:szCs w:val="20"/>
                <w:color w:val="auto"/>
              </w:rPr>
            </w:pPr>
            <w:r>
              <w:rPr>
                <w:rFonts w:ascii="Arial" w:cs="Arial" w:eastAsia="Arial" w:hAnsi="Arial"/>
                <w:sz w:val="18"/>
                <w:szCs w:val="18"/>
                <w:color w:val="auto"/>
              </w:rPr>
              <w:t>Amounts billable</w:t>
            </w:r>
          </w:p>
        </w:tc>
        <w:tc>
          <w:tcPr>
            <w:tcW w:w="3140" w:type="dxa"/>
            <w:vAlign w:val="bottom"/>
          </w:tcPr>
          <w:p>
            <w:pPr>
              <w:spacing w:after="0"/>
              <w:rPr>
                <w:sz w:val="24"/>
                <w:szCs w:val="24"/>
                <w:color w:val="auto"/>
              </w:rPr>
            </w:pPr>
          </w:p>
        </w:tc>
        <w:tc>
          <w:tcPr>
            <w:tcW w:w="1220" w:type="dxa"/>
            <w:vAlign w:val="bottom"/>
          </w:tcPr>
          <w:p>
            <w:pPr>
              <w:jc w:val="right"/>
              <w:ind w:right="57"/>
              <w:spacing w:after="0"/>
              <w:rPr>
                <w:sz w:val="20"/>
                <w:szCs w:val="20"/>
                <w:color w:val="auto"/>
              </w:rPr>
            </w:pPr>
            <w:r>
              <w:rPr>
                <w:rFonts w:ascii="Arial" w:cs="Arial" w:eastAsia="Arial" w:hAnsi="Arial"/>
                <w:sz w:val="18"/>
                <w:szCs w:val="18"/>
                <w:b w:val="1"/>
                <w:bCs w:val="1"/>
                <w:color w:val="auto"/>
              </w:rPr>
              <w:t>230</w:t>
            </w:r>
          </w:p>
        </w:tc>
        <w:tc>
          <w:tcPr>
            <w:tcW w:w="280" w:type="dxa"/>
            <w:vAlign w:val="bottom"/>
          </w:tcPr>
          <w:p>
            <w:pPr>
              <w:spacing w:after="0"/>
              <w:rPr>
                <w:sz w:val="24"/>
                <w:szCs w:val="24"/>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288</w:t>
            </w:r>
          </w:p>
        </w:tc>
      </w:tr>
      <w:tr>
        <w:trPr>
          <w:trHeight w:val="270"/>
        </w:trPr>
        <w:tc>
          <w:tcPr>
            <w:tcW w:w="5540" w:type="dxa"/>
            <w:vAlign w:val="bottom"/>
          </w:tcPr>
          <w:p>
            <w:pPr>
              <w:ind w:left="160"/>
              <w:spacing w:after="0"/>
              <w:rPr>
                <w:sz w:val="20"/>
                <w:szCs w:val="20"/>
                <w:color w:val="auto"/>
              </w:rPr>
            </w:pPr>
            <w:r>
              <w:rPr>
                <w:rFonts w:ascii="Arial" w:cs="Arial" w:eastAsia="Arial" w:hAnsi="Arial"/>
                <w:sz w:val="18"/>
                <w:szCs w:val="18"/>
                <w:color w:val="auto"/>
              </w:rPr>
              <w:t>Contract retentions</w:t>
            </w:r>
          </w:p>
        </w:tc>
        <w:tc>
          <w:tcPr>
            <w:tcW w:w="3140" w:type="dxa"/>
            <w:vAlign w:val="bottom"/>
          </w:tcPr>
          <w:p>
            <w:pPr>
              <w:spacing w:after="0"/>
              <w:rPr>
                <w:sz w:val="23"/>
                <w:szCs w:val="23"/>
                <w:color w:val="auto"/>
              </w:rPr>
            </w:pPr>
          </w:p>
        </w:tc>
        <w:tc>
          <w:tcPr>
            <w:tcW w:w="1220" w:type="dxa"/>
            <w:vAlign w:val="bottom"/>
          </w:tcPr>
          <w:p>
            <w:pPr>
              <w:jc w:val="right"/>
              <w:ind w:right="57"/>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23"/>
                <w:szCs w:val="23"/>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15</w:t>
            </w:r>
          </w:p>
        </w:tc>
      </w:tr>
      <w:tr>
        <w:trPr>
          <w:trHeight w:val="27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55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896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1,082</w:t>
            </w:r>
          </w:p>
        </w:tc>
      </w:tr>
    </w:tbl>
    <w:p>
      <w:pPr>
        <w:spacing w:after="0" w:line="161"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 Company’s accounts receivable includes amounts billed and currently due from customers as well as billable receivables that generally consist of amounts to be billed within the next month. Since the Company’s receivables are primarily with the U.S. Government, the Company does not have exposure to a material credit risk. Amounts billable are stated at estimated realizable value and consist of costs and fees, substantially all of which are expected to be billed and collected within one year. Amounts billable also include rate variances that are billable upon negotiation of final indirect rates with the U.S. Government and, once billed, are subject to audit and approval by government representatives. Contract retentions are billed upon contract completion, or the occurrence of a specified event, and when negotiation of final indirect rates with the U.S. Government is complete. Consequently, the timing of collection of retention balances is outside the Company’s control. Based on the Company’s historical experience, the majority of retention balances are expected to be collected beyond one year and write-offs of retention balances have not been significant. When events or conditions indicate that amounts outstanding from customers may become uncollectible, an allowance is estimated and recorded.</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extended deferred payment terms with original contractual maturities that may exceed one year to commercial customers related to certain construction projects. As of January 30, 2015, the Company had outstanding receivables of $18 million, net of allowance of $7 million, related to one construction project with deferred payment terms, which have not been paid in accordance with the initial payment terms established with the customer. The Company has filed a legal claim to enforce the payment terms as established in the contract. Based on these events, the Company has determined that the receivables are not expected to be collected within the next 12 months. Accordingly, the receivables are classified as non-current in "Other Assets" on the consolidated balance sheet as of January 30, 2015. During fiscal 2015, the Company received partial payment of $21 million from the customer.</w:t>
      </w:r>
    </w:p>
    <w:p>
      <w:pPr>
        <w:spacing w:after="0" w:line="153"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During fiscal 2014, the Company recorded "Bad debt expense" in the Company's consolidated statements of income of $41 million related to two different construction projects. In addition, approximately $105 million of the outstanding deferred payment term receivables were used to acquire PRE Holdings under the consensual foreclosure.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F-36</w:t>
      </w:r>
    </w:p>
    <w:p>
      <w:pPr>
        <w:sectPr>
          <w:pgSz w:w="11900" w:h="16838" w:orient="portrait"/>
          <w:cols w:equalWidth="0" w:num="1">
            <w:col w:w="11420"/>
          </w:cols>
          <w:pgMar w:left="240" w:top="333"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194945</wp:posOffset>
            </wp:positionV>
            <wp:extent cx="18180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4"/>
                <w:szCs w:val="14"/>
                <w:color w:val="auto"/>
              </w:rPr>
            </w:pPr>
          </w:p>
        </w:tc>
        <w:tc>
          <w:tcPr>
            <w:tcW w:w="1180" w:type="dxa"/>
            <w:vAlign w:val="bottom"/>
          </w:tcPr>
          <w:p>
            <w:pPr>
              <w:jc w:val="right"/>
              <w:ind w:right="253"/>
              <w:spacing w:after="0"/>
              <w:rPr>
                <w:sz w:val="20"/>
                <w:szCs w:val="20"/>
                <w:color w:val="auto"/>
              </w:rPr>
            </w:pPr>
            <w:r>
              <w:rPr>
                <w:rFonts w:ascii="Arial" w:cs="Arial" w:eastAsia="Arial" w:hAnsi="Arial"/>
                <w:sz w:val="14"/>
                <w:szCs w:val="14"/>
                <w:color w:val="auto"/>
              </w:rPr>
              <w:t>January 31,</w:t>
            </w:r>
          </w:p>
        </w:tc>
      </w:tr>
      <w:tr>
        <w:trPr>
          <w:trHeight w:val="196"/>
        </w:trPr>
        <w:tc>
          <w:tcPr>
            <w:tcW w:w="62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2014</w:t>
            </w:r>
          </w:p>
        </w:tc>
      </w:tr>
      <w:tr>
        <w:trPr>
          <w:trHeight w:val="204"/>
        </w:trPr>
        <w:tc>
          <w:tcPr>
            <w:tcW w:w="6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80" w:type="dxa"/>
            <w:vAlign w:val="bottom"/>
            <w:gridSpan w:val="3"/>
          </w:tcPr>
          <w:p>
            <w:pPr>
              <w:jc w:val="right"/>
              <w:ind w:right="973"/>
              <w:spacing w:after="0"/>
              <w:rPr>
                <w:sz w:val="20"/>
                <w:szCs w:val="20"/>
                <w:color w:val="auto"/>
              </w:rPr>
            </w:pPr>
            <w:r>
              <w:rPr>
                <w:rFonts w:ascii="Arial" w:cs="Arial" w:eastAsia="Arial" w:hAnsi="Arial"/>
                <w:sz w:val="14"/>
                <w:szCs w:val="14"/>
                <w:color w:val="auto"/>
              </w:rPr>
              <w:t>(in millions)</w:t>
            </w:r>
          </w:p>
        </w:tc>
      </w:tr>
      <w:tr>
        <w:trPr>
          <w:trHeight w:val="269"/>
        </w:trPr>
        <w:tc>
          <w:tcPr>
            <w:tcW w:w="6260" w:type="dxa"/>
            <w:vAlign w:val="bottom"/>
          </w:tcPr>
          <w:p>
            <w:pPr>
              <w:ind w:left="160"/>
              <w:spacing w:after="0"/>
              <w:rPr>
                <w:sz w:val="20"/>
                <w:szCs w:val="20"/>
                <w:color w:val="auto"/>
              </w:rPr>
            </w:pPr>
            <w:r>
              <w:rPr>
                <w:rFonts w:ascii="Arial" w:cs="Arial" w:eastAsia="Arial" w:hAnsi="Arial"/>
                <w:sz w:val="18"/>
                <w:szCs w:val="18"/>
                <w:color w:val="auto"/>
              </w:rPr>
              <w:t>Electric generation facility</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127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269</w:t>
            </w: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Computers and other equipment</w:t>
            </w:r>
          </w:p>
        </w:tc>
        <w:tc>
          <w:tcPr>
            <w:tcW w:w="242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166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204</w:t>
            </w: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156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167</w:t>
            </w: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Buildings and improvements</w:t>
            </w:r>
          </w:p>
        </w:tc>
        <w:tc>
          <w:tcPr>
            <w:tcW w:w="242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107</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113</w:t>
            </w: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Office furniture and fixtures</w:t>
            </w:r>
          </w:p>
        </w:tc>
        <w:tc>
          <w:tcPr>
            <w:tcW w:w="242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43</w:t>
            </w:r>
          </w:p>
        </w:tc>
      </w:tr>
      <w:tr>
        <w:trPr>
          <w:trHeight w:val="270"/>
        </w:trPr>
        <w:tc>
          <w:tcPr>
            <w:tcW w:w="6260" w:type="dxa"/>
            <w:vAlign w:val="bottom"/>
          </w:tcPr>
          <w:p>
            <w:pPr>
              <w:ind w:left="160"/>
              <w:spacing w:after="0"/>
              <w:rPr>
                <w:sz w:val="20"/>
                <w:szCs w:val="20"/>
                <w:color w:val="auto"/>
              </w:rPr>
            </w:pPr>
            <w:r>
              <w:rPr>
                <w:rFonts w:ascii="Arial" w:cs="Arial" w:eastAsia="Arial" w:hAnsi="Arial"/>
                <w:sz w:val="18"/>
                <w:szCs w:val="18"/>
                <w:color w:val="auto"/>
              </w:rPr>
              <w:t>Land</w:t>
            </w:r>
          </w:p>
        </w:tc>
        <w:tc>
          <w:tcPr>
            <w:tcW w:w="242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27</w:t>
            </w:r>
          </w:p>
        </w:tc>
      </w:tr>
      <w:tr>
        <w:trPr>
          <w:trHeight w:val="277"/>
        </w:trPr>
        <w:tc>
          <w:tcPr>
            <w:tcW w:w="6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Construction in progress</w:t>
            </w:r>
          </w:p>
        </w:tc>
        <w:tc>
          <w:tcPr>
            <w:tcW w:w="2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b w:val="1"/>
                <w:bCs w:val="1"/>
                <w:color w:val="auto"/>
              </w:rPr>
              <w:t>621</w:t>
            </w:r>
          </w:p>
        </w:tc>
        <w:tc>
          <w:tcPr>
            <w:tcW w:w="28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823</w:t>
            </w:r>
          </w:p>
        </w:tc>
      </w:tr>
      <w:tr>
        <w:trPr>
          <w:trHeight w:val="277"/>
        </w:trPr>
        <w:tc>
          <w:tcPr>
            <w:tcW w:w="6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2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64"/>
        </w:trPr>
        <w:tc>
          <w:tcPr>
            <w:tcW w:w="626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$47 million, $45 million, and $55 million for fiscal 2015, 2014, and 2013, respectively.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F-37</w:t>
      </w:r>
    </w:p>
    <w:p>
      <w:pPr>
        <w:sectPr>
          <w:pgSz w:w="11900" w:h="16838" w:orient="portrait"/>
          <w:cols w:equalWidth="0" w:num="1">
            <w:col w:w="11400"/>
          </w:cols>
          <w:pgMar w:left="240" w:top="333" w:right="2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313690</wp:posOffset>
            </wp:positionV>
            <wp:extent cx="72123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7—Composition of Certain Financial Statement Captions: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106045</wp:posOffset>
            </wp:positionV>
            <wp:extent cx="16808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p>
      <w:pPr>
        <w:spacing w:after="0" w:line="194"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January 30,</w:t>
      </w:r>
    </w:p>
    <w:p>
      <w:pPr>
        <w:spacing w:after="0" w:line="19"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January 31,</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2014</w:t>
      </w:r>
    </w:p>
    <w:p>
      <w:pPr>
        <w:spacing w:after="0" w:line="69" w:lineRule="exact"/>
        <w:rPr>
          <w:sz w:val="20"/>
          <w:szCs w:val="20"/>
          <w:color w:val="auto"/>
        </w:rPr>
      </w:pPr>
    </w:p>
    <w:p>
      <w:pPr>
        <w:sectPr>
          <w:pgSz w:w="11900" w:h="16838" w:orient="portrait"/>
          <w:cols w:equalWidth="0" w:num="2">
            <w:col w:w="9780" w:space="600"/>
            <w:col w:w="1040"/>
          </w:cols>
          <w:pgMar w:left="240" w:top="333" w:right="239" w:bottom="1440" w:gutter="0" w:footer="0" w:header="0"/>
          <w:type w:val="continuous"/>
        </w:sectPr>
      </w:pPr>
    </w:p>
    <w:p>
      <w:pPr>
        <w:ind w:left="9740"/>
        <w:spacing w:after="0"/>
        <w:rPr>
          <w:sz w:val="20"/>
          <w:szCs w:val="20"/>
          <w:color w:val="auto"/>
        </w:rPr>
      </w:pPr>
      <w:r>
        <w:rPr>
          <w:rFonts w:ascii="Arial" w:cs="Arial" w:eastAsia="Arial" w:hAnsi="Arial"/>
          <w:sz w:val="14"/>
          <w:szCs w:val="14"/>
          <w:color w:val="auto"/>
        </w:rPr>
        <w:t>(in millions)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prepaid expenses and other current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60" w:type="dxa"/>
            <w:vAlign w:val="bottom"/>
          </w:tcPr>
          <w:p>
            <w:pPr>
              <w:ind w:left="180"/>
              <w:spacing w:after="0"/>
              <w:rPr>
                <w:sz w:val="20"/>
                <w:szCs w:val="20"/>
                <w:color w:val="auto"/>
              </w:rPr>
            </w:pPr>
            <w:r>
              <w:rPr>
                <w:rFonts w:ascii="Arial" w:cs="Arial" w:eastAsia="Arial" w:hAnsi="Arial"/>
                <w:sz w:val="18"/>
                <w:szCs w:val="18"/>
                <w:color w:val="auto"/>
              </w:rPr>
              <w:t>Prepaid income taxes and tax refunds receivable</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102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70</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7"/>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r>
      <w:tr>
        <w:trPr>
          <w:trHeight w:val="264"/>
        </w:trPr>
        <w:tc>
          <w:tcPr>
            <w:tcW w:w="77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273</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4"/>
        </w:trPr>
        <w:tc>
          <w:tcPr>
            <w:tcW w:w="776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327</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244</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218</w:t>
            </w:r>
          </w:p>
        </w:tc>
      </w:tr>
      <w:tr>
        <w:trPr>
          <w:trHeight w:val="277"/>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Collections in excess of revenues on uncompleted contracts and deferred revenue</w:t>
            </w: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64"/>
        </w:trPr>
        <w:tc>
          <w:tcPr>
            <w:tcW w:w="77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675</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Accrued payroll and employee benefits:</w:t>
            </w: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4"/>
        </w:trPr>
        <w:tc>
          <w:tcPr>
            <w:tcW w:w="7760" w:type="dxa"/>
            <w:vAlign w:val="bottom"/>
          </w:tcPr>
          <w:p>
            <w:pPr>
              <w:ind w:left="180"/>
              <w:spacing w:after="0"/>
              <w:rPr>
                <w:sz w:val="20"/>
                <w:szCs w:val="20"/>
                <w:color w:val="auto"/>
              </w:rPr>
            </w:pPr>
            <w:r>
              <w:rPr>
                <w:rFonts w:ascii="Arial" w:cs="Arial" w:eastAsia="Arial" w:hAnsi="Arial"/>
                <w:sz w:val="18"/>
                <w:szCs w:val="18"/>
                <w:color w:val="auto"/>
              </w:rPr>
              <w:t>Salaries, bonuses and amounts withheld from employees’ compensation</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138</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Accrued vacation</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123</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77"/>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Accrued contributions to employee benefit plans</w:t>
            </w: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64"/>
        </w:trPr>
        <w:tc>
          <w:tcPr>
            <w:tcW w:w="77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264</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84"/>
        </w:trPr>
        <w:tc>
          <w:tcPr>
            <w:tcW w:w="776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150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Lease related obligations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Accrued pension liabilities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Liabilities for uncertain tax positions</w:t>
            </w:r>
          </w:p>
        </w:tc>
        <w:tc>
          <w:tcPr>
            <w:tcW w:w="150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58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7"/>
        </w:trPr>
        <w:tc>
          <w:tcPr>
            <w:tcW w:w="7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64"/>
        </w:trPr>
        <w:tc>
          <w:tcPr>
            <w:tcW w:w="77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168</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 Instruments and Hedging Activities: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During fiscal 2015, the Company entered into interest rate swap agreements to hedge the fair value with respect to all of the $450 million aggregate principal outstanding on the Company's fixed rate 4.45% notes maturing in December 2020 (the “Notes”). The objective of these instruments is to hedge the Notes against changes in fair value due to the variability in the six-month LIBOR rate (the benchmark interest rate), which effectively converted the debt into floating interest rate debt. Under the terms of the interest rate swap agreements, the Company will receive semi-annual interest payments at the coupon rate of 4.45% and will pay variable interest based on the six-month LIBOR rate. The counterparties to these agreements are financial institutions.</w:t>
      </w:r>
    </w:p>
    <w:p>
      <w:pPr>
        <w:spacing w:after="0" w:line="15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interest rate swaps were accounted for as a fair value hedge of the Notes and qualified for the shortcut method of hedge accounting which allows for the assumption of no ineffectiveness reported in earnings. The resulting changes in the fair value of the interest rate swaps are fully offset by the changes in the fair value of the underlying debt (the hedged item).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F-38</w:t>
      </w:r>
    </w:p>
    <w:p>
      <w:pPr>
        <w:sectPr>
          <w:pgSz w:w="11900" w:h="16838" w:orient="portrait"/>
          <w:cols w:equalWidth="0" w:num="1">
            <w:col w:w="11420"/>
          </w:cols>
          <w:pgMar w:left="240" w:top="333" w:right="239" w:bottom="1440" w:gutter="0" w:footer="0" w:header="0"/>
          <w:type w:val="continuous"/>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fair value of the Notes is stated at an amount that reflects changes in the benchmark interest rate subsequent to the inception of the interest rate swaps through the reporting date. The cash flows associated with the interest rate swaps are classified as operating activities in the consolidated statement of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interest rate swaps and their impact on the related fair value of the debt in the consolidated balance sheet is as follows:</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26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color w:val="auto"/>
              </w:rPr>
              <w:t>Interest rate swaps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Hedged items</w:t>
            </w: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2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center"/>
              <w:ind w:right="82"/>
              <w:spacing w:after="0"/>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rPr>
              <w:t>January 31,</w:t>
            </w:r>
          </w:p>
        </w:tc>
        <w:tc>
          <w:tcPr>
            <w:tcW w:w="2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5"/>
                <w:szCs w:val="15"/>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color w:val="auto"/>
              </w:rPr>
              <w:t>January 31,</w:t>
            </w:r>
          </w:p>
        </w:tc>
      </w:tr>
      <w:tr>
        <w:trPr>
          <w:trHeight w:val="196"/>
        </w:trPr>
        <w:tc>
          <w:tcPr>
            <w:tcW w:w="266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Balance sheet line item</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Balance sheet line item</w:t>
            </w: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2014</w:t>
            </w:r>
          </w:p>
        </w:tc>
      </w:tr>
      <w:tr>
        <w:trPr>
          <w:trHeight w:val="204"/>
        </w:trPr>
        <w:tc>
          <w:tcPr>
            <w:tcW w:w="2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3"/>
          </w:tcPr>
          <w:p>
            <w:pPr>
              <w:ind w:left="840"/>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2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gridSpan w:val="2"/>
          </w:tcPr>
          <w:p>
            <w:pPr>
              <w:jc w:val="right"/>
              <w:ind w:right="179"/>
              <w:spacing w:after="0"/>
              <w:rPr>
                <w:sz w:val="20"/>
                <w:szCs w:val="20"/>
                <w:color w:val="auto"/>
              </w:rPr>
            </w:pPr>
            <w:r>
              <w:rPr>
                <w:rFonts w:ascii="Arial" w:cs="Arial" w:eastAsia="Arial" w:hAnsi="Arial"/>
                <w:sz w:val="18"/>
                <w:szCs w:val="18"/>
                <w:color w:val="auto"/>
              </w:rPr>
              <w:t>Notes payable and long-term debt, net</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26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380" w:type="dxa"/>
            <w:vAlign w:val="bottom"/>
          </w:tcPr>
          <w:p>
            <w:pPr>
              <w:ind w:left="200"/>
              <w:spacing w:after="0"/>
              <w:rPr>
                <w:sz w:val="20"/>
                <w:szCs w:val="20"/>
                <w:color w:val="auto"/>
              </w:rPr>
            </w:pPr>
            <w:r>
              <w:rPr>
                <w:rFonts w:ascii="Arial" w:cs="Arial" w:eastAsia="Arial" w:hAnsi="Arial"/>
                <w:sz w:val="18"/>
                <w:szCs w:val="18"/>
                <w:color w:val="auto"/>
              </w:rPr>
              <w:t>of current portion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2"/>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8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Leidos has a revolving credit facility, which is fully and unconditionally guaranteed by Leidos, Inc. which had provided for $750 million in unsecured borrowing capacity at interest rates determined, at Leidos’ option, based on either LIBOR plus a margin or a defined base rate. During fiscal 2015, the Company amended the credit facility to, among other things, change the ratio of consolidated funded debt to EBITDA that the Company is required to maintain. A pro-rata portion of the unamortized deferred costs related to the prior arrangement was written off at the time of the amendment. The remaining unamortized deferred costs relating to the prior arrangement and the immaterial fee paid to amend the credit facility, which were deferred, will be amortized over the term of the amended credit facility. In connection with the amendment to the credit facility, the Company exercised its right under the credit agreement to voluntarily reduce the combined commitments of the lenders from $750 million to $500 million. The maturity date of the credit facility is March 2017. As of January 30, 2015 and January 31, 2014, there were no borrowings outstanding under the credit facility.</w:t>
      </w:r>
    </w:p>
    <w:p>
      <w:pPr>
        <w:spacing w:after="0" w:line="159"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credit facility contains certain customary representations and warranties, as well as certain affirmative and negative covenants. The financial covenants contained in the amended credit facility require that, for a period of four trailing fiscal quarters, the Company maintains a ratio of consolidated funded debt, including borrowings under this credit facility, to EBITDA (adjusted for certain items as defined in the credit facility) of not more than 4.0 to 1.0 until no later than January 29, 2016 and 3.75 to 1.0 thereafter, and a ratio of EBITDA (adjusted for certain items as defined in the credit facility) to interest expense of greater than 3.5 to 1.0. The Company was in compliance with these financial covenants as of January 30, 2015. A failure by the Company to meet these financial covenants in the future could eliminate the Company’s borrowing capacity under the credit facility.</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available borrowing capacity on the credit facility may vary each quarter based on the trailing four quarters of EBITDA. If the Company's trailing four quarters of EBITDA declines below a certain threshold in relation to outstanding debt, the borrowing capacity available under the credit facility is reduced. The available borrowing capacity based on the results of the Company's trailing four quarters of EBITDA as of January 30, 2015 was approximately $500 million.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Other covenants in the credit facility restrict certain of the Company’s activities, including, among other things, its ability to create liens, dispose of certain assets and merge or consolidate with other entities. The credit facility also contains certain customary events of default, including, among others, defaults based on certain bankruptcy and insolvency events, nonpayment, cross-defaults to other debt, breach of specified covenants, Employee Retirement Income Security Act (ERISA) events, material monetary judgments, change of control events, and the material inaccuracy of the Company’s representations and warranties. In addition, the Company's ability to declare and pay future dividends on Leidos stock may be restricted by the provisions of Delaware law and covenants in the revolving credit facility.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F-39</w:t>
      </w:r>
    </w:p>
    <w:p>
      <w:pPr>
        <w:sectPr>
          <w:pgSz w:w="11900" w:h="16838" w:orient="portrait"/>
          <w:cols w:equalWidth="0" w:num="1">
            <w:col w:w="11400"/>
          </w:cols>
          <w:pgMar w:left="240" w:top="333" w:right="25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Payable and Long-Term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notes payable and long-term debt consisted of the following for the years presented: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color w:val="auto"/>
              </w:rPr>
              <w:t>Stated</w:t>
            </w:r>
          </w:p>
        </w:tc>
        <w:tc>
          <w:tcPr>
            <w:tcW w:w="1300" w:type="dxa"/>
            <w:vAlign w:val="bottom"/>
          </w:tcPr>
          <w:p>
            <w:pPr>
              <w:jc w:val="right"/>
              <w:ind w:right="357"/>
              <w:spacing w:after="0"/>
              <w:rPr>
                <w:sz w:val="20"/>
                <w:szCs w:val="20"/>
                <w:color w:val="auto"/>
              </w:rPr>
            </w:pPr>
            <w:r>
              <w:rPr>
                <w:rFonts w:ascii="Arial" w:cs="Arial" w:eastAsia="Arial" w:hAnsi="Arial"/>
                <w:sz w:val="14"/>
                <w:szCs w:val="14"/>
                <w:color w:val="auto"/>
              </w:rPr>
              <w:t>Effective</w:t>
            </w:r>
          </w:p>
        </w:tc>
        <w:tc>
          <w:tcPr>
            <w:tcW w:w="22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4"/>
                <w:szCs w:val="14"/>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interest rate</w:t>
            </w:r>
          </w:p>
        </w:tc>
        <w:tc>
          <w:tcPr>
            <w:tcW w:w="13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interest rate</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04"/>
        </w:trPr>
        <w:tc>
          <w:tcPr>
            <w:tcW w:w="58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40" w:type="dxa"/>
            <w:vAlign w:val="bottom"/>
            <w:gridSpan w:val="3"/>
          </w:tcPr>
          <w:p>
            <w:pPr>
              <w:jc w:val="right"/>
              <w:ind w:right="693"/>
              <w:spacing w:after="0"/>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860" w:type="dxa"/>
            <w:vAlign w:val="bottom"/>
          </w:tcPr>
          <w:p>
            <w:pPr>
              <w:ind w:left="40"/>
              <w:spacing w:after="0"/>
              <w:rPr>
                <w:sz w:val="20"/>
                <w:szCs w:val="20"/>
                <w:color w:val="auto"/>
              </w:rPr>
            </w:pPr>
            <w:r>
              <w:rPr>
                <w:rFonts w:ascii="Arial" w:cs="Arial" w:eastAsia="Arial" w:hAnsi="Arial"/>
                <w:sz w:val="18"/>
                <w:szCs w:val="18"/>
                <w:color w:val="auto"/>
              </w:rPr>
              <w:t>Leidos Holdings, Inc. senior unsecured notes:</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860" w:type="dxa"/>
            <w:vAlign w:val="bottom"/>
          </w:tcPr>
          <w:p>
            <w:pPr>
              <w:ind w:left="180"/>
              <w:spacing w:after="0"/>
              <w:rPr>
                <w:sz w:val="20"/>
                <w:szCs w:val="20"/>
                <w:color w:val="auto"/>
              </w:rPr>
            </w:pPr>
            <w:r>
              <w:rPr>
                <w:rFonts w:ascii="Arial" w:cs="Arial" w:eastAsia="Arial" w:hAnsi="Arial"/>
                <w:sz w:val="18"/>
                <w:szCs w:val="18"/>
                <w:color w:val="auto"/>
              </w:rPr>
              <w:t>$450 million notes issued in fiscal 2011, which mature in December</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466</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860" w:type="dxa"/>
            <w:vAlign w:val="bottom"/>
          </w:tcPr>
          <w:p>
            <w:pPr>
              <w:ind w:left="34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21"/>
                <w:szCs w:val="21"/>
                <w:color w:val="auto"/>
                <w:vertAlign w:val="superscript"/>
              </w:rPr>
              <w:t>(1)</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4.45%</w:t>
            </w:r>
          </w:p>
        </w:tc>
        <w:tc>
          <w:tcPr>
            <w:tcW w:w="130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3"/>
        </w:trPr>
        <w:tc>
          <w:tcPr>
            <w:tcW w:w="5860" w:type="dxa"/>
            <w:vAlign w:val="bottom"/>
          </w:tcPr>
          <w:p>
            <w:pPr>
              <w:ind w:left="180"/>
              <w:spacing w:after="0" w:line="202" w:lineRule="exact"/>
              <w:rPr>
                <w:sz w:val="20"/>
                <w:szCs w:val="20"/>
                <w:color w:val="auto"/>
              </w:rPr>
            </w:pPr>
            <w:r>
              <w:rPr>
                <w:rFonts w:ascii="Arial" w:cs="Arial" w:eastAsia="Arial" w:hAnsi="Arial"/>
                <w:sz w:val="18"/>
                <w:szCs w:val="18"/>
                <w:color w:val="auto"/>
              </w:rPr>
              <w:t>$300 million notes issued in fiscal 2011, which mature in December</w:t>
            </w:r>
          </w:p>
        </w:tc>
        <w:tc>
          <w:tcPr>
            <w:tcW w:w="1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232</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60" w:type="dxa"/>
            <w:vAlign w:val="bottom"/>
          </w:tcPr>
          <w:p>
            <w:pPr>
              <w:ind w:left="340"/>
              <w:spacing w:after="0"/>
              <w:rPr>
                <w:sz w:val="20"/>
                <w:szCs w:val="20"/>
                <w:color w:val="auto"/>
              </w:rPr>
            </w:pPr>
            <w:r>
              <w:rPr>
                <w:rFonts w:ascii="Arial" w:cs="Arial" w:eastAsia="Arial" w:hAnsi="Arial"/>
                <w:sz w:val="18"/>
                <w:szCs w:val="18"/>
                <w:color w:val="auto"/>
              </w:rPr>
              <w:t>2040</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5.95%</w:t>
            </w:r>
          </w:p>
        </w:tc>
        <w:tc>
          <w:tcPr>
            <w:tcW w:w="1300" w:type="dxa"/>
            <w:vAlign w:val="bottom"/>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Leidos, Inc. senior unsecured notes:</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180"/>
              <w:spacing w:after="0"/>
              <w:rPr>
                <w:sz w:val="20"/>
                <w:szCs w:val="20"/>
                <w:color w:val="auto"/>
              </w:rPr>
            </w:pPr>
            <w:r>
              <w:rPr>
                <w:rFonts w:ascii="Arial" w:cs="Arial" w:eastAsia="Arial" w:hAnsi="Arial"/>
                <w:sz w:val="18"/>
                <w:szCs w:val="18"/>
                <w:color w:val="auto"/>
              </w:rPr>
              <w:t>$250 million notes issued in fiscal 2003, which mature in July 2032</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7.13%</w:t>
            </w:r>
          </w:p>
        </w:tc>
        <w:tc>
          <w:tcPr>
            <w:tcW w:w="130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4"/>
                <w:szCs w:val="24"/>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248</w:t>
            </w:r>
          </w:p>
        </w:tc>
        <w:tc>
          <w:tcPr>
            <w:tcW w:w="28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$300 million notes issued in fiscal 2004, which mature in July 2033</w:t>
            </w:r>
          </w:p>
        </w:tc>
        <w:tc>
          <w:tcPr>
            <w:tcW w:w="1560" w:type="dxa"/>
            <w:vAlign w:val="bottom"/>
          </w:tcPr>
          <w:p>
            <w:pPr>
              <w:jc w:val="right"/>
              <w:ind w:right="135"/>
              <w:spacing w:after="0"/>
              <w:rPr>
                <w:sz w:val="20"/>
                <w:szCs w:val="20"/>
                <w:color w:val="auto"/>
              </w:rPr>
            </w:pPr>
            <w:r>
              <w:rPr>
                <w:rFonts w:ascii="Arial" w:cs="Arial" w:eastAsia="Arial" w:hAnsi="Arial"/>
                <w:sz w:val="18"/>
                <w:szCs w:val="18"/>
                <w:color w:val="auto"/>
              </w:rPr>
              <w:t>5.50%</w:t>
            </w:r>
          </w:p>
        </w:tc>
        <w:tc>
          <w:tcPr>
            <w:tcW w:w="1300" w:type="dxa"/>
            <w:vAlign w:val="bottom"/>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182</w:t>
            </w:r>
          </w:p>
        </w:tc>
        <w:tc>
          <w:tcPr>
            <w:tcW w:w="2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2"/>
        </w:trPr>
        <w:tc>
          <w:tcPr>
            <w:tcW w:w="5860" w:type="dxa"/>
            <w:vAlign w:val="bottom"/>
          </w:tcPr>
          <w:p>
            <w:pPr>
              <w:ind w:left="40"/>
              <w:spacing w:after="0"/>
              <w:rPr>
                <w:sz w:val="20"/>
                <w:szCs w:val="20"/>
                <w:color w:val="auto"/>
              </w:rPr>
            </w:pPr>
            <w:r>
              <w:rPr>
                <w:rFonts w:ascii="Arial" w:cs="Arial" w:eastAsia="Arial" w:hAnsi="Arial"/>
                <w:sz w:val="18"/>
                <w:szCs w:val="18"/>
                <w:color w:val="auto"/>
              </w:rPr>
              <w:t>Capital leases and other notes payable due on various dates through</w:t>
            </w:r>
          </w:p>
        </w:tc>
        <w:tc>
          <w:tcPr>
            <w:tcW w:w="1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vMerge w:val="restart"/>
          </w:tcPr>
          <w:p>
            <w:pPr>
              <w:jc w:val="right"/>
              <w:ind w:right="33"/>
              <w:spacing w:after="0"/>
              <w:rPr>
                <w:sz w:val="20"/>
                <w:szCs w:val="20"/>
                <w:color w:val="auto"/>
              </w:rPr>
            </w:pPr>
            <w:r>
              <w:rPr>
                <w:rFonts w:ascii="Arial" w:cs="Arial" w:eastAsia="Arial" w:hAnsi="Arial"/>
                <w:sz w:val="18"/>
                <w:szCs w:val="18"/>
                <w:b w:val="1"/>
                <w:bCs w:val="1"/>
                <w:color w:val="auto"/>
              </w:rPr>
              <w:t>38</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fiscal 2021</w:t>
            </w:r>
          </w:p>
        </w:tc>
        <w:tc>
          <w:tcPr>
            <w:tcW w:w="156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rPr>
              <w:t>0%-3.7%</w:t>
            </w:r>
          </w:p>
        </w:tc>
        <w:tc>
          <w:tcPr>
            <w:tcW w:w="130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Various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Total notes payable and long-term debt</w:t>
            </w:r>
          </w:p>
        </w:tc>
        <w:tc>
          <w:tcPr>
            <w:tcW w:w="15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b w:val="1"/>
                <w:bCs w:val="1"/>
                <w:color w:val="auto"/>
              </w:rPr>
              <w:t>1,166</w:t>
            </w:r>
          </w:p>
        </w:tc>
        <w:tc>
          <w:tcPr>
            <w:tcW w:w="28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Less current portion</w:t>
            </w:r>
          </w:p>
        </w:tc>
        <w:tc>
          <w:tcPr>
            <w:tcW w:w="15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notes payable and long-term debt, net of current portion</w:t>
            </w:r>
          </w:p>
        </w:tc>
        <w:tc>
          <w:tcPr>
            <w:tcW w:w="1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1,164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Fair value of notes payable and long-term debt</w:t>
            </w:r>
          </w:p>
        </w:tc>
        <w:tc>
          <w:tcPr>
            <w:tcW w:w="1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1,152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0" w:right="360" w:hanging="332"/>
        <w:spacing w:after="0" w:line="258"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 a result of executing the interest rate swap agreements, the carrying value of $466 million includes a fair value adjustment of $17 million attributable to changes in the benchmark interest rate, the six-month LIBOR rate, from the inception of the interest rate swap agreements to January 30, 2015.</w:t>
      </w:r>
    </w:p>
    <w:p>
      <w:pPr>
        <w:spacing w:after="0" w:line="1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fair value of long-term debt is determined based on current interest rates available for debt with terms and maturities, and credit risk similar to the Company’s existing debt arrangements.</w:t>
      </w:r>
    </w:p>
    <w:p>
      <w:pPr>
        <w:spacing w:after="0" w:line="14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Interest is payable on the Company’s senior unsecured notes on a semi-annual basis with principal payments due on maturity. The note discounts, deferred debt issuance costs, and the loss on the settlement of related treasury lock contracts are amortized to interest expense (approximately $1 million was amortized in fiscal 2015), which results in an effective interest rate that is higher than the stated interest rate of the notes. The senior unsecured notes contain customary restrictive covenants, including, among other things, restrictions on the Company’s ability to create liens and enter into sale and leaseback transactions under certain circumstances. The Company was in compliance with all covenants as of January 30, 2015.</w:t>
      </w:r>
    </w:p>
    <w:p>
      <w:pPr>
        <w:spacing w:after="0" w:line="1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fiscal 2015, the Company repurchased in the open market and retired principal amounts of $67 million on its $300 million 5.95% notes issued by Leidos Holdings, Inc. maturing in December 2040 and $116 million on its $300 million 5.50% notes issued by Leidos, Inc. maturing in July 2033. The Company recorded a $ 3 million gain on extinguishment of debt for the Leidos Holdings, Inc. notes and a $2 million gain for the Leidos, Inc. notes as part of the partial repayment of the respective notes. The total combined gain of $5 million represents the difference between the repurchase price of $175 million and the net carrying amount of the notes repurchased less the write-off of a portion of the unamortized debt discount and deferred financing costs on a pro-rata basis to the reduction of debt. The Company recorded the gain (loss) on extinguishment of debt in "Other Income, net" in the Company’s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F-40</w:t>
      </w:r>
    </w:p>
    <w:p>
      <w:pPr>
        <w:sectPr>
          <w:pgSz w:w="11900" w:h="16838" w:orient="portrait"/>
          <w:cols w:equalWidth="0" w:num="1">
            <w:col w:w="11420"/>
          </w:cols>
          <w:pgMar w:left="240" w:top="333"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notes payable and long-term debt are as follows:</w:t>
      </w:r>
    </w:p>
    <w:p>
      <w:pPr>
        <w:spacing w:after="0" w:line="200" w:lineRule="exact"/>
        <w:rPr>
          <w:sz w:val="20"/>
          <w:szCs w:val="20"/>
          <w:color w:val="auto"/>
        </w:rPr>
      </w:pPr>
    </w:p>
    <w:p>
      <w:pPr>
        <w:spacing w:after="0" w:line="3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Year Ending January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92"/>
              <w:spacing w:after="0"/>
              <w:rPr>
                <w:sz w:val="20"/>
                <w:szCs w:val="20"/>
                <w:color w:val="auto"/>
              </w:rPr>
            </w:pPr>
            <w:r>
              <w:rPr>
                <w:rFonts w:ascii="Arial" w:cs="Arial" w:eastAsia="Arial" w:hAnsi="Arial"/>
                <w:sz w:val="14"/>
                <w:szCs w:val="14"/>
                <w:color w:val="auto"/>
              </w:rPr>
              <w:t>(in millions)</w:t>
            </w:r>
          </w:p>
        </w:tc>
      </w:tr>
      <w:tr>
        <w:trPr>
          <w:trHeight w:val="255"/>
        </w:trPr>
        <w:tc>
          <w:tcPr>
            <w:tcW w:w="10160" w:type="dxa"/>
            <w:vAlign w:val="bottom"/>
          </w:tcPr>
          <w:p>
            <w:pPr>
              <w:jc w:val="right"/>
              <w:spacing w:after="0"/>
              <w:rPr>
                <w:sz w:val="20"/>
                <w:szCs w:val="20"/>
                <w:color w:val="auto"/>
              </w:rPr>
            </w:pPr>
            <w:r>
              <w:rPr>
                <w:rFonts w:ascii="Arial" w:cs="Arial" w:eastAsia="Arial" w:hAnsi="Arial"/>
                <w:sz w:val="18"/>
                <w:szCs w:val="18"/>
                <w:color w:val="auto"/>
              </w:rPr>
              <w:t>2016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57"/>
        </w:trPr>
        <w:tc>
          <w:tcPr>
            <w:tcW w:w="10160" w:type="dxa"/>
            <w:vAlign w:val="bottom"/>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64"/>
        </w:trPr>
        <w:tc>
          <w:tcPr>
            <w:tcW w:w="10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 and thereafter</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1,159</w:t>
            </w:r>
          </w:p>
        </w:tc>
      </w:tr>
      <w:tr>
        <w:trPr>
          <w:trHeight w:val="243"/>
        </w:trPr>
        <w:tc>
          <w:tcPr>
            <w:tcW w:w="10160" w:type="dxa"/>
            <w:vAlign w:val="bottom"/>
          </w:tcPr>
          <w:p>
            <w:pPr>
              <w:jc w:val="right"/>
              <w:ind w:right="8110"/>
              <w:spacing w:after="0"/>
              <w:rPr>
                <w:sz w:val="20"/>
                <w:szCs w:val="20"/>
                <w:color w:val="auto"/>
              </w:rPr>
            </w:pPr>
            <w:r>
              <w:rPr>
                <w:rFonts w:ascii="Arial" w:cs="Arial" w:eastAsia="Arial" w:hAnsi="Arial"/>
                <w:sz w:val="18"/>
                <w:szCs w:val="18"/>
                <w:color w:val="auto"/>
                <w:w w:val="99"/>
              </w:rPr>
              <w:t>Total principal payments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1,171</w:t>
            </w:r>
          </w:p>
        </w:tc>
      </w:tr>
      <w:tr>
        <w:trPr>
          <w:trHeight w:val="264"/>
        </w:trPr>
        <w:tc>
          <w:tcPr>
            <w:tcW w:w="10160" w:type="dxa"/>
            <w:vAlign w:val="bottom"/>
            <w:tcBorders>
              <w:bottom w:val="single" w:sz="8" w:color="auto"/>
            </w:tcBorders>
          </w:tcPr>
          <w:p>
            <w:pPr>
              <w:jc w:val="right"/>
              <w:ind w:right="7650"/>
              <w:spacing w:after="0"/>
              <w:rPr>
                <w:sz w:val="20"/>
                <w:szCs w:val="20"/>
                <w:color w:val="auto"/>
              </w:rPr>
            </w:pPr>
            <w:r>
              <w:rPr>
                <w:rFonts w:ascii="Arial" w:cs="Arial" w:eastAsia="Arial" w:hAnsi="Arial"/>
                <w:sz w:val="18"/>
                <w:szCs w:val="18"/>
                <w:color w:val="auto"/>
              </w:rPr>
              <w:t>Less unamortized discount</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50"/>
        </w:trPr>
        <w:tc>
          <w:tcPr>
            <w:tcW w:w="10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Leidos, Inc. has fully and unconditionally guaranteed the obligations of Leidos under its $450 million 4.45% notes and $300 million 5.95% notes. These notes have been reflected as debt of Leidos, Inc. in these consolidated financial statements. Leidos, Inc. has fully and unconditionally guaranteed any borrowings under Leidos’ amended and restated revolving credit facility maturing in fiscal 2018. Leidos has fully and unconditionally guaranteed the obligations of Leidos, Inc. under its $300 million 5.5% notes and $250 million 7.13% notes.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Leidos and Leidos, Inc. have a related party note in connection with a loan of cash between the entities, which is adjusted to reflect issuances of stock by Leidos to employees of Leidos, Inc. and its subsidiaries and Leidos, Inc.’s payment of certain obligations on behalf of Leidos. The related party note bears interest based on LIBOR plus a market-based premium. Portions of the related party note may be repaid at any time. The note automatically extends for successive one-year periods unless either Leidos or Leidos, Inc. provides prior notice to the other party. As of January 30, 2015 and January 31, 2014, the note receivable from Leidos Holdings, Inc. to Leidos, Inc. was $ 1.4 billion and 1.1 billion, respectively. The note receivable also includes the distribution of the assets and liabilities of New SAIC of $736 million that occurred at the time of the separation in September 2013.</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F-41</w:t>
      </w:r>
    </w:p>
    <w:p>
      <w:pPr>
        <w:sectPr>
          <w:pgSz w:w="11900" w:h="16838" w:orient="portrait"/>
          <w:cols w:equalWidth="0" w:num="1">
            <w:col w:w="11420"/>
          </w:cols>
          <w:pgMar w:left="240" w:top="333" w:right="2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11—Accumulated Other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92075</wp:posOffset>
            </wp:positionV>
            <wp:extent cx="1663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218"/>
              <w:spacing w:after="0"/>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4"/>
                <w:szCs w:val="14"/>
                <w:color w:val="auto"/>
              </w:rPr>
            </w:pPr>
          </w:p>
        </w:tc>
        <w:tc>
          <w:tcPr>
            <w:tcW w:w="1080" w:type="dxa"/>
            <w:vAlign w:val="bottom"/>
          </w:tcPr>
          <w:p>
            <w:pPr>
              <w:jc w:val="right"/>
              <w:ind w:right="196"/>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204"/>
        </w:trPr>
        <w:tc>
          <w:tcPr>
            <w:tcW w:w="8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3"/>
          </w:tcPr>
          <w:p>
            <w:pPr>
              <w:jc w:val="right"/>
              <w:ind w:right="856"/>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41"/>
        </w:trPr>
        <w:tc>
          <w:tcPr>
            <w:tcW w:w="874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 net of taxes of $0 million and $(1) million as of January 30, 2015</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8740" w:type="dxa"/>
            <w:vAlign w:val="bottom"/>
          </w:tcPr>
          <w:p>
            <w:pPr>
              <w:ind w:left="200"/>
              <w:spacing w:after="0"/>
              <w:rPr>
                <w:sz w:val="20"/>
                <w:szCs w:val="20"/>
                <w:color w:val="auto"/>
              </w:rPr>
            </w:pPr>
            <w:r>
              <w:rPr>
                <w:rFonts w:ascii="Arial" w:cs="Arial" w:eastAsia="Arial" w:hAnsi="Arial"/>
                <w:sz w:val="18"/>
                <w:szCs w:val="18"/>
                <w:color w:val="auto"/>
              </w:rPr>
              <w:t>and January 31, 2014, respectively</w:t>
            </w:r>
          </w:p>
        </w:tc>
        <w:tc>
          <w:tcPr>
            <w:tcW w:w="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8740" w:type="dxa"/>
            <w:vAlign w:val="bottom"/>
          </w:tcPr>
          <w:p>
            <w:pPr>
              <w:ind w:left="40"/>
              <w:spacing w:after="0"/>
              <w:rPr>
                <w:sz w:val="20"/>
                <w:szCs w:val="20"/>
                <w:color w:val="auto"/>
              </w:rPr>
            </w:pPr>
            <w:r>
              <w:rPr>
                <w:rFonts w:ascii="Arial" w:cs="Arial" w:eastAsia="Arial" w:hAnsi="Arial"/>
                <w:sz w:val="18"/>
                <w:szCs w:val="18"/>
                <w:color w:val="auto"/>
              </w:rPr>
              <w:t>Unrecognized net loss on settled derivative instruments associated with outstanding debt, net of taxes of $3</w:t>
            </w:r>
          </w:p>
        </w:tc>
        <w:tc>
          <w:tcPr>
            <w:tcW w:w="200" w:type="dxa"/>
            <w:vAlign w:val="bottom"/>
          </w:tcPr>
          <w:p>
            <w:pPr>
              <w:spacing w:after="0"/>
              <w:rPr>
                <w:sz w:val="21"/>
                <w:szCs w:val="21"/>
                <w:color w:val="auto"/>
              </w:rPr>
            </w:pPr>
          </w:p>
        </w:tc>
        <w:tc>
          <w:tcPr>
            <w:tcW w:w="114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740" w:type="dxa"/>
            <w:vAlign w:val="bottom"/>
          </w:tcPr>
          <w:p>
            <w:pPr>
              <w:ind w:left="200"/>
              <w:spacing w:after="0"/>
              <w:rPr>
                <w:sz w:val="20"/>
                <w:szCs w:val="20"/>
                <w:color w:val="auto"/>
              </w:rPr>
            </w:pPr>
            <w:r>
              <w:rPr>
                <w:rFonts w:ascii="Arial" w:cs="Arial" w:eastAsia="Arial" w:hAnsi="Arial"/>
                <w:sz w:val="18"/>
                <w:szCs w:val="18"/>
                <w:color w:val="auto"/>
              </w:rPr>
              <w:t>million as of January 30, 2015 and January 31, 2014, respectively</w:t>
            </w: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2"/>
        </w:trPr>
        <w:tc>
          <w:tcPr>
            <w:tcW w:w="8740" w:type="dxa"/>
            <w:vAlign w:val="bottom"/>
          </w:tcPr>
          <w:p>
            <w:pPr>
              <w:ind w:left="40"/>
              <w:spacing w:after="0"/>
              <w:rPr>
                <w:sz w:val="20"/>
                <w:szCs w:val="20"/>
                <w:color w:val="auto"/>
              </w:rPr>
            </w:pPr>
            <w:r>
              <w:rPr>
                <w:rFonts w:ascii="Arial" w:cs="Arial" w:eastAsia="Arial" w:hAnsi="Arial"/>
                <w:sz w:val="18"/>
                <w:szCs w:val="18"/>
                <w:color w:val="auto"/>
              </w:rPr>
              <w:t>Unrecognized loss on defined benefit plan, net of taxes of $5 million and $2 million as of January 30, 2015</w:t>
            </w:r>
          </w:p>
        </w:tc>
        <w:tc>
          <w:tcPr>
            <w:tcW w:w="200" w:type="dxa"/>
            <w:vAlign w:val="bottom"/>
          </w:tcPr>
          <w:p>
            <w:pPr>
              <w:spacing w:after="0"/>
              <w:rPr>
                <w:sz w:val="21"/>
                <w:szCs w:val="21"/>
                <w:color w:val="auto"/>
              </w:rPr>
            </w:pPr>
          </w:p>
        </w:tc>
        <w:tc>
          <w:tcPr>
            <w:tcW w:w="114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 January 31, 2014, respectively</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8740" w:type="dxa"/>
            <w:vAlign w:val="bottom"/>
          </w:tcPr>
          <w:p>
            <w:pPr>
              <w:ind w:left="40"/>
              <w:spacing w:after="0"/>
              <w:rPr>
                <w:sz w:val="20"/>
                <w:szCs w:val="20"/>
                <w:color w:val="auto"/>
              </w:rPr>
            </w:pPr>
            <w:r>
              <w:rPr>
                <w:rFonts w:ascii="Arial" w:cs="Arial" w:eastAsia="Arial" w:hAnsi="Arial"/>
                <w:sz w:val="18"/>
                <w:szCs w:val="18"/>
                <w:color w:val="auto"/>
              </w:rPr>
              <w:t>Total accumulated other comprehensive loss, net of taxes of $8 million and $4 million as of January 30, 2015</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 January 31, 2014, respectively</w:t>
            </w:r>
          </w:p>
        </w:tc>
        <w:tc>
          <w:tcPr>
            <w:tcW w:w="20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Reclassifications from other comprehensive income to net income, relating to foreign currency translation adjustments, unrecognized net gain (loss) on settled derivative instruments associated with outstanding debt and the unrecognized net gain (loss) on defined benefit plan for the years ended January 30, 2015 and January 31, 2014, respectively, were not material. Reclassifications for foreign currency translation adjustments and unrecognized gain (loss) on settled derivative instruments associated with outstanding debt are recorded in other income, net, and reclassifications for unrecognized net gain (loss) on defined benefit plan is recorded in selling, general and administrative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12—(Loss) Earnings Per Share (EPS):</w:t>
      </w:r>
    </w:p>
    <w:p>
      <w:pPr>
        <w:spacing w:after="0" w:line="193"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Company is required to allocate a portion of its earnings to its unvested stock awards containing nonforfeitable rights to dividends or dividend equivalents (participating securities) in calculating EPS using the two-class method.</w:t>
      </w:r>
    </w:p>
    <w:p>
      <w:pPr>
        <w:spacing w:after="0" w:line="14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Unvested stock awards granted prior to fiscal 2013 are participating securities requiring application of the two-class method. In fiscal 2013, the Company began issuing unvested stock awards that have forfeitable rights to dividends or dividend equivalents. These stock awards are not participating securities requiring application of the two-class method but are dilutive common share equivalents subject to the treasury stock method. Basic EPS is computed by dividing income less earnings allocable to participating securities by the basic weighted average number of shares outstanding. Diluted EPS is computed similar to basic EPS, except the weighted average number of shares outstanding is increased to include the dilutive effect of outstanding stock options and other stock-based awards.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F-42</w:t>
      </w:r>
    </w:p>
    <w:p>
      <w:pPr>
        <w:sectPr>
          <w:pgSz w:w="11900" w:h="16838" w:orient="portrait"/>
          <w:cols w:equalWidth="0" w:num="1">
            <w:col w:w="11400"/>
          </w:cols>
          <w:pgMar w:left="240" w:top="333" w:right="25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(loss) income used to compute basic and diluted EPS for the years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5"/>
                <w:szCs w:val="15"/>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Basic EPS: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as reported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323</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allocation of distributed and undistributed earnings to participating securities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 for computing basic EPS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316</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Net (loss) income, as reported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525</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allocation of distributed and undistributed earnings to participating securities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(loss) income, for computing basic EPS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514</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40"/>
              <w:spacing w:after="0"/>
              <w:rPr>
                <w:sz w:val="20"/>
                <w:szCs w:val="20"/>
                <w:color w:val="auto"/>
              </w:rPr>
            </w:pPr>
            <w:r>
              <w:rPr>
                <w:rFonts w:ascii="Arial" w:cs="Arial" w:eastAsia="Arial" w:hAnsi="Arial"/>
                <w:sz w:val="18"/>
                <w:szCs w:val="18"/>
                <w:color w:val="auto"/>
              </w:rPr>
              <w:t>(Loss) income from continuing operations, as reported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323</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allocation of distributed and undistributed earnings to participating securities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(Loss) income from continuing operations, for computing diluted EPS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316</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Net (loss) income, as reported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525</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allocation of distributed and undistributed earnings to participating securities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(loss) income, for computing diluted EPS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514</w:t>
            </w:r>
          </w:p>
        </w:tc>
      </w:tr>
    </w:tbl>
    <w:p>
      <w:pPr>
        <w:spacing w:after="0" w:line="2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provides a reconciliation of the weighted average number of shares outstanding used to compute basic and diluted EPS for the years presented. The presentation gives effect to the one-for-four reverse stock split which occurred after market close on September 27,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rPr>
              <w:t>Year Ended</w:t>
            </w:r>
          </w:p>
        </w:tc>
        <w:tc>
          <w:tcPr>
            <w:tcW w:w="1240" w:type="dxa"/>
            <w:vAlign w:val="bottom"/>
            <w:tcBorders>
              <w:bottom w:val="single" w:sz="8" w:color="auto"/>
            </w:tcBorders>
          </w:tcPr>
          <w:p>
            <w:pPr>
              <w:spacing w:after="0"/>
              <w:rPr>
                <w:sz w:val="15"/>
                <w:szCs w:val="15"/>
                <w:color w:val="auto"/>
              </w:rPr>
            </w:pPr>
          </w:p>
        </w:tc>
      </w:tr>
      <w:tr>
        <w:trPr>
          <w:trHeight w:val="175"/>
        </w:trPr>
        <w:tc>
          <w:tcPr>
            <w:tcW w:w="7440" w:type="dxa"/>
            <w:vAlign w:val="bottom"/>
          </w:tcPr>
          <w:p>
            <w:pPr>
              <w:spacing w:after="0"/>
              <w:rPr>
                <w:sz w:val="15"/>
                <w:szCs w:val="15"/>
                <w:color w:val="auto"/>
              </w:rPr>
            </w:pPr>
          </w:p>
        </w:tc>
        <w:tc>
          <w:tcPr>
            <w:tcW w:w="1380" w:type="dxa"/>
            <w:vAlign w:val="bottom"/>
          </w:tcPr>
          <w:p>
            <w:pPr>
              <w:jc w:val="right"/>
              <w:ind w:right="297"/>
              <w:spacing w:after="0"/>
              <w:rPr>
                <w:sz w:val="20"/>
                <w:szCs w:val="20"/>
                <w:color w:val="auto"/>
              </w:rPr>
            </w:pPr>
            <w:r>
              <w:rPr>
                <w:rFonts w:ascii="Arial" w:cs="Arial" w:eastAsia="Arial" w:hAnsi="Arial"/>
                <w:sz w:val="14"/>
                <w:szCs w:val="14"/>
                <w:b w:val="1"/>
                <w:bCs w:val="1"/>
                <w:color w:val="auto"/>
              </w:rPr>
              <w:t>January 30,</w:t>
            </w:r>
          </w:p>
        </w:tc>
        <w:tc>
          <w:tcPr>
            <w:tcW w:w="1360" w:type="dxa"/>
            <w:vAlign w:val="bottom"/>
          </w:tcPr>
          <w:p>
            <w:pPr>
              <w:jc w:val="center"/>
              <w:ind w:right="60"/>
              <w:spacing w:after="0"/>
              <w:rPr>
                <w:sz w:val="20"/>
                <w:szCs w:val="20"/>
                <w:color w:val="auto"/>
              </w:rPr>
            </w:pPr>
            <w:r>
              <w:rPr>
                <w:rFonts w:ascii="Arial" w:cs="Arial" w:eastAsia="Arial" w:hAnsi="Arial"/>
                <w:sz w:val="14"/>
                <w:szCs w:val="14"/>
                <w:color w:val="auto"/>
              </w:rPr>
              <w:t>January 31,</w:t>
            </w:r>
          </w:p>
        </w:tc>
        <w:tc>
          <w:tcPr>
            <w:tcW w:w="1240" w:type="dxa"/>
            <w:vAlign w:val="bottom"/>
          </w:tcPr>
          <w:p>
            <w:pPr>
              <w:jc w:val="right"/>
              <w:ind w:right="177"/>
              <w:spacing w:after="0"/>
              <w:rPr>
                <w:sz w:val="20"/>
                <w:szCs w:val="20"/>
                <w:color w:val="auto"/>
              </w:rPr>
            </w:pPr>
            <w:r>
              <w:rPr>
                <w:rFonts w:ascii="Arial" w:cs="Arial" w:eastAsia="Arial" w:hAnsi="Arial"/>
                <w:sz w:val="14"/>
                <w:szCs w:val="14"/>
                <w:color w:val="auto"/>
              </w:rPr>
              <w:t>January 31,</w:t>
            </w:r>
          </w:p>
        </w:tc>
      </w:tr>
      <w:tr>
        <w:trPr>
          <w:trHeight w:val="196"/>
        </w:trPr>
        <w:tc>
          <w:tcPr>
            <w:tcW w:w="7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rPr>
              <w:t>2014</w:t>
            </w: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2013</w:t>
            </w:r>
          </w:p>
        </w:tc>
      </w:tr>
      <w:tr>
        <w:trPr>
          <w:trHeight w:val="204"/>
        </w:trPr>
        <w:tc>
          <w:tcPr>
            <w:tcW w:w="7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jc w:val="center"/>
              <w:ind w:right="40"/>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7"/>
                <w:szCs w:val="17"/>
                <w:color w:val="auto"/>
              </w:rPr>
            </w:pPr>
          </w:p>
        </w:tc>
      </w:tr>
      <w:tr>
        <w:trPr>
          <w:trHeight w:val="269"/>
        </w:trPr>
        <w:tc>
          <w:tcPr>
            <w:tcW w:w="7440" w:type="dxa"/>
            <w:vAlign w:val="bottom"/>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1380" w:type="dxa"/>
            <w:vAlign w:val="bottom"/>
          </w:tcPr>
          <w:p>
            <w:pPr>
              <w:jc w:val="right"/>
              <w:ind w:right="157"/>
              <w:spacing w:after="0"/>
              <w:rPr>
                <w:sz w:val="20"/>
                <w:szCs w:val="20"/>
                <w:color w:val="auto"/>
              </w:rPr>
            </w:pPr>
            <w:r>
              <w:rPr>
                <w:rFonts w:ascii="Arial" w:cs="Arial" w:eastAsia="Arial" w:hAnsi="Arial"/>
                <w:sz w:val="18"/>
                <w:szCs w:val="18"/>
                <w:b w:val="1"/>
                <w:bCs w:val="1"/>
                <w:color w:val="auto"/>
              </w:rPr>
              <w:t>74</w:t>
            </w:r>
          </w:p>
        </w:tc>
        <w:tc>
          <w:tcPr>
            <w:tcW w:w="1360" w:type="dxa"/>
            <w:vAlign w:val="bottom"/>
          </w:tcPr>
          <w:p>
            <w:pPr>
              <w:jc w:val="right"/>
              <w:ind w:right="140"/>
              <w:spacing w:after="0"/>
              <w:rPr>
                <w:sz w:val="20"/>
                <w:szCs w:val="20"/>
                <w:color w:val="auto"/>
              </w:rPr>
            </w:pPr>
            <w:r>
              <w:rPr>
                <w:rFonts w:ascii="Arial" w:cs="Arial" w:eastAsia="Arial" w:hAnsi="Arial"/>
                <w:sz w:val="18"/>
                <w:szCs w:val="18"/>
                <w:color w:val="auto"/>
              </w:rPr>
              <w:t>83</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83</w:t>
            </w:r>
          </w:p>
        </w:tc>
      </w:tr>
      <w:tr>
        <w:trPr>
          <w:trHeight w:val="277"/>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Dilutive common share equivalents—stock options and other stock awards</w:t>
            </w: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13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74</w:t>
            </w:r>
          </w:p>
        </w:tc>
        <w:tc>
          <w:tcPr>
            <w:tcW w:w="136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83</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F-43</w:t>
      </w:r>
    </w:p>
    <w:p>
      <w:pPr>
        <w:sectPr>
          <w:pgSz w:w="11900" w:h="16838" w:orient="portrait"/>
          <w:cols w:equalWidth="0" w:num="1">
            <w:col w:w="11420"/>
          </w:cols>
          <w:pgMar w:left="240" w:top="333"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for the years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00" w:type="dxa"/>
            <w:vAlign w:val="bottom"/>
          </w:tcPr>
          <w:p>
            <w:pPr>
              <w:jc w:val="right"/>
              <w:ind w:right="216"/>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(Loss)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0.10</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0.96</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2.38</w:t>
            </w:r>
          </w:p>
        </w:tc>
      </w:tr>
      <w:tr>
        <w:trPr>
          <w:trHeight w:val="264"/>
        </w:trPr>
        <w:tc>
          <w:tcPr>
            <w:tcW w:w="7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(Loss) income from continuing operations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0.98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Income from discontinued operations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0.10</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0.96</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2.38</w:t>
            </w:r>
          </w:p>
        </w:tc>
      </w:tr>
      <w:tr>
        <w:trPr>
          <w:trHeight w:val="264"/>
        </w:trPr>
        <w:tc>
          <w:tcPr>
            <w:tcW w:w="7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1.94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6.19</w:t>
            </w:r>
          </w:p>
        </w:tc>
      </w:tr>
    </w:tbl>
    <w:p>
      <w:pPr>
        <w:spacing w:after="0" w:line="2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the year ended January 30, 2015, all outstanding common stock equivalents were excluded in the computation of diluted (loss) per share because their effect would have been anti-dilutive due to the net loss for the period.</w:t>
      </w:r>
    </w:p>
    <w:p>
      <w:pPr>
        <w:spacing w:after="0" w:line="1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the year ended January 31, 2014, the declared dividends exceeded current year earnings. Therefore, the Company was in a loss position for computing diluted (loss) per share and all outstanding common stock equivalents were excluded in the computation because their effect would have been anti-dilutive.</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anti-dilutive stock-based awards were excluded from the weighted average number of shares outstanding used to compute basic and diluted EPS for the years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Year Ended</w:t>
            </w:r>
          </w:p>
        </w:tc>
        <w:tc>
          <w:tcPr>
            <w:tcW w:w="1240" w:type="dxa"/>
            <w:vAlign w:val="bottom"/>
            <w:tcBorders>
              <w:bottom w:val="single" w:sz="8" w:color="auto"/>
            </w:tcBorders>
          </w:tcPr>
          <w:p>
            <w:pPr>
              <w:spacing w:after="0"/>
              <w:rPr>
                <w:sz w:val="15"/>
                <w:szCs w:val="15"/>
                <w:color w:val="auto"/>
              </w:rPr>
            </w:pPr>
          </w:p>
        </w:tc>
      </w:tr>
      <w:tr>
        <w:trPr>
          <w:trHeight w:val="175"/>
        </w:trPr>
        <w:tc>
          <w:tcPr>
            <w:tcW w:w="7440" w:type="dxa"/>
            <w:vAlign w:val="bottom"/>
          </w:tcPr>
          <w:p>
            <w:pPr>
              <w:spacing w:after="0"/>
              <w:rPr>
                <w:sz w:val="15"/>
                <w:szCs w:val="15"/>
                <w:color w:val="auto"/>
              </w:rPr>
            </w:pPr>
          </w:p>
        </w:tc>
        <w:tc>
          <w:tcPr>
            <w:tcW w:w="1020" w:type="dxa"/>
            <w:vAlign w:val="bottom"/>
          </w:tcPr>
          <w:p>
            <w:pPr>
              <w:jc w:val="center"/>
              <w:ind w:left="128"/>
              <w:spacing w:after="0"/>
              <w:rPr>
                <w:sz w:val="20"/>
                <w:szCs w:val="20"/>
                <w:color w:val="auto"/>
              </w:rPr>
            </w:pPr>
            <w:r>
              <w:rPr>
                <w:rFonts w:ascii="Arial" w:cs="Arial" w:eastAsia="Arial" w:hAnsi="Arial"/>
                <w:sz w:val="14"/>
                <w:szCs w:val="14"/>
                <w:b w:val="1"/>
                <w:bCs w:val="1"/>
                <w:color w:val="auto"/>
              </w:rPr>
              <w:t>January 30,</w:t>
            </w:r>
          </w:p>
        </w:tc>
        <w:tc>
          <w:tcPr>
            <w:tcW w:w="360" w:type="dxa"/>
            <w:vAlign w:val="bottom"/>
          </w:tcPr>
          <w:p>
            <w:pPr>
              <w:spacing w:after="0"/>
              <w:rPr>
                <w:sz w:val="15"/>
                <w:szCs w:val="15"/>
                <w:color w:val="auto"/>
              </w:rPr>
            </w:pPr>
          </w:p>
        </w:tc>
        <w:tc>
          <w:tcPr>
            <w:tcW w:w="1360" w:type="dxa"/>
            <w:vAlign w:val="bottom"/>
          </w:tcPr>
          <w:p>
            <w:pPr>
              <w:jc w:val="center"/>
              <w:ind w:right="62"/>
              <w:spacing w:after="0"/>
              <w:rPr>
                <w:sz w:val="20"/>
                <w:szCs w:val="20"/>
                <w:color w:val="auto"/>
              </w:rPr>
            </w:pPr>
            <w:r>
              <w:rPr>
                <w:rFonts w:ascii="Arial" w:cs="Arial" w:eastAsia="Arial" w:hAnsi="Arial"/>
                <w:sz w:val="14"/>
                <w:szCs w:val="14"/>
                <w:color w:val="auto"/>
              </w:rPr>
              <w:t>January 31,</w:t>
            </w: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January 31,</w:t>
            </w:r>
          </w:p>
        </w:tc>
      </w:tr>
      <w:tr>
        <w:trPr>
          <w:trHeight w:val="196"/>
        </w:trPr>
        <w:tc>
          <w:tcPr>
            <w:tcW w:w="84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2014</w:t>
            </w: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2013</w:t>
            </w:r>
          </w:p>
        </w:tc>
      </w:tr>
      <w:tr>
        <w:trPr>
          <w:trHeight w:val="204"/>
        </w:trPr>
        <w:tc>
          <w:tcPr>
            <w:tcW w:w="7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jc w:val="center"/>
              <w:ind w:right="42"/>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7"/>
                <w:szCs w:val="17"/>
                <w:color w:val="auto"/>
              </w:rPr>
            </w:pPr>
          </w:p>
        </w:tc>
      </w:tr>
      <w:tr>
        <w:trPr>
          <w:trHeight w:val="276"/>
        </w:trPr>
        <w:tc>
          <w:tcPr>
            <w:tcW w:w="8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Stock options excluded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4</w:t>
            </w:r>
          </w:p>
        </w:tc>
        <w:tc>
          <w:tcPr>
            <w:tcW w:w="136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5</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w:t>
            </w:r>
          </w:p>
        </w:tc>
      </w:tr>
      <w:tr>
        <w:trPr>
          <w:trHeight w:val="264"/>
        </w:trPr>
        <w:tc>
          <w:tcPr>
            <w:tcW w:w="8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Vesting stock awards excluded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3</w:t>
            </w:r>
          </w:p>
        </w:tc>
        <w:tc>
          <w:tcPr>
            <w:tcW w:w="136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3</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r>
    </w:tbl>
    <w:p>
      <w:pPr>
        <w:spacing w:after="0" w:line="37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2015, the Company entered into an Accelerated Share Repurchase agreement with a financial institution to repurchase shares of its outstanding common stock for an aggregate purchase price of $200 million. The Company paid $200 million to the financial institution and received an initial delivery of 4.5 million shares of its outstanding shares of common stock for an aggregate value of approximately $168 million. The final delivery consisted of approximately 0.8 million shares for a total value of approximately $32 million under the program and was completed in fiscal 2015. The purchase was allocated between additional paid in capital and retained earnings. All shares delivered were immediately retired. The total amount of shares delivered by the financial institution were adjusted by the volume weighted average price of the Company's stock over the valuation period specified in the ASR.</w:t>
      </w:r>
    </w:p>
    <w:p>
      <w:pPr>
        <w:spacing w:after="0" w:line="15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fiscal 2014, the Company entered into an Accelerated Share Repurchase ("ASR") agreement with a different financial institution to repurchase shares of its outstanding common stock for an aggregate purchase price of $300 million. During the fourth quarter of fiscal 2014, the Company paid $300 million to the financial institution and received an initial delivery of 5.6 million shares of its outstanding shares of common stock for an aggregate value of $255 million. The remaining $45 million was recorded as a forward contract at January 31, 2014 indexed to the Company's common stock in additional paid in capital. The final delivery of approximately 1.0 million shares for a total value of $45 million under the program was completed during the first quarter of fiscal 2015. The purchase was allocated between additional paid in capital and retained earnings. All shares delivered were immediately retired.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F-44</w:t>
      </w:r>
    </w:p>
    <w:p>
      <w:pPr>
        <w:sectPr>
          <w:pgSz w:w="11900" w:h="16838" w:orient="portrait"/>
          <w:cols w:equalWidth="0" w:num="1">
            <w:col w:w="11420"/>
          </w:cols>
          <w:pgMar w:left="240" w:top="333"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total amount of shares delivered by the financial institution were adjusted by the volume weighted average price of the Company's stock over the valuation period specified in the ASR.</w:t>
      </w:r>
    </w:p>
    <w:p>
      <w:pPr>
        <w:spacing w:after="0" w:line="14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delivery of 6.3 million and 5.6 million shares of Leidos common stock related to ASR purchases for the year ended January 30, 2015 and January 31, 2014, respectively, reduced the Company's outstanding shares used to determine the weighted average shares outstanding for purposes of calculating basic and diluted EPS for the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Plan Summaries. </w:t>
      </w:r>
      <w:r>
        <w:rPr>
          <w:rFonts w:ascii="Arial" w:cs="Arial" w:eastAsia="Arial" w:hAnsi="Arial"/>
          <w:sz w:val="18"/>
          <w:szCs w:val="18"/>
          <w:color w:val="auto"/>
        </w:rPr>
        <w:t>At January 30, 2015, the Company had stock-based compensation awards outstanding under the following plans: the 2006</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Incentive Plan, the Management Stock Compensation Plan, the Stock Compensation Plan and the 2006 Employee Stock Purchase Plan ("ESPP"). Leidos issues new shares upon the issuance of stock awards, vesting of stock units or exercise of stock options under these plans.</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2006 Equity Incentive Plan provides the Company’s and its affiliates’ employees, directors and consultants the opportunity to receive various types of stock-based compensation and cash awards. As of January 30, 2015, the Company has issued stock options, vested stock awards, restricted stock awards including restricted stock units ("vesting stock"), performance-based awards and cash awards under this plan. The 2006 Equity Incentive Plan provides that in the event of the Company’s merger with or into another corporation, a sale of substantially all of its assets or the transfer of more than 50% of Leidos' outstanding shares by tender offer or similar transaction, the successor entity may assume or substitute all outstanding awards. If the successor entity does not assume or substitute all outstanding awards, the vesting of all awards will accelerate and any repurchase rights on awards will terminate. If a successor entity assumes or substitutes all awards and a participant is involuntarily terminated by the successor entity for any reason other than death, disability or cause within 18 months following the change of control, all outstanding awards of the terminated participant will immediately vest and be exercisable for a period of six months following termination. In the event of a change of control, the vesting of all awards held by non-employee directors of the Company will accelerate. Stock awards granted under the plan prior to fiscal 2015 generally vest or become exercisable 20% a year for the first three years and 40% in the fourth year. In fiscal 2015, the Company began granting awards that generally vest or become exercisable 25% a year over four years. As of January 30, 2015, 3.8 million shares of Leidos' stock were reserved for future issuance under the 2006 Equity Incentive Plan.</w:t>
      </w:r>
    </w:p>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has a Management Stock Compensation Plan and a Stock Compensation Plan, together referred to as the Stock Compensation Plans. The board of directors may at any time amend or terminate the Stock Compensation Plans. The Stock Compensation Plans provide for awards in share units to eligible employees. Benefits from these plans are payable in shares of Leidos' stock that are held in a trust for the purpose of funding benefit payments to the plans’ participants. The fair value of the awards granted under the Stock Compensation Plans, which are vesting share unit awards, is based on the fair value of the award on the date of grant. Compensation expense is measured at grant date and generally recognized over the vesting period of four years. Awards granted vest 100% after four years following the date of the award. Upon a change in control of the Company (as defined by the Stock Compensation Plans), participant accounts will become fully vested and shares of Leidos stock held in the accounts will be immediately distributed. The Stock Compensation Plans do not provide for a maximum number of shares available for future issuance.</w:t>
      </w:r>
    </w:p>
    <w:p>
      <w:pPr>
        <w:spacing w:after="0" w:line="15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has an ESPP which allows eligible employees to purchase shares of Leidos' stock at a discount of up to 15% of the fair market value on the date of purchase. During the three years ended January 30, 2015, the discount was 5% of the fair market value on the date of purchase thereby resulting in the ESPP being non-compensatory. As of January 30, 2015, 12.5 million shares of Leidos' stock were authorized and reserved for future issuance under the ESPP.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F-45</w:t>
      </w:r>
    </w:p>
    <w:p>
      <w:pPr>
        <w:sectPr>
          <w:pgSz w:w="11900" w:h="16838" w:orient="portrait"/>
          <w:cols w:equalWidth="0" w:num="1">
            <w:col w:w="11420"/>
          </w:cols>
          <w:pgMar w:left="240" w:top="333"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i w:val="1"/>
          <w:iCs w:val="1"/>
          <w:color w:val="auto"/>
        </w:rPr>
        <w:t xml:space="preserve">Stock-Based Compensation and Related Tax Benefits Recognized. </w:t>
      </w:r>
      <w:r>
        <w:rPr>
          <w:rFonts w:ascii="Arial" w:cs="Arial" w:eastAsia="Arial" w:hAnsi="Arial"/>
          <w:sz w:val="18"/>
          <w:szCs w:val="18"/>
          <w:color w:val="auto"/>
        </w:rPr>
        <w:t>Stock-based compensation and related tax benefits recognized under all</w:t>
      </w:r>
      <w:r>
        <w:rPr>
          <w:rFonts w:ascii="Arial" w:cs="Arial" w:eastAsia="Arial" w:hAnsi="Arial"/>
          <w:sz w:val="18"/>
          <w:szCs w:val="18"/>
          <w:i w:val="1"/>
          <w:iCs w:val="1"/>
          <w:color w:val="auto"/>
        </w:rPr>
        <w:t xml:space="preserve"> </w:t>
      </w:r>
      <w:r>
        <w:rPr>
          <w:rFonts w:ascii="Arial" w:cs="Arial" w:eastAsia="Arial" w:hAnsi="Arial"/>
          <w:sz w:val="18"/>
          <w:szCs w:val="18"/>
          <w:color w:val="auto"/>
        </w:rPr>
        <w:t>plans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rPr>
              <w:t>Year Ended</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94"/>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5"/>
                <w:szCs w:val="15"/>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color w:val="auto"/>
              </w:rPr>
              <w:t>January 31,</w:t>
            </w:r>
          </w:p>
        </w:tc>
        <w:tc>
          <w:tcPr>
            <w:tcW w:w="28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rPr>
              <w:t>2014</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center"/>
              <w:ind w:right="97"/>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Vesting stock awards</w:t>
            </w:r>
          </w:p>
        </w:tc>
        <w:tc>
          <w:tcPr>
            <w:tcW w:w="16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Vested stock awards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stock-based compensation expense recorded in continuing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53</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stock-based compensation expense recorded in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Tax benefits recognized from stock-based compensation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r>
    </w:tbl>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New SAIC Spin-off Adjustments. </w:t>
      </w:r>
      <w:r>
        <w:rPr>
          <w:rFonts w:ascii="Arial" w:cs="Arial" w:eastAsia="Arial" w:hAnsi="Arial"/>
          <w:sz w:val="18"/>
          <w:szCs w:val="18"/>
          <w:color w:val="auto"/>
        </w:rPr>
        <w:t>As a result of the separation of New SAIC, effective September 27, 2013, all outstanding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New SAIC employees were assumed by New SAIC. Also in connection with the separation, adjustments were made to the share amounts and exercise prices of all remaining outstanding Leidos stock options, and the share amounts for vesting stock awards and performance-based stock awards as of the Distribution Date such that the adjustments were generally made to preserve the aggregate intrinsic value at the distribution date pursuant to the terms of the stock based compensation plans under which they were issued. Taking into account the change in the value of the Company’s common stock as a result of the distribution of the New SAIC shares, the conversion ratio applied to all outstanding equity awards at the distribution date was 1.4523. In addition, all outstanding equity awards reflected the Company’s one-for-four reverse stock split.</w:t>
      </w:r>
    </w:p>
    <w:p>
      <w:pPr>
        <w:spacing w:after="0" w:line="14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a result of the spin-off adjustments, a modification was made on September 27, 2013 to Leidos and New SAIC stock options outstanding as of the distribution date by which additional stock-based compensation expense was recognized, as the fair value of the outstanding options immediately following the spin-off was greater than the fair value immediately prior to the spin-off. An increase of expense related to the modification of $ 3 million was recorded for awards that were fully vested on the modification date, and an additional $3 million of incremental fair value will be recorded in future periods for unvested awards that will continue to vest, resulting in a total additional stock compensation cost of $6 million with a weighted average modification fair value of $1.02 related to continuing Leidos stock options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spin-off adjustments are reflected in the tables below as well as the one-for-four stock split discussed in Note 1.</w:t>
      </w:r>
    </w:p>
    <w:p>
      <w:pPr>
        <w:spacing w:after="0" w:line="15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may be granted with exercise prices no less than the fair value of Leidos' common stock on the date of grant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 terms not greater than ten years. Beginning in fiscal year 2012, stock options granted under the 2006 Equity Incentive Plan have a term of seven years and a vesting period of four years, except for stock options granted to the Company’s outside directors, which have a vesting period of one year. Prior to fiscal year 2012, stock options granted under the 2006 Equity Incentive Plan had a term of five years. Stock options were granted with exercise prices equal to fair value on the date of grant.</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March 2013, Leidos' board of directors declared a special cash dividend of $4.00 per share of Leidos common stock and paid an aggregate $342 million on June 28, 2013 to stockholders of record on June 14, 2013. In connection with the special cash dividend, anti-dilutive adjustments were made to all outstanding stock options on the dividend record date to preserve their value following the special cash dividend, as required by the Company's 2006 Equity Incentive Plan. The modifications were made to reduce the exercise prices of the outstanding stock options and to increase the number of shares issuable upon the exercise of each option such that the aggregate difference between the market price and exercise price times the number of shares issuable upon exercise was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F-46</w:t>
      </w:r>
    </w:p>
    <w:p>
      <w:pPr>
        <w:sectPr>
          <w:pgSz w:w="11900" w:h="16838" w:orient="portrait"/>
          <w:cols w:equalWidth="0" w:num="1">
            <w:col w:w="11420"/>
          </w:cols>
          <w:pgMar w:left="240" w:top="333"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substantially the same immediately before and after the payment of the special dividend. These adjustments did not result in additional share-based compensation expense, as the fair value of the outstanding options immediately following the payment of the special cash dividend was equal to the fair value immediately prior to such distribution. These adjustments are reflected in the “Special Dividend Adjustment” line in the stock option activity table below.</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Black-Scholes-Merton option-pricing model. The fair value of the Company’s stock option awards is generally expensed on a straight-line basis over the vesting period of four years, except for stock options granted to the Company’s outside directors, which is recognized over the vesting period of one year or less.</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Prior to the Company's separation transaction, the expected term of all awards granted was derived from the Company's historical experience with the exception of awards granted to our outside directors prior to fiscal 2013 which were derived utilizing the “simplified” method presented in SEC Staff Accounting Bulletin Nos. 107 and 110, “Share-Based Payment”. Expected volatility was based on an average of the historical volatility of Leidos' stock and the implied volatility from traded options on Leidos stock. The risk-free interest rate was based on the yield curve of a zero-coupon U.S. Treasury bond with a maturity equal to the expected term of the stock option on the date of grant. The Company used historical data to estimate forfeitures.</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After the separation transaction, the expected term for all awards granted is derived utilizing the “simplified” method due to the lack of historical experience post separation. Expected volatility is estimated based on a weighted average historical volatility of a group of publicly-traded peer companies for a period consistent with the expected option term. The Company will continue to use peer group volatility information, until historical volatility of the Company is relevant, to measure expected volatility for future option grants. The risk-free rate is derived in same manner as prior to the separation transaction. The Company uses historical data to estimate forfeitures.</w:t>
      </w:r>
    </w:p>
    <w:p>
      <w:pPr>
        <w:spacing w:after="0" w:line="1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weighted average grant-date fair value and assumptions used to determine fair value of stock options granted for each of the three years ended January 30, 2015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995"/>
              <w:spacing w:after="0"/>
              <w:rPr>
                <w:sz w:val="20"/>
                <w:szCs w:val="20"/>
                <w:color w:val="auto"/>
              </w:rPr>
            </w:pPr>
            <w:r>
              <w:rPr>
                <w:rFonts w:ascii="Arial" w:cs="Arial" w:eastAsia="Arial" w:hAnsi="Arial"/>
                <w:sz w:val="14"/>
                <w:szCs w:val="14"/>
                <w:color w:val="auto"/>
              </w:rPr>
              <w:t>Year Ended</w:t>
            </w: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January 30,</w:t>
            </w: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40" w:type="dxa"/>
            <w:vAlign w:val="bottom"/>
            <w:gridSpan w:val="2"/>
          </w:tcPr>
          <w:p>
            <w:pPr>
              <w:jc w:val="center"/>
              <w:ind w:left="122"/>
              <w:spacing w:after="0"/>
              <w:rPr>
                <w:sz w:val="20"/>
                <w:szCs w:val="20"/>
                <w:color w:val="auto"/>
              </w:rPr>
            </w:pPr>
            <w:r>
              <w:rPr>
                <w:rFonts w:ascii="Arial" w:cs="Arial" w:eastAsia="Arial" w:hAnsi="Arial"/>
                <w:sz w:val="14"/>
                <w:szCs w:val="14"/>
                <w:color w:val="auto"/>
              </w:rPr>
              <w:t>January 31, 2014</w:t>
            </w: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60" w:type="dxa"/>
            <w:vAlign w:val="bottom"/>
            <w:gridSpan w:val="2"/>
          </w:tcPr>
          <w:p>
            <w:pPr>
              <w:jc w:val="right"/>
              <w:spacing w:after="0" w:line="144" w:lineRule="exact"/>
              <w:rPr>
                <w:sz w:val="20"/>
                <w:szCs w:val="20"/>
                <w:color w:val="auto"/>
              </w:rPr>
            </w:pPr>
            <w:r>
              <w:rPr>
                <w:rFonts w:ascii="Arial" w:cs="Arial" w:eastAsia="Arial" w:hAnsi="Arial"/>
                <w:sz w:val="14"/>
                <w:szCs w:val="14"/>
                <w:color w:val="auto"/>
              </w:rPr>
              <w:t>January 31, 2014</w:t>
            </w:r>
          </w:p>
        </w:tc>
        <w:tc>
          <w:tcPr>
            <w:tcW w:w="520" w:type="dxa"/>
            <w:vAlign w:val="bottom"/>
          </w:tcPr>
          <w:p>
            <w:pPr>
              <w:spacing w:after="0"/>
              <w:rPr>
                <w:sz w:val="12"/>
                <w:szCs w:val="12"/>
                <w:color w:val="auto"/>
              </w:rPr>
            </w:pPr>
          </w:p>
        </w:tc>
        <w:tc>
          <w:tcPr>
            <w:tcW w:w="1320" w:type="dxa"/>
            <w:vAlign w:val="bottom"/>
          </w:tcPr>
          <w:p>
            <w:pPr>
              <w:jc w:val="center"/>
              <w:ind w:right="235"/>
              <w:spacing w:after="0" w:line="144" w:lineRule="exact"/>
              <w:rPr>
                <w:sz w:val="20"/>
                <w:szCs w:val="20"/>
                <w:color w:val="auto"/>
              </w:rPr>
            </w:pPr>
            <w:r>
              <w:rPr>
                <w:rFonts w:ascii="Arial" w:cs="Arial" w:eastAsia="Arial" w:hAnsi="Arial"/>
                <w:sz w:val="14"/>
                <w:szCs w:val="14"/>
                <w:color w:val="auto"/>
              </w:rPr>
              <w:t>(Grants Before</w:t>
            </w:r>
          </w:p>
        </w:tc>
        <w:tc>
          <w:tcPr>
            <w:tcW w:w="360" w:type="dxa"/>
            <w:vAlign w:val="bottom"/>
          </w:tcPr>
          <w:p>
            <w:pPr>
              <w:spacing w:after="0"/>
              <w:rPr>
                <w:sz w:val="12"/>
                <w:szCs w:val="12"/>
                <w:color w:val="auto"/>
              </w:rPr>
            </w:pPr>
          </w:p>
        </w:tc>
        <w:tc>
          <w:tcPr>
            <w:tcW w:w="1480" w:type="dxa"/>
            <w:vAlign w:val="bottom"/>
          </w:tcPr>
          <w:p>
            <w:pPr>
              <w:jc w:val="right"/>
              <w:ind w:right="575"/>
              <w:spacing w:after="0" w:line="144" w:lineRule="exact"/>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(Grants After Spin)</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w w:val="97"/>
              </w:rPr>
              <w:t>Spin)</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87"/>
        </w:trPr>
        <w:tc>
          <w:tcPr>
            <w:tcW w:w="4780" w:type="dxa"/>
            <w:vAlign w:val="bottom"/>
          </w:tcPr>
          <w:p>
            <w:pPr>
              <w:ind w:left="40"/>
              <w:spacing w:after="0"/>
              <w:rPr>
                <w:sz w:val="20"/>
                <w:szCs w:val="20"/>
                <w:color w:val="auto"/>
              </w:rPr>
            </w:pPr>
            <w:r>
              <w:rPr>
                <w:rFonts w:ascii="Arial" w:cs="Arial" w:eastAsia="Arial" w:hAnsi="Arial"/>
                <w:sz w:val="18"/>
                <w:szCs w:val="18"/>
                <w:color w:val="auto"/>
              </w:rPr>
              <w:t>Weighted average grant-date fair value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275"/>
              <w:spacing w:after="0"/>
              <w:rPr>
                <w:sz w:val="20"/>
                <w:szCs w:val="20"/>
                <w:color w:val="auto"/>
              </w:rPr>
            </w:pPr>
            <w:r>
              <w:rPr>
                <w:rFonts w:ascii="Arial" w:cs="Arial" w:eastAsia="Arial" w:hAnsi="Arial"/>
                <w:sz w:val="18"/>
                <w:szCs w:val="18"/>
                <w:b w:val="1"/>
                <w:bCs w:val="1"/>
                <w:color w:val="auto"/>
              </w:rPr>
              <w:t>6.15</w:t>
            </w:r>
          </w:p>
        </w:tc>
        <w:tc>
          <w:tcPr>
            <w:tcW w:w="620" w:type="dxa"/>
            <w:vAlign w:val="bottom"/>
          </w:tcPr>
          <w:p>
            <w:pPr>
              <w:jc w:val="right"/>
              <w:ind w:right="24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9.04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9.48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5"/>
              <w:spacing w:after="0" w:line="288" w:lineRule="exact"/>
              <w:rPr>
                <w:sz w:val="20"/>
                <w:szCs w:val="20"/>
                <w:color w:val="auto"/>
              </w:rPr>
            </w:pPr>
            <w:r>
              <w:rPr>
                <w:rFonts w:ascii="Arial" w:cs="Arial" w:eastAsia="Arial" w:hAnsi="Arial"/>
                <w:sz w:val="18"/>
                <w:szCs w:val="18"/>
                <w:color w:val="auto"/>
              </w:rPr>
              <w:t xml:space="preserve">6.76  </w:t>
            </w:r>
            <w:r>
              <w:rPr>
                <w:rFonts w:ascii="Arial" w:cs="Arial" w:eastAsia="Arial" w:hAnsi="Arial"/>
                <w:sz w:val="28"/>
                <w:szCs w:val="28"/>
                <w:b w:val="1"/>
                <w:bCs w:val="1"/>
                <w:color w:val="auto"/>
                <w:vertAlign w:val="superscript"/>
              </w:rPr>
              <w:t>**</w:t>
            </w:r>
          </w:p>
        </w:tc>
        <w:tc>
          <w:tcPr>
            <w:tcW w:w="0" w:type="dxa"/>
            <w:vAlign w:val="bottom"/>
          </w:tcPr>
          <w:p>
            <w:pPr>
              <w:spacing w:after="0"/>
              <w:rPr>
                <w:sz w:val="1"/>
                <w:szCs w:val="1"/>
                <w:color w:val="auto"/>
              </w:rPr>
            </w:pPr>
          </w:p>
        </w:tc>
      </w:tr>
      <w:tr>
        <w:trPr>
          <w:trHeight w:val="239"/>
        </w:trPr>
        <w:tc>
          <w:tcPr>
            <w:tcW w:w="47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20"/>
                <w:szCs w:val="20"/>
                <w:color w:val="auto"/>
              </w:rPr>
            </w:pPr>
          </w:p>
        </w:tc>
        <w:tc>
          <w:tcPr>
            <w:tcW w:w="1300" w:type="dxa"/>
            <w:vAlign w:val="bottom"/>
          </w:tcPr>
          <w:p>
            <w:pPr>
              <w:jc w:val="right"/>
              <w:ind w:right="255"/>
              <w:spacing w:after="0"/>
              <w:rPr>
                <w:sz w:val="20"/>
                <w:szCs w:val="20"/>
                <w:color w:val="auto"/>
              </w:rPr>
            </w:pPr>
            <w:r>
              <w:rPr>
                <w:rFonts w:ascii="Arial" w:cs="Arial" w:eastAsia="Arial" w:hAnsi="Arial"/>
                <w:sz w:val="18"/>
                <w:szCs w:val="18"/>
                <w:b w:val="1"/>
                <w:bCs w:val="1"/>
                <w:color w:val="auto"/>
              </w:rPr>
              <w:t>4.7</w:t>
            </w:r>
          </w:p>
        </w:tc>
        <w:tc>
          <w:tcPr>
            <w:tcW w:w="620" w:type="dxa"/>
            <w:vAlign w:val="bottom"/>
          </w:tcPr>
          <w:p>
            <w:pPr>
              <w:spacing w:after="0"/>
              <w:rPr>
                <w:sz w:val="20"/>
                <w:szCs w:val="20"/>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0"/>
                <w:szCs w:val="20"/>
                <w:color w:val="auto"/>
              </w:rPr>
            </w:pPr>
          </w:p>
        </w:tc>
        <w:tc>
          <w:tcPr>
            <w:tcW w:w="1320" w:type="dxa"/>
            <w:vAlign w:val="bottom"/>
          </w:tcPr>
          <w:p>
            <w:pPr>
              <w:jc w:val="right"/>
              <w:ind w:right="275"/>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1480" w:type="dxa"/>
            <w:vAlign w:val="bottom"/>
          </w:tcPr>
          <w:p>
            <w:pPr>
              <w:jc w:val="right"/>
              <w:ind w:right="45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23"/>
                <w:szCs w:val="23"/>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b w:val="1"/>
                <w:bCs w:val="1"/>
                <w:color w:val="auto"/>
              </w:rPr>
              <w:t>25.1%</w:t>
            </w: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w:t>
            </w:r>
          </w:p>
        </w:tc>
        <w:tc>
          <w:tcPr>
            <w:tcW w:w="520" w:type="dxa"/>
            <w:vAlign w:val="bottom"/>
          </w:tcPr>
          <w:p>
            <w:pPr>
              <w:spacing w:after="0"/>
              <w:rPr>
                <w:sz w:val="23"/>
                <w:szCs w:val="23"/>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30.0%</w:t>
            </w:r>
          </w:p>
        </w:tc>
        <w:tc>
          <w:tcPr>
            <w:tcW w:w="360" w:type="dxa"/>
            <w:vAlign w:val="bottom"/>
          </w:tcPr>
          <w:p>
            <w:pPr>
              <w:spacing w:after="0"/>
              <w:rPr>
                <w:sz w:val="23"/>
                <w:szCs w:val="23"/>
                <w:color w:val="auto"/>
              </w:rPr>
            </w:pPr>
          </w:p>
        </w:tc>
        <w:tc>
          <w:tcPr>
            <w:tcW w:w="1480" w:type="dxa"/>
            <w:vAlign w:val="bottom"/>
          </w:tcPr>
          <w:p>
            <w:pPr>
              <w:jc w:val="right"/>
              <w:ind w:right="295"/>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3"/>
                <w:szCs w:val="23"/>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b w:val="1"/>
                <w:bCs w:val="1"/>
                <w:color w:val="auto"/>
              </w:rPr>
              <w:t>1.6%</w:t>
            </w: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3"/>
                <w:szCs w:val="23"/>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3"/>
                <w:szCs w:val="23"/>
                <w:color w:val="auto"/>
              </w:rPr>
            </w:pPr>
          </w:p>
        </w:tc>
        <w:tc>
          <w:tcPr>
            <w:tcW w:w="1480" w:type="dxa"/>
            <w:vAlign w:val="bottom"/>
          </w:tcPr>
          <w:p>
            <w:pPr>
              <w:jc w:val="right"/>
              <w:ind w:right="29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80" w:type="dxa"/>
            <w:vAlign w:val="bottom"/>
          </w:tcPr>
          <w:p>
            <w:pPr>
              <w:spacing w:after="0"/>
              <w:rPr>
                <w:sz w:val="23"/>
                <w:szCs w:val="23"/>
                <w:color w:val="auto"/>
              </w:rPr>
            </w:pPr>
          </w:p>
        </w:tc>
        <w:tc>
          <w:tcPr>
            <w:tcW w:w="1300" w:type="dxa"/>
            <w:vAlign w:val="bottom"/>
          </w:tcPr>
          <w:p>
            <w:pPr>
              <w:jc w:val="right"/>
              <w:ind w:right="115"/>
              <w:spacing w:after="0"/>
              <w:rPr>
                <w:sz w:val="20"/>
                <w:szCs w:val="20"/>
                <w:color w:val="auto"/>
              </w:rPr>
            </w:pPr>
            <w:r>
              <w:rPr>
                <w:rFonts w:ascii="Arial" w:cs="Arial" w:eastAsia="Arial" w:hAnsi="Arial"/>
                <w:sz w:val="18"/>
                <w:szCs w:val="18"/>
                <w:b w:val="1"/>
                <w:bCs w:val="1"/>
                <w:color w:val="auto"/>
              </w:rPr>
              <w:t>2.9%</w:t>
            </w:r>
          </w:p>
        </w:tc>
        <w:tc>
          <w:tcPr>
            <w:tcW w:w="6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3"/>
                <w:szCs w:val="23"/>
                <w:color w:val="auto"/>
              </w:rPr>
            </w:pP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3"/>
                <w:szCs w:val="23"/>
                <w:color w:val="auto"/>
              </w:rPr>
            </w:pPr>
          </w:p>
        </w:tc>
        <w:tc>
          <w:tcPr>
            <w:tcW w:w="1480" w:type="dxa"/>
            <w:vAlign w:val="bottom"/>
          </w:tcPr>
          <w:p>
            <w:pPr>
              <w:jc w:val="right"/>
              <w:ind w:right="29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20"/>
                <w:szCs w:val="20"/>
                <w:color w:val="auto"/>
              </w:rPr>
            </w:pPr>
            <w:r>
              <w:rPr>
                <w:rFonts w:ascii="Arial" w:cs="Arial" w:eastAsia="Arial" w:hAnsi="Arial"/>
                <w:sz w:val="14"/>
                <w:szCs w:val="14"/>
                <w:i w:val="1"/>
                <w:iCs w:val="1"/>
                <w:color w:val="auto"/>
              </w:rPr>
              <w:t>** Adjusted for additional awards granted for the $4.00 Special Dividend</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F-47</w:t>
      </w:r>
    </w:p>
    <w:p>
      <w:pPr>
        <w:sectPr>
          <w:pgSz w:w="11900" w:h="16838" w:orient="portrait"/>
          <w:cols w:equalWidth="0" w:num="1">
            <w:col w:w="11400"/>
          </w:cols>
          <w:pgMar w:left="240" w:top="333" w:right="2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40" w:type="dxa"/>
            <w:vAlign w:val="bottom"/>
          </w:tcPr>
          <w:p>
            <w:pPr>
              <w:jc w:val="center"/>
              <w:ind w:left="88"/>
              <w:spacing w:after="0"/>
              <w:rPr>
                <w:sz w:val="20"/>
                <w:szCs w:val="20"/>
                <w:color w:val="auto"/>
              </w:rPr>
            </w:pPr>
            <w:r>
              <w:rPr>
                <w:rFonts w:ascii="Arial" w:cs="Arial" w:eastAsia="Arial" w:hAnsi="Arial"/>
                <w:sz w:val="14"/>
                <w:szCs w:val="14"/>
                <w:color w:val="auto"/>
              </w:rPr>
              <w:t>Weighted</w:t>
            </w:r>
          </w:p>
        </w:tc>
        <w:tc>
          <w:tcPr>
            <w:tcW w:w="1360" w:type="dxa"/>
            <w:vAlign w:val="bottom"/>
          </w:tcPr>
          <w:p>
            <w:pPr>
              <w:spacing w:after="0"/>
              <w:rPr>
                <w:sz w:val="14"/>
                <w:szCs w:val="14"/>
                <w:color w:val="auto"/>
              </w:rPr>
            </w:pPr>
          </w:p>
        </w:tc>
      </w:tr>
      <w:tr>
        <w:trPr>
          <w:trHeight w:val="162"/>
        </w:trPr>
        <w:tc>
          <w:tcPr>
            <w:tcW w:w="6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40" w:type="dxa"/>
            <w:vAlign w:val="bottom"/>
          </w:tcPr>
          <w:p>
            <w:pPr>
              <w:jc w:val="center"/>
              <w:ind w:left="88"/>
              <w:spacing w:after="0"/>
              <w:rPr>
                <w:sz w:val="20"/>
                <w:szCs w:val="20"/>
                <w:color w:val="auto"/>
              </w:rPr>
            </w:pPr>
            <w:r>
              <w:rPr>
                <w:rFonts w:ascii="Arial" w:cs="Arial" w:eastAsia="Arial" w:hAnsi="Arial"/>
                <w:sz w:val="14"/>
                <w:szCs w:val="14"/>
                <w:color w:val="auto"/>
              </w:rPr>
              <w:t>average</w:t>
            </w:r>
          </w:p>
        </w:tc>
        <w:tc>
          <w:tcPr>
            <w:tcW w:w="1360" w:type="dxa"/>
            <w:vAlign w:val="bottom"/>
          </w:tcPr>
          <w:p>
            <w:pPr>
              <w:spacing w:after="0"/>
              <w:rPr>
                <w:sz w:val="14"/>
                <w:szCs w:val="14"/>
                <w:color w:val="auto"/>
              </w:rPr>
            </w:pPr>
          </w:p>
        </w:tc>
      </w:tr>
      <w:tr>
        <w:trPr>
          <w:trHeight w:val="162"/>
        </w:trPr>
        <w:tc>
          <w:tcPr>
            <w:tcW w:w="6840" w:type="dxa"/>
            <w:vAlign w:val="bottom"/>
          </w:tcPr>
          <w:p>
            <w:pPr>
              <w:jc w:val="center"/>
              <w:ind w:left="5108"/>
              <w:spacing w:after="0"/>
              <w:rPr>
                <w:sz w:val="20"/>
                <w:szCs w:val="20"/>
                <w:color w:val="auto"/>
              </w:rPr>
            </w:pPr>
            <w:r>
              <w:rPr>
                <w:rFonts w:ascii="Arial" w:cs="Arial" w:eastAsia="Arial" w:hAnsi="Arial"/>
                <w:sz w:val="14"/>
                <w:szCs w:val="14"/>
                <w:color w:val="auto"/>
              </w:rPr>
              <w:t>Shares of</w:t>
            </w:r>
          </w:p>
        </w:tc>
        <w:tc>
          <w:tcPr>
            <w:tcW w:w="1780" w:type="dxa"/>
            <w:vAlign w:val="bottom"/>
          </w:tcPr>
          <w:p>
            <w:pPr>
              <w:jc w:val="center"/>
              <w:spacing w:after="0"/>
              <w:rPr>
                <w:sz w:val="20"/>
                <w:szCs w:val="20"/>
                <w:color w:val="auto"/>
              </w:rPr>
            </w:pPr>
            <w:r>
              <w:rPr>
                <w:rFonts w:ascii="Arial" w:cs="Arial" w:eastAsia="Arial" w:hAnsi="Arial"/>
                <w:sz w:val="14"/>
                <w:szCs w:val="14"/>
                <w:color w:val="auto"/>
              </w:rPr>
              <w:t>Weighted</w:t>
            </w:r>
          </w:p>
        </w:tc>
        <w:tc>
          <w:tcPr>
            <w:tcW w:w="1440" w:type="dxa"/>
            <w:vAlign w:val="bottom"/>
          </w:tcPr>
          <w:p>
            <w:pPr>
              <w:jc w:val="center"/>
              <w:ind w:left="88"/>
              <w:spacing w:after="0"/>
              <w:rPr>
                <w:sz w:val="20"/>
                <w:szCs w:val="20"/>
                <w:color w:val="auto"/>
              </w:rPr>
            </w:pPr>
            <w:r>
              <w:rPr>
                <w:rFonts w:ascii="Arial" w:cs="Arial" w:eastAsia="Arial" w:hAnsi="Arial"/>
                <w:sz w:val="14"/>
                <w:szCs w:val="14"/>
                <w:color w:val="auto"/>
              </w:rPr>
              <w:t>remaining</w:t>
            </w:r>
          </w:p>
        </w:tc>
        <w:tc>
          <w:tcPr>
            <w:tcW w:w="1360" w:type="dxa"/>
            <w:vAlign w:val="bottom"/>
          </w:tcPr>
          <w:p>
            <w:pPr>
              <w:spacing w:after="0"/>
              <w:rPr>
                <w:sz w:val="14"/>
                <w:szCs w:val="14"/>
                <w:color w:val="auto"/>
              </w:rPr>
            </w:pPr>
          </w:p>
        </w:tc>
      </w:tr>
      <w:tr>
        <w:trPr>
          <w:trHeight w:val="162"/>
        </w:trPr>
        <w:tc>
          <w:tcPr>
            <w:tcW w:w="6840" w:type="dxa"/>
            <w:vAlign w:val="bottom"/>
          </w:tcPr>
          <w:p>
            <w:pPr>
              <w:jc w:val="center"/>
              <w:ind w:left="5108"/>
              <w:spacing w:after="0"/>
              <w:rPr>
                <w:sz w:val="20"/>
                <w:szCs w:val="20"/>
                <w:color w:val="auto"/>
              </w:rPr>
            </w:pPr>
            <w:r>
              <w:rPr>
                <w:rFonts w:ascii="Arial" w:cs="Arial" w:eastAsia="Arial" w:hAnsi="Arial"/>
                <w:sz w:val="14"/>
                <w:szCs w:val="14"/>
                <w:color w:val="auto"/>
              </w:rPr>
              <w:t>stock under</w:t>
            </w:r>
          </w:p>
        </w:tc>
        <w:tc>
          <w:tcPr>
            <w:tcW w:w="1780" w:type="dxa"/>
            <w:vAlign w:val="bottom"/>
          </w:tcPr>
          <w:p>
            <w:pPr>
              <w:jc w:val="center"/>
              <w:spacing w:after="0"/>
              <w:rPr>
                <w:sz w:val="20"/>
                <w:szCs w:val="20"/>
                <w:color w:val="auto"/>
              </w:rPr>
            </w:pPr>
            <w:r>
              <w:rPr>
                <w:rFonts w:ascii="Arial" w:cs="Arial" w:eastAsia="Arial" w:hAnsi="Arial"/>
                <w:sz w:val="14"/>
                <w:szCs w:val="14"/>
                <w:color w:val="auto"/>
              </w:rPr>
              <w:t>average</w:t>
            </w:r>
          </w:p>
        </w:tc>
        <w:tc>
          <w:tcPr>
            <w:tcW w:w="1440" w:type="dxa"/>
            <w:vAlign w:val="bottom"/>
          </w:tcPr>
          <w:p>
            <w:pPr>
              <w:jc w:val="center"/>
              <w:ind w:left="88"/>
              <w:spacing w:after="0"/>
              <w:rPr>
                <w:sz w:val="20"/>
                <w:szCs w:val="20"/>
                <w:color w:val="auto"/>
              </w:rPr>
            </w:pPr>
            <w:r>
              <w:rPr>
                <w:rFonts w:ascii="Arial" w:cs="Arial" w:eastAsia="Arial" w:hAnsi="Arial"/>
                <w:sz w:val="14"/>
                <w:szCs w:val="14"/>
                <w:color w:val="auto"/>
              </w:rPr>
              <w:t>contractual</w:t>
            </w:r>
          </w:p>
        </w:tc>
        <w:tc>
          <w:tcPr>
            <w:tcW w:w="1360" w:type="dxa"/>
            <w:vAlign w:val="bottom"/>
          </w:tcPr>
          <w:p>
            <w:pPr>
              <w:jc w:val="center"/>
              <w:ind w:left="28"/>
              <w:spacing w:after="0"/>
              <w:rPr>
                <w:sz w:val="20"/>
                <w:szCs w:val="20"/>
                <w:color w:val="auto"/>
              </w:rPr>
            </w:pPr>
            <w:r>
              <w:rPr>
                <w:rFonts w:ascii="Arial" w:cs="Arial" w:eastAsia="Arial" w:hAnsi="Arial"/>
                <w:sz w:val="14"/>
                <w:szCs w:val="14"/>
                <w:color w:val="auto"/>
              </w:rPr>
              <w:t>Aggregate</w:t>
            </w:r>
          </w:p>
        </w:tc>
      </w:tr>
      <w:tr>
        <w:trPr>
          <w:trHeight w:val="178"/>
        </w:trPr>
        <w:tc>
          <w:tcPr>
            <w:tcW w:w="6840" w:type="dxa"/>
            <w:vAlign w:val="bottom"/>
            <w:tcBorders>
              <w:bottom w:val="single" w:sz="8" w:color="auto"/>
            </w:tcBorders>
          </w:tcPr>
          <w:p>
            <w:pPr>
              <w:jc w:val="center"/>
              <w:ind w:left="5128"/>
              <w:spacing w:after="0"/>
              <w:rPr>
                <w:sz w:val="20"/>
                <w:szCs w:val="20"/>
                <w:color w:val="auto"/>
              </w:rPr>
            </w:pPr>
            <w:r>
              <w:rPr>
                <w:rFonts w:ascii="Arial" w:cs="Arial" w:eastAsia="Arial" w:hAnsi="Arial"/>
                <w:sz w:val="14"/>
                <w:szCs w:val="14"/>
                <w:color w:val="auto"/>
              </w:rPr>
              <w:t>stock options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exercise price</w:t>
            </w:r>
          </w:p>
        </w:tc>
        <w:tc>
          <w:tcPr>
            <w:tcW w:w="14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9"/>
              </w:rPr>
              <w:t>term</w:t>
            </w:r>
          </w:p>
        </w:tc>
        <w:tc>
          <w:tcPr>
            <w:tcW w:w="13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intrinsic value</w:t>
            </w:r>
          </w:p>
        </w:tc>
      </w:tr>
      <w:tr>
        <w:trPr>
          <w:trHeight w:val="258"/>
        </w:trPr>
        <w:tc>
          <w:tcPr>
            <w:tcW w:w="6840" w:type="dxa"/>
            <w:vAlign w:val="bottom"/>
          </w:tcPr>
          <w:p>
            <w:pPr>
              <w:jc w:val="center"/>
              <w:ind w:left="5108"/>
              <w:spacing w:after="0"/>
              <w:rPr>
                <w:sz w:val="20"/>
                <w:szCs w:val="20"/>
                <w:color w:val="auto"/>
              </w:rPr>
            </w:pPr>
            <w:r>
              <w:rPr>
                <w:rFonts w:ascii="Arial" w:cs="Arial" w:eastAsia="Arial" w:hAnsi="Arial"/>
                <w:sz w:val="14"/>
                <w:szCs w:val="14"/>
                <w:color w:val="auto"/>
              </w:rPr>
              <w:t>(in millions)</w:t>
            </w:r>
          </w:p>
        </w:tc>
        <w:tc>
          <w:tcPr>
            <w:tcW w:w="1780" w:type="dxa"/>
            <w:vAlign w:val="bottom"/>
          </w:tcPr>
          <w:p>
            <w:pPr>
              <w:spacing w:after="0"/>
              <w:rPr>
                <w:sz w:val="22"/>
                <w:szCs w:val="22"/>
                <w:color w:val="auto"/>
              </w:rPr>
            </w:pPr>
          </w:p>
        </w:tc>
        <w:tc>
          <w:tcPr>
            <w:tcW w:w="1440" w:type="dxa"/>
            <w:vAlign w:val="bottom"/>
          </w:tcPr>
          <w:p>
            <w:pPr>
              <w:jc w:val="center"/>
              <w:ind w:left="88"/>
              <w:spacing w:after="0"/>
              <w:rPr>
                <w:sz w:val="20"/>
                <w:szCs w:val="20"/>
                <w:color w:val="auto"/>
              </w:rPr>
            </w:pPr>
            <w:r>
              <w:rPr>
                <w:rFonts w:ascii="Arial" w:cs="Arial" w:eastAsia="Arial" w:hAnsi="Arial"/>
                <w:sz w:val="14"/>
                <w:szCs w:val="14"/>
                <w:color w:val="auto"/>
              </w:rPr>
              <w:t>(in years)</w:t>
            </w:r>
          </w:p>
        </w:tc>
        <w:tc>
          <w:tcPr>
            <w:tcW w:w="1360" w:type="dxa"/>
            <w:vAlign w:val="bottom"/>
          </w:tcPr>
          <w:p>
            <w:pPr>
              <w:jc w:val="center"/>
              <w:ind w:left="8"/>
              <w:spacing w:after="0"/>
              <w:rPr>
                <w:sz w:val="20"/>
                <w:szCs w:val="20"/>
                <w:color w:val="auto"/>
              </w:rPr>
            </w:pPr>
            <w:r>
              <w:rPr>
                <w:rFonts w:ascii="Arial" w:cs="Arial" w:eastAsia="Arial" w:hAnsi="Arial"/>
                <w:sz w:val="14"/>
                <w:szCs w:val="14"/>
                <w:color w:val="auto"/>
              </w:rPr>
              <w:t>(in millions)</w:t>
            </w:r>
          </w:p>
        </w:tc>
      </w:tr>
    </w:tbl>
    <w:p>
      <w:pPr>
        <w:spacing w:after="0" w:line="38" w:lineRule="exact"/>
        <w:rPr>
          <w:sz w:val="20"/>
          <w:szCs w:val="20"/>
          <w:color w:val="auto"/>
        </w:rPr>
      </w:pPr>
    </w:p>
    <w:p>
      <w:pPr>
        <w:sectPr>
          <w:pgSz w:w="11900" w:h="16838" w:orient="portrait"/>
          <w:cols w:equalWidth="0" w:num="1">
            <w:col w:w="11420"/>
          </w:cols>
          <w:pgMar w:left="240" w:top="333" w:right="239" w:bottom="1440" w:gutter="0" w:footer="0" w:header="0"/>
        </w:sectPr>
      </w:pPr>
    </w:p>
    <w:p>
      <w:pPr>
        <w:ind w:left="40"/>
        <w:spacing w:after="0"/>
        <w:rPr>
          <w:sz w:val="20"/>
          <w:szCs w:val="20"/>
          <w:color w:val="auto"/>
        </w:rPr>
      </w:pPr>
      <w:r>
        <w:rPr>
          <w:rFonts w:ascii="Arial" w:cs="Arial" w:eastAsia="Arial" w:hAnsi="Arial"/>
          <w:sz w:val="18"/>
          <w:szCs w:val="18"/>
          <w:color w:val="auto"/>
        </w:rPr>
        <w:t>Outstanding at January 31, 2012</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forfeited or expired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exercised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January 31, 2013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Special dividend adjustments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forfeited or expired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Spin-off Adjustment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September 27, 2013 (before spin)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September 28, 2013 (after spin)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forfeited or expired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exercised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January 31, 2014</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forfeited or expired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Options exercised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at January 30,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Exercisable at January 30, 2015</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Vested and expected to vest in the future as of January 30, 2015</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i w:val="1"/>
          <w:iCs w:val="1"/>
          <w:color w:val="auto"/>
        </w:rPr>
        <w:t>Adjusted for Conversion Ratio of 1.4523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71.60</w:t>
            </w:r>
          </w:p>
        </w:tc>
        <w:tc>
          <w:tcPr>
            <w:tcW w:w="8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52.79</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70.17</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7"/>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67.24</w:t>
            </w: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54.86</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71.80</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7"/>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57.85</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21"/>
                <w:szCs w:val="21"/>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59.25</w:t>
            </w: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92"/>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40.20</w:t>
            </w:r>
          </w:p>
        </w:tc>
        <w:tc>
          <w:tcPr>
            <w:tcW w:w="8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45.16</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39.43</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7"/>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43.10</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spacing w:after="0"/>
              <w:rPr>
                <w:sz w:val="21"/>
                <w:szCs w:val="21"/>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40.32</w:t>
            </w: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37.25</w:t>
            </w: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0"/>
        </w:trPr>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43.90</w:t>
            </w:r>
          </w:p>
        </w:tc>
        <w:tc>
          <w:tcPr>
            <w:tcW w:w="8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7"/>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34.89</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w:t>
            </w:r>
          </w:p>
        </w:tc>
        <w:tc>
          <w:tcPr>
            <w:tcW w:w="320" w:type="dxa"/>
            <w:vAlign w:val="bottom"/>
          </w:tcPr>
          <w:p>
            <w:pPr>
              <w:spacing w:after="0"/>
              <w:rPr>
                <w:sz w:val="21"/>
                <w:szCs w:val="21"/>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38.50</w:t>
            </w: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50"/>
        </w:trPr>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21"/>
                <w:szCs w:val="21"/>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40.90</w:t>
            </w: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43"/>
        </w:trPr>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3.5</w:t>
            </w:r>
          </w:p>
        </w:tc>
        <w:tc>
          <w:tcPr>
            <w:tcW w:w="320" w:type="dxa"/>
            <w:vAlign w:val="bottom"/>
          </w:tcPr>
          <w:p>
            <w:pPr>
              <w:spacing w:after="0"/>
              <w:rPr>
                <w:sz w:val="21"/>
                <w:szCs w:val="21"/>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38.57</w:t>
            </w:r>
          </w:p>
        </w:tc>
        <w:tc>
          <w:tcPr>
            <w:tcW w:w="8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6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bl>
    <w:p>
      <w:pPr>
        <w:spacing w:after="0" w:line="390" w:lineRule="exact"/>
        <w:rPr>
          <w:sz w:val="20"/>
          <w:szCs w:val="20"/>
          <w:color w:val="auto"/>
        </w:rPr>
      </w:pPr>
    </w:p>
    <w:p>
      <w:pPr>
        <w:sectPr>
          <w:pgSz w:w="11900" w:h="16838" w:orient="portrait"/>
          <w:cols w:equalWidth="0" w:num="2">
            <w:col w:w="5180" w:space="200"/>
            <w:col w:w="6040"/>
          </w:cols>
          <w:pgMar w:left="240" w:top="333" w:right="239" w:bottom="1440" w:gutter="0" w:footer="0" w:header="0"/>
          <w:type w:val="continuous"/>
        </w:sectPr>
      </w:pPr>
    </w:p>
    <w:p>
      <w:pPr>
        <w:jc w:val="both"/>
        <w:ind w:right="60"/>
        <w:spacing w:after="0" w:line="254" w:lineRule="auto"/>
        <w:rPr>
          <w:sz w:val="20"/>
          <w:szCs w:val="20"/>
          <w:color w:val="auto"/>
        </w:rPr>
      </w:pPr>
      <w:r>
        <w:rPr>
          <w:rFonts w:ascii="Arial" w:cs="Arial" w:eastAsia="Arial" w:hAnsi="Arial"/>
          <w:sz w:val="18"/>
          <w:szCs w:val="18"/>
          <w:color w:val="auto"/>
        </w:rPr>
        <w:t>As of January 30, 2015, there was $5 million of unrecognized compensation cost, net of estimated forfeitures, related to stock options, which is expected to be recognized over a weighted-average period of 1.5 years. The tax benefits realized from exercises of stock options for the three years ending January 30, 2015 were immaterial. The fair value of stock exchanged upon exercises of stock options was $1 million for the year ended January 31, 2014.</w:t>
      </w:r>
    </w:p>
    <w:p>
      <w:pPr>
        <w:spacing w:after="0" w:line="13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Vesting Stock Awards. </w:t>
      </w:r>
      <w:r>
        <w:rPr>
          <w:rFonts w:ascii="Arial" w:cs="Arial" w:eastAsia="Arial" w:hAnsi="Arial"/>
          <w:sz w:val="18"/>
          <w:szCs w:val="18"/>
          <w:color w:val="auto"/>
        </w:rPr>
        <w:t>Compensation expense is measured at the grant date fair value and generally recognized over the vesting period of four</w:t>
      </w:r>
      <w:r>
        <w:rPr>
          <w:rFonts w:ascii="Arial" w:cs="Arial" w:eastAsia="Arial" w:hAnsi="Arial"/>
          <w:sz w:val="18"/>
          <w:szCs w:val="18"/>
          <w:i w:val="1"/>
          <w:iCs w:val="1"/>
          <w:color w:val="auto"/>
        </w:rPr>
        <w:t xml:space="preserve"> </w:t>
      </w:r>
      <w:r>
        <w:rPr>
          <w:rFonts w:ascii="Arial" w:cs="Arial" w:eastAsia="Arial" w:hAnsi="Arial"/>
          <w:sz w:val="18"/>
          <w:szCs w:val="18"/>
          <w:color w:val="auto"/>
        </w:rPr>
        <w:t>years, or seven years for certain stock awards granted under the Stock Compensation Plans based upon required service conditions and in some cases performance conditions.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F-48</w:t>
      </w:r>
    </w:p>
    <w:p>
      <w:pPr>
        <w:sectPr>
          <w:pgSz w:w="11900" w:h="16838" w:orient="portrait"/>
          <w:cols w:equalWidth="0" w:num="1">
            <w:col w:w="11420"/>
          </w:cols>
          <w:pgMar w:left="240" w:top="333" w:right="2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Vesting stock award activity for each of the periods presented was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40" w:type="dxa"/>
            <w:vAlign w:val="bottom"/>
          </w:tcPr>
          <w:p>
            <w:pPr>
              <w:jc w:val="center"/>
              <w:ind w:left="7168"/>
              <w:spacing w:after="0"/>
              <w:rPr>
                <w:sz w:val="20"/>
                <w:szCs w:val="20"/>
                <w:color w:val="auto"/>
              </w:rPr>
            </w:pPr>
            <w:r>
              <w:rPr>
                <w:rFonts w:ascii="Arial" w:cs="Arial" w:eastAsia="Arial" w:hAnsi="Arial"/>
                <w:sz w:val="14"/>
                <w:szCs w:val="14"/>
                <w:color w:val="auto"/>
              </w:rPr>
              <w:t>Shares of stock</w:t>
            </w:r>
          </w:p>
        </w:tc>
        <w:tc>
          <w:tcPr>
            <w:tcW w:w="2080" w:type="dxa"/>
            <w:vAlign w:val="bottom"/>
          </w:tcPr>
          <w:p>
            <w:pPr>
              <w:jc w:val="center"/>
              <w:ind w:right="228"/>
              <w:spacing w:after="0"/>
              <w:rPr>
                <w:sz w:val="20"/>
                <w:szCs w:val="20"/>
                <w:color w:val="auto"/>
              </w:rPr>
            </w:pPr>
            <w:r>
              <w:rPr>
                <w:rFonts w:ascii="Arial" w:cs="Arial" w:eastAsia="Arial" w:hAnsi="Arial"/>
                <w:sz w:val="14"/>
                <w:szCs w:val="14"/>
                <w:color w:val="auto"/>
              </w:rPr>
              <w:t>Weighted</w:t>
            </w:r>
          </w:p>
        </w:tc>
      </w:tr>
      <w:tr>
        <w:trPr>
          <w:trHeight w:val="162"/>
        </w:trPr>
        <w:tc>
          <w:tcPr>
            <w:tcW w:w="9340" w:type="dxa"/>
            <w:vAlign w:val="bottom"/>
          </w:tcPr>
          <w:p>
            <w:pPr>
              <w:jc w:val="center"/>
              <w:ind w:left="7168"/>
              <w:spacing w:after="0"/>
              <w:rPr>
                <w:sz w:val="20"/>
                <w:szCs w:val="20"/>
                <w:color w:val="auto"/>
              </w:rPr>
            </w:pPr>
            <w:r>
              <w:rPr>
                <w:rFonts w:ascii="Arial" w:cs="Arial" w:eastAsia="Arial" w:hAnsi="Arial"/>
                <w:sz w:val="14"/>
                <w:szCs w:val="14"/>
                <w:color w:val="auto"/>
              </w:rPr>
              <w:t>under stock</w:t>
            </w:r>
          </w:p>
        </w:tc>
        <w:tc>
          <w:tcPr>
            <w:tcW w:w="2080" w:type="dxa"/>
            <w:vAlign w:val="bottom"/>
          </w:tcPr>
          <w:p>
            <w:pPr>
              <w:jc w:val="center"/>
              <w:ind w:right="228"/>
              <w:spacing w:after="0"/>
              <w:rPr>
                <w:sz w:val="20"/>
                <w:szCs w:val="20"/>
                <w:color w:val="auto"/>
              </w:rPr>
            </w:pPr>
            <w:r>
              <w:rPr>
                <w:rFonts w:ascii="Arial" w:cs="Arial" w:eastAsia="Arial" w:hAnsi="Arial"/>
                <w:sz w:val="14"/>
                <w:szCs w:val="14"/>
                <w:color w:val="auto"/>
              </w:rPr>
              <w:t>average grant-</w:t>
            </w:r>
          </w:p>
        </w:tc>
      </w:tr>
      <w:tr>
        <w:trPr>
          <w:trHeight w:val="178"/>
        </w:trPr>
        <w:tc>
          <w:tcPr>
            <w:tcW w:w="9340" w:type="dxa"/>
            <w:vAlign w:val="bottom"/>
            <w:tcBorders>
              <w:bottom w:val="single" w:sz="8" w:color="auto"/>
            </w:tcBorders>
          </w:tcPr>
          <w:p>
            <w:pPr>
              <w:jc w:val="center"/>
              <w:ind w:left="7168"/>
              <w:spacing w:after="0"/>
              <w:rPr>
                <w:sz w:val="20"/>
                <w:szCs w:val="20"/>
                <w:color w:val="auto"/>
              </w:rPr>
            </w:pPr>
            <w:r>
              <w:rPr>
                <w:rFonts w:ascii="Arial" w:cs="Arial" w:eastAsia="Arial" w:hAnsi="Arial"/>
                <w:sz w:val="14"/>
                <w:szCs w:val="14"/>
                <w:color w:val="auto"/>
              </w:rPr>
              <w:t>awards</w:t>
            </w:r>
          </w:p>
        </w:tc>
        <w:tc>
          <w:tcPr>
            <w:tcW w:w="208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color w:val="auto"/>
              </w:rPr>
              <w:t>date fair value</w:t>
            </w:r>
          </w:p>
        </w:tc>
      </w:tr>
      <w:tr>
        <w:trPr>
          <w:trHeight w:val="258"/>
        </w:trPr>
        <w:tc>
          <w:tcPr>
            <w:tcW w:w="9340" w:type="dxa"/>
            <w:vAlign w:val="bottom"/>
          </w:tcPr>
          <w:p>
            <w:pPr>
              <w:ind w:left="8200"/>
              <w:spacing w:after="0"/>
              <w:rPr>
                <w:sz w:val="20"/>
                <w:szCs w:val="20"/>
                <w:color w:val="auto"/>
              </w:rPr>
            </w:pPr>
            <w:r>
              <w:rPr>
                <w:rFonts w:ascii="Arial" w:cs="Arial" w:eastAsia="Arial" w:hAnsi="Arial"/>
                <w:sz w:val="14"/>
                <w:szCs w:val="14"/>
                <w:color w:val="auto"/>
              </w:rPr>
              <w:t>(in millions)</w:t>
            </w:r>
          </w:p>
        </w:tc>
        <w:tc>
          <w:tcPr>
            <w:tcW w:w="2080" w:type="dxa"/>
            <w:vAlign w:val="bottom"/>
          </w:tcPr>
          <w:p>
            <w:pPr>
              <w:spacing w:after="0"/>
              <w:rPr>
                <w:sz w:val="22"/>
                <w:szCs w:val="22"/>
                <w:color w:val="auto"/>
              </w:rPr>
            </w:pPr>
          </w:p>
        </w:tc>
      </w:tr>
    </w:tbl>
    <w:p>
      <w:pPr>
        <w:spacing w:after="0" w:line="38" w:lineRule="exact"/>
        <w:rPr>
          <w:sz w:val="20"/>
          <w:szCs w:val="20"/>
          <w:color w:val="auto"/>
        </w:rPr>
      </w:pPr>
    </w:p>
    <w:p>
      <w:pPr>
        <w:sectPr>
          <w:pgSz w:w="11900" w:h="16838" w:orient="portrait"/>
          <w:cols w:equalWidth="0" w:num="1">
            <w:col w:w="11420"/>
          </w:cols>
          <w:pgMar w:left="240" w:top="333" w:right="239" w:bottom="1440" w:gutter="0" w:footer="0" w:header="0"/>
        </w:sectPr>
      </w:pPr>
    </w:p>
    <w:p>
      <w:pPr>
        <w:ind w:left="40"/>
        <w:spacing w:after="0"/>
        <w:rPr>
          <w:sz w:val="20"/>
          <w:szCs w:val="20"/>
          <w:color w:val="auto"/>
        </w:rPr>
      </w:pPr>
      <w:r>
        <w:rPr>
          <w:rFonts w:ascii="Arial" w:cs="Arial" w:eastAsia="Arial" w:hAnsi="Arial"/>
          <w:sz w:val="18"/>
          <w:szCs w:val="18"/>
          <w:color w:val="auto"/>
        </w:rPr>
        <w:t>Unvested at January 31, 2012</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forfeited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vested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Unvested at January 31, 2013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forfeited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vested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Spin-off Adjustment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Unvested at September 27, 2013 (before spin)</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7"/>
          <w:szCs w:val="17"/>
          <w:color w:val="auto"/>
        </w:rPr>
        <w:t>Unvested stock awards at September 28, 2013 (after spin)</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forfeited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Unvested stock awards at January 31, 2014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granted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forfeited</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Awards vested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Unvested stock awards at January 30, 2015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8"/>
                <w:szCs w:val="18"/>
                <w:color w:val="auto"/>
              </w:rPr>
            </w:pPr>
          </w:p>
        </w:tc>
      </w:tr>
      <w:tr>
        <w:trPr>
          <w:trHeight w:val="27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52.48</w:t>
            </w:r>
          </w:p>
        </w:tc>
        <w:tc>
          <w:tcPr>
            <w:tcW w:w="200" w:type="dxa"/>
            <w:vAlign w:val="bottom"/>
          </w:tcPr>
          <w:p>
            <w:pPr>
              <w:spacing w:after="0"/>
              <w:rPr>
                <w:sz w:val="23"/>
                <w:szCs w:val="23"/>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62.84</w:t>
            </w:r>
          </w:p>
        </w:tc>
        <w:tc>
          <w:tcPr>
            <w:tcW w:w="200" w:type="dxa"/>
            <w:vAlign w:val="bottom"/>
          </w:tcPr>
          <w:p>
            <w:pPr>
              <w:spacing w:after="0"/>
              <w:rPr>
                <w:sz w:val="23"/>
                <w:szCs w:val="23"/>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71.28</w:t>
            </w:r>
          </w:p>
        </w:tc>
        <w:tc>
          <w:tcPr>
            <w:tcW w:w="200" w:type="dxa"/>
            <w:vAlign w:val="bottom"/>
          </w:tcPr>
          <w:p>
            <w:pPr>
              <w:spacing w:after="0"/>
              <w:rPr>
                <w:sz w:val="24"/>
                <w:szCs w:val="24"/>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60.78</w:t>
            </w:r>
          </w:p>
        </w:tc>
        <w:tc>
          <w:tcPr>
            <w:tcW w:w="200" w:type="dxa"/>
            <w:vAlign w:val="bottom"/>
          </w:tcPr>
          <w:p>
            <w:pPr>
              <w:spacing w:after="0"/>
              <w:rPr>
                <w:sz w:val="21"/>
                <w:szCs w:val="21"/>
                <w:color w:val="auto"/>
              </w:rPr>
            </w:pPr>
          </w:p>
        </w:tc>
      </w:tr>
      <w:tr>
        <w:trPr>
          <w:trHeight w:val="27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53.51</w:t>
            </w:r>
          </w:p>
        </w:tc>
        <w:tc>
          <w:tcPr>
            <w:tcW w:w="200" w:type="dxa"/>
            <w:vAlign w:val="bottom"/>
          </w:tcPr>
          <w:p>
            <w:pPr>
              <w:spacing w:after="0"/>
              <w:rPr>
                <w:sz w:val="23"/>
                <w:szCs w:val="23"/>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58.28</w:t>
            </w:r>
          </w:p>
        </w:tc>
        <w:tc>
          <w:tcPr>
            <w:tcW w:w="200" w:type="dxa"/>
            <w:vAlign w:val="bottom"/>
          </w:tcPr>
          <w:p>
            <w:pPr>
              <w:spacing w:after="0"/>
              <w:rPr>
                <w:sz w:val="23"/>
                <w:szCs w:val="23"/>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64.76</w:t>
            </w:r>
          </w:p>
        </w:tc>
        <w:tc>
          <w:tcPr>
            <w:tcW w:w="200" w:type="dxa"/>
            <w:vAlign w:val="bottom"/>
          </w:tcPr>
          <w:p>
            <w:pPr>
              <w:spacing w:after="0"/>
              <w:rPr>
                <w:sz w:val="23"/>
                <w:szCs w:val="23"/>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57.04</w:t>
            </w:r>
          </w:p>
        </w:tc>
        <w:tc>
          <w:tcPr>
            <w:tcW w:w="200" w:type="dxa"/>
            <w:vAlign w:val="bottom"/>
          </w:tcPr>
          <w:p>
            <w:pPr>
              <w:spacing w:after="0"/>
              <w:rPr>
                <w:sz w:val="24"/>
                <w:szCs w:val="24"/>
                <w:color w:val="auto"/>
              </w:rPr>
            </w:pPr>
          </w:p>
        </w:tc>
      </w:tr>
      <w:tr>
        <w:trPr>
          <w:trHeight w:val="250"/>
        </w:trPr>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320" w:type="dxa"/>
            <w:vAlign w:val="bottom"/>
          </w:tcPr>
          <w:p>
            <w:pPr>
              <w:spacing w:after="0"/>
              <w:rPr>
                <w:sz w:val="21"/>
                <w:szCs w:val="21"/>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59.98</w:t>
            </w:r>
          </w:p>
        </w:tc>
        <w:tc>
          <w:tcPr>
            <w:tcW w:w="200" w:type="dxa"/>
            <w:vAlign w:val="bottom"/>
          </w:tcPr>
          <w:p>
            <w:pPr>
              <w:spacing w:after="0"/>
              <w:rPr>
                <w:sz w:val="21"/>
                <w:szCs w:val="21"/>
                <w:color w:val="auto"/>
              </w:rPr>
            </w:pPr>
          </w:p>
        </w:tc>
      </w:tr>
      <w:tr>
        <w:trPr>
          <w:trHeight w:val="380"/>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41.54</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57"/>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32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45.41</w:t>
            </w:r>
          </w:p>
        </w:tc>
        <w:tc>
          <w:tcPr>
            <w:tcW w:w="20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76"/>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39.75</w:t>
            </w:r>
          </w:p>
        </w:tc>
        <w:tc>
          <w:tcPr>
            <w:tcW w:w="200" w:type="dxa"/>
            <w:vAlign w:val="bottom"/>
          </w:tcPr>
          <w:p>
            <w:pPr>
              <w:spacing w:after="0"/>
              <w:rPr>
                <w:sz w:val="23"/>
                <w:szCs w:val="23"/>
                <w:color w:val="auto"/>
              </w:rPr>
            </w:pPr>
          </w:p>
        </w:tc>
      </w:tr>
      <w:tr>
        <w:trPr>
          <w:trHeight w:val="250"/>
        </w:trPr>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21"/>
                <w:szCs w:val="21"/>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39.58</w:t>
            </w:r>
          </w:p>
        </w:tc>
        <w:tc>
          <w:tcPr>
            <w:tcW w:w="200" w:type="dxa"/>
            <w:vAlign w:val="bottom"/>
          </w:tcPr>
          <w:p>
            <w:pPr>
              <w:spacing w:after="0"/>
              <w:rPr>
                <w:sz w:val="21"/>
                <w:szCs w:val="21"/>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37.06</w:t>
            </w:r>
          </w:p>
        </w:tc>
        <w:tc>
          <w:tcPr>
            <w:tcW w:w="200" w:type="dxa"/>
            <w:vAlign w:val="bottom"/>
          </w:tcPr>
          <w:p>
            <w:pPr>
              <w:spacing w:after="0"/>
              <w:rPr>
                <w:sz w:val="21"/>
                <w:szCs w:val="2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39.05</w:t>
            </w:r>
          </w:p>
        </w:tc>
        <w:tc>
          <w:tcPr>
            <w:tcW w:w="200" w:type="dxa"/>
            <w:vAlign w:val="bottom"/>
          </w:tcPr>
          <w:p>
            <w:pPr>
              <w:spacing w:after="0"/>
              <w:rPr>
                <w:sz w:val="23"/>
                <w:szCs w:val="23"/>
                <w:color w:val="auto"/>
              </w:rPr>
            </w:pPr>
          </w:p>
        </w:tc>
      </w:tr>
      <w:tr>
        <w:trPr>
          <w:trHeight w:val="277"/>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41.08</w:t>
            </w:r>
          </w:p>
        </w:tc>
        <w:tc>
          <w:tcPr>
            <w:tcW w:w="200" w:type="dxa"/>
            <w:vAlign w:val="bottom"/>
          </w:tcPr>
          <w:p>
            <w:pPr>
              <w:spacing w:after="0"/>
              <w:rPr>
                <w:sz w:val="24"/>
                <w:szCs w:val="24"/>
                <w:color w:val="auto"/>
              </w:rPr>
            </w:pPr>
          </w:p>
        </w:tc>
      </w:tr>
      <w:tr>
        <w:trPr>
          <w:trHeight w:val="243"/>
        </w:trPr>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21"/>
                <w:szCs w:val="21"/>
                <w:color w:val="auto"/>
              </w:rPr>
            </w:pPr>
          </w:p>
        </w:tc>
        <w:tc>
          <w:tcPr>
            <w:tcW w:w="6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38.51</w:t>
            </w:r>
          </w:p>
        </w:tc>
        <w:tc>
          <w:tcPr>
            <w:tcW w:w="2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951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6820" w:space="720"/>
            <w:col w:w="3880"/>
          </w:cols>
          <w:pgMar w:left="240" w:top="333" w:right="239" w:bottom="1440" w:gutter="0" w:footer="0" w:header="0"/>
          <w:type w:val="continuous"/>
        </w:sectPr>
      </w:pPr>
    </w:p>
    <w:p>
      <w:pPr>
        <w:ind w:right="8360" w:firstLine="8"/>
        <w:spacing w:after="0" w:line="279" w:lineRule="auto"/>
        <w:tabs>
          <w:tab w:leader="none" w:pos="96" w:val="left"/>
        </w:tabs>
        <w:numPr>
          <w:ilvl w:val="0"/>
          <w:numId w:val="3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Modified Performance-Based Awards ** Adjusted for Conversion Ratio of 1.4523</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of January 30, 2015, there was $45 million of unrecognized compensation cost, net of estimated forfeitures, related to vesting stock awards, which is expected to be recognized over a weighted average period of 1.6 years. The fair value of vesting stock awards that vested in fiscal 2015, 2014, and 2013 was $34 million, $49 million, and $66 million, respectively.</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Performance-Based Stock Awards. </w:t>
      </w:r>
      <w:r>
        <w:rPr>
          <w:rFonts w:ascii="Arial" w:cs="Arial" w:eastAsia="Arial" w:hAnsi="Arial"/>
          <w:sz w:val="18"/>
          <w:szCs w:val="18"/>
          <w:color w:val="auto"/>
        </w:rPr>
        <w:t>The Company grants performance-based stock awards to certain officers and key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under the 2006 Equity Incentive Plan. The Company’s performance-based stock awards vest and the stock is issued at the end of a three-year period based upon the achievement of specific performance criteria, with the number of shares ultimately awarded, if any, ranging up to 150% of the specified target awards. If performance is below the threshold level of performance, no shares will be issued. The performance period for certain performance-based stock awards was deemed completed as of the last fiscal quarter prior to the spin-off with the target shares prorated for the completed period earned. For all of the remaining target shares in the original award, the performance condition was removed and the awards are subject to vesting based on continued employment through the original performance period and reflected in the vesting stock awards table above.</w:t>
      </w:r>
    </w:p>
    <w:p>
      <w:pPr>
        <w:spacing w:after="0" w:line="14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There were no performance-based stock awards granted in fiscal 2014 and the outstanding awards represent the awards whose performance conditions were completed in the last fiscal quarter prior to the spin-off and continue to vest over the original service period of the award. For the fiscal 2015 awards granted, one-third of the target number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F-49</w:t>
      </w:r>
    </w:p>
    <w:p>
      <w:pPr>
        <w:sectPr>
          <w:pgSz w:w="11900" w:h="16838" w:orient="portrait"/>
          <w:cols w:equalWidth="0" w:num="1">
            <w:col w:w="11420"/>
          </w:cols>
          <w:pgMar w:left="240" w:top="333" w:right="2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of shares of stock granted under the awards will be allocated to each fiscal year over the three-year performance period and the actual number of shares to be issued with respect to each fiscal year will be based upon the achievement of that fiscal year’s performance criteria.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stock award activity for each of the periods presented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color w:val="auto"/>
              </w:rPr>
              <w:t>Expected number</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color w:val="auto"/>
              </w:rPr>
              <w:t>of shares of stock</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4"/>
                <w:szCs w:val="14"/>
                <w:color w:val="auto"/>
              </w:rPr>
              <w:t>to be issued under</w:t>
            </w:r>
          </w:p>
        </w:tc>
        <w:tc>
          <w:tcPr>
            <w:tcW w:w="340" w:type="dxa"/>
            <w:vAlign w:val="bottom"/>
          </w:tcPr>
          <w:p>
            <w:pPr>
              <w:spacing w:after="0"/>
              <w:rPr>
                <w:sz w:val="14"/>
                <w:szCs w:val="14"/>
                <w:color w:val="auto"/>
              </w:rPr>
            </w:pPr>
          </w:p>
        </w:tc>
        <w:tc>
          <w:tcPr>
            <w:tcW w:w="1260" w:type="dxa"/>
            <w:vAlign w:val="bottom"/>
          </w:tcPr>
          <w:p>
            <w:pPr>
              <w:jc w:val="center"/>
              <w:ind w:right="76"/>
              <w:spacing w:after="0"/>
              <w:rPr>
                <w:sz w:val="20"/>
                <w:szCs w:val="20"/>
                <w:color w:val="auto"/>
              </w:rPr>
            </w:pPr>
            <w:r>
              <w:rPr>
                <w:rFonts w:ascii="Arial" w:cs="Arial" w:eastAsia="Arial" w:hAnsi="Arial"/>
                <w:sz w:val="14"/>
                <w:szCs w:val="14"/>
                <w:color w:val="auto"/>
              </w:rPr>
              <w:t>Weighted</w:t>
            </w:r>
          </w:p>
        </w:tc>
        <w:tc>
          <w:tcPr>
            <w:tcW w:w="480" w:type="dxa"/>
            <w:vAlign w:val="bottom"/>
          </w:tcPr>
          <w:p>
            <w:pPr>
              <w:spacing w:after="0"/>
              <w:rPr>
                <w:sz w:val="14"/>
                <w:szCs w:val="14"/>
                <w:color w:val="auto"/>
              </w:rPr>
            </w:pPr>
          </w:p>
        </w:tc>
      </w:tr>
      <w:tr>
        <w:trPr>
          <w:trHeight w:val="162"/>
        </w:trPr>
        <w:tc>
          <w:tcPr>
            <w:tcW w:w="7200" w:type="dxa"/>
            <w:vAlign w:val="bottom"/>
          </w:tcPr>
          <w:p>
            <w:pPr>
              <w:spacing w:after="0"/>
              <w:rPr>
                <w:sz w:val="14"/>
                <w:szCs w:val="14"/>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color w:val="auto"/>
              </w:rPr>
              <w:t>performance-based</w:t>
            </w:r>
          </w:p>
        </w:tc>
        <w:tc>
          <w:tcPr>
            <w:tcW w:w="340" w:type="dxa"/>
            <w:vAlign w:val="bottom"/>
          </w:tcPr>
          <w:p>
            <w:pPr>
              <w:spacing w:after="0"/>
              <w:rPr>
                <w:sz w:val="14"/>
                <w:szCs w:val="14"/>
                <w:color w:val="auto"/>
              </w:rPr>
            </w:pPr>
          </w:p>
        </w:tc>
        <w:tc>
          <w:tcPr>
            <w:tcW w:w="1260" w:type="dxa"/>
            <w:vAlign w:val="bottom"/>
          </w:tcPr>
          <w:p>
            <w:pPr>
              <w:jc w:val="center"/>
              <w:ind w:right="76"/>
              <w:spacing w:after="0"/>
              <w:rPr>
                <w:sz w:val="20"/>
                <w:szCs w:val="20"/>
                <w:color w:val="auto"/>
              </w:rPr>
            </w:pPr>
            <w:r>
              <w:rPr>
                <w:rFonts w:ascii="Arial" w:cs="Arial" w:eastAsia="Arial" w:hAnsi="Arial"/>
                <w:sz w:val="14"/>
                <w:szCs w:val="14"/>
                <w:color w:val="auto"/>
              </w:rPr>
              <w:t>average grant-</w:t>
            </w:r>
          </w:p>
        </w:tc>
        <w:tc>
          <w:tcPr>
            <w:tcW w:w="480" w:type="dxa"/>
            <w:vAlign w:val="bottom"/>
          </w:tcPr>
          <w:p>
            <w:pPr>
              <w:spacing w:after="0"/>
              <w:rPr>
                <w:sz w:val="14"/>
                <w:szCs w:val="14"/>
                <w:color w:val="auto"/>
              </w:rPr>
            </w:pPr>
          </w:p>
        </w:tc>
      </w:tr>
      <w:tr>
        <w:trPr>
          <w:trHeight w:val="178"/>
        </w:trPr>
        <w:tc>
          <w:tcPr>
            <w:tcW w:w="72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rPr>
              <w:t>stock awards</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rPr>
              <w:t>date fair value</w:t>
            </w:r>
          </w:p>
        </w:tc>
        <w:tc>
          <w:tcPr>
            <w:tcW w:w="480" w:type="dxa"/>
            <w:vAlign w:val="bottom"/>
            <w:tcBorders>
              <w:bottom w:val="single" w:sz="8" w:color="auto"/>
            </w:tcBorders>
          </w:tcPr>
          <w:p>
            <w:pPr>
              <w:spacing w:after="0"/>
              <w:rPr>
                <w:sz w:val="15"/>
                <w:szCs w:val="15"/>
                <w:color w:val="auto"/>
              </w:rPr>
            </w:pPr>
          </w:p>
        </w:tc>
      </w:tr>
      <w:tr>
        <w:trPr>
          <w:trHeight w:val="258"/>
        </w:trPr>
        <w:tc>
          <w:tcPr>
            <w:tcW w:w="7200" w:type="dxa"/>
            <w:vAlign w:val="bottom"/>
          </w:tcPr>
          <w:p>
            <w:pPr>
              <w:spacing w:after="0"/>
              <w:rPr>
                <w:sz w:val="22"/>
                <w:szCs w:val="22"/>
                <w:color w:val="auto"/>
              </w:rPr>
            </w:pPr>
          </w:p>
        </w:tc>
        <w:tc>
          <w:tcPr>
            <w:tcW w:w="2140" w:type="dxa"/>
            <w:vAlign w:val="bottom"/>
            <w:gridSpan w:val="2"/>
          </w:tcPr>
          <w:p>
            <w:pPr>
              <w:jc w:val="center"/>
              <w:ind w:right="30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69"/>
        </w:trPr>
        <w:tc>
          <w:tcPr>
            <w:tcW w:w="7200" w:type="dxa"/>
            <w:vAlign w:val="bottom"/>
          </w:tcPr>
          <w:p>
            <w:pPr>
              <w:ind w:left="40"/>
              <w:spacing w:after="0"/>
              <w:rPr>
                <w:sz w:val="20"/>
                <w:szCs w:val="20"/>
                <w:color w:val="auto"/>
              </w:rPr>
            </w:pPr>
            <w:r>
              <w:rPr>
                <w:rFonts w:ascii="Arial" w:cs="Arial" w:eastAsia="Arial" w:hAnsi="Arial"/>
                <w:sz w:val="18"/>
                <w:szCs w:val="18"/>
                <w:color w:val="auto"/>
              </w:rPr>
              <w:t>Unvested at January 31, 2013</w:t>
            </w:r>
          </w:p>
        </w:tc>
        <w:tc>
          <w:tcPr>
            <w:tcW w:w="184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52.96</w:t>
            </w:r>
          </w:p>
        </w:tc>
        <w:tc>
          <w:tcPr>
            <w:tcW w:w="480" w:type="dxa"/>
            <w:vAlign w:val="bottom"/>
          </w:tcPr>
          <w:p>
            <w:pPr>
              <w:spacing w:after="0"/>
              <w:rPr>
                <w:sz w:val="23"/>
                <w:szCs w:val="23"/>
                <w:color w:val="auto"/>
              </w:rPr>
            </w:pPr>
          </w:p>
        </w:tc>
      </w:tr>
      <w:tr>
        <w:trPr>
          <w:trHeight w:val="264"/>
        </w:trPr>
        <w:tc>
          <w:tcPr>
            <w:tcW w:w="7200" w:type="dxa"/>
            <w:vAlign w:val="bottom"/>
          </w:tcPr>
          <w:p>
            <w:pPr>
              <w:ind w:left="180"/>
              <w:spacing w:after="0"/>
              <w:rPr>
                <w:sz w:val="20"/>
                <w:szCs w:val="20"/>
                <w:color w:val="auto"/>
              </w:rPr>
            </w:pPr>
            <w:r>
              <w:rPr>
                <w:rFonts w:ascii="Arial" w:cs="Arial" w:eastAsia="Arial" w:hAnsi="Arial"/>
                <w:sz w:val="18"/>
                <w:szCs w:val="18"/>
                <w:color w:val="auto"/>
              </w:rPr>
              <w:t>Awards canceled</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(0.2) </w:t>
            </w: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53.11</w:t>
            </w:r>
          </w:p>
        </w:tc>
        <w:tc>
          <w:tcPr>
            <w:tcW w:w="4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0"/>
        </w:trPr>
        <w:tc>
          <w:tcPr>
            <w:tcW w:w="72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200" w:type="dxa"/>
            <w:vAlign w:val="bottom"/>
          </w:tcPr>
          <w:p>
            <w:pPr>
              <w:ind w:left="40"/>
              <w:spacing w:after="0"/>
              <w:rPr>
                <w:sz w:val="20"/>
                <w:szCs w:val="20"/>
                <w:color w:val="auto"/>
              </w:rPr>
            </w:pPr>
            <w:r>
              <w:rPr>
                <w:rFonts w:ascii="Arial" w:cs="Arial" w:eastAsia="Arial" w:hAnsi="Arial"/>
                <w:sz w:val="18"/>
                <w:szCs w:val="18"/>
                <w:color w:val="auto"/>
              </w:rPr>
              <w:t>Unvested at January 31, 2014</w:t>
            </w:r>
          </w:p>
        </w:tc>
        <w:tc>
          <w:tcPr>
            <w:tcW w:w="2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 xml:space="preserve">0.1  </w:t>
            </w: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36.65</w:t>
            </w:r>
          </w:p>
        </w:tc>
        <w:tc>
          <w:tcPr>
            <w:tcW w:w="4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Awards granted</w:t>
            </w:r>
          </w:p>
        </w:tc>
        <w:tc>
          <w:tcPr>
            <w:tcW w:w="18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37.64</w:t>
            </w:r>
          </w:p>
        </w:tc>
        <w:tc>
          <w:tcPr>
            <w:tcW w:w="480" w:type="dxa"/>
            <w:vAlign w:val="bottom"/>
          </w:tcPr>
          <w:p>
            <w:pPr>
              <w:spacing w:after="0"/>
              <w:rPr>
                <w:sz w:val="21"/>
                <w:szCs w:val="21"/>
                <w:color w:val="auto"/>
              </w:rPr>
            </w:pPr>
          </w:p>
        </w:tc>
      </w:tr>
      <w:tr>
        <w:trPr>
          <w:trHeight w:val="277"/>
        </w:trPr>
        <w:tc>
          <w:tcPr>
            <w:tcW w:w="7200" w:type="dxa"/>
            <w:vAlign w:val="bottom"/>
          </w:tcPr>
          <w:p>
            <w:pPr>
              <w:ind w:left="180"/>
              <w:spacing w:after="0"/>
              <w:rPr>
                <w:sz w:val="20"/>
                <w:szCs w:val="20"/>
                <w:color w:val="auto"/>
              </w:rPr>
            </w:pPr>
            <w:r>
              <w:rPr>
                <w:rFonts w:ascii="Arial" w:cs="Arial" w:eastAsia="Arial" w:hAnsi="Arial"/>
                <w:sz w:val="18"/>
                <w:szCs w:val="18"/>
                <w:color w:val="auto"/>
              </w:rPr>
              <w:t>Awards vested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36.69</w:t>
            </w:r>
          </w:p>
        </w:tc>
        <w:tc>
          <w:tcPr>
            <w:tcW w:w="480" w:type="dxa"/>
            <w:vAlign w:val="bottom"/>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Unvested at January 30, 2015</w:t>
            </w:r>
          </w:p>
        </w:tc>
        <w:tc>
          <w:tcPr>
            <w:tcW w:w="1840" w:type="dxa"/>
            <w:vAlign w:val="bottom"/>
          </w:tcPr>
          <w:p>
            <w:pPr>
              <w:jc w:val="right"/>
              <w:ind w:right="39"/>
              <w:spacing w:after="0"/>
              <w:rPr>
                <w:sz w:val="20"/>
                <w:szCs w:val="20"/>
                <w:color w:val="auto"/>
              </w:rPr>
            </w:pPr>
            <w:r>
              <w:rPr>
                <w:rFonts w:ascii="Arial" w:cs="Arial" w:eastAsia="Arial" w:hAnsi="Arial"/>
                <w:sz w:val="18"/>
                <w:szCs w:val="18"/>
                <w:b w:val="1"/>
                <w:bCs w:val="1"/>
                <w:color w:val="auto"/>
              </w:rPr>
              <w:t>0.1</w:t>
            </w:r>
          </w:p>
        </w:tc>
        <w:tc>
          <w:tcPr>
            <w:tcW w:w="3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37.70</w:t>
            </w:r>
          </w:p>
        </w:tc>
        <w:tc>
          <w:tcPr>
            <w:tcW w:w="4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8890</wp:posOffset>
            </wp:positionV>
            <wp:extent cx="11664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right="7960" w:firstLine="8"/>
        <w:spacing w:after="0" w:line="279" w:lineRule="auto"/>
        <w:tabs>
          <w:tab w:leader="none" w:pos="96"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Modified Performance-Based Stock Awards **Adjusted for Conversion Ratio of 1.4523</w:t>
      </w:r>
    </w:p>
    <w:p>
      <w:pPr>
        <w:spacing w:after="0" w:line="12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weighted average grant date fair value for performance-based stock during fiscal 2015 was $36.88 and $52.52 during fiscal 2013. There were no grants for performance-based stock awards during fiscal 2014.</w:t>
      </w:r>
    </w:p>
    <w:p>
      <w:pPr>
        <w:spacing w:after="0" w:line="14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January 30, 2015, there was $1.0 million of unrecognized compensation cost, net of estimated forfeitures, related to performance-based stock awards granted under the 2006 Equity Incentive Plan, which is expected to be recognized over a weighted average period of 2.0 years. The fair value of performance-based stock awards that vested in fiscal 2015 and fiscal 2014 was $2.3 million and $1.5 million, respectively. There were no vesting events for performance-based stock awards during fiscal 2013.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F-50</w:t>
      </w:r>
    </w:p>
    <w:p>
      <w:pPr>
        <w:sectPr>
          <w:pgSz w:w="11900" w:h="16838" w:orient="portrait"/>
          <w:cols w:equalWidth="0" w:num="1">
            <w:col w:w="11420"/>
          </w:cols>
          <w:pgMar w:left="240" w:top="333"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14—Income Taxes:</w:t>
      </w:r>
    </w:p>
    <w:p>
      <w:pPr>
        <w:spacing w:after="0" w:line="193"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Substantially all of the Company’s income from continuing operations before income taxes for the three years ended January 30, 2015 was earned in the United States. The provision for income taxes related to continuing operations for each of the three years ended January 30, 2015 included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color w:val="auto"/>
              </w:rPr>
              <w:t>Year Ended</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75"/>
              <w:spacing w:after="0"/>
              <w:rPr>
                <w:sz w:val="20"/>
                <w:szCs w:val="20"/>
                <w:color w:val="auto"/>
              </w:rPr>
            </w:pPr>
            <w:r>
              <w:rPr>
                <w:rFonts w:ascii="Arial" w:cs="Arial" w:eastAsia="Arial" w:hAnsi="Arial"/>
                <w:sz w:val="14"/>
                <w:szCs w:val="14"/>
                <w:b w:val="1"/>
                <w:bCs w:val="1"/>
                <w:color w:val="auto"/>
              </w:rPr>
              <w:t>January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98"/>
              <w:spacing w:after="0"/>
              <w:rPr>
                <w:sz w:val="20"/>
                <w:szCs w:val="20"/>
                <w:color w:val="auto"/>
              </w:rPr>
            </w:pPr>
            <w:r>
              <w:rPr>
                <w:rFonts w:ascii="Arial" w:cs="Arial" w:eastAsia="Arial" w:hAnsi="Arial"/>
                <w:sz w:val="14"/>
                <w:szCs w:val="14"/>
                <w:color w:val="auto"/>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2B4C9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2B4C9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Federal and foreign</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16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Federal and foreign</w:t>
            </w:r>
          </w:p>
        </w:tc>
        <w:tc>
          <w:tcPr>
            <w:tcW w:w="160" w:type="dxa"/>
            <w:vAlign w:val="bottom"/>
          </w:tcPr>
          <w:p>
            <w:pPr>
              <w:spacing w:after="0"/>
              <w:rPr>
                <w:sz w:val="24"/>
                <w:szCs w:val="24"/>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55</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47</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22</w:t>
            </w:r>
          </w:p>
        </w:tc>
      </w:tr>
    </w:tbl>
    <w:p>
      <w:pPr>
        <w:spacing w:after="0" w:line="215"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from continuing operations before income taxes for each of the three years ended January 30, 2015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75"/>
        </w:trPr>
        <w:tc>
          <w:tcPr>
            <w:tcW w:w="7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5"/>
                <w:szCs w:val="15"/>
                <w:color w:val="auto"/>
              </w:rPr>
            </w:pPr>
          </w:p>
        </w:tc>
        <w:tc>
          <w:tcPr>
            <w:tcW w:w="1140" w:type="dxa"/>
            <w:vAlign w:val="bottom"/>
          </w:tcPr>
          <w:p>
            <w:pPr>
              <w:jc w:val="right"/>
              <w:ind w:right="232"/>
              <w:spacing w:after="0"/>
              <w:rPr>
                <w:sz w:val="20"/>
                <w:szCs w:val="20"/>
                <w:color w:val="auto"/>
              </w:rPr>
            </w:pPr>
            <w:r>
              <w:rPr>
                <w:rFonts w:ascii="Arial" w:cs="Arial" w:eastAsia="Arial" w:hAnsi="Arial"/>
                <w:sz w:val="14"/>
                <w:szCs w:val="14"/>
                <w:color w:val="auto"/>
              </w:rPr>
              <w:t>January 31,</w:t>
            </w:r>
          </w:p>
        </w:tc>
      </w:tr>
      <w:tr>
        <w:trPr>
          <w:trHeight w:val="196"/>
        </w:trPr>
        <w:tc>
          <w:tcPr>
            <w:tcW w:w="7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2013</w:t>
            </w:r>
          </w:p>
        </w:tc>
      </w:tr>
      <w:tr>
        <w:trPr>
          <w:trHeight w:val="204"/>
        </w:trPr>
        <w:tc>
          <w:tcPr>
            <w:tcW w:w="7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9"/>
        </w:trPr>
        <w:tc>
          <w:tcPr>
            <w:tcW w:w="7120" w:type="dxa"/>
            <w:vAlign w:val="bottom"/>
          </w:tcPr>
          <w:p>
            <w:pPr>
              <w:ind w:left="40"/>
              <w:spacing w:after="0"/>
              <w:rPr>
                <w:sz w:val="20"/>
                <w:szCs w:val="20"/>
                <w:color w:val="auto"/>
              </w:rPr>
            </w:pPr>
            <w:r>
              <w:rPr>
                <w:rFonts w:ascii="Arial" w:cs="Arial" w:eastAsia="Arial" w:hAnsi="Arial"/>
                <w:sz w:val="18"/>
                <w:szCs w:val="18"/>
                <w:color w:val="auto"/>
              </w:rPr>
              <w:t>Amount computed at the statutory federal income tax rate (35%)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121</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Taxable conversion of subsidiary</w:t>
            </w:r>
          </w:p>
        </w:tc>
        <w:tc>
          <w:tcPr>
            <w:tcW w:w="2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(116)</w:t>
            </w:r>
          </w:p>
        </w:tc>
        <w:tc>
          <w:tcPr>
            <w:tcW w:w="2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Change in valuation allowance for deferred tax assets</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Change in accruals for uncertain tax positions</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CityTime uncertain tax liability</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(96)</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Dividends paid to employee stock ownership plan</w:t>
            </w:r>
          </w:p>
        </w:tc>
        <w:tc>
          <w:tcPr>
            <w:tcW w:w="220" w:type="dxa"/>
            <w:vAlign w:val="bottom"/>
          </w:tcPr>
          <w:p>
            <w:pPr>
              <w:spacing w:after="0"/>
              <w:rPr>
                <w:sz w:val="23"/>
                <w:szCs w:val="23"/>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U.S. manufacturing activity benefit</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Non-deductible penalties</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0"/>
        </w:trPr>
        <w:tc>
          <w:tcPr>
            <w:tcW w:w="7120" w:type="dxa"/>
            <w:vAlign w:val="bottom"/>
          </w:tcPr>
          <w:p>
            <w:pPr>
              <w:ind w:left="40"/>
              <w:spacing w:after="0"/>
              <w:rPr>
                <w:sz w:val="20"/>
                <w:szCs w:val="20"/>
                <w:color w:val="auto"/>
              </w:rPr>
            </w:pPr>
            <w:r>
              <w:rPr>
                <w:rFonts w:ascii="Arial" w:cs="Arial" w:eastAsia="Arial" w:hAnsi="Arial"/>
                <w:sz w:val="18"/>
                <w:szCs w:val="18"/>
                <w:color w:val="auto"/>
              </w:rPr>
              <w:t>Non-deductible goodwill</w:t>
            </w:r>
          </w:p>
        </w:tc>
        <w:tc>
          <w:tcPr>
            <w:tcW w:w="220" w:type="dxa"/>
            <w:vAlign w:val="bottom"/>
          </w:tcPr>
          <w:p>
            <w:pPr>
              <w:spacing w:after="0"/>
              <w:rPr>
                <w:sz w:val="23"/>
                <w:szCs w:val="23"/>
                <w:color w:val="auto"/>
              </w:rPr>
            </w:pPr>
          </w:p>
        </w:tc>
        <w:tc>
          <w:tcPr>
            <w:tcW w:w="1240" w:type="dxa"/>
            <w:vAlign w:val="bottom"/>
          </w:tcPr>
          <w:p>
            <w:pPr>
              <w:jc w:val="right"/>
              <w:ind w:right="212"/>
              <w:spacing w:after="0"/>
              <w:rPr>
                <w:sz w:val="20"/>
                <w:szCs w:val="20"/>
                <w:color w:val="auto"/>
              </w:rPr>
            </w:pPr>
            <w:r>
              <w:rPr>
                <w:rFonts w:ascii="Arial" w:cs="Arial" w:eastAsia="Arial" w:hAnsi="Arial"/>
                <w:sz w:val="18"/>
                <w:szCs w:val="18"/>
                <w:b w:val="1"/>
                <w:bCs w:val="1"/>
                <w:color w:val="auto"/>
              </w:rPr>
              <w:t>156</w:t>
            </w:r>
          </w:p>
        </w:tc>
        <w:tc>
          <w:tcPr>
            <w:tcW w:w="260" w:type="dxa"/>
            <w:vAlign w:val="bottom"/>
          </w:tcPr>
          <w:p>
            <w:pPr>
              <w:spacing w:after="0"/>
              <w:rPr>
                <w:sz w:val="23"/>
                <w:szCs w:val="23"/>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7"/>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w:t>
            </w:r>
          </w:p>
        </w:tc>
      </w:tr>
      <w:tr>
        <w:trPr>
          <w:trHeight w:val="264"/>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w:t>
            </w:r>
          </w:p>
        </w:tc>
      </w:tr>
      <w:tr>
        <w:trPr>
          <w:trHeight w:val="264"/>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Effective income tax rate</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bl>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effective tax rate in fiscal 2015 was negatively impacted by the goodwill impairment charge of $ 486 million, recorded in the three months ended August 1, 2014, which was mostly not deductible. The effective tax rate was also impacted favorably by Leidos’ conversion of a subsidiary treated as a corporation to a LLC regarded as a partnership for U.S. federal and state income tax purposes. The Company had not previously recorded a benefit for the excess tax basis over the investment in the stock of the domestic subsidiary. As a result of the conversion, the Company recognized a capital loss on its investment in stock and an ordinary gain on the subsidiary's assets. The capital loss of $160 million (tax effected) will be used to offset $58 million of capital gains recognized during fiscal</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F-51</w:t>
      </w:r>
    </w:p>
    <w:p>
      <w:pPr>
        <w:sectPr>
          <w:pgSz w:w="11900" w:h="16838" w:orient="portrait"/>
          <w:cols w:equalWidth="0" w:num="1">
            <w:col w:w="11420"/>
          </w:cols>
          <w:pgMar w:left="240" w:top="333" w:right="239" w:bottom="1440" w:gutter="0" w:footer="0" w:header="0"/>
          <w:type w:val="continuous"/>
        </w:sectPr>
      </w:pPr>
    </w:p>
    <w:bookmarkStart w:id="126" w:name="page127"/>
    <w:bookmarkEnd w:id="126"/>
    <w:p>
      <w:pPr>
        <w:jc w:val="center"/>
        <w:ind w:right="-5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2015 and prior years with the remaining $102 million of capital losses recorded as a long term deferred tax asset. The Company may not generate capital gains to realize the benefit from the capital loss carryforward. In recognition of this uncertainty, the Company has recorded a $102 million valuation allowance on the deferred tax asset related to the capital loss carryforward. The conversion also created a $34 million (tax effected) ordinary gain recognized in fiscal 2015.</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lower effective income tax rate for fiscal 2014 when compared to fiscal 2013 was primarily due to lower earnings in fiscal 2014, the tax deductibility of the special dividend on shares held by the Leidos Retirement Plan (an employee stock ownership plan) and the resolution of certain tax contingencies with the tax authorities resulting in the recognition of an income tax benefit of approximately $7 million. The effective tax rate for fiscal 2013 benefited from a $96 million reduction in the provision for income tax as the result of an issue resolution agreement with the IRS with respect to the tax deductible portion of the CityTime payment which is described in Note 19.</w:t>
      </w:r>
    </w:p>
    <w:p>
      <w:pPr>
        <w:spacing w:after="0" w:line="15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fiscal 2014, the Company benefited from the dividends paid to New SAIC’s employees participating in the plan up to the date of the spin-off and the special dividend of $7 million and $11 million, respectively.</w:t>
      </w:r>
    </w:p>
    <w:p>
      <w:pPr>
        <w:spacing w:after="0" w:line="14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fiscal 2015, discontinued operations reflect a tax benefit of $18 million due to the conversion of one of the Company's domestic subsidiaries held in discontinued operations. This conversion resulted in a deemed liquidation for U.S. tax purposes and triggered tax deductions and an income tax benefit.</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13, 2013, the Treasury Department and the Internal Revenue Service issued final regulations regarding the deduction and capitalization of amounts paid to acquire, produce, improve, or dispose of tangible personal property. These regulations are generally effective for tax years beginning on or after January 1, 2014. The application of these regulations did not have a material impact on our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Leidos Holdings, Inc. Annual Report F-52</w:t>
      </w:r>
    </w:p>
    <w:p>
      <w:pPr>
        <w:sectPr>
          <w:pgSz w:w="11900" w:h="16838" w:orient="portrait"/>
          <w:cols w:equalWidth="0" w:num="1">
            <w:col w:w="11380"/>
          </w:cols>
          <w:pgMar w:left="240" w:top="333" w:right="27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Deferred income taxes are recorded for differences in the basis of assets and liabilities for financial reporting purposes and tax reporting purposes. Deferred tax assets (liabilities) were comprised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color w:val="auto"/>
              </w:rPr>
              <w:t>Year Ended</w:t>
            </w:r>
          </w:p>
        </w:tc>
      </w:tr>
      <w:tr>
        <w:trPr>
          <w:trHeight w:val="175"/>
        </w:trPr>
        <w:tc>
          <w:tcPr>
            <w:tcW w:w="8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080" w:type="dxa"/>
            <w:vAlign w:val="bottom"/>
          </w:tcPr>
          <w:p>
            <w:pPr>
              <w:jc w:val="center"/>
              <w:ind w:right="153"/>
              <w:spacing w:after="0"/>
              <w:rPr>
                <w:sz w:val="20"/>
                <w:szCs w:val="20"/>
                <w:color w:val="auto"/>
              </w:rPr>
            </w:pPr>
            <w:r>
              <w:rPr>
                <w:rFonts w:ascii="Arial" w:cs="Arial" w:eastAsia="Arial" w:hAnsi="Arial"/>
                <w:sz w:val="14"/>
                <w:szCs w:val="14"/>
                <w:color w:val="auto"/>
              </w:rPr>
              <w:t>January 31,</w:t>
            </w:r>
          </w:p>
        </w:tc>
      </w:tr>
      <w:tr>
        <w:trPr>
          <w:trHeight w:val="196"/>
        </w:trPr>
        <w:tc>
          <w:tcPr>
            <w:tcW w:w="8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2014</w:t>
            </w:r>
          </w:p>
        </w:tc>
      </w:tr>
      <w:tr>
        <w:trPr>
          <w:trHeight w:val="204"/>
        </w:trPr>
        <w:tc>
          <w:tcPr>
            <w:tcW w:w="8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ind w:left="800"/>
              <w:spacing w:after="0"/>
              <w:rPr>
                <w:sz w:val="20"/>
                <w:szCs w:val="20"/>
                <w:color w:val="auto"/>
              </w:rPr>
            </w:pPr>
            <w:r>
              <w:rPr>
                <w:rFonts w:ascii="Arial" w:cs="Arial" w:eastAsia="Arial" w:hAnsi="Arial"/>
                <w:sz w:val="14"/>
                <w:szCs w:val="14"/>
                <w:color w:val="auto"/>
              </w:rPr>
              <w:t>(in millions)</w:t>
            </w:r>
          </w:p>
        </w:tc>
      </w:tr>
      <w:tr>
        <w:trPr>
          <w:trHeight w:val="269"/>
        </w:trPr>
        <w:tc>
          <w:tcPr>
            <w:tcW w:w="8780" w:type="dxa"/>
            <w:vAlign w:val="bottom"/>
          </w:tcPr>
          <w:p>
            <w:pPr>
              <w:ind w:left="40"/>
              <w:spacing w:after="0"/>
              <w:rPr>
                <w:sz w:val="20"/>
                <w:szCs w:val="20"/>
                <w:color w:val="auto"/>
              </w:rPr>
            </w:pPr>
            <w:r>
              <w:rPr>
                <w:rFonts w:ascii="Arial" w:cs="Arial" w:eastAsia="Arial" w:hAnsi="Arial"/>
                <w:sz w:val="18"/>
                <w:szCs w:val="18"/>
                <w:color w:val="auto"/>
              </w:rPr>
              <w:t>Accrued vacation and bonuses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39</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Vesting stock awards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Credits and net operating losses carryovers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9</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Employee benefit contributions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Capital loss carryover</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113</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Reserves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41</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Deferred rent and tenant allowances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7"/>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r>
      <w:tr>
        <w:trPr>
          <w:trHeight w:val="257"/>
        </w:trPr>
        <w:tc>
          <w:tcPr>
            <w:tcW w:w="878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160" w:type="dxa"/>
            <w:vAlign w:val="bottom"/>
          </w:tcPr>
          <w:p>
            <w:pPr>
              <w:spacing w:after="0"/>
              <w:rPr>
                <w:sz w:val="22"/>
                <w:szCs w:val="22"/>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311</w:t>
            </w:r>
          </w:p>
        </w:tc>
        <w:tc>
          <w:tcPr>
            <w:tcW w:w="260" w:type="dxa"/>
            <w:vAlign w:val="bottom"/>
          </w:tcPr>
          <w:p>
            <w:pPr>
              <w:spacing w:after="0"/>
              <w:rPr>
                <w:sz w:val="22"/>
                <w:szCs w:val="22"/>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241</w:t>
            </w:r>
          </w:p>
        </w:tc>
      </w:tr>
      <w:tr>
        <w:trPr>
          <w:trHeight w:val="277"/>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191</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234</w:t>
            </w:r>
          </w:p>
        </w:tc>
      </w:tr>
      <w:tr>
        <w:trPr>
          <w:trHeight w:val="527"/>
        </w:trPr>
        <w:tc>
          <w:tcPr>
            <w:tcW w:w="8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Fixed asset basis differences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Purchased intangible assets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Partnership interest</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7"/>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64"/>
        </w:trPr>
        <w:tc>
          <w:tcPr>
            <w:tcW w:w="87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Net deferred tax assets (liabilities) were as follows:</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8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color w:val="auto"/>
              </w:rPr>
              <w:t>Year Ended</w:t>
            </w:r>
          </w:p>
        </w:tc>
      </w:tr>
      <w:tr>
        <w:trPr>
          <w:trHeight w:val="175"/>
        </w:trPr>
        <w:tc>
          <w:tcPr>
            <w:tcW w:w="8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154"/>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080" w:type="dxa"/>
            <w:vAlign w:val="bottom"/>
          </w:tcPr>
          <w:p>
            <w:pPr>
              <w:jc w:val="center"/>
              <w:ind w:right="153"/>
              <w:spacing w:after="0"/>
              <w:rPr>
                <w:sz w:val="20"/>
                <w:szCs w:val="20"/>
                <w:color w:val="auto"/>
              </w:rPr>
            </w:pPr>
            <w:r>
              <w:rPr>
                <w:rFonts w:ascii="Arial" w:cs="Arial" w:eastAsia="Arial" w:hAnsi="Arial"/>
                <w:sz w:val="14"/>
                <w:szCs w:val="14"/>
                <w:color w:val="auto"/>
              </w:rPr>
              <w:t>January 31,</w:t>
            </w:r>
          </w:p>
        </w:tc>
      </w:tr>
      <w:tr>
        <w:trPr>
          <w:trHeight w:val="196"/>
        </w:trPr>
        <w:tc>
          <w:tcPr>
            <w:tcW w:w="8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rPr>
              <w:t>2014</w:t>
            </w:r>
          </w:p>
        </w:tc>
      </w:tr>
      <w:tr>
        <w:trPr>
          <w:trHeight w:val="204"/>
        </w:trPr>
        <w:tc>
          <w:tcPr>
            <w:tcW w:w="8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3"/>
          </w:tcPr>
          <w:p>
            <w:pPr>
              <w:ind w:left="800"/>
              <w:spacing w:after="0"/>
              <w:rPr>
                <w:sz w:val="20"/>
                <w:szCs w:val="20"/>
                <w:color w:val="auto"/>
              </w:rPr>
            </w:pPr>
            <w:r>
              <w:rPr>
                <w:rFonts w:ascii="Arial" w:cs="Arial" w:eastAsia="Arial" w:hAnsi="Arial"/>
                <w:sz w:val="14"/>
                <w:szCs w:val="14"/>
                <w:color w:val="auto"/>
              </w:rPr>
              <w:t>(in millions)</w:t>
            </w:r>
          </w:p>
        </w:tc>
      </w:tr>
      <w:tr>
        <w:trPr>
          <w:trHeight w:val="269"/>
        </w:trPr>
        <w:tc>
          <w:tcPr>
            <w:tcW w:w="8780" w:type="dxa"/>
            <w:vAlign w:val="bottom"/>
          </w:tcPr>
          <w:p>
            <w:pPr>
              <w:ind w:left="40"/>
              <w:spacing w:after="0"/>
              <w:rPr>
                <w:sz w:val="20"/>
                <w:szCs w:val="20"/>
                <w:color w:val="auto"/>
              </w:rPr>
            </w:pPr>
            <w:r>
              <w:rPr>
                <w:rFonts w:ascii="Arial" w:cs="Arial" w:eastAsia="Arial" w:hAnsi="Arial"/>
                <w:sz w:val="18"/>
                <w:szCs w:val="18"/>
                <w:color w:val="auto"/>
              </w:rPr>
              <w:t>Net current deferred tax assets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89</w:t>
            </w:r>
          </w:p>
        </w:tc>
      </w:tr>
      <w:tr>
        <w:trPr>
          <w:trHeight w:val="270"/>
        </w:trPr>
        <w:tc>
          <w:tcPr>
            <w:tcW w:w="8780" w:type="dxa"/>
            <w:vAlign w:val="bottom"/>
          </w:tcPr>
          <w:p>
            <w:pPr>
              <w:ind w:left="40"/>
              <w:spacing w:after="0"/>
              <w:rPr>
                <w:sz w:val="20"/>
                <w:szCs w:val="20"/>
                <w:color w:val="auto"/>
              </w:rPr>
            </w:pPr>
            <w:r>
              <w:rPr>
                <w:rFonts w:ascii="Arial" w:cs="Arial" w:eastAsia="Arial" w:hAnsi="Arial"/>
                <w:sz w:val="18"/>
                <w:szCs w:val="18"/>
                <w:color w:val="auto"/>
              </w:rPr>
              <w:t>Net non-current deferred tax assets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7"/>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non-current deferred tax liabilities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net deferred tax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r>
    </w:tbl>
    <w:p>
      <w:pPr>
        <w:spacing w:after="0" w:line="16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At January 30, 2015, the Company had no federal net operating loss (NOL) carryforwards and has $12 million of state tax credits at January 30, 2015, which expire in fiscal 2018 to fiscal 2029. The Company expects to utilize $8 million of these state tax credits.</w:t>
      </w:r>
    </w:p>
    <w:p>
      <w:pPr>
        <w:spacing w:after="0" w:line="14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of January 30, 2015, the Company has a capital loss carryforward of $292 million which will expire in 2020. The Company does not believe it will be able to generate capital gains to realize the benefit from the capital loss carryforward. As a result, a full valuation allowance has been provided in fiscal 2015.</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F-53</w:t>
      </w:r>
    </w:p>
    <w:p>
      <w:pPr>
        <w:sectPr>
          <w:pgSz w:w="11900" w:h="16838" w:orient="portrait"/>
          <w:cols w:equalWidth="0" w:num="1">
            <w:col w:w="11420"/>
          </w:cols>
          <w:pgMar w:left="240" w:top="333" w:right="2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Company’s unrecognized tax benefits are primarily related to certain recurring deductions customary for the Company’s industry. The changes in the unrecognized tax benefits, excluding accrued interest and penalties,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14"/>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6"/>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6"/>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Unrecognized tax benefits at beginning of year</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129</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current year</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23"/>
                <w:szCs w:val="23"/>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160" w:type="dxa"/>
            <w:vAlign w:val="bottom"/>
          </w:tcPr>
          <w:p>
            <w:pPr>
              <w:spacing w:after="0"/>
              <w:rPr>
                <w:sz w:val="23"/>
                <w:szCs w:val="23"/>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b w:val="1"/>
                <w:bCs w:val="1"/>
                <w:color w:val="auto"/>
              </w:rPr>
              <w:t>11</w:t>
            </w:r>
          </w:p>
        </w:tc>
        <w:tc>
          <w:tcPr>
            <w:tcW w:w="260" w:type="dxa"/>
            <w:vAlign w:val="bottom"/>
          </w:tcPr>
          <w:p>
            <w:pPr>
              <w:spacing w:after="0"/>
              <w:rPr>
                <w:sz w:val="23"/>
                <w:szCs w:val="23"/>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Reductions for tax positions related to prior years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23"/>
                <w:szCs w:val="23"/>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Settlements with taxing authorities</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23"/>
                <w:szCs w:val="23"/>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Lapse of statute of limitations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Unrecognized tax benefits at 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17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Unrecognized tax benefits that, if recognized, would affect the effective income tax rate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r>
    </w:tbl>
    <w:p>
      <w:pPr>
        <w:spacing w:after="0" w:line="21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In fiscal 2015, the Company's unrecognized tax benefits increased primarily due to the uncertain portion of the deferral of certain revenues, certain affirmative state claims and the research and development tax credit offset by a decrease due to the expiration of federal and several states statutes of limitations and the termination of certain state credits. In fiscal 2014, the Company’s unrecognized tax benefits decreased primarily due to the expiration of the fiscal 2009 statute of limitations. In fiscal 2013, the Company’s unrecognized tax benefits decreased primarily due to the issue resolution agreement with the IRS with respect to the CityTime loss provision recorded in the prior year.</w:t>
      </w:r>
    </w:p>
    <w:p>
      <w:pPr>
        <w:spacing w:after="0" w:line="31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At each of January 30, 2015 and January 31, 2014, accrued interest and penalties totaled $ 2 million and $2 million, respectively. A negligible amount of interest and penalties were recognized in the consolidated statements of income in fiscal 2015, 2014, and 2013.</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At January 30, 2015, the balance of unrecognized tax benefits included liabilities for uncertain tax positions of $19 million, $ 6 million of which were classified as other long-term liabilities on the consolidated balance sheet. The balance of unrecognized tax benefits at January 31, 2014 included liabilities for uncertain tax positions of $16 million, $12 million of which were classified as other long-term liabilities on the consolidated balance sheet.</w:t>
      </w:r>
    </w:p>
    <w:p>
      <w:pPr>
        <w:spacing w:after="0" w:line="20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Company files income tax returns in the United States and various state and foreign jurisdictions and is subject to routine compliance reviews by the IRS and other taxing authorities. The Company has effectively settled with the IRS for all fiscal years prior to 2014. With a few exceptions, as of January 30, 2015, the Company is no longer subject to state, local, or foreign examinations by the tax authorities for years before fiscal 2012.</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next 12 months, it is reasonably possible that resolution of reviews by taxing authorities, both domestic and international, could be reached with respect to $14 million of the Company’s unrecognized tax benefits, depending on the timing of ongoing examinations, any litigation and expiration of statute of limitations, either because the Company’s tax positions are sustained or because the Company agrees to their disallowance and pays the related income tax. While the Company believes it has adequate accruals for uncertain tax positions, the tax authorities may determine that the Company owes taxes in excess of recorded accruals or the recorded accruals may be in excess of the final settlement amounts agreed to by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F-54</w:t>
      </w:r>
    </w:p>
    <w:p>
      <w:pPr>
        <w:sectPr>
          <w:pgSz w:w="11900" w:h="16838" w:orient="portrait"/>
          <w:cols w:equalWidth="0" w:num="1">
            <w:col w:w="11420"/>
          </w:cols>
          <w:pgMar w:left="240" w:top="333" w:right="23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15—Retirement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sponsors several defined contribution plans, including the Leidos, Inc. Retirement Plan ("the Retirement Plan") which is both a 401(k) plan and an employee stock ownership plan, in which most employees are eligible to participate. These plans allow eligible participants to contribute a portion of their income through payroll deductions and the Company may also make discretionary contributions. Company contributions expensed for the Retirement Plan were $62 million, $81 million and $92 million in fiscal 2015, 2014, and 2013, respectively. At the end of fiscal 2014, the Company elected to decrease its discretionary employer match contribution percentage and also provided for an additional Company contribution to be given to all eligible employees, regardless of whether the employee participates in the 401(k) plan, payable at the end of the calendar year to all employees employed on the last day of the calendar year, with certain exceptions.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The Company maintains two deferred compensation plans, the Keystaff Deferral Plan (KDP) and the Key Executive Stock Deferral Plan (KESDP), for the benefit of certain management or highly compensated employees or Board of Directors and allows eligible participants to elect to defer all or a portion of their annual bonus, sign-on bonus or certain other bonuses. Directors may also elect to defer their director fees and retainers. The Company makes no contributions to the KDP but maintains participant accounts for deferred amounts and interest earned. Interest is accrued based on the Moody’s Seasoned Corporate Bond Rate. Deferred balances are generally paid upon retirement or termination. Under the KESDP, eligible participants may elect to defer in share units all or a portion of their bonus awards granted under the 2006 Equity Incentive Plan (see Note 13) and prior plans. The Company makes no contributions to the accounts of KESDP participants. Benefits from the KESDP are payable in shares of Leidos' stock that may be held in a trust for the purpose of funding benefit payments to KESDP participants. Deferred balances will generally be paid upon retirement or termination.</w:t>
      </w:r>
    </w:p>
    <w:p>
      <w:pPr>
        <w:spacing w:after="0" w:line="1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Beginning in fiscal 2012, the Company sponsored a 401(k) Excess Deferral Plan (Excess Plan) for the benefit of certain management or highly compensated employees that allows participants to elect to defer up to 20% of their eligible salary once the participant has met the contribution limit imposed on the Leidos, Inc. Retirement Plan. The Company makes matching contributions to participants who have received a reduced Company contribution in the Leidos, Inc. Retirement Plan due to the participant’s deferral of salary into the Excess Plan which are included in the contributions expensed amount for defined contributions plans in the above paragraph.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Company sponsors a defined benefit pension plan in the United Kingdom for plan participants that primarily performed services on an expired customer contract. While benefits are no longer accruing under the plan, the Company has continuing defined benefit pension obligations with respect to certain plan participants. In fiscal 2012, the Company sold certain components of its business, including the component of its business that contained this pension and employed the pension plan participants. The Company has classified the operating results of this business component, including pension expense through the date of sale, as discontinued operations for all periods presented. Pursuant to the definitive sale agreement, the Company retained the assets and obligations of this defined benefit pension plan. As a result of retaining the pension obligation, the remaining immaterial components of ongoing pension expense, primarily interest costs and assumed return on plan assets subsequent to the sale, are recorded in continuing operations.</w:t>
      </w:r>
    </w:p>
    <w:p>
      <w:pPr>
        <w:spacing w:after="0" w:line="152"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 fiscal 2013, certain plan participants in the Company’s defined benefit pension plan, who previously transferred their employment to a successor contractor upon the expiration of the customer contract, elected to transfer, and the Company transferred, $46 million of pension plan assets to that successor contractor’s plan and settled $ 63 million of related pension plan obligations. As a result of the transfer, the Company recorded an immaterial settlement gain in selling, general and administrative expenses in fiscal 2013.</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Leidos Holdings, Inc. Annual Report F-55</w:t>
      </w:r>
    </w:p>
    <w:p>
      <w:pPr>
        <w:sectPr>
          <w:pgSz w:w="11900" w:h="16838" w:orient="portrait"/>
          <w:cols w:equalWidth="0" w:num="1">
            <w:col w:w="11400"/>
          </w:cols>
          <w:pgMar w:left="240" w:top="333"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projected benefit obligation as of January 30, 2015 and January 31, 2014 was $ 121 million and $106 million, respectively. The fair value of plan assets as of January 30, 2015 and January 31, 2014 was $ 113 million and $ 98 million, respectively. The plan funding status was underfunded by $8 million and $9 million as of January 30, 2015 and January 31, 2014, respectively.</w:t>
      </w:r>
    </w:p>
    <w:p>
      <w:pPr>
        <w:spacing w:after="0" w:line="14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plan’s assets consist of investments in pooled funds that contain investments with values based on quoted market prices, but for which the pools are not valued on a daily quoted market basis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also sponsors a defined benefit pension plan for employees working on one U.S. Government contract. As part of the contractual agreement, the customer reimburses the Company for contributions made to the plan that are allowable under government contract cost accounting requirements. If the Company were to cease being the contractor as a result of a recompetition process, this defined benefit pension plan and related plan assets and liabilities would transfer to the new contractor. If the contract expires or is terminated with no transfer of the plan to a successor contractor, any amount by which plan liabilities exceed plan assets, as of that date, will be reimbursed by the U.S. Government customer. Since the Company is not responsible for the current or future funded status of this plan, no assets or liabilities arising from its funded status are recorded in the Company’s consolidated financial statements and no amounts associated with this plan are included in the defined benefit plan disclosures above. As of June 2014, the majority of the participants were transferred from the defined benefit pension plan into a new defined contribution plan for which there is a matching Company contribution. These participants can no longer make contributions into the defined benefit pension plan or earn future pension benefits. The remaining participants will continue in the defined benefit pension plan and will continue to earn future pension benefits however, any Company matching contributions previously made into the plan have been discontinued.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16—Leases: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occupies most of its facilities under operating leases. Most of the leases require the Company to pay maintenance and operating expenses such as taxes, insurance and utilities and also contain renewal options to extend the lease and provisions for periodic rate escalations to reflect inflationary increases. Certain equipment is leased under short-term or cancelable operating leases. Rental expense for facilities and equipment related to continuing operations for the three fiscal years ended January 30, 2015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color w:val="auto"/>
              </w:rPr>
              <w:t>Year Ended</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77"/>
              <w:spacing w:after="0"/>
              <w:rPr>
                <w:sz w:val="20"/>
                <w:szCs w:val="20"/>
                <w:color w:val="auto"/>
              </w:rPr>
            </w:pPr>
            <w:r>
              <w:rPr>
                <w:rFonts w:ascii="Arial" w:cs="Arial" w:eastAsia="Arial" w:hAnsi="Arial"/>
                <w:sz w:val="14"/>
                <w:szCs w:val="14"/>
                <w:b w:val="1"/>
                <w:bCs w:val="1"/>
                <w:color w:val="auto"/>
              </w:rPr>
              <w:t>January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200"/>
              <w:spacing w:after="0"/>
              <w:rPr>
                <w:sz w:val="20"/>
                <w:szCs w:val="20"/>
                <w:color w:val="auto"/>
              </w:rPr>
            </w:pPr>
            <w:r>
              <w:rPr>
                <w:rFonts w:ascii="Arial" w:cs="Arial" w:eastAsia="Arial" w:hAnsi="Arial"/>
                <w:sz w:val="14"/>
                <w:szCs w:val="14"/>
                <w:color w:val="auto"/>
              </w:rPr>
              <w:t>January 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197"/>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2B4C9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2B4C9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9"/>
        </w:trPr>
        <w:tc>
          <w:tcPr>
            <w:tcW w:w="7400" w:type="dxa"/>
            <w:vAlign w:val="bottom"/>
          </w:tcPr>
          <w:p>
            <w:pPr>
              <w:ind w:left="40"/>
              <w:spacing w:after="0"/>
              <w:rPr>
                <w:sz w:val="20"/>
                <w:szCs w:val="20"/>
                <w:color w:val="auto"/>
              </w:rPr>
            </w:pPr>
            <w:r>
              <w:rPr>
                <w:rFonts w:ascii="Arial" w:cs="Arial" w:eastAsia="Arial" w:hAnsi="Arial"/>
                <w:sz w:val="18"/>
                <w:szCs w:val="18"/>
                <w:color w:val="auto"/>
              </w:rPr>
              <w:t>Gross rental expense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b w:val="1"/>
                <w:bCs w:val="1"/>
                <w:color w:val="auto"/>
              </w:rPr>
              <w:t>107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0"/>
              <w:spacing w:after="0"/>
              <w:rPr>
                <w:sz w:val="20"/>
                <w:szCs w:val="20"/>
                <w:color w:val="auto"/>
              </w:rPr>
            </w:pPr>
            <w:r>
              <w:rPr>
                <w:rFonts w:ascii="Arial" w:cs="Arial" w:eastAsia="Arial" w:hAnsi="Arial"/>
                <w:sz w:val="18"/>
                <w:szCs w:val="18"/>
                <w:color w:val="auto"/>
              </w:rPr>
              <w:t>181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154</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sublease income</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rental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175</w:t>
            </w:r>
          </w:p>
        </w:tc>
        <w:tc>
          <w:tcPr>
            <w:tcW w:w="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150</w:t>
            </w:r>
          </w:p>
        </w:tc>
      </w:tr>
    </w:tbl>
    <w:p>
      <w:pPr>
        <w:spacing w:after="0" w:line="16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fiscal 2015 the Company continued its real estate optimization initiatives to reduce future rental expense and exited additional facilities from those exited in connection with the spin-off activities in the prior year and incurred lease termination costs. Rental expense in the table above for fiscal 2014 includes lease termination costs that were attributed to the spin-off transaction, whereby the Company took significant actions in order to align its cost structure post-separation to reduce its real estate footprint by vacating facilities that are not necessary for its future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F-56</w:t>
      </w:r>
    </w:p>
    <w:p>
      <w:pPr>
        <w:sectPr>
          <w:pgSz w:w="11900" w:h="16838" w:orient="portrait"/>
          <w:cols w:equalWidth="0" w:num="1">
            <w:col w:w="11420"/>
          </w:cols>
          <w:pgMar w:left="240" w:top="333"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Future minimum lease commitments and lease or sublease receipts under non-cancelable operating leases in effect at January 30, 2015 are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Operating</w:t>
            </w:r>
          </w:p>
        </w:tc>
        <w:tc>
          <w:tcPr>
            <w:tcW w:w="500" w:type="dxa"/>
            <w:vAlign w:val="bottom"/>
          </w:tcPr>
          <w:p>
            <w:pPr>
              <w:jc w:val="right"/>
              <w:ind w:right="34"/>
              <w:spacing w:after="0"/>
              <w:rPr>
                <w:sz w:val="20"/>
                <w:szCs w:val="20"/>
                <w:color w:val="auto"/>
              </w:rPr>
            </w:pPr>
            <w:r>
              <w:rPr>
                <w:rFonts w:ascii="Arial" w:cs="Arial" w:eastAsia="Arial" w:hAnsi="Arial"/>
                <w:sz w:val="14"/>
                <w:szCs w:val="14"/>
                <w:color w:val="auto"/>
              </w:rPr>
              <w:t>lease</w:t>
            </w:r>
          </w:p>
        </w:tc>
        <w:tc>
          <w:tcPr>
            <w:tcW w:w="42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color w:val="auto"/>
                <w:w w:val="99"/>
              </w:rPr>
              <w:t>Sublease</w:t>
            </w:r>
          </w:p>
        </w:tc>
      </w:tr>
      <w:tr>
        <w:trPr>
          <w:trHeight w:val="178"/>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Ending January 30</w:t>
            </w:r>
          </w:p>
        </w:tc>
        <w:tc>
          <w:tcPr>
            <w:tcW w:w="128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color w:val="auto"/>
              </w:rPr>
              <w:t>commitment</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receipts</w:t>
            </w:r>
          </w:p>
        </w:tc>
      </w:tr>
      <w:tr>
        <w:trPr>
          <w:trHeight w:val="204"/>
        </w:trPr>
        <w:tc>
          <w:tcPr>
            <w:tcW w:w="8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r>
      <w:tr>
        <w:trPr>
          <w:trHeight w:val="269"/>
        </w:trPr>
        <w:tc>
          <w:tcPr>
            <w:tcW w:w="8780" w:type="dxa"/>
            <w:vAlign w:val="bottom"/>
          </w:tcPr>
          <w:p>
            <w:pPr>
              <w:jc w:val="right"/>
              <w:spacing w:after="0"/>
              <w:rPr>
                <w:sz w:val="20"/>
                <w:szCs w:val="20"/>
                <w:color w:val="auto"/>
              </w:rPr>
            </w:pPr>
            <w:r>
              <w:rPr>
                <w:rFonts w:ascii="Arial" w:cs="Arial" w:eastAsia="Arial" w:hAnsi="Arial"/>
                <w:sz w:val="18"/>
                <w:szCs w:val="18"/>
                <w:color w:val="auto"/>
              </w:rPr>
              <w:t>2016</w:t>
            </w:r>
          </w:p>
        </w:tc>
        <w:tc>
          <w:tcPr>
            <w:tcW w:w="780" w:type="dxa"/>
            <w:vAlign w:val="bottom"/>
          </w:tcPr>
          <w:p>
            <w:pPr>
              <w:jc w:val="right"/>
              <w:ind w:right="57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88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8780" w:type="dxa"/>
            <w:vAlign w:val="bottom"/>
          </w:tcPr>
          <w:p>
            <w:pPr>
              <w:jc w:val="right"/>
              <w:spacing w:after="0"/>
              <w:rPr>
                <w:sz w:val="20"/>
                <w:szCs w:val="20"/>
                <w:color w:val="auto"/>
              </w:rPr>
            </w:pPr>
            <w:r>
              <w:rPr>
                <w:rFonts w:ascii="Arial" w:cs="Arial" w:eastAsia="Arial" w:hAnsi="Arial"/>
                <w:sz w:val="18"/>
                <w:szCs w:val="18"/>
                <w:color w:val="auto"/>
              </w:rPr>
              <w:t>2017</w:t>
            </w:r>
          </w:p>
        </w:tc>
        <w:tc>
          <w:tcPr>
            <w:tcW w:w="780" w:type="dxa"/>
            <w:vAlign w:val="bottom"/>
          </w:tcPr>
          <w:p>
            <w:pPr>
              <w:spacing w:after="0"/>
              <w:rPr>
                <w:sz w:val="23"/>
                <w:szCs w:val="23"/>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8780" w:type="dxa"/>
            <w:vAlign w:val="bottom"/>
          </w:tcPr>
          <w:p>
            <w:pPr>
              <w:jc w:val="right"/>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23"/>
                <w:szCs w:val="23"/>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0"/>
        </w:trPr>
        <w:tc>
          <w:tcPr>
            <w:tcW w:w="8780" w:type="dxa"/>
            <w:vAlign w:val="bottom"/>
          </w:tcPr>
          <w:p>
            <w:pPr>
              <w:jc w:val="right"/>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3"/>
                <w:szCs w:val="23"/>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8780" w:type="dxa"/>
            <w:vAlign w:val="bottom"/>
          </w:tcPr>
          <w:p>
            <w:pPr>
              <w:jc w:val="right"/>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3"/>
                <w:szCs w:val="23"/>
                <w:color w:val="auto"/>
              </w:rPr>
            </w:pPr>
          </w:p>
        </w:tc>
        <w:tc>
          <w:tcPr>
            <w:tcW w:w="50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3"/>
                <w:szCs w:val="23"/>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7"/>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2021 and thereafter</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r>
      <w:tr>
        <w:trPr>
          <w:trHeight w:val="264"/>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w:t>
            </w:r>
          </w:p>
        </w:tc>
      </w:tr>
    </w:tbl>
    <w:p>
      <w:pPr>
        <w:spacing w:after="0" w:line="161" w:lineRule="exact"/>
        <w:rPr>
          <w:sz w:val="20"/>
          <w:szCs w:val="20"/>
          <w:color w:val="auto"/>
        </w:rPr>
      </w:pPr>
    </w:p>
    <w:p>
      <w:pPr>
        <w:ind w:right="1640"/>
        <w:spacing w:after="0" w:line="438" w:lineRule="auto"/>
        <w:rPr>
          <w:sz w:val="20"/>
          <w:szCs w:val="20"/>
          <w:color w:val="auto"/>
        </w:rPr>
      </w:pPr>
      <w:r>
        <w:rPr>
          <w:rFonts w:ascii="Arial" w:cs="Arial" w:eastAsia="Arial" w:hAnsi="Arial"/>
          <w:sz w:val="18"/>
          <w:szCs w:val="18"/>
          <w:color w:val="auto"/>
        </w:rPr>
        <w:t xml:space="preserve">As of January 30, 2015, the Company had capital lease obligations of $2 million that are payable over the next three years. </w:t>
      </w:r>
      <w:r>
        <w:rPr>
          <w:rFonts w:ascii="Arial" w:cs="Arial" w:eastAsia="Arial" w:hAnsi="Arial"/>
          <w:sz w:val="18"/>
          <w:szCs w:val="18"/>
          <w:b w:val="1"/>
          <w:bCs w:val="1"/>
          <w:i w:val="1"/>
          <w:iCs w:val="1"/>
          <w:color w:val="auto"/>
        </w:rPr>
        <w:t>Sale and Leaseback Agreement</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May 3, 2013, the Company entered into a purchase and sale agreement relating to the sale of approximately 18 acres of land in Fairfax County, Virginia, including four office buildings, a multi-level parking garage, surface parking lots, and other related improvements and structures, as well as tangible personal property and third-party leases. This sale is expected to be completed in a series of transactions over approximately six years.</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July 26, 2013, the Company closed the first phase of the purchase and sale agreement and received proceeds of $ 83 million, net of selling costs. The Company leased back from the buyer three of the office buildings over varying lease terms. The sale of two of the office buildings was accounted for as a sale-leaseback transaction with proceeds from the sale of $40 million, a corresponding book value of $42 million resulting in a $2 million loss recorded in selling, general and administrative expenses. These leases were accounted for as operating leases over a six months term which ended on January 31, 2014. The sale of the third office building is being accounted for as a financing transaction. The allocated consideration received of $38 million was recorded as a note payable to be paid over seven years with interest at the lessee’s incremental borrowing rate, estimated at 3.7%. The right of use for the multi-level parking garage and surface parking lots were allocated proceeds of $1 million and $4 million, respectively, and were accounted for as other long term liabilities.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F-57</w:t>
      </w:r>
    </w:p>
    <w:p>
      <w:pPr>
        <w:sectPr>
          <w:pgSz w:w="11900" w:h="16838" w:orient="portrait"/>
          <w:cols w:equalWidth="0" w:num="1">
            <w:col w:w="11420"/>
          </w:cols>
          <w:pgMar w:left="240" w:top="333"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17—Supplementary Cash Flow Information:</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Supplementary cash flow information, including non-cash investing and financing activities, for the three fiscal years ended January 30, 2015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color w:val="auto"/>
              </w:rPr>
              <w:t>Year Ended</w:t>
            </w: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73"/>
              <w:spacing w:after="0"/>
              <w:rPr>
                <w:sz w:val="20"/>
                <w:szCs w:val="20"/>
                <w:color w:val="auto"/>
              </w:rPr>
            </w:pPr>
            <w:r>
              <w:rPr>
                <w:rFonts w:ascii="Arial" w:cs="Arial" w:eastAsia="Arial" w:hAnsi="Arial"/>
                <w:sz w:val="14"/>
                <w:szCs w:val="14"/>
                <w:b w:val="1"/>
                <w:bCs w:val="1"/>
                <w:color w:val="auto"/>
              </w:rPr>
              <w:t>January 30,</w:t>
            </w:r>
          </w:p>
        </w:tc>
        <w:tc>
          <w:tcPr>
            <w:tcW w:w="280" w:type="dxa"/>
            <w:vAlign w:val="bottom"/>
          </w:tcPr>
          <w:p>
            <w:pPr>
              <w:spacing w:after="0"/>
              <w:rPr>
                <w:sz w:val="15"/>
                <w:szCs w:val="15"/>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color w:val="auto"/>
              </w:rPr>
              <w:t>January 31,</w:t>
            </w:r>
          </w:p>
        </w:tc>
        <w:tc>
          <w:tcPr>
            <w:tcW w:w="240" w:type="dxa"/>
            <w:vAlign w:val="bottom"/>
          </w:tcPr>
          <w:p>
            <w:pPr>
              <w:spacing w:after="0"/>
              <w:rPr>
                <w:sz w:val="15"/>
                <w:szCs w:val="15"/>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2013</w:t>
            </w:r>
          </w:p>
        </w:tc>
      </w:tr>
      <w:tr>
        <w:trPr>
          <w:trHeight w:val="210"/>
        </w:trPr>
        <w:tc>
          <w:tcPr>
            <w:tcW w:w="7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63"/>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Vested stock issued as settlement of annual bonus accruals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Stock issued in lieu of cash dividends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color w:val="auto"/>
              </w:rPr>
              <w:t>Fair value of assets acquired in acquisitions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259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541</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Cash paid in acquisitions, net of cash acquired of $9 million in fiscal 2013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70"/>
        </w:trPr>
        <w:tc>
          <w:tcPr>
            <w:tcW w:w="7400" w:type="dxa"/>
            <w:vAlign w:val="bottom"/>
          </w:tcPr>
          <w:p>
            <w:pPr>
              <w:ind w:left="40"/>
              <w:spacing w:after="0"/>
              <w:rPr>
                <w:sz w:val="20"/>
                <w:szCs w:val="20"/>
                <w:color w:val="auto"/>
              </w:rPr>
            </w:pPr>
            <w:r>
              <w:rPr>
                <w:rFonts w:ascii="Arial" w:cs="Arial" w:eastAsia="Arial" w:hAnsi="Arial"/>
                <w:sz w:val="18"/>
                <w:szCs w:val="18"/>
                <w:color w:val="auto"/>
              </w:rPr>
              <w:t>Forgiveness of accounts receivable to acquire equity interest in business combination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7"/>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Accrued liability for acquisition of business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Liabilities assumed in acquisitions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paid for interest (including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Cash paid for income taxes (including discontinued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18—Business Segment Information:</w:t>
      </w:r>
    </w:p>
    <w:p>
      <w:pPr>
        <w:spacing w:after="0" w:line="193"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currently its chief executive officer, manages the operations of the Company for purposes of allocating resources and assessing performance. The Company has the following reportable segments: National Security Solutions, Health and Engineering, and Corporate and Other.</w:t>
      </w:r>
    </w:p>
    <w:p>
      <w:pPr>
        <w:spacing w:after="0" w:line="14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National Security Solutions provides solutions and systems for air, land, sea, space and cyberspace for the U.S. intelligence community, the DoD, the military services, the DHS and government agencies of U.S. allies abroad. The Company's solutions deliver technology, large scale intelligence systems, command and control, data analytics, cybersecurity, logistics, and intelligence analysis and operations support to critical missions around the world. Major customers of National Security Solutions include national and military intelligence agencies, and other federal, civilian and commercial customers in the national security complex.</w:t>
      </w:r>
    </w:p>
    <w:p>
      <w:pPr>
        <w:spacing w:after="0" w:line="15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Health and Engineering businesses capitalize on our knowledge and experience in technology and innovation. Major customers of Health and Engineering primarily include the U.S. federal government, state and local governmental agencies, foreign governments, hospitals and commercial enterprises in various industries. The Health business provides services and solutions to commercial hospitals and the Department of Defense as well as conducting research and development for U.S. Government and Commercial enterprises in the life sciences field. The Health business provides health systems integration services to implement and optimize the use of electronic health records, apply data analytics and behavioral health research to help enable customers to improve healthcare quality and patient outcomes, detect and prevent diseases, enhance scientific discovery, and reduce costs to the healthcare system. The Engineering business leverages technology and skills in process engineering, engineering design and systems integration to create innovative and cost effective solutions for its customers. These include products and solutions in energy generation, efficiency and management, environmental services, securing critical infrastructure, and designing and building construction projects.</w:t>
      </w:r>
    </w:p>
    <w:p>
      <w:pPr>
        <w:spacing w:after="0" w:line="15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Corporate and Other includes the operations of the Company’s internal real estate management subsidiary, various corporate activities, certain corporate expense items that are not reimbursed by the Company’s U.S. Government customers and certain other revenue and expense items excluded from the CODM’s evaluation of a reportable segment’s performance.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F-58</w:t>
      </w:r>
    </w:p>
    <w:p>
      <w:pPr>
        <w:sectPr>
          <w:pgSz w:w="11900" w:h="16838" w:orient="portrait"/>
          <w:cols w:equalWidth="0" w:num="1">
            <w:col w:w="11400"/>
          </w:cols>
          <w:pgMar w:left="240" w:top="333" w:right="25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business segment information for each of the three years ended January 30,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Year Ended</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75"/>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213"/>
              <w:spacing w:after="0"/>
              <w:rPr>
                <w:sz w:val="20"/>
                <w:szCs w:val="20"/>
                <w:color w:val="auto"/>
              </w:rPr>
            </w:pPr>
            <w:r>
              <w:rPr>
                <w:rFonts w:ascii="Arial" w:cs="Arial" w:eastAsia="Arial" w:hAnsi="Arial"/>
                <w:sz w:val="14"/>
                <w:szCs w:val="14"/>
                <w:b w:val="1"/>
                <w:bCs w:val="1"/>
                <w:color w:val="auto"/>
              </w:rPr>
              <w:t>January 30,</w:t>
            </w:r>
          </w:p>
        </w:tc>
        <w:tc>
          <w:tcPr>
            <w:tcW w:w="260" w:type="dxa"/>
            <w:vAlign w:val="bottom"/>
          </w:tcPr>
          <w:p>
            <w:pPr>
              <w:spacing w:after="0"/>
              <w:rPr>
                <w:sz w:val="15"/>
                <w:szCs w:val="15"/>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January 31,</w:t>
            </w:r>
          </w:p>
        </w:tc>
        <w:tc>
          <w:tcPr>
            <w:tcW w:w="260" w:type="dxa"/>
            <w:vAlign w:val="bottom"/>
          </w:tcPr>
          <w:p>
            <w:pPr>
              <w:spacing w:after="0"/>
              <w:rPr>
                <w:sz w:val="15"/>
                <w:szCs w:val="15"/>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color w:val="auto"/>
              </w:rPr>
              <w:t>January 31,</w:t>
            </w:r>
          </w:p>
        </w:tc>
      </w:tr>
      <w:tr>
        <w:trPr>
          <w:trHeight w:val="196"/>
        </w:trPr>
        <w:tc>
          <w:tcPr>
            <w:tcW w:w="74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2013</w:t>
            </w:r>
          </w:p>
        </w:tc>
      </w:tr>
      <w:tr>
        <w:trPr>
          <w:trHeight w:val="204"/>
        </w:trPr>
        <w:tc>
          <w:tcPr>
            <w:tcW w:w="7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74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National Security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3,594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4,049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4,650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Health and Engineering</w:t>
            </w:r>
          </w:p>
        </w:tc>
        <w:tc>
          <w:tcPr>
            <w:tcW w:w="16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1,485</w:t>
            </w:r>
          </w:p>
        </w:tc>
        <w:tc>
          <w:tcPr>
            <w:tcW w:w="26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1,805</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Intersegment elimination</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5,063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5,755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6,449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National Security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286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360</w:t>
            </w:r>
          </w:p>
        </w:tc>
      </w:tr>
      <w:tr>
        <w:trPr>
          <w:trHeight w:val="270"/>
        </w:trPr>
        <w:tc>
          <w:tcPr>
            <w:tcW w:w="7400" w:type="dxa"/>
            <w:vAlign w:val="bottom"/>
          </w:tcPr>
          <w:p>
            <w:pPr>
              <w:ind w:left="180"/>
              <w:spacing w:after="0"/>
              <w:rPr>
                <w:sz w:val="20"/>
                <w:szCs w:val="20"/>
                <w:color w:val="auto"/>
              </w:rPr>
            </w:pPr>
            <w:r>
              <w:rPr>
                <w:rFonts w:ascii="Arial" w:cs="Arial" w:eastAsia="Arial" w:hAnsi="Arial"/>
                <w:sz w:val="18"/>
                <w:szCs w:val="18"/>
                <w:color w:val="auto"/>
              </w:rPr>
              <w:t>Health and Engineering</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260" w:type="dxa"/>
            <w:vAlign w:val="bottom"/>
          </w:tcPr>
          <w:p>
            <w:pPr>
              <w:spacing w:after="0"/>
              <w:rPr>
                <w:sz w:val="23"/>
                <w:szCs w:val="23"/>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138</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operating (loss)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163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4"/>
        </w:trPr>
        <w:tc>
          <w:tcPr>
            <w:tcW w:w="7400" w:type="dxa"/>
            <w:vAlign w:val="bottom"/>
          </w:tcPr>
          <w:p>
            <w:pPr>
              <w:ind w:left="180"/>
              <w:spacing w:after="0"/>
              <w:rPr>
                <w:sz w:val="20"/>
                <w:szCs w:val="20"/>
                <w:color w:val="auto"/>
              </w:rPr>
            </w:pPr>
            <w:r>
              <w:rPr>
                <w:rFonts w:ascii="Arial" w:cs="Arial" w:eastAsia="Arial" w:hAnsi="Arial"/>
                <w:sz w:val="18"/>
                <w:szCs w:val="18"/>
                <w:color w:val="auto"/>
              </w:rPr>
              <w:t>National Security Solutions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7"/>
        </w:trPr>
        <w:tc>
          <w:tcPr>
            <w:tcW w:w="74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Health and Engineering</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r>
      <w:tr>
        <w:trPr>
          <w:trHeight w:val="26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amortization of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w:t>
            </w:r>
          </w:p>
        </w:tc>
      </w:tr>
    </w:tbl>
    <w:p>
      <w:pPr>
        <w:spacing w:after="0" w:line="16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Asset information by segment is not a key measure of performance used by the CODM. Interest income, interest expense and provision for income taxes, as reported in the consolidated financial statements, are not part of operating income and are primarily recorded at the corporate level. Under U.S. Government Cost Accounting Standards, indirect costs including depreciation expense are collected in numerous indirect cost pools which are then collectively allocated out to the Company’s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Company’s individual reportable segments. For this reason, depreciation expense by reportable segment has not been reported above.</w:t>
      </w:r>
    </w:p>
    <w:p>
      <w:pPr>
        <w:spacing w:after="0" w:line="153"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Substantially all of the Company’s revenues and tangible long-lived assets are generated by or located in the United States. As such, the financial information by geographic location is not presented.</w:t>
      </w:r>
    </w:p>
    <w:p>
      <w:pPr>
        <w:spacing w:after="0" w:line="14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Company’s total revenues are largely attributable to prime contracts with the U.S. Government or to subcontracts with other contractors engaged in work for the U.S. Government. The percentages of total revenues for the U.S. Government, its agencies and other customers comprising more than 10% of total revenues in any of the three years ended January 30, 2015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4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color w:val="auto"/>
              </w:rPr>
              <w:t>Year Ended</w:t>
            </w:r>
          </w:p>
        </w:tc>
        <w:tc>
          <w:tcPr>
            <w:tcW w:w="1260" w:type="dxa"/>
            <w:vAlign w:val="bottom"/>
            <w:tcBorders>
              <w:bottom w:val="single" w:sz="8" w:color="auto"/>
            </w:tcBorders>
          </w:tcPr>
          <w:p>
            <w:pPr>
              <w:spacing w:after="0"/>
              <w:rPr>
                <w:sz w:val="15"/>
                <w:szCs w:val="15"/>
                <w:color w:val="auto"/>
              </w:rPr>
            </w:pPr>
          </w:p>
        </w:tc>
      </w:tr>
      <w:tr>
        <w:trPr>
          <w:trHeight w:val="175"/>
        </w:trPr>
        <w:tc>
          <w:tcPr>
            <w:tcW w:w="7240" w:type="dxa"/>
            <w:vAlign w:val="bottom"/>
          </w:tcPr>
          <w:p>
            <w:pPr>
              <w:spacing w:after="0"/>
              <w:rPr>
                <w:sz w:val="15"/>
                <w:szCs w:val="15"/>
                <w:color w:val="auto"/>
              </w:rPr>
            </w:pPr>
          </w:p>
        </w:tc>
        <w:tc>
          <w:tcPr>
            <w:tcW w:w="1480" w:type="dxa"/>
            <w:vAlign w:val="bottom"/>
          </w:tcPr>
          <w:p>
            <w:pPr>
              <w:jc w:val="right"/>
              <w:ind w:right="356"/>
              <w:spacing w:after="0"/>
              <w:rPr>
                <w:sz w:val="20"/>
                <w:szCs w:val="20"/>
                <w:color w:val="auto"/>
              </w:rPr>
            </w:pPr>
            <w:r>
              <w:rPr>
                <w:rFonts w:ascii="Arial" w:cs="Arial" w:eastAsia="Arial" w:hAnsi="Arial"/>
                <w:sz w:val="14"/>
                <w:szCs w:val="14"/>
                <w:b w:val="1"/>
                <w:bCs w:val="1"/>
                <w:color w:val="auto"/>
              </w:rPr>
              <w:t>January 30,</w:t>
            </w:r>
          </w:p>
        </w:tc>
        <w:tc>
          <w:tcPr>
            <w:tcW w:w="1440" w:type="dxa"/>
            <w:vAlign w:val="bottom"/>
          </w:tcPr>
          <w:p>
            <w:pPr>
              <w:jc w:val="right"/>
              <w:ind w:right="398"/>
              <w:spacing w:after="0"/>
              <w:rPr>
                <w:sz w:val="20"/>
                <w:szCs w:val="20"/>
                <w:color w:val="auto"/>
              </w:rPr>
            </w:pPr>
            <w:r>
              <w:rPr>
                <w:rFonts w:ascii="Arial" w:cs="Arial" w:eastAsia="Arial" w:hAnsi="Arial"/>
                <w:sz w:val="14"/>
                <w:szCs w:val="14"/>
                <w:color w:val="auto"/>
              </w:rPr>
              <w:t>January 31,</w:t>
            </w:r>
          </w:p>
        </w:tc>
        <w:tc>
          <w:tcPr>
            <w:tcW w:w="1260" w:type="dxa"/>
            <w:vAlign w:val="bottom"/>
          </w:tcPr>
          <w:p>
            <w:pPr>
              <w:jc w:val="right"/>
              <w:ind w:right="216"/>
              <w:spacing w:after="0"/>
              <w:rPr>
                <w:sz w:val="20"/>
                <w:szCs w:val="20"/>
                <w:color w:val="auto"/>
              </w:rPr>
            </w:pPr>
            <w:r>
              <w:rPr>
                <w:rFonts w:ascii="Arial" w:cs="Arial" w:eastAsia="Arial" w:hAnsi="Arial"/>
                <w:sz w:val="14"/>
                <w:szCs w:val="14"/>
                <w:color w:val="auto"/>
              </w:rPr>
              <w:t>January 31,</w:t>
            </w:r>
          </w:p>
        </w:tc>
      </w:tr>
      <w:tr>
        <w:trPr>
          <w:trHeight w:val="196"/>
        </w:trPr>
        <w:tc>
          <w:tcPr>
            <w:tcW w:w="7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2015</w:t>
            </w:r>
          </w:p>
        </w:tc>
        <w:tc>
          <w:tcPr>
            <w:tcW w:w="14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color w:val="auto"/>
              </w:rPr>
              <w:t>2014</w:t>
            </w:r>
          </w:p>
        </w:tc>
        <w:tc>
          <w:tcPr>
            <w:tcW w:w="12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2013</w:t>
            </w:r>
          </w:p>
        </w:tc>
      </w:tr>
      <w:tr>
        <w:trPr>
          <w:trHeight w:val="256"/>
        </w:trPr>
        <w:tc>
          <w:tcPr>
            <w:tcW w:w="7240" w:type="dxa"/>
            <w:vAlign w:val="bottom"/>
          </w:tcPr>
          <w:p>
            <w:pPr>
              <w:ind w:left="40"/>
              <w:spacing w:after="0"/>
              <w:rPr>
                <w:sz w:val="20"/>
                <w:szCs w:val="20"/>
                <w:color w:val="auto"/>
              </w:rPr>
            </w:pPr>
            <w:r>
              <w:rPr>
                <w:rFonts w:ascii="Arial" w:cs="Arial" w:eastAsia="Arial" w:hAnsi="Arial"/>
                <w:sz w:val="18"/>
                <w:szCs w:val="18"/>
                <w:color w:val="auto"/>
              </w:rPr>
              <w:t>U.S. Government</w:t>
            </w:r>
          </w:p>
        </w:tc>
        <w:tc>
          <w:tcPr>
            <w:tcW w:w="1480" w:type="dxa"/>
            <w:vAlign w:val="bottom"/>
          </w:tcPr>
          <w:p>
            <w:pPr>
              <w:jc w:val="right"/>
              <w:ind w:right="116"/>
              <w:spacing w:after="0"/>
              <w:rPr>
                <w:sz w:val="20"/>
                <w:szCs w:val="20"/>
                <w:color w:val="auto"/>
              </w:rPr>
            </w:pPr>
            <w:r>
              <w:rPr>
                <w:rFonts w:ascii="Arial" w:cs="Arial" w:eastAsia="Arial" w:hAnsi="Arial"/>
                <w:sz w:val="18"/>
                <w:szCs w:val="18"/>
                <w:b w:val="1"/>
                <w:bCs w:val="1"/>
                <w:color w:val="auto"/>
              </w:rPr>
              <w:t>79%</w:t>
            </w:r>
          </w:p>
        </w:tc>
        <w:tc>
          <w:tcPr>
            <w:tcW w:w="1440" w:type="dxa"/>
            <w:vAlign w:val="bottom"/>
          </w:tcPr>
          <w:p>
            <w:pPr>
              <w:jc w:val="right"/>
              <w:ind w:right="118"/>
              <w:spacing w:after="0"/>
              <w:rPr>
                <w:sz w:val="20"/>
                <w:szCs w:val="20"/>
                <w:color w:val="auto"/>
              </w:rPr>
            </w:pPr>
            <w:r>
              <w:rPr>
                <w:rFonts w:ascii="Arial" w:cs="Arial" w:eastAsia="Arial" w:hAnsi="Arial"/>
                <w:sz w:val="18"/>
                <w:szCs w:val="18"/>
                <w:color w:val="auto"/>
              </w:rPr>
              <w:t>78%</w:t>
            </w:r>
          </w:p>
        </w:tc>
        <w:tc>
          <w:tcPr>
            <w:tcW w:w="12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7240" w:type="dxa"/>
            <w:vAlign w:val="bottom"/>
          </w:tcPr>
          <w:p>
            <w:pPr>
              <w:ind w:left="280"/>
              <w:spacing w:after="0"/>
              <w:rPr>
                <w:sz w:val="20"/>
                <w:szCs w:val="20"/>
                <w:color w:val="auto"/>
              </w:rPr>
            </w:pPr>
            <w:r>
              <w:rPr>
                <w:rFonts w:ascii="Arial" w:cs="Arial" w:eastAsia="Arial" w:hAnsi="Arial"/>
                <w:sz w:val="18"/>
                <w:szCs w:val="18"/>
                <w:color w:val="auto"/>
              </w:rPr>
              <w:t>U.S. DoD</w:t>
            </w:r>
          </w:p>
        </w:tc>
        <w:tc>
          <w:tcPr>
            <w:tcW w:w="1480" w:type="dxa"/>
            <w:vAlign w:val="bottom"/>
          </w:tcPr>
          <w:p>
            <w:pPr>
              <w:jc w:val="right"/>
              <w:ind w:right="116"/>
              <w:spacing w:after="0"/>
              <w:rPr>
                <w:sz w:val="20"/>
                <w:szCs w:val="20"/>
                <w:color w:val="auto"/>
              </w:rPr>
            </w:pPr>
            <w:r>
              <w:rPr>
                <w:rFonts w:ascii="Arial" w:cs="Arial" w:eastAsia="Arial" w:hAnsi="Arial"/>
                <w:sz w:val="18"/>
                <w:szCs w:val="18"/>
                <w:b w:val="1"/>
                <w:bCs w:val="1"/>
                <w:color w:val="auto"/>
              </w:rPr>
              <w:t>67%</w:t>
            </w:r>
          </w:p>
        </w:tc>
        <w:tc>
          <w:tcPr>
            <w:tcW w:w="1440" w:type="dxa"/>
            <w:vAlign w:val="bottom"/>
          </w:tcPr>
          <w:p>
            <w:pPr>
              <w:jc w:val="right"/>
              <w:ind w:right="118"/>
              <w:spacing w:after="0"/>
              <w:rPr>
                <w:sz w:val="20"/>
                <w:szCs w:val="20"/>
                <w:color w:val="auto"/>
              </w:rPr>
            </w:pPr>
            <w:r>
              <w:rPr>
                <w:rFonts w:ascii="Arial" w:cs="Arial" w:eastAsia="Arial" w:hAnsi="Arial"/>
                <w:sz w:val="18"/>
                <w:szCs w:val="18"/>
                <w:color w:val="auto"/>
              </w:rPr>
              <w:t>68%</w:t>
            </w:r>
          </w:p>
        </w:tc>
        <w:tc>
          <w:tcPr>
            <w:tcW w:w="12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7240" w:type="dxa"/>
            <w:vAlign w:val="bottom"/>
          </w:tcPr>
          <w:p>
            <w:pPr>
              <w:ind w:left="500"/>
              <w:spacing w:after="0"/>
              <w:rPr>
                <w:sz w:val="20"/>
                <w:szCs w:val="20"/>
                <w:color w:val="auto"/>
              </w:rPr>
            </w:pPr>
            <w:r>
              <w:rPr>
                <w:rFonts w:ascii="Arial" w:cs="Arial" w:eastAsia="Arial" w:hAnsi="Arial"/>
                <w:sz w:val="18"/>
                <w:szCs w:val="18"/>
                <w:color w:val="auto"/>
              </w:rPr>
              <w:t>U.S. Army</w:t>
            </w:r>
          </w:p>
        </w:tc>
        <w:tc>
          <w:tcPr>
            <w:tcW w:w="1480" w:type="dxa"/>
            <w:vAlign w:val="bottom"/>
          </w:tcPr>
          <w:p>
            <w:pPr>
              <w:jc w:val="right"/>
              <w:ind w:right="116"/>
              <w:spacing w:after="0"/>
              <w:rPr>
                <w:sz w:val="20"/>
                <w:szCs w:val="20"/>
                <w:color w:val="auto"/>
              </w:rPr>
            </w:pPr>
            <w:r>
              <w:rPr>
                <w:rFonts w:ascii="Arial" w:cs="Arial" w:eastAsia="Arial" w:hAnsi="Arial"/>
                <w:sz w:val="18"/>
                <w:szCs w:val="18"/>
                <w:b w:val="1"/>
                <w:bCs w:val="1"/>
                <w:color w:val="auto"/>
              </w:rPr>
              <w:t>16%</w:t>
            </w:r>
          </w:p>
        </w:tc>
        <w:tc>
          <w:tcPr>
            <w:tcW w:w="1440" w:type="dxa"/>
            <w:vAlign w:val="bottom"/>
          </w:tcPr>
          <w:p>
            <w:pPr>
              <w:jc w:val="right"/>
              <w:ind w:right="118"/>
              <w:spacing w:after="0"/>
              <w:rPr>
                <w:sz w:val="20"/>
                <w:szCs w:val="20"/>
                <w:color w:val="auto"/>
              </w:rPr>
            </w:pPr>
            <w:r>
              <w:rPr>
                <w:rFonts w:ascii="Arial" w:cs="Arial" w:eastAsia="Arial" w:hAnsi="Arial"/>
                <w:sz w:val="18"/>
                <w:szCs w:val="18"/>
                <w:color w:val="auto"/>
              </w:rPr>
              <w:t>19%</w:t>
            </w: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7240" w:type="dxa"/>
            <w:vAlign w:val="bottom"/>
          </w:tcPr>
          <w:p>
            <w:pPr>
              <w:ind w:left="500"/>
              <w:spacing w:after="0"/>
              <w:rPr>
                <w:sz w:val="20"/>
                <w:szCs w:val="20"/>
                <w:color w:val="auto"/>
              </w:rPr>
            </w:pPr>
            <w:r>
              <w:rPr>
                <w:rFonts w:ascii="Arial" w:cs="Arial" w:eastAsia="Arial" w:hAnsi="Arial"/>
                <w:sz w:val="18"/>
                <w:szCs w:val="18"/>
                <w:color w:val="auto"/>
              </w:rPr>
              <w:t>Maryland Procurement Office</w:t>
            </w:r>
          </w:p>
        </w:tc>
        <w:tc>
          <w:tcPr>
            <w:tcW w:w="1480" w:type="dxa"/>
            <w:vAlign w:val="bottom"/>
          </w:tcPr>
          <w:p>
            <w:pPr>
              <w:jc w:val="right"/>
              <w:ind w:right="116"/>
              <w:spacing w:after="0"/>
              <w:rPr>
                <w:sz w:val="20"/>
                <w:szCs w:val="20"/>
                <w:color w:val="auto"/>
              </w:rPr>
            </w:pPr>
            <w:r>
              <w:rPr>
                <w:rFonts w:ascii="Arial" w:cs="Arial" w:eastAsia="Arial" w:hAnsi="Arial"/>
                <w:sz w:val="18"/>
                <w:szCs w:val="18"/>
                <w:b w:val="1"/>
                <w:bCs w:val="1"/>
                <w:color w:val="auto"/>
              </w:rPr>
              <w:t>10%</w:t>
            </w:r>
          </w:p>
        </w:tc>
        <w:tc>
          <w:tcPr>
            <w:tcW w:w="1440" w:type="dxa"/>
            <w:vAlign w:val="bottom"/>
          </w:tcPr>
          <w:p>
            <w:pPr>
              <w:jc w:val="right"/>
              <w:ind w:right="118"/>
              <w:spacing w:after="0"/>
              <w:rPr>
                <w:sz w:val="20"/>
                <w:szCs w:val="20"/>
                <w:color w:val="auto"/>
              </w:rPr>
            </w:pPr>
            <w:r>
              <w:rPr>
                <w:rFonts w:ascii="Arial" w:cs="Arial" w:eastAsia="Arial" w:hAnsi="Arial"/>
                <w:sz w:val="18"/>
                <w:szCs w:val="18"/>
                <w:color w:val="auto"/>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F-59</w:t>
      </w:r>
    </w:p>
    <w:p>
      <w:pPr>
        <w:sectPr>
          <w:pgSz w:w="11900" w:h="16838" w:orient="portrait"/>
          <w:cols w:equalWidth="0" w:num="1">
            <w:col w:w="11420"/>
          </w:cols>
          <w:pgMar w:left="240" w:top="333" w:right="23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19—Legal Proceedings: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Timekeeping Contract with City of New York</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March 2012, the Company reached a settlement with the U.S. Attorney’s Office for the Southern District of New York and the City of New York ("City") relating to investigations being conducted by the U.S. Attorney’s Office and the City with respect to the Company’s contract to develop and implement an automated time and attendance and workforce management system ("CityTime") for certain agencies of the City. As part of this settlement, the Company entered into a deferred prosecution agreement ("DPA") with the U.S. Attorney’s Office, under which the Company paid approximately $500 million and the U.S. Attorney’s Office deferred prosecution of a single criminal count against the Company, which alleged that the Company, through the conduct of certain managerial employees and others, caused the City to significantly overpay for the CityTime system. Leidos fully satisfied the requirements of the DPA during its three year term and the DPA expired on March 14, 2015. As a result, the U.S. Attorney's Office filed an application with the Court to dispose of the charge that was filed against Leidos as part of the DPA. On March 16, 2015, the Court entered an order disposing of the pending charge.</w:t>
      </w:r>
    </w:p>
    <w:p>
      <w:pPr>
        <w:spacing w:after="0" w:line="1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August 2012, the Company entered into an administrative agreement with the U.S. Army, on behalf of all agencies of the U.S. Government that confirms the Company’s continuing eligibility to enter into and perform contracts with all agencies of the U.S. Government following the CityTime settlement. The Army has determined that the U.S. Government will have adequate assurances under the terms of the administrative agreement that initiation of suspension or debarment is not necessary to protect the U.S. Government’s interests following the CityTime settlement. Under the terms of the administrative agreement, the Company has agreed, among other things, to maintain a contractor responsibility program having the specific elements described in the administrative agreement, including retaining a monitor and providing certain reports to the U.S. Army. The administrative agreement will continue in effect for five years, provided that the Company may request earlier termination after three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Litigation</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was previously a defendant in a putative class action, In Re: Science Applications International Corporation ("SAIC") Backup Tape Data Theft Litigation, which was an Multidistrict Litigation ("MDL") action in U.S. District Court for the District of Columbia relating to the theft of computer back-up tapes from a vehicle of a company employee. In May 2014, the District Court dismissed all but two plaintiffs from the MDL action. In June 2014, Leidos and its co-defendant, TRICARE, entered into settlement agreements with the remaining two plaintiffs who subsequently dismissed their claims with prejudice.</w:t>
      </w:r>
    </w:p>
    <w:p>
      <w:pPr>
        <w:spacing w:after="0" w:line="13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On September 20, 2014, the Company was named as a defendant in a putative class action, </w:t>
      </w:r>
      <w:r>
        <w:rPr>
          <w:rFonts w:ascii="Arial" w:cs="Arial" w:eastAsia="Arial" w:hAnsi="Arial"/>
          <w:sz w:val="18"/>
          <w:szCs w:val="18"/>
          <w:i w:val="1"/>
          <w:iCs w:val="1"/>
          <w:color w:val="auto"/>
        </w:rPr>
        <w:t>Martin Fernandez, on Behalf Of Himself And 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Similarly Situated v. Leidos, Inc. </w:t>
      </w:r>
      <w:r>
        <w:rPr>
          <w:rFonts w:ascii="Arial" w:cs="Arial" w:eastAsia="Arial" w:hAnsi="Arial"/>
          <w:sz w:val="18"/>
          <w:szCs w:val="18"/>
          <w:color w:val="auto"/>
        </w:rPr>
        <w:t>in the Eastern District Court of California, related to the same theft of computer backup tapes.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recent complaint includes allegations of violations of the California Confidentiality of Medical Information Act, the California Unfair Competition Law, and other claims. The Company intends to vigorously defend against these claims, and filed a motion to dismiss in January 2015.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Securities Litigation</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Between February and April 2012, alleged stockholders filed three putative securities class actions. One case was withdrawn and two cases were consolidated in the U.S. District Court for the Southern District of New York in </w:t>
      </w:r>
      <w:r>
        <w:rPr>
          <w:rFonts w:ascii="Arial" w:cs="Arial" w:eastAsia="Arial" w:hAnsi="Arial"/>
          <w:sz w:val="18"/>
          <w:szCs w:val="18"/>
          <w:i w:val="1"/>
          <w:iCs w:val="1"/>
          <w:color w:val="auto"/>
        </w:rPr>
        <w:t>In re SAIC, Inc. Securities Litigation</w:t>
      </w:r>
      <w:r>
        <w:rPr>
          <w:rFonts w:ascii="Arial" w:cs="Arial" w:eastAsia="Arial" w:hAnsi="Arial"/>
          <w:sz w:val="18"/>
          <w:szCs w:val="18"/>
          <w:color w:val="auto"/>
        </w:rPr>
        <w:t>. The consolidated securities complaint named as defendants the Company, its chief financial officer, two former chief executive officers, a former group president, and the former program manager on the CityTime program, and was filed purportedly on behalf of all purchasers of the Company's common stock from April 11, 2007 through September 1, 2011. The consolidated securities complaint asserted claims under Sections 10(b) and 20(a) of the Securities Exchange Act of 1934 based on allegations that the Company and individual defendants made misleading statements or omissions about the Company’s revenues, operating income, and internal controls in connection with disclosures relating to the CityTime project. The plaintiffs sought to recover from the Company and the individual defendants an unspecified amount of damages class members allegedly incurred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F-60</w:t>
      </w:r>
    </w:p>
    <w:p>
      <w:pPr>
        <w:sectPr>
          <w:pgSz w:w="11900" w:h="16838" w:orient="portrait"/>
          <w:cols w:equalWidth="0" w:num="1">
            <w:col w:w="11420"/>
          </w:cols>
          <w:pgMar w:left="240" w:top="333" w:right="2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by buying Leidos’ stock at an inflated price. On October 1, 2013, the District Court dismissed many claims in the complaint with prejudice and on January 30, 2014, the District Court entered an order dismissing all remaining claims with prejudice and without leave to replead. The plaintiffs have moved to vacate the District Court's judgment or obtain relief from the judgment and for leave to file an amended complaint. On September 2014, the District Court denied plaintiff's motions. The plaintiffs filed a notice of appeal on October 30, 2014 to the United States Court of Appeals for the Second Circuit where the appeal remains pending.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Greek Government Contract</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Background and Arbitration. </w:t>
      </w:r>
      <w:r>
        <w:rPr>
          <w:rFonts w:ascii="Arial" w:cs="Arial" w:eastAsia="Arial" w:hAnsi="Arial"/>
          <w:sz w:val="18"/>
          <w:szCs w:val="18"/>
          <w:color w:val="auto"/>
        </w:rPr>
        <w:t>In May 2003, the Company entered into a firm-fixed-price contract with the Hellenic Republic of Greece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to provide a Command, Control, Communications, Coordination and Integration System (the System) to support the 2004 Athens Summer Olympic Games (the Olympics) and to serve as the security system for the Customer’s public order departments following completion of the Olympics.</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2008, the Customer accepted the System in writing pursuant to the requirements of the contract. At the time, the Customer determined that the System substantially complied with the terms of the contract and accepted the System with certain alleged minor omissions and deviations. Upon System acceptance, the Company invoiced the Customer for approximately $16 million, representing the undisputed portion of the contract balance owed to the Company. The Customer has not paid this final invoice.</w:t>
      </w:r>
    </w:p>
    <w:p>
      <w:pPr>
        <w:spacing w:after="0" w:line="15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June 2009, the Company initiated arbitration before the International Chamber of Commerce against the Customer seeking damages for breaches of contract by the Customer. In July 2013, the Company received an arbitral award for approximately $44 million. The Customer has yet to satisfy the arbitral award. The Company is pursuing an enforcement action in U.S. District Court for the District of Columbia. In September 2013, the Customer filed a petition in a Greek court seeking to nullify the arbitral award and to stay enforcement of the award in Greece. A hearing on the Customer's nullification request was held in Greece in April 2014. The parties agreed to a stay of the Company's enforcement action in U.S. District Court until the Greek court issued a ruling on the Customer's nullification request. In June 2014, the Athens Court of Appeals annulled the arbitral award. The Company appealed the annulment decision to the Supreme Court of Greece in January 2015 to have the arbitral award reinstated. The Company is continuing to pursue enforcement of the award in the U.S. District Court as is still its right under U.S. and international law. The outcomes of the appeal in Greece and the Company's pending enforcement action are uncertain.</w:t>
      </w:r>
    </w:p>
    <w:p>
      <w:pPr>
        <w:spacing w:after="0" w:line="1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Financial Status and Contingencies. </w:t>
      </w:r>
      <w:r>
        <w:rPr>
          <w:rFonts w:ascii="Arial" w:cs="Arial" w:eastAsia="Arial" w:hAnsi="Arial"/>
          <w:sz w:val="18"/>
          <w:szCs w:val="18"/>
          <w:color w:val="auto"/>
        </w:rPr>
        <w:t>As a result of the significant uncertainties on this contract, the Company converted to the completed-contract method of accounting and ceased recognizing revenues for the System development portion of this contract in fiscal 2006. No profits or losses were recorded on the Greek contract during fiscal 2015, 2014 and 2013. As of January 30, 2015, the Company has recorded $123 million of losses under the Greek contract, reflecting the Company’s estimated total cost to complete the System, assuming the Greek contract value was limited to the cash received to date. Based on the complex nature of this contractual situation and the difficulties encountered to date, significant uncertainties exist and the Company is unable to reliably estimate the ultimate outcome. The Company may reverse a portion of the losses from the Greek contract if it receives future payments as provided in the arbitral award.</w:t>
      </w:r>
    </w:p>
    <w:p>
      <w:pPr>
        <w:spacing w:after="0" w:line="15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As of January 30, 2015, the Company has $12 million of receivables relating to value added tax ("VAT") that the Company has paid and believes it is entitled to recover either as a refund from the taxing authorities or as a payment under the Greek contract. The Company has invoiced the Customer for $ 28 million for VAT and the Customer has failed to make payment. If the Customer fails to pay the outstanding VAT amounts or the Company is unable to recover the amount as a refund from the taxing authorities, the Company’s total losses on the Greek contract could increase.</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met certain advance payment and performance bonding requirements through the issuance of euro-denominated standby letters of credit. As of January 30, 2015, there were $4 million in standby letters of credit outstanding relating to the support and maintenance of the System. In the arbitration, the Company was awarded but has not received $22 million representing the amounts drawn by the Customer in fiscal 2011 on certain standby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F-61</w:t>
      </w:r>
    </w:p>
    <w:p>
      <w:pPr>
        <w:sectPr>
          <w:pgSz w:w="11900" w:h="16838" w:orient="portrait"/>
          <w:cols w:equalWidth="0" w:num="1">
            <w:col w:w="11400"/>
          </w:cols>
          <w:pgMar w:left="240" w:top="333" w:right="25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letters of credit as well as damages. The principal subcontractor has provided to the Company euro-denominated standby letters of credit in the amount of $18 million as of January 30, 2015, of which $17 million relates to the delivery of the System. The Company may draw on the subcontractor’s standby letters of credit under certain circumstances by providing a statement to the responsible bank that the subcontractor has not fulfilled its obligations under the subcontract.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is also involved in various claims and lawsuits arising in the normal conduct of its business, none of which, in the opinion of the Company’s management, based upon current information, will likely have a material adverse effect on the Company’s consolidated financial position,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20—Other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VirnetX, Inc.</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fiscal 2007, the Company transferred several patents to VirnetX Inc., a subsidiary of VirnetX Holding Corp. In consideration of this transfer, the Company received certain license rights and the right to receive a percentage of the consideration received in patent infringement or enforcement claims against third parties. In November 2012, a jury found that Apple Corporation infringed two of the patents that the Company previously transferred to VirnetX and awarded approximately $368 million to VirnetX, but the United States Court of Appeals for the Federal Circuit vacated this award. Although VirnetX petitioned the appeals court for an en banc review, this request was denied and the case has been remanded to the Federal District Court for further proceedings. On December 17, 2014, VirnetX settled a separate patent infringement dispute with Microsoft Corporation, with those parties executing an Amended Settlement and License Agreement. This agreement amended and restated certain terms of the original Settlement and License Agreement, dated May 14, 2010, between VirnetX and Microsoft. Under the terms of the amended agreement, Microsoft agreed to pay $ 23 million to VirnetX to settle the patent dispute and expand Microsoft's license. Under its agreements with VirnetX, the Company would receive 35% of the proceeds obtained by VirnetX under this settlement with Microsoft after reduction for attorneys' fees and costs incurred in litigating those claims. The Company and VirnetX are currently in discussions regarding the allocation of these proceeds. No assurances can be given as to when or if the Company will receive any proceeds in connection with these matters. In addition, if the Company receives any proceeds under its agreements with VirnetX, the Company is required to pay a royalty on the proceeds received to the customer who paid for the development of the technology. The Company does not have any assets or liabilities recorded in connection with this matter as of January 30, 2015.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Investigations and Reviews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is routinely subject to investigations and reviews relating to compliance with various laws and regulations with respect to its role as a contractor to federal, state, and local government customers and in connection with performing services in countries outside of the United States. Adverse findings in these investigations or reviews can lead to criminal, civil or administrative proceedings, and the Company could face penalties, fines, compensatory damages, and suspension or debarment from doing business with governmental agencies. In addition, the Company could suffer serious reputational harm if allegations of impropriety were made against Leidos. Adverse findings could also have a material adverse effect on the Company’s business, consolidated financial position, results of operations, and cash flows due to its reliance on government contracts.</w:t>
      </w:r>
    </w:p>
    <w:p>
      <w:pPr>
        <w:spacing w:after="0" w:line="15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U.S. Government agencies, including the Defense Contract Audit Agency ("DCAA"), Defense Contract Management Agency ("DCMA"), and others, routinely audit and review a contractor’s performance on government contracts, indirect rates and pricing practices, and compliance with applicable contracting and procurement laws, regulations, and standards.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 Both contractors and the U.S. Government agencies conducting these audits and reviews have come under increased scrutiny including such subjects as billing practices, labor charging, and accounting for unallowable costs.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F-62</w:t>
      </w:r>
    </w:p>
    <w:p>
      <w:pPr>
        <w:sectPr>
          <w:pgSz w:w="11900" w:h="16838" w:orient="portrait"/>
          <w:cols w:equalWidth="0" w:num="1">
            <w:col w:w="11400"/>
          </w:cols>
          <w:pgMar w:left="240" w:top="333" w:right="25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audits and reviews have become more rigorous and the standards to which the Company is held are being more strictly interpreted, increasing the likelihood of an audit or review resulting in an adverse outcome. During the course of its current audits, the DCAA is closely examining and questioning costs and several of the Company’s long established and disclosed practices increasing the uncertainty as to the ultimate conclusion that will be reached. In addition, the Company also monitors compliance with these practices and has an obligation under its contracts to make disclosures of specific improprieties based on credible evidence.</w:t>
      </w:r>
    </w:p>
    <w:p>
      <w:pPr>
        <w:spacing w:after="0" w:line="152"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The Company changed its indirect rate structure used in its indirect cost system in fiscal 2011 and future years. The DCAA is performing reviews of these changes and the Company’s compliance with certain other U.S. Government Cost Accounting Standards. A finding of significant control deficiencies in the Company’s system audits or other reviews can result in cash payments, penalties and potentially decremented billing rates.</w:t>
      </w:r>
    </w:p>
    <w:p>
      <w:pPr>
        <w:spacing w:after="0" w:line="1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indirect cost audits by the DCAA remain open for fiscal 2009 and subsequent fiscal years. Although the Company has recorded contract revenues subsequent to and including fiscal 2009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the Distribution Agreement with New SAIC and upon the separation date, the Company's liability of $45 million for net amounts to be refunded to customers for potential adjustments from such audit or review of contract costs was allocated to New SAIC in the amount of $18 million and the Company in the amount of $27 million. For open periods prior to the spin-off, matters may be settled by the Company with reimbursements due from New SAIC. Subsequent to the separation date, any amounts owed in addition to the $45 million liability for periods prior to the separation date will be proportioned between Leidos and New SAIC in accordance with the Distribution Agreement.</w:t>
      </w:r>
    </w:p>
    <w:p>
      <w:pPr>
        <w:spacing w:after="0" w:line="1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January 30, 2015, the Company has recorded a liability of $41 million for its current best estimate of net amounts to be refunded to customers for potential adjustments from such audits or reviews of contract costs. This amount includes potential adjustments related to both pre-separation and post-separation audits or reviews.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93"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The Company has a guarantee that relates only to claims brought by the sole customer of its joint venture, Bechtel SAIC Company, LLC, for specific contractual nonperformance of the joint venture. The Company also has a cross-indemnity agreement with the joint venture partner, pursuant to which the Company will only be ultimately responsible for the portion of any losses incurred under the guarantee equal to its ownership interest of 30%. As of January 31, 2014, the joint venture had completed performance requirements on the customer contract and was in the process of completing contract close-out activities. Based on current conditions, the Company believes the likelihood of having to make any future payment related to the guarantee is remote.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and Surety Bonds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outstanding letters of credit of $60 million as of January 30, 2015, principally related to guarantees on contracts. The Company also has outstanding surety bonds in the amount of $224 million as of January 30, 2015, principally related to performance and subcontractor payment bonds on the Company’s contracts. The outstanding letters of credit expire over the next four fiscal years and the surety bonds have various terms with the majority of the bonds expiring over the next five fiscal years.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Company maintains self-insured medical and workers compensation insurance plans. The Company provided estimated accruals for claims incurred but not yet reported of $16 million and $19 million as of January 30, 2015 and January 31, 2014,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Leidos Holdings, Inc. Annual Report F-63</w:t>
      </w:r>
    </w:p>
    <w:p>
      <w:pPr>
        <w:sectPr>
          <w:pgSz w:w="11900" w:h="16838" w:orient="portrait"/>
          <w:cols w:equalWidth="0" w:num="1">
            <w:col w:w="11420"/>
          </w:cols>
          <w:pgMar w:left="240" w:top="333"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21—Selected Quarterly Financial Data (Unaudited):</w:t>
      </w:r>
    </w:p>
    <w:p>
      <w:pPr>
        <w:spacing w:after="0" w:line="19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Selected unaudited financial data for each quarter of the last two fiscal years is presented in the table below and has been recast to reflect discontinued operations for all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color w:val="auto"/>
              </w:rPr>
              <w:t>First</w:t>
            </w:r>
          </w:p>
        </w:tc>
        <w:tc>
          <w:tcPr>
            <w:tcW w:w="32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Second</w:t>
            </w:r>
          </w:p>
        </w:tc>
        <w:tc>
          <w:tcPr>
            <w:tcW w:w="340" w:type="dxa"/>
            <w:vAlign w:val="bottom"/>
          </w:tcPr>
          <w:p>
            <w:pPr>
              <w:spacing w:after="0"/>
              <w:rPr>
                <w:sz w:val="14"/>
                <w:szCs w:val="1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1020" w:type="dxa"/>
            <w:vAlign w:val="bottom"/>
          </w:tcPr>
          <w:p>
            <w:pPr>
              <w:jc w:val="right"/>
              <w:ind w:right="332"/>
              <w:spacing w:after="0"/>
              <w:rPr>
                <w:sz w:val="20"/>
                <w:szCs w:val="20"/>
                <w:color w:val="auto"/>
              </w:rPr>
            </w:pPr>
            <w:r>
              <w:rPr>
                <w:rFonts w:ascii="Arial" w:cs="Arial" w:eastAsia="Arial" w:hAnsi="Arial"/>
                <w:sz w:val="14"/>
                <w:szCs w:val="14"/>
                <w:color w:val="auto"/>
              </w:rPr>
              <w:t>Fourth</w:t>
            </w:r>
          </w:p>
        </w:tc>
      </w:tr>
      <w:tr>
        <w:trPr>
          <w:trHeight w:val="178"/>
        </w:trPr>
        <w:tc>
          <w:tcPr>
            <w:tcW w:w="47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Quarter</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Quarter</w:t>
            </w:r>
          </w:p>
        </w:tc>
      </w:tr>
      <w:tr>
        <w:trPr>
          <w:trHeight w:val="204"/>
        </w:trPr>
        <w:tc>
          <w:tcPr>
            <w:tcW w:w="4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gridSpan w:val="4"/>
          </w:tcPr>
          <w:p>
            <w:pPr>
              <w:jc w:val="right"/>
              <w:ind w:right="32"/>
              <w:spacing w:after="0"/>
              <w:rPr>
                <w:sz w:val="20"/>
                <w:szCs w:val="20"/>
                <w:color w:val="auto"/>
              </w:rPr>
            </w:pPr>
            <w:r>
              <w:rPr>
                <w:rFonts w:ascii="Arial" w:cs="Arial" w:eastAsia="Arial" w:hAnsi="Arial"/>
                <w:sz w:val="14"/>
                <w:szCs w:val="14"/>
                <w:color w:val="auto"/>
              </w:rPr>
              <w:t>(in millions, except per share amounts)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00"/>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Fiscal 2015</w:t>
            </w:r>
            <w:r>
              <w:rPr>
                <w:rFonts w:ascii="Arial" w:cs="Arial" w:eastAsia="Arial" w:hAnsi="Arial"/>
                <w:sz w:val="21"/>
                <w:szCs w:val="21"/>
                <w:i w:val="1"/>
                <w:iCs w:val="1"/>
                <w:color w:val="auto"/>
                <w:vertAlign w:val="superscript"/>
              </w:rPr>
              <w:t>(3)</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9"/>
        </w:trPr>
        <w:tc>
          <w:tcPr>
            <w:tcW w:w="4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1,312</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1,306</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1,276</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1,169</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87</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(410)</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72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37</w:t>
            </w:r>
          </w:p>
        </w:tc>
      </w:tr>
      <w:tr>
        <w:trPr>
          <w:trHeight w:val="301"/>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1"/>
                <w:szCs w:val="21"/>
                <w:color w:val="auto"/>
                <w:vertAlign w:val="superscript"/>
              </w:rPr>
              <w:t>(1)</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45</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(439)</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38</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26</w:t>
            </w:r>
          </w:p>
        </w:tc>
      </w:tr>
      <w:tr>
        <w:trPr>
          <w:trHeight w:val="239"/>
        </w:trPr>
        <w:tc>
          <w:tcPr>
            <w:tcW w:w="478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18</w:t>
            </w:r>
          </w:p>
        </w:tc>
      </w:tr>
      <w:tr>
        <w:trPr>
          <w:trHeight w:val="301"/>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21"/>
                <w:szCs w:val="21"/>
                <w:color w:val="auto"/>
                <w:vertAlign w:val="superscript"/>
              </w:rPr>
              <w:t>(1)</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(438)</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34</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44</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Basic earnings (loss) per share </w:t>
            </w:r>
            <w:r>
              <w:rPr>
                <w:rFonts w:ascii="Arial" w:cs="Arial" w:eastAsia="Arial" w:hAnsi="Arial"/>
                <w:sz w:val="21"/>
                <w:szCs w:val="21"/>
                <w:color w:val="auto"/>
                <w:vertAlign w:val="superscript"/>
              </w:rPr>
              <w:t>(2)</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0.58</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0.52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0.36</w:t>
            </w:r>
          </w:p>
        </w:tc>
      </w:tr>
      <w:tr>
        <w:trPr>
          <w:trHeight w:val="261"/>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21"/>
                <w:szCs w:val="21"/>
                <w:color w:val="auto"/>
                <w:vertAlign w:val="superscript"/>
              </w:rPr>
              <w:t>(2)</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b w:val="1"/>
                <w:bCs w:val="1"/>
                <w:color w:val="auto"/>
              </w:rPr>
              <w:t>0.58</w:t>
            </w:r>
          </w:p>
        </w:tc>
        <w:tc>
          <w:tcPr>
            <w:tcW w:w="320" w:type="dxa"/>
            <w:vAlign w:val="bottom"/>
          </w:tcPr>
          <w:p>
            <w:pPr>
              <w:jc w:val="right"/>
              <w:ind w:right="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(5.93)</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0.51</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0.35</w:t>
            </w:r>
          </w:p>
        </w:tc>
      </w:tr>
      <w:tr>
        <w:trPr>
          <w:trHeight w:val="288"/>
        </w:trPr>
        <w:tc>
          <w:tcPr>
            <w:tcW w:w="4780" w:type="dxa"/>
            <w:vAlign w:val="bottom"/>
          </w:tcPr>
          <w:p>
            <w:pPr>
              <w:ind w:left="40"/>
              <w:spacing w:after="0"/>
              <w:rPr>
                <w:sz w:val="20"/>
                <w:szCs w:val="20"/>
                <w:color w:val="auto"/>
              </w:rPr>
            </w:pPr>
            <w:r>
              <w:rPr>
                <w:rFonts w:ascii="Arial" w:cs="Arial" w:eastAsia="Arial" w:hAnsi="Arial"/>
                <w:sz w:val="18"/>
                <w:szCs w:val="18"/>
                <w:i w:val="1"/>
                <w:iCs w:val="1"/>
                <w:color w:val="auto"/>
              </w:rPr>
              <w:t>Fiscal 2014</w:t>
            </w:r>
            <w:r>
              <w:rPr>
                <w:rFonts w:ascii="Arial" w:cs="Arial" w:eastAsia="Arial" w:hAnsi="Arial"/>
                <w:sz w:val="21"/>
                <w:szCs w:val="21"/>
                <w:i w:val="1"/>
                <w:iCs w:val="1"/>
                <w:color w:val="auto"/>
                <w:vertAlign w:val="superscript"/>
              </w:rPr>
              <w:t>(4)</w:t>
            </w: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1,593</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1,457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1,414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1,291</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77</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310"/>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1"/>
                <w:szCs w:val="21"/>
                <w:color w:val="auto"/>
                <w:vertAlign w:val="superscript"/>
              </w:rPr>
              <w:t>(1)</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30"/>
        </w:trPr>
        <w:tc>
          <w:tcPr>
            <w:tcW w:w="47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1"/>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21"/>
                <w:szCs w:val="21"/>
                <w:color w:val="auto"/>
                <w:vertAlign w:val="superscript"/>
              </w:rPr>
              <w:t>(1)</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81</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w:t>
            </w:r>
          </w:p>
        </w:tc>
      </w:tr>
      <w:tr>
        <w:trPr>
          <w:trHeight w:val="270"/>
        </w:trPr>
        <w:tc>
          <w:tcPr>
            <w:tcW w:w="4780" w:type="dxa"/>
            <w:vAlign w:val="bottom"/>
          </w:tcPr>
          <w:p>
            <w:pPr>
              <w:ind w:left="40"/>
              <w:spacing w:after="0"/>
              <w:rPr>
                <w:sz w:val="20"/>
                <w:szCs w:val="20"/>
                <w:color w:val="auto"/>
              </w:rPr>
            </w:pPr>
            <w:r>
              <w:rPr>
                <w:rFonts w:ascii="Arial" w:cs="Arial" w:eastAsia="Arial" w:hAnsi="Arial"/>
                <w:sz w:val="18"/>
                <w:szCs w:val="18"/>
                <w:color w:val="auto"/>
              </w:rPr>
              <w:t xml:space="preserve">Basic earnings (loss) per share </w:t>
            </w:r>
            <w:r>
              <w:rPr>
                <w:rFonts w:ascii="Arial" w:cs="Arial" w:eastAsia="Arial" w:hAnsi="Arial"/>
                <w:sz w:val="21"/>
                <w:szCs w:val="21"/>
                <w:color w:val="auto"/>
                <w:vertAlign w:val="superscript"/>
              </w:rPr>
              <w:t>(2)</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0.44</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0.57</w:t>
            </w:r>
          </w:p>
        </w:tc>
      </w:tr>
      <w:tr>
        <w:trPr>
          <w:trHeight w:val="238"/>
        </w:trPr>
        <w:tc>
          <w:tcPr>
            <w:tcW w:w="4780" w:type="dxa"/>
            <w:vAlign w:val="bottom"/>
          </w:tcPr>
          <w:p>
            <w:pPr>
              <w:ind w:left="40"/>
              <w:spacing w:after="0" w:line="238" w:lineRule="exact"/>
              <w:rPr>
                <w:sz w:val="20"/>
                <w:szCs w:val="20"/>
                <w:color w:val="auto"/>
              </w:rPr>
            </w:pPr>
            <w:r>
              <w:rPr>
                <w:rFonts w:ascii="Arial" w:cs="Arial" w:eastAsia="Arial" w:hAnsi="Arial"/>
                <w:sz w:val="18"/>
                <w:szCs w:val="18"/>
                <w:color w:val="auto"/>
              </w:rPr>
              <w:t xml:space="preserve">Diluted earnings (loss) per share </w:t>
            </w:r>
            <w:r>
              <w:rPr>
                <w:rFonts w:ascii="Arial" w:cs="Arial" w:eastAsia="Arial" w:hAnsi="Arial"/>
                <w:sz w:val="21"/>
                <w:szCs w:val="21"/>
                <w:color w:val="auto"/>
                <w:vertAlign w:val="superscript"/>
              </w:rPr>
              <w:t>(2)</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0.44</w:t>
            </w:r>
          </w:p>
        </w:tc>
        <w:tc>
          <w:tcPr>
            <w:tcW w:w="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0.05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0.56</w:t>
            </w:r>
          </w:p>
        </w:tc>
      </w:tr>
    </w:tbl>
    <w:p>
      <w:pPr>
        <w:spacing w:after="0"/>
        <w:rPr>
          <w:sz w:val="20"/>
          <w:szCs w:val="20"/>
          <w:color w:val="auto"/>
        </w:rPr>
      </w:pPr>
      <w:r>
        <w:rPr>
          <w:rFonts w:ascii="Arial" w:cs="Arial" w:eastAsia="Arial" w:hAnsi="Arial"/>
          <w:sz w:val="14"/>
          <w:szCs w:val="14"/>
          <w:color w:val="auto"/>
        </w:rPr>
        <w:t>All per share amounts presented give effect to the one-for-four reverse stock split completed on September 27, 2013.</w:t>
      </w:r>
    </w:p>
    <w:p>
      <w:pPr>
        <w:spacing w:after="0" w:line="21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Income (loss) from continuing operations and net income relate to Leidos Holdings, Inc. only. See Leidos, Inc.'s amounts detailed below</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Earnings (loss) per share from continuing operations are computed independently for each of the quarters presented and therefore may not sum to the total for the fiscal year.</w:t>
      </w:r>
    </w:p>
    <w:p>
      <w:pPr>
        <w:spacing w:after="0" w:line="1" w:lineRule="exact"/>
        <w:rPr>
          <w:rFonts w:ascii="Arial" w:cs="Arial" w:eastAsia="Arial" w:hAnsi="Arial"/>
          <w:sz w:val="14"/>
          <w:szCs w:val="14"/>
          <w:color w:val="auto"/>
        </w:rPr>
      </w:pPr>
    </w:p>
    <w:p>
      <w:pPr>
        <w:ind w:left="340" w:right="140" w:hanging="332"/>
        <w:spacing w:after="0" w:line="24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Fiscal 2015 quarterly results include goodwill impairment charges of $486 million in the second quarter, intangible asset impairment charges of $24 million and $17 million in the second and third quarter, respectively, and a tangible asset impairment charge of $40 million in the fourth quarter. For further information see, Note 3 - Acquisitions and Note 4 - Goodwill and Intangible Assets.</w:t>
      </w:r>
    </w:p>
    <w:p>
      <w:pPr>
        <w:spacing w:after="0" w:line="1" w:lineRule="exact"/>
        <w:rPr>
          <w:rFonts w:ascii="Arial" w:cs="Arial" w:eastAsia="Arial" w:hAnsi="Arial"/>
          <w:sz w:val="14"/>
          <w:szCs w:val="14"/>
          <w:color w:val="auto"/>
        </w:rPr>
      </w:pPr>
    </w:p>
    <w:p>
      <w:pPr>
        <w:ind w:left="340" w:right="80" w:hanging="332"/>
        <w:spacing w:after="0" w:line="247"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Fiscal 2014 quarterly results include the following charges: 1) intangible asset impairment charges of $30 million and $19 million in the second and third quarter, respectively; 2) bad debt expense for certain receivables related to two energy design-build construction projects of $42 million in the third quarter; and 3) separation transaction and restructuring expenses in each of the quarters of approximately $14 million, $19 million, $25 million, and $7 million, respectively. For further information see, Note 1 - Summary of Significant Accounting Policies and Note 4 - Goodwill and Intangible Assets.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F-64</w:t>
      </w:r>
    </w:p>
    <w:p>
      <w:pPr>
        <w:sectPr>
          <w:pgSz w:w="11900" w:h="16838" w:orient="portrait"/>
          <w:cols w:equalWidth="0" w:num="1">
            <w:col w:w="11420"/>
          </w:cols>
          <w:pgMar w:left="240" w:top="333"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306705</wp:posOffset>
            </wp:positionV>
            <wp:extent cx="72123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Leidos, Inc.:</w:t>
      </w:r>
    </w:p>
    <w:p>
      <w:pPr>
        <w:spacing w:after="0" w:line="193"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Income (loss) from continuing operations and net income (loss) of Leidos, Inc. includes interest expense on the related party note and associated income taxes, which relate solely to Leidos, Inc. and are not reflected in the consolidated amounts above. Income (loss) from continuing operations and net income (loss) of Leidos, Inc. for each quarter of the last two fiscal years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color w:val="auto"/>
              </w:rPr>
              <w:t>First</w:t>
            </w:r>
          </w:p>
        </w:tc>
        <w:tc>
          <w:tcPr>
            <w:tcW w:w="360" w:type="dxa"/>
            <w:vAlign w:val="bottom"/>
          </w:tcPr>
          <w:p>
            <w:pPr>
              <w:spacing w:after="0"/>
              <w:rPr>
                <w:sz w:val="14"/>
                <w:szCs w:val="14"/>
                <w:color w:val="auto"/>
              </w:rPr>
            </w:pPr>
          </w:p>
        </w:tc>
        <w:tc>
          <w:tcPr>
            <w:tcW w:w="1040" w:type="dxa"/>
            <w:vAlign w:val="bottom"/>
          </w:tcPr>
          <w:p>
            <w:pPr>
              <w:jc w:val="right"/>
              <w:ind w:right="338"/>
              <w:spacing w:after="0"/>
              <w:rPr>
                <w:sz w:val="20"/>
                <w:szCs w:val="20"/>
                <w:color w:val="auto"/>
              </w:rPr>
            </w:pPr>
            <w:r>
              <w:rPr>
                <w:rFonts w:ascii="Arial" w:cs="Arial" w:eastAsia="Arial" w:hAnsi="Arial"/>
                <w:sz w:val="14"/>
                <w:szCs w:val="14"/>
                <w:color w:val="auto"/>
              </w:rPr>
              <w:t>Second</w:t>
            </w:r>
          </w:p>
        </w:tc>
        <w:tc>
          <w:tcPr>
            <w:tcW w:w="440" w:type="dxa"/>
            <w:vAlign w:val="bottom"/>
          </w:tcPr>
          <w:p>
            <w:pPr>
              <w:spacing w:after="0"/>
              <w:rPr>
                <w:sz w:val="14"/>
                <w:szCs w:val="14"/>
                <w:color w:val="auto"/>
              </w:rPr>
            </w:pPr>
          </w:p>
        </w:tc>
        <w:tc>
          <w:tcPr>
            <w:tcW w:w="940" w:type="dxa"/>
            <w:vAlign w:val="bottom"/>
          </w:tcPr>
          <w:p>
            <w:pPr>
              <w:jc w:val="right"/>
              <w:ind w:right="416"/>
              <w:spacing w:after="0"/>
              <w:rPr>
                <w:sz w:val="20"/>
                <w:szCs w:val="20"/>
                <w:color w:val="auto"/>
              </w:rPr>
            </w:pPr>
            <w:r>
              <w:rPr>
                <w:rFonts w:ascii="Arial" w:cs="Arial" w:eastAsia="Arial" w:hAnsi="Arial"/>
                <w:sz w:val="14"/>
                <w:szCs w:val="14"/>
                <w:color w:val="auto"/>
              </w:rPr>
              <w:t>Third</w:t>
            </w:r>
          </w:p>
        </w:tc>
        <w:tc>
          <w:tcPr>
            <w:tcW w:w="320" w:type="dxa"/>
            <w:vAlign w:val="bottom"/>
          </w:tcPr>
          <w:p>
            <w:pPr>
              <w:spacing w:after="0"/>
              <w:rPr>
                <w:sz w:val="14"/>
                <w:szCs w:val="14"/>
                <w:color w:val="auto"/>
              </w:rPr>
            </w:pPr>
          </w:p>
        </w:tc>
        <w:tc>
          <w:tcPr>
            <w:tcW w:w="1020" w:type="dxa"/>
            <w:vAlign w:val="bottom"/>
          </w:tcPr>
          <w:p>
            <w:pPr>
              <w:jc w:val="right"/>
              <w:ind w:right="336"/>
              <w:spacing w:after="0"/>
              <w:rPr>
                <w:sz w:val="20"/>
                <w:szCs w:val="20"/>
                <w:color w:val="auto"/>
              </w:rPr>
            </w:pPr>
            <w:r>
              <w:rPr>
                <w:rFonts w:ascii="Arial" w:cs="Arial" w:eastAsia="Arial" w:hAnsi="Arial"/>
                <w:sz w:val="14"/>
                <w:szCs w:val="14"/>
                <w:color w:val="auto"/>
              </w:rPr>
              <w:t>Fourth</w:t>
            </w:r>
          </w:p>
        </w:tc>
      </w:tr>
      <w:tr>
        <w:trPr>
          <w:trHeight w:val="178"/>
        </w:trPr>
        <w:tc>
          <w:tcPr>
            <w:tcW w:w="46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Quarter</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Quarter</w:t>
            </w: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Quarter</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Quarter</w:t>
            </w:r>
          </w:p>
        </w:tc>
      </w:tr>
      <w:tr>
        <w:trPr>
          <w:trHeight w:val="204"/>
        </w:trPr>
        <w:tc>
          <w:tcPr>
            <w:tcW w:w="4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5"/>
        </w:trPr>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Fiscal 2015</w:t>
            </w:r>
          </w:p>
        </w:tc>
        <w:tc>
          <w:tcPr>
            <w:tcW w:w="1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46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46</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(437)</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27</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38</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(436)</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6"/>
              <w:spacing w:after="0"/>
              <w:rPr>
                <w:sz w:val="20"/>
                <w:szCs w:val="20"/>
                <w:color w:val="auto"/>
              </w:rPr>
            </w:pPr>
            <w:r>
              <w:rPr>
                <w:rFonts w:ascii="Arial" w:cs="Arial" w:eastAsia="Arial" w:hAnsi="Arial"/>
                <w:sz w:val="18"/>
                <w:szCs w:val="18"/>
                <w:b w:val="1"/>
                <w:bCs w:val="1"/>
                <w:color w:val="auto"/>
              </w:rPr>
              <w:t>36</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45</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Fiscal 2014</w:t>
            </w: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41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49</w:t>
            </w:r>
          </w:p>
        </w:tc>
      </w:tr>
      <w:tr>
        <w:trPr>
          <w:trHeight w:val="270"/>
        </w:trPr>
        <w:tc>
          <w:tcPr>
            <w:tcW w:w="46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42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Leidos Holdings, Inc. Annual Report F-65</w:t>
      </w:r>
    </w:p>
    <w:p>
      <w:pPr>
        <w:sectPr>
          <w:pgSz w:w="11900" w:h="16838" w:orient="portrait"/>
          <w:cols w:equalWidth="0" w:num="1">
            <w:col w:w="11420"/>
          </w:cols>
          <w:pgMar w:left="240" w:top="333"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EXHBIT 3.2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BYLAWS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LEIDOS HOLDINGS,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March 20, 2015</w:t>
      </w:r>
    </w:p>
    <w:p>
      <w:pPr>
        <w:sectPr>
          <w:pgSz w:w="11900" w:h="16838" w:orient="portrait"/>
          <w:cols w:equalWidth="0" w:num="1">
            <w:col w:w="11380"/>
          </w:cols>
          <w:pgMar w:left="280" w:top="364"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tcPr>
          <w:p>
            <w:pPr>
              <w:jc w:val="right"/>
              <w:ind w:right="30"/>
              <w:spacing w:after="0"/>
              <w:rPr>
                <w:sz w:val="20"/>
                <w:szCs w:val="20"/>
                <w:color w:val="auto"/>
              </w:rPr>
            </w:pPr>
            <w:r>
              <w:rPr>
                <w:rFonts w:ascii="Arial" w:cs="Arial" w:eastAsia="Arial" w:hAnsi="Arial"/>
                <w:sz w:val="18"/>
                <w:szCs w:val="18"/>
                <w:b w:val="1"/>
                <w:bCs w:val="1"/>
                <w:color w:val="auto"/>
              </w:rPr>
              <w:t>Table of Contents</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ARTICLE I.</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OFFICES  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1.01</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Registered Office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1.02</w:t>
            </w: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w w:val="92"/>
              </w:rPr>
              <w:t>Principal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1.03</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6"/>
              </w:rPr>
              <w:t>Other Offices</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9"/>
          </w:tcPr>
          <w:p>
            <w:pPr>
              <w:spacing w:after="0"/>
              <w:rPr>
                <w:sz w:val="20"/>
                <w:szCs w:val="20"/>
                <w:color w:val="auto"/>
              </w:rPr>
            </w:pPr>
            <w:r>
              <w:rPr>
                <w:rFonts w:ascii="Arial" w:cs="Arial" w:eastAsia="Arial" w:hAnsi="Arial"/>
                <w:sz w:val="18"/>
                <w:szCs w:val="18"/>
                <w:color w:val="auto"/>
                <w:w w:val="99"/>
              </w:rPr>
              <w:t>ARTICLE II.  MEETINGS OF STOCKHOLDERS</w:t>
            </w:r>
          </w:p>
        </w:tc>
        <w:tc>
          <w:tcPr>
            <w:tcW w:w="2660" w:type="dxa"/>
            <w:vAlign w:val="bottom"/>
          </w:tcPr>
          <w:p>
            <w:pPr>
              <w:jc w:val="right"/>
              <w:ind w:right="2370"/>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2.01</w:t>
            </w:r>
          </w:p>
        </w:tc>
        <w:tc>
          <w:tcPr>
            <w:tcW w:w="1660" w:type="dxa"/>
            <w:vAlign w:val="bottom"/>
            <w:gridSpan w:val="6"/>
          </w:tcPr>
          <w:p>
            <w:pPr>
              <w:ind w:left="80"/>
              <w:spacing w:after="0"/>
              <w:rPr>
                <w:sz w:val="20"/>
                <w:szCs w:val="20"/>
                <w:color w:val="auto"/>
              </w:rPr>
            </w:pPr>
            <w:r>
              <w:rPr>
                <w:rFonts w:ascii="Arial" w:cs="Arial" w:eastAsia="Arial" w:hAnsi="Arial"/>
                <w:sz w:val="18"/>
                <w:szCs w:val="18"/>
                <w:color w:val="auto"/>
              </w:rPr>
              <w:t>Annual Meetings  1</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2.02</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Special Meetings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2.03</w:t>
            </w:r>
          </w:p>
        </w:tc>
        <w:tc>
          <w:tcPr>
            <w:tcW w:w="2220" w:type="dxa"/>
            <w:vAlign w:val="bottom"/>
            <w:gridSpan w:val="7"/>
          </w:tcPr>
          <w:p>
            <w:pPr>
              <w:ind w:left="100"/>
              <w:spacing w:after="0"/>
              <w:rPr>
                <w:sz w:val="20"/>
                <w:szCs w:val="20"/>
                <w:color w:val="auto"/>
              </w:rPr>
            </w:pPr>
            <w:r>
              <w:rPr>
                <w:rFonts w:ascii="Arial" w:cs="Arial" w:eastAsia="Arial" w:hAnsi="Arial"/>
                <w:sz w:val="18"/>
                <w:szCs w:val="18"/>
                <w:color w:val="auto"/>
                <w:w w:val="94"/>
              </w:rPr>
              <w:t>Time and Place of Meetings</w:t>
            </w:r>
          </w:p>
        </w:tc>
        <w:tc>
          <w:tcPr>
            <w:tcW w:w="2660" w:type="dxa"/>
            <w:vAlign w:val="bottom"/>
          </w:tcPr>
          <w:p>
            <w:pPr>
              <w:jc w:val="right"/>
              <w:ind w:right="241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2.04</w:t>
            </w:r>
          </w:p>
        </w:tc>
        <w:tc>
          <w:tcPr>
            <w:tcW w:w="4880" w:type="dxa"/>
            <w:vAlign w:val="bottom"/>
            <w:gridSpan w:val="8"/>
          </w:tcPr>
          <w:p>
            <w:pPr>
              <w:ind w:left="100"/>
              <w:spacing w:after="0"/>
              <w:rPr>
                <w:sz w:val="20"/>
                <w:szCs w:val="20"/>
                <w:color w:val="auto"/>
              </w:rPr>
            </w:pPr>
            <w:r>
              <w:rPr>
                <w:rFonts w:ascii="Arial" w:cs="Arial" w:eastAsia="Arial" w:hAnsi="Arial"/>
                <w:sz w:val="18"/>
                <w:szCs w:val="18"/>
                <w:color w:val="auto"/>
                <w:w w:val="95"/>
              </w:rPr>
              <w:t>Notice of Meetings and Adjourned Meetings; Waivers of Notice</w:t>
            </w:r>
          </w:p>
        </w:tc>
        <w:tc>
          <w:tcPr>
            <w:tcW w:w="1620" w:type="dxa"/>
            <w:vAlign w:val="bottom"/>
          </w:tcPr>
          <w:p>
            <w:pPr>
              <w:jc w:val="right"/>
              <w:ind w:right="14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2.05</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Quorum</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2.06</w:t>
            </w:r>
          </w:p>
        </w:tc>
        <w:tc>
          <w:tcPr>
            <w:tcW w:w="580" w:type="dxa"/>
            <w:vAlign w:val="bottom"/>
          </w:tcPr>
          <w:p>
            <w:pPr>
              <w:ind w:left="100"/>
              <w:spacing w:after="0"/>
              <w:rPr>
                <w:sz w:val="20"/>
                <w:szCs w:val="20"/>
                <w:color w:val="auto"/>
              </w:rPr>
            </w:pPr>
            <w:r>
              <w:rPr>
                <w:rFonts w:ascii="Arial" w:cs="Arial" w:eastAsia="Arial" w:hAnsi="Arial"/>
                <w:sz w:val="18"/>
                <w:szCs w:val="18"/>
                <w:color w:val="auto"/>
                <w:w w:val="90"/>
              </w:rPr>
              <w:t>Voting</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2.07</w:t>
            </w:r>
          </w:p>
        </w:tc>
        <w:tc>
          <w:tcPr>
            <w:tcW w:w="4880" w:type="dxa"/>
            <w:vAlign w:val="bottom"/>
            <w:gridSpan w:val="8"/>
          </w:tcPr>
          <w:p>
            <w:pPr>
              <w:ind w:left="100"/>
              <w:spacing w:after="0"/>
              <w:rPr>
                <w:sz w:val="20"/>
                <w:szCs w:val="20"/>
                <w:color w:val="auto"/>
              </w:rPr>
            </w:pPr>
            <w:r>
              <w:rPr>
                <w:rFonts w:ascii="Arial" w:cs="Arial" w:eastAsia="Arial" w:hAnsi="Arial"/>
                <w:sz w:val="18"/>
                <w:szCs w:val="18"/>
                <w:color w:val="auto"/>
                <w:w w:val="92"/>
              </w:rPr>
              <w:t>Business at Annual Meeting (other than the Election of Directors)</w:t>
            </w:r>
          </w:p>
        </w:tc>
        <w:tc>
          <w:tcPr>
            <w:tcW w:w="1620" w:type="dxa"/>
            <w:vAlign w:val="bottom"/>
          </w:tcPr>
          <w:p>
            <w:pPr>
              <w:jc w:val="right"/>
              <w:ind w:right="12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2.08</w:t>
            </w:r>
          </w:p>
        </w:tc>
        <w:tc>
          <w:tcPr>
            <w:tcW w:w="1660" w:type="dxa"/>
            <w:vAlign w:val="bottom"/>
            <w:gridSpan w:val="6"/>
          </w:tcPr>
          <w:p>
            <w:pPr>
              <w:ind w:left="100"/>
              <w:spacing w:after="0"/>
              <w:rPr>
                <w:sz w:val="20"/>
                <w:szCs w:val="20"/>
                <w:color w:val="auto"/>
              </w:rPr>
            </w:pPr>
            <w:r>
              <w:rPr>
                <w:rFonts w:ascii="Arial" w:cs="Arial" w:eastAsia="Arial" w:hAnsi="Arial"/>
                <w:sz w:val="18"/>
                <w:szCs w:val="18"/>
                <w:color w:val="auto"/>
                <w:w w:val="98"/>
              </w:rPr>
              <w:t>List of Stockholders</w:t>
            </w:r>
          </w:p>
        </w:tc>
        <w:tc>
          <w:tcPr>
            <w:tcW w:w="560" w:type="dxa"/>
            <w:vAlign w:val="bottom"/>
          </w:tcPr>
          <w:p>
            <w:pPr>
              <w:jc w:val="right"/>
              <w:ind w:right="314"/>
              <w:spacing w:after="0"/>
              <w:rPr>
                <w:sz w:val="20"/>
                <w:szCs w:val="20"/>
                <w:color w:val="auto"/>
              </w:rPr>
            </w:pPr>
            <w:r>
              <w:rPr>
                <w:rFonts w:ascii="Arial" w:cs="Arial" w:eastAsia="Arial" w:hAnsi="Arial"/>
                <w:sz w:val="18"/>
                <w:szCs w:val="18"/>
                <w:color w:val="auto"/>
              </w:rPr>
              <w:t>4</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2.09</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89"/>
              </w:rPr>
              <w:t>Inspectors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2.10</w:t>
            </w:r>
          </w:p>
        </w:tc>
        <w:tc>
          <w:tcPr>
            <w:tcW w:w="4880" w:type="dxa"/>
            <w:vAlign w:val="bottom"/>
            <w:gridSpan w:val="8"/>
          </w:tcPr>
          <w:p>
            <w:pPr>
              <w:ind w:left="100"/>
              <w:spacing w:after="0"/>
              <w:rPr>
                <w:sz w:val="20"/>
                <w:szCs w:val="20"/>
                <w:color w:val="auto"/>
              </w:rPr>
            </w:pPr>
            <w:r>
              <w:rPr>
                <w:rFonts w:ascii="Arial" w:cs="Arial" w:eastAsia="Arial" w:hAnsi="Arial"/>
                <w:sz w:val="18"/>
                <w:szCs w:val="18"/>
                <w:color w:val="auto"/>
              </w:rPr>
              <w:t>Regulations for Conduct of Stockholders Meeting  5</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160" w:type="dxa"/>
            <w:vAlign w:val="bottom"/>
            <w:gridSpan w:val="7"/>
          </w:tcPr>
          <w:p>
            <w:pPr>
              <w:spacing w:after="0"/>
              <w:rPr>
                <w:sz w:val="20"/>
                <w:szCs w:val="20"/>
                <w:color w:val="auto"/>
              </w:rPr>
            </w:pPr>
            <w:r>
              <w:rPr>
                <w:rFonts w:ascii="Arial" w:cs="Arial" w:eastAsia="Arial" w:hAnsi="Arial"/>
                <w:sz w:val="18"/>
                <w:szCs w:val="18"/>
                <w:color w:val="auto"/>
                <w:w w:val="99"/>
              </w:rPr>
              <w:t>ARTICLE III.  BOARD OF DIRECTORS</w:t>
            </w:r>
          </w:p>
        </w:tc>
        <w:tc>
          <w:tcPr>
            <w:tcW w:w="140" w:type="dxa"/>
            <w:vAlign w:val="bottom"/>
          </w:tcPr>
          <w:p>
            <w:pPr>
              <w:spacing w:after="0"/>
              <w:rPr>
                <w:sz w:val="24"/>
                <w:szCs w:val="24"/>
                <w:color w:val="auto"/>
              </w:rPr>
            </w:pPr>
          </w:p>
        </w:tc>
        <w:tc>
          <w:tcPr>
            <w:tcW w:w="560" w:type="dxa"/>
            <w:vAlign w:val="bottom"/>
          </w:tcPr>
          <w:p>
            <w:pPr>
              <w:jc w:val="right"/>
              <w:ind w:right="354"/>
              <w:spacing w:after="0"/>
              <w:rPr>
                <w:sz w:val="20"/>
                <w:szCs w:val="20"/>
                <w:color w:val="auto"/>
              </w:rPr>
            </w:pPr>
            <w:r>
              <w:rPr>
                <w:rFonts w:ascii="Arial" w:cs="Arial" w:eastAsia="Arial" w:hAnsi="Arial"/>
                <w:sz w:val="18"/>
                <w:szCs w:val="18"/>
                <w:color w:val="auto"/>
                <w:w w:val="99"/>
              </w:rPr>
              <w:t>5</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3.01</w:t>
            </w:r>
          </w:p>
        </w:tc>
        <w:tc>
          <w:tcPr>
            <w:tcW w:w="1240" w:type="dxa"/>
            <w:vAlign w:val="bottom"/>
            <w:gridSpan w:val="4"/>
          </w:tcPr>
          <w:p>
            <w:pPr>
              <w:ind w:left="100"/>
              <w:spacing w:after="0"/>
              <w:rPr>
                <w:sz w:val="20"/>
                <w:szCs w:val="20"/>
                <w:color w:val="auto"/>
              </w:rPr>
            </w:pPr>
            <w:r>
              <w:rPr>
                <w:rFonts w:ascii="Arial" w:cs="Arial" w:eastAsia="Arial" w:hAnsi="Arial"/>
                <w:sz w:val="18"/>
                <w:szCs w:val="18"/>
                <w:color w:val="auto"/>
                <w:w w:val="86"/>
              </w:rPr>
              <w:t>General Powers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3.02</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Number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3.03</w:t>
            </w:r>
          </w:p>
        </w:tc>
        <w:tc>
          <w:tcPr>
            <w:tcW w:w="1660" w:type="dxa"/>
            <w:vAlign w:val="bottom"/>
            <w:gridSpan w:val="6"/>
          </w:tcPr>
          <w:p>
            <w:pPr>
              <w:ind w:left="100"/>
              <w:spacing w:after="0"/>
              <w:rPr>
                <w:sz w:val="20"/>
                <w:szCs w:val="20"/>
                <w:color w:val="auto"/>
              </w:rPr>
            </w:pPr>
            <w:r>
              <w:rPr>
                <w:rFonts w:ascii="Arial" w:cs="Arial" w:eastAsia="Arial" w:hAnsi="Arial"/>
                <w:sz w:val="18"/>
                <w:szCs w:val="18"/>
                <w:color w:val="auto"/>
                <w:w w:val="95"/>
              </w:rPr>
              <w:t>Election of Directors</w:t>
            </w:r>
          </w:p>
        </w:tc>
        <w:tc>
          <w:tcPr>
            <w:tcW w:w="560" w:type="dxa"/>
            <w:vAlign w:val="bottom"/>
          </w:tcPr>
          <w:p>
            <w:pPr>
              <w:jc w:val="right"/>
              <w:ind w:right="254"/>
              <w:spacing w:after="0"/>
              <w:rPr>
                <w:sz w:val="20"/>
                <w:szCs w:val="20"/>
                <w:color w:val="auto"/>
              </w:rPr>
            </w:pPr>
            <w:r>
              <w:rPr>
                <w:rFonts w:ascii="Arial" w:cs="Arial" w:eastAsia="Arial" w:hAnsi="Arial"/>
                <w:sz w:val="18"/>
                <w:szCs w:val="18"/>
                <w:color w:val="auto"/>
              </w:rPr>
              <w:t>5</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3.04</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7"/>
              </w:rPr>
              <w:t>Resignations</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3.05</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Removal</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3.06</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89"/>
              </w:rPr>
              <w:t>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3.07</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98"/>
              </w:rPr>
              <w:t>First Meeting</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3.08</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w w:val="99"/>
              </w:rPr>
              <w:t>Regular Meetings</w:t>
            </w:r>
          </w:p>
        </w:tc>
        <w:tc>
          <w:tcPr>
            <w:tcW w:w="140" w:type="dxa"/>
            <w:vAlign w:val="bottom"/>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3.09</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rPr>
              <w:t>Special Meetings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7</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3.10</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rPr>
              <w:t>Committees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3.11</w:t>
            </w:r>
          </w:p>
        </w:tc>
        <w:tc>
          <w:tcPr>
            <w:tcW w:w="1520" w:type="dxa"/>
            <w:vAlign w:val="bottom"/>
            <w:gridSpan w:val="5"/>
          </w:tcPr>
          <w:p>
            <w:pPr>
              <w:ind w:left="80"/>
              <w:spacing w:after="0"/>
              <w:rPr>
                <w:sz w:val="20"/>
                <w:szCs w:val="20"/>
                <w:color w:val="auto"/>
              </w:rPr>
            </w:pPr>
            <w:r>
              <w:rPr>
                <w:rFonts w:ascii="Arial" w:cs="Arial" w:eastAsia="Arial" w:hAnsi="Arial"/>
                <w:sz w:val="18"/>
                <w:szCs w:val="18"/>
                <w:color w:val="auto"/>
                <w:w w:val="95"/>
              </w:rPr>
              <w:t>Notice of Meetings</w:t>
            </w:r>
          </w:p>
        </w:tc>
        <w:tc>
          <w:tcPr>
            <w:tcW w:w="140" w:type="dxa"/>
            <w:vAlign w:val="bottom"/>
          </w:tcPr>
          <w:p>
            <w:pPr>
              <w:spacing w:after="0"/>
              <w:rPr>
                <w:sz w:val="24"/>
                <w:szCs w:val="24"/>
                <w:color w:val="auto"/>
              </w:rPr>
            </w:pPr>
          </w:p>
        </w:tc>
        <w:tc>
          <w:tcPr>
            <w:tcW w:w="560" w:type="dxa"/>
            <w:vAlign w:val="bottom"/>
          </w:tcPr>
          <w:p>
            <w:pPr>
              <w:jc w:val="right"/>
              <w:ind w:right="394"/>
              <w:spacing w:after="0"/>
              <w:rPr>
                <w:sz w:val="20"/>
                <w:szCs w:val="20"/>
                <w:color w:val="auto"/>
              </w:rPr>
            </w:pPr>
            <w:r>
              <w:rPr>
                <w:rFonts w:ascii="Arial" w:cs="Arial" w:eastAsia="Arial" w:hAnsi="Arial"/>
                <w:sz w:val="15"/>
                <w:szCs w:val="15"/>
                <w:color w:val="auto"/>
                <w:w w:val="71"/>
              </w:rPr>
              <w:t>8</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60" w:type="dxa"/>
            <w:vAlign w:val="bottom"/>
            <w:gridSpan w:val="9"/>
          </w:tcPr>
          <w:p>
            <w:pPr>
              <w:ind w:left="660"/>
              <w:spacing w:after="0"/>
              <w:rPr>
                <w:sz w:val="20"/>
                <w:szCs w:val="20"/>
                <w:color w:val="auto"/>
              </w:rPr>
            </w:pPr>
            <w:r>
              <w:rPr>
                <w:rFonts w:ascii="Arial" w:cs="Arial" w:eastAsia="Arial" w:hAnsi="Arial"/>
                <w:sz w:val="18"/>
                <w:szCs w:val="18"/>
                <w:color w:val="auto"/>
              </w:rPr>
              <w:t>Section 3.12  Place of Meeting, Etc.  8</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3.13</w:t>
            </w:r>
          </w:p>
        </w:tc>
        <w:tc>
          <w:tcPr>
            <w:tcW w:w="4880" w:type="dxa"/>
            <w:vAlign w:val="bottom"/>
            <w:gridSpan w:val="8"/>
          </w:tcPr>
          <w:p>
            <w:pPr>
              <w:ind w:left="100"/>
              <w:spacing w:after="0"/>
              <w:rPr>
                <w:sz w:val="20"/>
                <w:szCs w:val="20"/>
                <w:color w:val="auto"/>
              </w:rPr>
            </w:pPr>
            <w:r>
              <w:rPr>
                <w:rFonts w:ascii="Arial" w:cs="Arial" w:eastAsia="Arial" w:hAnsi="Arial"/>
                <w:sz w:val="18"/>
                <w:szCs w:val="18"/>
                <w:color w:val="auto"/>
              </w:rPr>
              <w:t>Quorum and Manner of Acting  8</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3.14</w:t>
            </w:r>
          </w:p>
        </w:tc>
        <w:tc>
          <w:tcPr>
            <w:tcW w:w="1520" w:type="dxa"/>
            <w:vAlign w:val="bottom"/>
            <w:gridSpan w:val="5"/>
          </w:tcPr>
          <w:p>
            <w:pPr>
              <w:ind w:left="80"/>
              <w:spacing w:after="0"/>
              <w:rPr>
                <w:sz w:val="20"/>
                <w:szCs w:val="20"/>
                <w:color w:val="auto"/>
              </w:rPr>
            </w:pPr>
            <w:r>
              <w:rPr>
                <w:rFonts w:ascii="Arial" w:cs="Arial" w:eastAsia="Arial" w:hAnsi="Arial"/>
                <w:sz w:val="18"/>
                <w:szCs w:val="18"/>
                <w:color w:val="auto"/>
                <w:w w:val="97"/>
              </w:rPr>
              <w:t>Action by Consent</w:t>
            </w:r>
          </w:p>
        </w:tc>
        <w:tc>
          <w:tcPr>
            <w:tcW w:w="700" w:type="dxa"/>
            <w:vAlign w:val="bottom"/>
            <w:gridSpan w:val="2"/>
          </w:tcPr>
          <w:p>
            <w:pPr>
              <w:jc w:val="right"/>
              <w:ind w:right="434"/>
              <w:spacing w:after="0"/>
              <w:rPr>
                <w:sz w:val="20"/>
                <w:szCs w:val="20"/>
                <w:color w:val="auto"/>
              </w:rPr>
            </w:pPr>
            <w:r>
              <w:rPr>
                <w:rFonts w:ascii="Arial" w:cs="Arial" w:eastAsia="Arial" w:hAnsi="Arial"/>
                <w:sz w:val="18"/>
                <w:szCs w:val="18"/>
                <w:color w:val="auto"/>
              </w:rPr>
              <w:t>8</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3.15</w:t>
            </w:r>
          </w:p>
        </w:tc>
        <w:tc>
          <w:tcPr>
            <w:tcW w:w="1140" w:type="dxa"/>
            <w:vAlign w:val="bottom"/>
            <w:gridSpan w:val="3"/>
          </w:tcPr>
          <w:p>
            <w:pPr>
              <w:ind w:left="100"/>
              <w:spacing w:after="0"/>
              <w:rPr>
                <w:sz w:val="20"/>
                <w:szCs w:val="20"/>
                <w:color w:val="auto"/>
              </w:rPr>
            </w:pPr>
            <w:r>
              <w:rPr>
                <w:rFonts w:ascii="Arial" w:cs="Arial" w:eastAsia="Arial" w:hAnsi="Arial"/>
                <w:sz w:val="18"/>
                <w:szCs w:val="18"/>
                <w:color w:val="auto"/>
                <w:w w:val="87"/>
              </w:rPr>
              <w:t>Compensation</w:t>
            </w:r>
          </w:p>
        </w:tc>
        <w:tc>
          <w:tcPr>
            <w:tcW w:w="100" w:type="dxa"/>
            <w:vAlign w:val="bottom"/>
          </w:tcPr>
          <w:p>
            <w:pPr>
              <w:spacing w:after="0"/>
              <w:rPr>
                <w:sz w:val="24"/>
                <w:szCs w:val="24"/>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3.16</w:t>
            </w:r>
          </w:p>
        </w:tc>
        <w:tc>
          <w:tcPr>
            <w:tcW w:w="1520" w:type="dxa"/>
            <w:vAlign w:val="bottom"/>
            <w:gridSpan w:val="5"/>
          </w:tcPr>
          <w:p>
            <w:pPr>
              <w:ind w:left="100"/>
              <w:spacing w:after="0"/>
              <w:rPr>
                <w:sz w:val="20"/>
                <w:szCs w:val="20"/>
                <w:color w:val="auto"/>
              </w:rPr>
            </w:pPr>
            <w:r>
              <w:rPr>
                <w:rFonts w:ascii="Arial" w:cs="Arial" w:eastAsia="Arial" w:hAnsi="Arial"/>
                <w:sz w:val="18"/>
                <w:szCs w:val="18"/>
                <w:color w:val="auto"/>
                <w:w w:val="98"/>
              </w:rPr>
              <w:t>Board Leadership</w:t>
            </w:r>
          </w:p>
        </w:tc>
        <w:tc>
          <w:tcPr>
            <w:tcW w:w="14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ARTICLE IV.</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ind w:right="117"/>
              <w:spacing w:after="0"/>
              <w:rPr>
                <w:sz w:val="20"/>
                <w:szCs w:val="20"/>
                <w:color w:val="auto"/>
              </w:rPr>
            </w:pPr>
            <w:r>
              <w:rPr>
                <w:rFonts w:ascii="Arial" w:cs="Arial" w:eastAsia="Arial" w:hAnsi="Arial"/>
                <w:sz w:val="15"/>
                <w:szCs w:val="15"/>
                <w:color w:val="auto"/>
                <w:w w:val="71"/>
              </w:rPr>
              <w:t>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1060" w:type="dxa"/>
            <w:vAlign w:val="bottom"/>
          </w:tcPr>
          <w:p>
            <w:pPr>
              <w:ind w:left="40"/>
              <w:spacing w:after="0"/>
              <w:rPr>
                <w:sz w:val="20"/>
                <w:szCs w:val="20"/>
                <w:color w:val="auto"/>
              </w:rPr>
            </w:pPr>
            <w:r>
              <w:rPr>
                <w:rFonts w:ascii="Arial" w:cs="Arial" w:eastAsia="Arial" w:hAnsi="Arial"/>
                <w:sz w:val="14"/>
                <w:szCs w:val="14"/>
                <w:color w:val="auto"/>
              </w:rPr>
              <w:t>March 20, 2015</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jc w:val="right"/>
              <w:ind w:right="630"/>
              <w:spacing w:after="0"/>
              <w:rPr>
                <w:sz w:val="20"/>
                <w:szCs w:val="20"/>
                <w:color w:val="auto"/>
              </w:rPr>
            </w:pPr>
            <w:r>
              <w:rPr>
                <w:rFonts w:ascii="Arial" w:cs="Arial" w:eastAsia="Arial" w:hAnsi="Arial"/>
                <w:sz w:val="18"/>
                <w:szCs w:val="18"/>
                <w:color w:val="auto"/>
              </w:rPr>
              <w:t>i</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1" w:right="1440"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4.01</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Principal Officers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9</w:t>
            </w:r>
          </w:p>
        </w:tc>
        <w:tc>
          <w:tcPr>
            <w:tcW w:w="54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4.02</w:t>
            </w:r>
          </w:p>
        </w:tc>
        <w:tc>
          <w:tcPr>
            <w:tcW w:w="2460" w:type="dxa"/>
            <w:vAlign w:val="bottom"/>
            <w:gridSpan w:val="5"/>
          </w:tcPr>
          <w:p>
            <w:pPr>
              <w:ind w:left="80"/>
              <w:spacing w:after="0"/>
              <w:rPr>
                <w:sz w:val="20"/>
                <w:szCs w:val="20"/>
                <w:color w:val="auto"/>
              </w:rPr>
            </w:pPr>
            <w:r>
              <w:rPr>
                <w:rFonts w:ascii="Arial" w:cs="Arial" w:eastAsia="Arial" w:hAnsi="Arial"/>
                <w:sz w:val="18"/>
                <w:szCs w:val="18"/>
                <w:color w:val="auto"/>
                <w:w w:val="97"/>
              </w:rPr>
              <w:t>Additional Officers and Agents</w:t>
            </w:r>
          </w:p>
        </w:tc>
        <w:tc>
          <w:tcPr>
            <w:tcW w:w="2140" w:type="dxa"/>
            <w:vAlign w:val="bottom"/>
          </w:tcPr>
          <w:p>
            <w:pPr>
              <w:jc w:val="right"/>
              <w:ind w:right="1890"/>
              <w:spacing w:after="0"/>
              <w:rPr>
                <w:sz w:val="20"/>
                <w:szCs w:val="20"/>
                <w:color w:val="auto"/>
              </w:rPr>
            </w:pPr>
            <w:r>
              <w:rPr>
                <w:rFonts w:ascii="Arial" w:cs="Arial" w:eastAsia="Arial" w:hAnsi="Arial"/>
                <w:sz w:val="18"/>
                <w:szCs w:val="18"/>
                <w:color w:val="auto"/>
              </w:rPr>
              <w:t>9</w:t>
            </w: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4.03</w:t>
            </w:r>
          </w:p>
        </w:tc>
        <w:tc>
          <w:tcPr>
            <w:tcW w:w="860" w:type="dxa"/>
            <w:vAlign w:val="bottom"/>
          </w:tcPr>
          <w:p>
            <w:pPr>
              <w:ind w:left="100"/>
              <w:spacing w:after="0"/>
              <w:rPr>
                <w:sz w:val="20"/>
                <w:szCs w:val="20"/>
                <w:color w:val="auto"/>
              </w:rPr>
            </w:pPr>
            <w:r>
              <w:rPr>
                <w:rFonts w:ascii="Arial" w:cs="Arial" w:eastAsia="Arial" w:hAnsi="Arial"/>
                <w:sz w:val="18"/>
                <w:szCs w:val="18"/>
                <w:color w:val="auto"/>
              </w:rPr>
              <w:t>Election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9</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4.04</w:t>
            </w:r>
          </w:p>
        </w:tc>
        <w:tc>
          <w:tcPr>
            <w:tcW w:w="860" w:type="dxa"/>
            <w:vAlign w:val="bottom"/>
          </w:tcPr>
          <w:p>
            <w:pPr>
              <w:ind w:left="100"/>
              <w:spacing w:after="0"/>
              <w:rPr>
                <w:sz w:val="20"/>
                <w:szCs w:val="20"/>
                <w:color w:val="auto"/>
              </w:rPr>
            </w:pPr>
            <w:r>
              <w:rPr>
                <w:rFonts w:ascii="Arial" w:cs="Arial" w:eastAsia="Arial" w:hAnsi="Arial"/>
                <w:sz w:val="18"/>
                <w:szCs w:val="18"/>
                <w:color w:val="auto"/>
              </w:rPr>
              <w:t>Removal</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4.05</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7"/>
              </w:rPr>
              <w:t>Resignations</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4.06</w:t>
            </w:r>
          </w:p>
        </w:tc>
        <w:tc>
          <w:tcPr>
            <w:tcW w:w="860" w:type="dxa"/>
            <w:vAlign w:val="bottom"/>
          </w:tcPr>
          <w:p>
            <w:pPr>
              <w:ind w:left="100"/>
              <w:spacing w:after="0"/>
              <w:rPr>
                <w:sz w:val="20"/>
                <w:szCs w:val="20"/>
                <w:color w:val="auto"/>
              </w:rPr>
            </w:pPr>
            <w:r>
              <w:rPr>
                <w:rFonts w:ascii="Arial" w:cs="Arial" w:eastAsia="Arial" w:hAnsi="Arial"/>
                <w:sz w:val="18"/>
                <w:szCs w:val="18"/>
                <w:color w:val="auto"/>
                <w:w w:val="89"/>
              </w:rPr>
              <w:t>Vacancies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4.07</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w w:val="98"/>
              </w:rPr>
              <w:t>Chief Executive Officer</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4.08</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President(s)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10</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4.09</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rPr>
              <w:t>Vice Presidents  10</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4.10</w:t>
            </w:r>
          </w:p>
        </w:tc>
        <w:tc>
          <w:tcPr>
            <w:tcW w:w="860" w:type="dxa"/>
            <w:vAlign w:val="bottom"/>
          </w:tcPr>
          <w:p>
            <w:pPr>
              <w:ind w:left="100"/>
              <w:spacing w:after="0"/>
              <w:rPr>
                <w:sz w:val="20"/>
                <w:szCs w:val="20"/>
                <w:color w:val="auto"/>
              </w:rPr>
            </w:pPr>
            <w:r>
              <w:rPr>
                <w:rFonts w:ascii="Arial" w:cs="Arial" w:eastAsia="Arial" w:hAnsi="Arial"/>
                <w:sz w:val="18"/>
                <w:szCs w:val="18"/>
                <w:color w:val="auto"/>
                <w:w w:val="96"/>
              </w:rPr>
              <w:t>Secretary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4.11</w:t>
            </w:r>
          </w:p>
        </w:tc>
        <w:tc>
          <w:tcPr>
            <w:tcW w:w="1920" w:type="dxa"/>
            <w:vAlign w:val="bottom"/>
            <w:gridSpan w:val="4"/>
          </w:tcPr>
          <w:p>
            <w:pPr>
              <w:ind w:left="80"/>
              <w:spacing w:after="0"/>
              <w:rPr>
                <w:sz w:val="20"/>
                <w:szCs w:val="20"/>
                <w:color w:val="auto"/>
              </w:rPr>
            </w:pPr>
            <w:r>
              <w:rPr>
                <w:rFonts w:ascii="Arial" w:cs="Arial" w:eastAsia="Arial" w:hAnsi="Arial"/>
                <w:sz w:val="18"/>
                <w:szCs w:val="18"/>
                <w:color w:val="auto"/>
              </w:rPr>
              <w:t>Chief Financial Officer</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10</w:t>
            </w: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4.12</w:t>
            </w:r>
          </w:p>
        </w:tc>
        <w:tc>
          <w:tcPr>
            <w:tcW w:w="860" w:type="dxa"/>
            <w:vAlign w:val="bottom"/>
          </w:tcPr>
          <w:p>
            <w:pPr>
              <w:ind w:left="100"/>
              <w:spacing w:after="0"/>
              <w:rPr>
                <w:sz w:val="20"/>
                <w:szCs w:val="20"/>
                <w:color w:val="auto"/>
              </w:rPr>
            </w:pPr>
            <w:r>
              <w:rPr>
                <w:rFonts w:ascii="Arial" w:cs="Arial" w:eastAsia="Arial" w:hAnsi="Arial"/>
                <w:sz w:val="18"/>
                <w:szCs w:val="18"/>
                <w:color w:val="auto"/>
                <w:w w:val="94"/>
              </w:rPr>
              <w:t>Treasurer</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4.13</w:t>
            </w:r>
          </w:p>
        </w:tc>
        <w:tc>
          <w:tcPr>
            <w:tcW w:w="860" w:type="dxa"/>
            <w:vAlign w:val="bottom"/>
          </w:tcPr>
          <w:p>
            <w:pPr>
              <w:ind w:left="100"/>
              <w:spacing w:after="0"/>
              <w:rPr>
                <w:sz w:val="20"/>
                <w:szCs w:val="20"/>
                <w:color w:val="auto"/>
              </w:rPr>
            </w:pPr>
            <w:r>
              <w:rPr>
                <w:rFonts w:ascii="Arial" w:cs="Arial" w:eastAsia="Arial" w:hAnsi="Arial"/>
                <w:sz w:val="18"/>
                <w:szCs w:val="18"/>
                <w:color w:val="auto"/>
                <w:w w:val="94"/>
              </w:rPr>
              <w:t>Controller</w:t>
            </w:r>
          </w:p>
        </w:tc>
        <w:tc>
          <w:tcPr>
            <w:tcW w:w="660" w:type="dxa"/>
            <w:vAlign w:val="bottom"/>
            <w:gridSpan w:val="2"/>
          </w:tcPr>
          <w:p>
            <w:pPr>
              <w:jc w:val="right"/>
              <w:ind w:right="25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w:t>
            </w:r>
          </w:p>
        </w:tc>
        <w:tc>
          <w:tcPr>
            <w:tcW w:w="2980" w:type="dxa"/>
            <w:vAlign w:val="bottom"/>
            <w:gridSpan w:val="6"/>
          </w:tcPr>
          <w:p>
            <w:pPr>
              <w:jc w:val="right"/>
              <w:spacing w:after="0"/>
              <w:rPr>
                <w:sz w:val="20"/>
                <w:szCs w:val="20"/>
                <w:color w:val="auto"/>
              </w:rPr>
            </w:pPr>
            <w:r>
              <w:rPr>
                <w:rFonts w:ascii="Arial" w:cs="Arial" w:eastAsia="Arial" w:hAnsi="Arial"/>
                <w:sz w:val="18"/>
                <w:szCs w:val="18"/>
                <w:color w:val="auto"/>
                <w:w w:val="98"/>
              </w:rPr>
              <w:t>DELEGATIONS OF AUTHORITY  11</w:t>
            </w: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5.01</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w w:val="99"/>
              </w:rPr>
              <w:t>Execution of Contracts</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11</w:t>
            </w:r>
          </w:p>
        </w:tc>
        <w:tc>
          <w:tcPr>
            <w:tcW w:w="2140" w:type="dxa"/>
            <w:vAlign w:val="bottom"/>
          </w:tcPr>
          <w:p>
            <w:pPr>
              <w:spacing w:after="0"/>
              <w:rPr>
                <w:sz w:val="24"/>
                <w:szCs w:val="24"/>
                <w:color w:val="auto"/>
              </w:rPr>
            </w:pPr>
          </w:p>
        </w:tc>
      </w:tr>
      <w:tr>
        <w:trPr>
          <w:trHeight w:val="324"/>
        </w:trPr>
        <w:tc>
          <w:tcPr>
            <w:tcW w:w="3560" w:type="dxa"/>
            <w:vAlign w:val="bottom"/>
            <w:gridSpan w:val="6"/>
          </w:tcPr>
          <w:p>
            <w:pPr>
              <w:ind w:left="660"/>
              <w:spacing w:after="0"/>
              <w:rPr>
                <w:sz w:val="20"/>
                <w:szCs w:val="20"/>
                <w:color w:val="auto"/>
              </w:rPr>
            </w:pPr>
            <w:r>
              <w:rPr>
                <w:rFonts w:ascii="Arial" w:cs="Arial" w:eastAsia="Arial" w:hAnsi="Arial"/>
                <w:sz w:val="18"/>
                <w:szCs w:val="18"/>
                <w:color w:val="auto"/>
                <w:w w:val="96"/>
              </w:rPr>
              <w:t>Section 5.02  Checks, Drafts, Etc.  11</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5.03</w:t>
            </w:r>
          </w:p>
        </w:tc>
        <w:tc>
          <w:tcPr>
            <w:tcW w:w="860" w:type="dxa"/>
            <w:vAlign w:val="bottom"/>
          </w:tcPr>
          <w:p>
            <w:pPr>
              <w:ind w:left="100"/>
              <w:spacing w:after="0"/>
              <w:rPr>
                <w:sz w:val="20"/>
                <w:szCs w:val="20"/>
                <w:color w:val="auto"/>
              </w:rPr>
            </w:pPr>
            <w:r>
              <w:rPr>
                <w:rFonts w:ascii="Arial" w:cs="Arial" w:eastAsia="Arial" w:hAnsi="Arial"/>
                <w:sz w:val="18"/>
                <w:szCs w:val="18"/>
                <w:color w:val="auto"/>
              </w:rPr>
              <w:t>Deposits</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5.04</w:t>
            </w:r>
          </w:p>
        </w:tc>
        <w:tc>
          <w:tcPr>
            <w:tcW w:w="4600" w:type="dxa"/>
            <w:vAlign w:val="bottom"/>
            <w:gridSpan w:val="6"/>
          </w:tcPr>
          <w:p>
            <w:pPr>
              <w:ind w:left="100"/>
              <w:spacing w:after="0"/>
              <w:rPr>
                <w:sz w:val="20"/>
                <w:szCs w:val="20"/>
                <w:color w:val="auto"/>
              </w:rPr>
            </w:pPr>
            <w:r>
              <w:rPr>
                <w:rFonts w:ascii="Arial" w:cs="Arial" w:eastAsia="Arial" w:hAnsi="Arial"/>
                <w:sz w:val="18"/>
                <w:szCs w:val="18"/>
                <w:color w:val="auto"/>
              </w:rPr>
              <w:t>General and Special Bank Accounts  11</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VI.</w:t>
            </w:r>
          </w:p>
        </w:tc>
        <w:tc>
          <w:tcPr>
            <w:tcW w:w="2980" w:type="dxa"/>
            <w:vAlign w:val="bottom"/>
            <w:gridSpan w:val="6"/>
          </w:tcPr>
          <w:p>
            <w:pPr>
              <w:jc w:val="right"/>
              <w:ind w:right="70"/>
              <w:spacing w:after="0"/>
              <w:rPr>
                <w:sz w:val="20"/>
                <w:szCs w:val="20"/>
                <w:color w:val="auto"/>
              </w:rPr>
            </w:pPr>
            <w:r>
              <w:rPr>
                <w:rFonts w:ascii="Arial" w:cs="Arial" w:eastAsia="Arial" w:hAnsi="Arial"/>
                <w:sz w:val="18"/>
                <w:szCs w:val="18"/>
                <w:color w:val="auto"/>
                <w:w w:val="97"/>
              </w:rPr>
              <w:t>SHARES AND SHARE TRANSFER</w:t>
            </w:r>
          </w:p>
        </w:tc>
        <w:tc>
          <w:tcPr>
            <w:tcW w:w="2140" w:type="dxa"/>
            <w:vAlign w:val="bottom"/>
          </w:tcPr>
          <w:p>
            <w:pPr>
              <w:jc w:val="right"/>
              <w:ind w:right="1850"/>
              <w:spacing w:after="0"/>
              <w:rPr>
                <w:sz w:val="20"/>
                <w:szCs w:val="20"/>
                <w:color w:val="auto"/>
              </w:rPr>
            </w:pPr>
            <w:r>
              <w:rPr>
                <w:rFonts w:ascii="Arial" w:cs="Arial" w:eastAsia="Arial" w:hAnsi="Arial"/>
                <w:sz w:val="18"/>
                <w:szCs w:val="18"/>
                <w:color w:val="auto"/>
                <w:w w:val="89"/>
              </w:rPr>
              <w:t>12</w:t>
            </w: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6.01</w:t>
            </w:r>
          </w:p>
        </w:tc>
        <w:tc>
          <w:tcPr>
            <w:tcW w:w="2460" w:type="dxa"/>
            <w:vAlign w:val="bottom"/>
            <w:gridSpan w:val="5"/>
          </w:tcPr>
          <w:p>
            <w:pPr>
              <w:ind w:left="100"/>
              <w:spacing w:after="0"/>
              <w:rPr>
                <w:sz w:val="20"/>
                <w:szCs w:val="20"/>
                <w:color w:val="auto"/>
              </w:rPr>
            </w:pPr>
            <w:r>
              <w:rPr>
                <w:rFonts w:ascii="Arial" w:cs="Arial" w:eastAsia="Arial" w:hAnsi="Arial"/>
                <w:sz w:val="18"/>
                <w:szCs w:val="18"/>
                <w:color w:val="auto"/>
                <w:w w:val="92"/>
              </w:rPr>
              <w:t>Certificates Representing Stock</w:t>
            </w:r>
          </w:p>
        </w:tc>
        <w:tc>
          <w:tcPr>
            <w:tcW w:w="2140" w:type="dxa"/>
            <w:vAlign w:val="bottom"/>
          </w:tcPr>
          <w:p>
            <w:pPr>
              <w:jc w:val="right"/>
              <w:ind w:right="1770"/>
              <w:spacing w:after="0"/>
              <w:rPr>
                <w:sz w:val="20"/>
                <w:szCs w:val="20"/>
                <w:color w:val="auto"/>
              </w:rPr>
            </w:pPr>
            <w:r>
              <w:rPr>
                <w:rFonts w:ascii="Arial" w:cs="Arial" w:eastAsia="Arial" w:hAnsi="Arial"/>
                <w:sz w:val="18"/>
                <w:szCs w:val="18"/>
                <w:color w:val="auto"/>
              </w:rPr>
              <w:t>12</w:t>
            </w: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6.02</w:t>
            </w:r>
          </w:p>
        </w:tc>
        <w:tc>
          <w:tcPr>
            <w:tcW w:w="2460" w:type="dxa"/>
            <w:vAlign w:val="bottom"/>
            <w:gridSpan w:val="5"/>
          </w:tcPr>
          <w:p>
            <w:pPr>
              <w:ind w:left="100"/>
              <w:spacing w:after="0"/>
              <w:rPr>
                <w:sz w:val="20"/>
                <w:szCs w:val="20"/>
                <w:color w:val="auto"/>
              </w:rPr>
            </w:pPr>
            <w:r>
              <w:rPr>
                <w:rFonts w:ascii="Arial" w:cs="Arial" w:eastAsia="Arial" w:hAnsi="Arial"/>
                <w:sz w:val="18"/>
                <w:szCs w:val="18"/>
                <w:color w:val="auto"/>
              </w:rPr>
              <w:t>Uncertificated Shares  12</w:t>
            </w: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6.03</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w w:val="95"/>
              </w:rPr>
              <w:t>Transfers of Stock</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6.04</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Regulations</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12</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6.05</w:t>
            </w:r>
          </w:p>
        </w:tc>
        <w:tc>
          <w:tcPr>
            <w:tcW w:w="4600" w:type="dxa"/>
            <w:vAlign w:val="bottom"/>
            <w:gridSpan w:val="6"/>
          </w:tcPr>
          <w:p>
            <w:pPr>
              <w:ind w:left="100"/>
              <w:spacing w:after="0"/>
              <w:rPr>
                <w:sz w:val="20"/>
                <w:szCs w:val="20"/>
                <w:color w:val="auto"/>
              </w:rPr>
            </w:pPr>
            <w:r>
              <w:rPr>
                <w:rFonts w:ascii="Arial" w:cs="Arial" w:eastAsia="Arial" w:hAnsi="Arial"/>
                <w:sz w:val="18"/>
                <w:szCs w:val="18"/>
                <w:color w:val="auto"/>
                <w:w w:val="94"/>
              </w:rPr>
              <w:t>Fixing Date for Determination of Stockholders of Record  13</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ARTICLE VII.</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MISCELLANEOUS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7.01</w:t>
            </w:r>
          </w:p>
        </w:tc>
        <w:tc>
          <w:tcPr>
            <w:tcW w:w="860" w:type="dxa"/>
            <w:vAlign w:val="bottom"/>
          </w:tcPr>
          <w:p>
            <w:pPr>
              <w:ind w:left="100"/>
              <w:spacing w:after="0"/>
              <w:rPr>
                <w:sz w:val="20"/>
                <w:szCs w:val="20"/>
                <w:color w:val="auto"/>
              </w:rPr>
            </w:pPr>
            <w:r>
              <w:rPr>
                <w:rFonts w:ascii="Arial" w:cs="Arial" w:eastAsia="Arial" w:hAnsi="Arial"/>
                <w:sz w:val="18"/>
                <w:szCs w:val="18"/>
                <w:color w:val="auto"/>
              </w:rPr>
              <w:t>Seal  13</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7.02</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w w:val="99"/>
              </w:rPr>
              <w:t>Waiver of Notices</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7.03</w:t>
            </w:r>
          </w:p>
        </w:tc>
        <w:tc>
          <w:tcPr>
            <w:tcW w:w="1520" w:type="dxa"/>
            <w:vAlign w:val="bottom"/>
            <w:gridSpan w:val="3"/>
          </w:tcPr>
          <w:p>
            <w:pPr>
              <w:ind w:left="100"/>
              <w:spacing w:after="0"/>
              <w:rPr>
                <w:sz w:val="20"/>
                <w:szCs w:val="20"/>
                <w:color w:val="auto"/>
              </w:rPr>
            </w:pPr>
            <w:r>
              <w:rPr>
                <w:rFonts w:ascii="Arial" w:cs="Arial" w:eastAsia="Arial" w:hAnsi="Arial"/>
                <w:sz w:val="18"/>
                <w:szCs w:val="18"/>
                <w:color w:val="auto"/>
              </w:rPr>
              <w:t>Fiscal Year  13</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7.04</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w w:val="98"/>
              </w:rPr>
              <w:t>Amendments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24"/>
        </w:trPr>
        <w:tc>
          <w:tcPr>
            <w:tcW w:w="1640" w:type="dxa"/>
            <w:vAlign w:val="bottom"/>
            <w:gridSpan w:val="2"/>
          </w:tcPr>
          <w:p>
            <w:pPr>
              <w:ind w:left="660"/>
              <w:spacing w:after="0"/>
              <w:rPr>
                <w:sz w:val="20"/>
                <w:szCs w:val="20"/>
                <w:color w:val="auto"/>
              </w:rPr>
            </w:pPr>
            <w:r>
              <w:rPr>
                <w:rFonts w:ascii="Arial" w:cs="Arial" w:eastAsia="Arial" w:hAnsi="Arial"/>
                <w:sz w:val="18"/>
                <w:szCs w:val="18"/>
                <w:color w:val="auto"/>
                <w:w w:val="95"/>
              </w:rPr>
              <w:t>Section 7.05</w:t>
            </w:r>
          </w:p>
        </w:tc>
        <w:tc>
          <w:tcPr>
            <w:tcW w:w="1920" w:type="dxa"/>
            <w:vAlign w:val="bottom"/>
            <w:gridSpan w:val="4"/>
          </w:tcPr>
          <w:p>
            <w:pPr>
              <w:ind w:left="100"/>
              <w:spacing w:after="0"/>
              <w:rPr>
                <w:sz w:val="20"/>
                <w:szCs w:val="20"/>
                <w:color w:val="auto"/>
              </w:rPr>
            </w:pPr>
            <w:r>
              <w:rPr>
                <w:rFonts w:ascii="Arial" w:cs="Arial" w:eastAsia="Arial" w:hAnsi="Arial"/>
                <w:sz w:val="18"/>
                <w:szCs w:val="18"/>
                <w:color w:val="auto"/>
                <w:w w:val="93"/>
              </w:rPr>
              <w:t>Designation of Engineer</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4"/>
          <w:szCs w:val="14"/>
          <w:color w:val="auto"/>
        </w:rPr>
        <w:t>March 20, 2015</w:t>
      </w:r>
      <w:r>
        <w:rPr>
          <w:sz w:val="20"/>
          <w:szCs w:val="20"/>
          <w:color w:val="auto"/>
        </w:rPr>
        <w:tab/>
      </w:r>
      <w:r>
        <w:rPr>
          <w:rFonts w:ascii="Arial" w:cs="Arial" w:eastAsia="Arial" w:hAnsi="Arial"/>
          <w:sz w:val="33"/>
          <w:szCs w:val="33"/>
          <w:color w:val="auto"/>
          <w:vertAlign w:val="subscript"/>
        </w:rPr>
        <w:t>ii</w:t>
      </w:r>
    </w:p>
    <w:p>
      <w:pPr>
        <w:sectPr>
          <w:pgSz w:w="11900" w:h="16838" w:orient="portrait"/>
          <w:cols w:equalWidth="0" w:num="1">
            <w:col w:w="10219"/>
          </w:cols>
          <w:pgMar w:left="240" w:top="638"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153" w:lineRule="exact"/>
        <w:rPr>
          <w:sz w:val="20"/>
          <w:szCs w:val="20"/>
          <w:color w:val="auto"/>
        </w:rPr>
      </w:pPr>
    </w:p>
    <w:p>
      <w:pPr>
        <w:ind w:right="300" w:firstLine="446"/>
        <w:spacing w:after="0" w:line="347"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b w:val="1"/>
          <w:bCs w:val="1"/>
          <w:color w:val="auto"/>
        </w:rPr>
        <w:t>Registered Office.</w:t>
      </w:r>
      <w:r>
        <w:rPr>
          <w:rFonts w:ascii="Arial" w:cs="Arial" w:eastAsia="Arial" w:hAnsi="Arial"/>
          <w:sz w:val="16"/>
          <w:szCs w:val="16"/>
          <w:color w:val="auto"/>
        </w:rPr>
        <w:t xml:space="preserve"> The registered office of Leidos Holdings, Inc. (the “Corporation”) in the State of Delaware shall be at 1209 Orange Street, City of Wilmington, County of New Castle, and the name of the registered agent in charge thereof shall be The Corporation Trust Company.</w:t>
      </w:r>
    </w:p>
    <w:p>
      <w:pPr>
        <w:spacing w:after="0" w:line="62" w:lineRule="exact"/>
        <w:rPr>
          <w:sz w:val="20"/>
          <w:szCs w:val="20"/>
          <w:color w:val="auto"/>
        </w:rPr>
      </w:pPr>
    </w:p>
    <w:p>
      <w:pPr>
        <w:ind w:right="120" w:firstLine="446"/>
        <w:spacing w:after="0" w:line="34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b w:val="1"/>
          <w:bCs w:val="1"/>
          <w:color w:val="auto"/>
        </w:rPr>
        <w:t>Principal Office.</w:t>
      </w:r>
      <w:r>
        <w:rPr>
          <w:rFonts w:ascii="Arial" w:cs="Arial" w:eastAsia="Arial" w:hAnsi="Arial"/>
          <w:sz w:val="16"/>
          <w:szCs w:val="16"/>
          <w:color w:val="auto"/>
        </w:rPr>
        <w:t xml:space="preserve"> The principal office for the transaction of the business of the Corporation shall be at 11951 Freedom Drive, Reston, VA 20190. The Board of Directors (the “Board”) is hereby granted full power and authority to change said principal office from one location to another.</w:t>
      </w:r>
    </w:p>
    <w:p>
      <w:pPr>
        <w:spacing w:after="0" w:line="62" w:lineRule="exact"/>
        <w:rPr>
          <w:sz w:val="20"/>
          <w:szCs w:val="20"/>
          <w:color w:val="auto"/>
        </w:rPr>
      </w:pPr>
    </w:p>
    <w:p>
      <w:pPr>
        <w:ind w:right="480" w:firstLine="446"/>
        <w:spacing w:after="0" w:line="28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b w:val="1"/>
          <w:bCs w:val="1"/>
          <w:color w:val="auto"/>
        </w:rPr>
        <w:t>Other Offices.</w:t>
      </w:r>
      <w:r>
        <w:rPr>
          <w:rFonts w:ascii="Arial" w:cs="Arial" w:eastAsia="Arial" w:hAnsi="Arial"/>
          <w:sz w:val="18"/>
          <w:szCs w:val="18"/>
          <w:color w:val="auto"/>
        </w:rPr>
        <w:t xml:space="preserve"> The Corporation may also have an office or offices at such other place or places, either within or without the State of Delaware, as the Board may from time to time determine or as the business of the Corporation may require.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153" w:lineRule="exact"/>
        <w:rPr>
          <w:sz w:val="20"/>
          <w:szCs w:val="20"/>
          <w:color w:val="auto"/>
        </w:rPr>
      </w:pPr>
    </w:p>
    <w:p>
      <w:pPr>
        <w:ind w:right="40" w:firstLine="446"/>
        <w:spacing w:after="0" w:line="282"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b w:val="1"/>
          <w:bCs w:val="1"/>
          <w:color w:val="auto"/>
        </w:rPr>
        <w:t>Annual Meetings.</w:t>
      </w:r>
      <w:r>
        <w:rPr>
          <w:rFonts w:ascii="Arial" w:cs="Arial" w:eastAsia="Arial" w:hAnsi="Arial"/>
          <w:sz w:val="18"/>
          <w:szCs w:val="18"/>
          <w:color w:val="auto"/>
        </w:rPr>
        <w:t xml:space="preserve"> An annual meeting of stockholders shall be held for the election of directors and to transact such other business as may properly be brought before the meeting.</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b w:val="1"/>
          <w:bCs w:val="1"/>
          <w:color w:val="auto"/>
        </w:rPr>
        <w:t>Special Meetings.</w:t>
      </w:r>
    </w:p>
    <w:p>
      <w:pPr>
        <w:spacing w:after="0" w:line="221" w:lineRule="exact"/>
        <w:rPr>
          <w:sz w:val="20"/>
          <w:szCs w:val="20"/>
          <w:color w:val="auto"/>
        </w:rPr>
      </w:pPr>
    </w:p>
    <w:p>
      <w:pPr>
        <w:ind w:firstLine="899"/>
        <w:spacing w:after="0" w:line="253" w:lineRule="auto"/>
        <w:tabs>
          <w:tab w:leader="none" w:pos="11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Special meetings of the stockholders of the Corporation for any purpose or purposes may be called at any time by the Board, or by a committee of the Board which has been duly designated by the Board and whose powers and authority, as provided in a resolution of the Board or in the Bylaws, include the power to call such meetings, and shall be called by the Secretary of the Corporation following the Secretary’s receipt of written requests to call a meeting of stockholders (a “Special Meeting Request”) from one stockholder of record owning at least ten percent (10%), or one or more stockholders of record of shares representing in the aggregate at least twenty-five percent (25%), in each case of the combined voting power of the then outstanding shares of all classes and series of capital stock of the Corporation entitled to vote on the matter or matters to be brought before the proposed special meeting, voting as a single class, and who have delivered such requests in accordance with and subject to the provisions of these Bylaws (as amended from time to time), including any limitations set forth in these Bylaws on the ability to make such a request for such a special meeting.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(“Delaware Law”) (or its successor statute as in effect from time to time hereafter), then such special meeting may also be called by the person or persons, in the manner, at the times and for the purposes so specified.</w:t>
      </w:r>
    </w:p>
    <w:p>
      <w:pPr>
        <w:spacing w:after="0" w:line="80" w:lineRule="exact"/>
        <w:rPr>
          <w:rFonts w:ascii="Arial" w:cs="Arial" w:eastAsia="Arial" w:hAnsi="Arial"/>
          <w:sz w:val="18"/>
          <w:szCs w:val="18"/>
          <w:color w:val="auto"/>
        </w:rPr>
      </w:pPr>
    </w:p>
    <w:p>
      <w:pPr>
        <w:ind w:right="120" w:firstLine="899"/>
        <w:spacing w:after="0" w:line="271" w:lineRule="auto"/>
        <w:tabs>
          <w:tab w:leader="none" w:pos="11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determining whether Special Meeting Requests have met the requirements of this Section 2.02, multiple Special Meeting Requests will not be considered together if they relate to different items of business. Additionally, in order to be valid, all Special Meeting Requests must have been dated and delivered to the Secretary within sixty (60) days of the earliest dated Special Meeting Request. Business transacted at any special meeting of stockholders shall be limited to the purposes stated in the notice. A Special Meeting Request shall be signed by each stockholder, or duly authorized agent, requesting the special meeting and shall set forth: (i) a brief description of each matter of business desired to be brought before the special meeting and the reasons for conducting such business at the special meeting, (ii) the text of the proposal or business (including the text of any resolutions proposed for consideration and in the event that such business includes a proposal to amend these Bylaws, the language of the proposed amendment), (iii) any material interest of each stockholder and any beneficial owner on whose behalf the special meeting is being requested in the business desired to be brought before the special meeting, (iv) the name and address, as they appear on the Corporation's books, of each stockholder requesting the special meeting and any beneficial owner on whose</w: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891" w:right="239" w:bottom="1440" w:gutter="0" w:footer="0" w:header="0"/>
        </w:sectPr>
      </w:pPr>
    </w:p>
    <w:bookmarkStart w:id="144" w:name="page145"/>
    <w:bookmarkEnd w:id="144"/>
    <w:p>
      <w:pPr>
        <w:ind w:right="20"/>
        <w:spacing w:after="0" w:line="263" w:lineRule="auto"/>
        <w:rPr>
          <w:sz w:val="20"/>
          <w:szCs w:val="20"/>
          <w:color w:val="auto"/>
        </w:rPr>
      </w:pPr>
      <w:r>
        <w:rPr>
          <w:rFonts w:ascii="Arial" w:cs="Arial" w:eastAsia="Arial" w:hAnsi="Arial"/>
          <w:sz w:val="18"/>
          <w:szCs w:val="18"/>
          <w:color w:val="auto"/>
        </w:rPr>
        <w:t>behalf the special meeting is being requested, (v) the class and number of shares of the Corporation which are owned by each stockholder requesting the special meeting and any beneficial owner on whose behalf the special meeting is being requested, and (vi) any other information that is required to be set forth in a stockholder's notice required pursuant to Section 2.07 of these Bylaws and, if the purpose of the special meeting includes the appointment or election of one or more directors to the Board, Section 3.03 of these Bylaws.</w:t>
      </w:r>
    </w:p>
    <w:p>
      <w:pPr>
        <w:spacing w:after="0" w:line="65" w:lineRule="exact"/>
        <w:rPr>
          <w:sz w:val="20"/>
          <w:szCs w:val="20"/>
          <w:color w:val="auto"/>
        </w:rPr>
      </w:pPr>
    </w:p>
    <w:p>
      <w:pPr>
        <w:ind w:firstLine="891"/>
        <w:spacing w:after="0" w:line="257" w:lineRule="auto"/>
        <w:rPr>
          <w:sz w:val="20"/>
          <w:szCs w:val="20"/>
          <w:color w:val="auto"/>
        </w:rPr>
      </w:pPr>
      <w:r>
        <w:rPr>
          <w:rFonts w:ascii="Arial" w:cs="Arial" w:eastAsia="Arial" w:hAnsi="Arial"/>
          <w:sz w:val="18"/>
          <w:szCs w:val="18"/>
          <w:color w:val="auto"/>
        </w:rPr>
        <w:t>A stockholder may revoke a Special Meeting Request at any time prior to the special meeting; provided however, that if any such revocations are received by the Secretary and, as a result of such revocation, the number of un-revoked Special Meeting Requests no longer represents at least the requisite number of shares entitling the stockholders to request the calling of a special meeting pursuant to Section 2.02(a), then the Board shall have the discretion to determine whether or not to proceed with the special meeting. If none of the stockholders who submitted the Special Meeting Request appear or send a qualified representative (as defined in these Bylaws) to present the proposal(s) or business submitted by the stockholders for consideration at the special meeting, such proposal(s) or business shall be disregarded, notwithstanding that proxies in respect of such vote may have been received by the Corporation or such stockholder(s).</w:t>
      </w:r>
    </w:p>
    <w:p>
      <w:pPr>
        <w:spacing w:after="0" w:line="69" w:lineRule="exact"/>
        <w:rPr>
          <w:sz w:val="20"/>
          <w:szCs w:val="20"/>
          <w:color w:val="auto"/>
        </w:rPr>
      </w:pPr>
    </w:p>
    <w:p>
      <w:pPr>
        <w:ind w:right="200" w:firstLine="891"/>
        <w:spacing w:after="0" w:line="289" w:lineRule="auto"/>
        <w:rPr>
          <w:sz w:val="20"/>
          <w:szCs w:val="20"/>
          <w:color w:val="auto"/>
        </w:rPr>
      </w:pPr>
      <w:r>
        <w:rPr>
          <w:rFonts w:ascii="Arial" w:cs="Arial" w:eastAsia="Arial" w:hAnsi="Arial"/>
          <w:sz w:val="18"/>
          <w:szCs w:val="18"/>
          <w:color w:val="auto"/>
        </w:rPr>
        <w:t>A Special Meeting Request shall not be valid (and the Board shall have no obligation to call a special meeting in respect of such Special Meeting Request) if it relates to an item of business that is not a proper subject for stockholder action under applicable law.</w:t>
      </w:r>
    </w:p>
    <w:p>
      <w:pPr>
        <w:spacing w:after="0" w:line="42" w:lineRule="exact"/>
        <w:rPr>
          <w:sz w:val="20"/>
          <w:szCs w:val="20"/>
          <w:color w:val="auto"/>
        </w:rPr>
      </w:pPr>
    </w:p>
    <w:p>
      <w:pPr>
        <w:ind w:right="500" w:firstLine="891"/>
        <w:spacing w:after="0" w:line="261" w:lineRule="auto"/>
        <w:rPr>
          <w:sz w:val="20"/>
          <w:szCs w:val="20"/>
          <w:color w:val="auto"/>
        </w:rPr>
      </w:pPr>
      <w:r>
        <w:rPr>
          <w:rFonts w:ascii="Arial" w:cs="Arial" w:eastAsia="Arial" w:hAnsi="Arial"/>
          <w:sz w:val="19"/>
          <w:szCs w:val="19"/>
          <w:color w:val="auto"/>
        </w:rPr>
        <w:t>The Board shall determine the place, if any, and fix the date and time, of any stockholder requested special meeting. The Board may submit its own proposal or proposals for consideration at a stockholder requested special meeting.</w:t>
      </w:r>
    </w:p>
    <w:p>
      <w:pPr>
        <w:spacing w:after="0" w:line="231" w:lineRule="exact"/>
        <w:rPr>
          <w:sz w:val="20"/>
          <w:szCs w:val="20"/>
          <w:color w:val="auto"/>
        </w:rPr>
      </w:pPr>
    </w:p>
    <w:p>
      <w:pPr>
        <w:ind w:right="240" w:firstLine="446"/>
        <w:spacing w:after="0" w:line="26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b w:val="1"/>
          <w:bCs w:val="1"/>
          <w:color w:val="auto"/>
        </w:rPr>
        <w:t>Time and Place of Meetings.</w:t>
      </w:r>
      <w:r>
        <w:rPr>
          <w:rFonts w:ascii="Arial" w:cs="Arial" w:eastAsia="Arial" w:hAnsi="Arial"/>
          <w:sz w:val="18"/>
          <w:szCs w:val="18"/>
          <w:color w:val="auto"/>
        </w:rPr>
        <w:t xml:space="preserve"> All meetings of the stockholders shall be held at such places, within or without the State of Delaware, on such date and at such time as may from time to time be designated by the person or persons calling the respective meeting and specified in the respective notices or waivers of notice thereof.</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b w:val="1"/>
          <w:bCs w:val="1"/>
          <w:color w:val="auto"/>
        </w:rPr>
        <w:t>Notice of Meetings and Adjourned Meetings; Waivers of Notice.</w:t>
      </w:r>
    </w:p>
    <w:p>
      <w:pPr>
        <w:spacing w:after="0" w:line="175" w:lineRule="exact"/>
        <w:rPr>
          <w:sz w:val="20"/>
          <w:szCs w:val="20"/>
          <w:color w:val="auto"/>
        </w:rPr>
      </w:pPr>
    </w:p>
    <w:p>
      <w:pPr>
        <w:ind w:right="20" w:firstLine="886"/>
        <w:spacing w:after="0" w:line="270" w:lineRule="auto"/>
        <w:tabs>
          <w:tab w:leader="none" w:pos="11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Whenever stockholders are required or permitted to take any action at a meeting, a notice of the meeting shall be given to stockholders of the Corporation, as required by applicable law, which shall state the place, date and hour of the meeting, and, in the case of a special meeting, the purpose or purposes for which the meeting is called. Notice may be given by such delivery means (mail, telecopy, electronic or other) as the Secretary deems appropriate and in compliance with applicable law and shall be delivered to the stockholder’s address as it appears on the stock transfer records of the Corporation. Unless otherwise required by Delaware Law, such notice shall be given not less than 10 nor more than 60 days before the date of the meeting to each stockholder of record entitled to vote at such meeting. Unless otherwise expressly required by Delaware Law, when a meeting is adjourned to another time or place (whether or not a quorum is present),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23" w:lineRule="exact"/>
        <w:rPr>
          <w:rFonts w:ascii="Arial" w:cs="Arial" w:eastAsia="Arial" w:hAnsi="Arial"/>
          <w:sz w:val="17"/>
          <w:szCs w:val="17"/>
          <w:color w:val="auto"/>
        </w:rPr>
      </w:pPr>
    </w:p>
    <w:p>
      <w:pPr>
        <w:jc w:val="both"/>
        <w:ind w:right="40" w:firstLine="886"/>
        <w:spacing w:after="0" w:line="302" w:lineRule="auto"/>
        <w:tabs>
          <w:tab w:leader="none" w:pos="113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waiver of any such notice given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and such person objects at the beginning of the meeting, to the transaction of any business because the meeting is not lawfully called or convened. Business transacted at any special meeting of stockholders shall be limited to the purposes stated in the notice.</w:t>
      </w:r>
    </w:p>
    <w:p>
      <w:pPr>
        <w:spacing w:after="0" w:line="96" w:lineRule="exact"/>
        <w:rPr>
          <w:sz w:val="20"/>
          <w:szCs w:val="20"/>
          <w:color w:val="auto"/>
        </w:rPr>
      </w:pPr>
    </w:p>
    <w:p>
      <w:pPr>
        <w:jc w:val="both"/>
        <w:ind w:right="700" w:firstLine="446"/>
        <w:spacing w:after="0" w:line="266"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b w:val="1"/>
          <w:bCs w:val="1"/>
          <w:color w:val="auto"/>
        </w:rPr>
        <w:t>Quorum.</w:t>
      </w:r>
      <w:r>
        <w:rPr>
          <w:rFonts w:ascii="Arial" w:cs="Arial" w:eastAsia="Arial" w:hAnsi="Arial"/>
          <w:sz w:val="18"/>
          <w:szCs w:val="18"/>
          <w:color w:val="auto"/>
        </w:rPr>
        <w:t xml:space="preserve"> Except as provided by Delaware Law, the holders of record of a majority in voting interest of the shares of stock of the Corporation entitled to be voted thereat, present in person or by proxy, shall constitute a quorum for the transaction of business at any meeting of the stockholders of the Corporation or any</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630" w:right="259" w:bottom="1440" w:gutter="0" w:footer="0" w:header="0"/>
        </w:sectPr>
      </w:pPr>
    </w:p>
    <w:bookmarkStart w:id="145" w:name="page146"/>
    <w:bookmarkEnd w:id="145"/>
    <w:p>
      <w:pPr>
        <w:spacing w:after="0" w:line="259" w:lineRule="auto"/>
        <w:rPr>
          <w:sz w:val="20"/>
          <w:szCs w:val="20"/>
          <w:color w:val="auto"/>
        </w:rPr>
      </w:pPr>
      <w:r>
        <w:rPr>
          <w:rFonts w:ascii="Arial" w:cs="Arial" w:eastAsia="Arial" w:hAnsi="Arial"/>
          <w:sz w:val="18"/>
          <w:szCs w:val="18"/>
          <w:color w:val="auto"/>
        </w:rPr>
        <w:t>adjournment thereof. In the absence of a quorum at any meeting or any adjournment thereof, a majority in voting interest of the stockholders present in person or by proxy and entitled to vote thereat or, in the absence therefrom of all the stockholders, any officer entitled to preside at, or to act as a secretary of, such meeting may adjourn such meeting from time to time. At any such adjourned meeting at which a quorum is present, any business may be transacted which might have been transacted at the meeting as originally called.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color w:val="auto"/>
        </w:rPr>
        <w:t>Voting.</w:t>
      </w:r>
    </w:p>
    <w:p>
      <w:pPr>
        <w:spacing w:after="0" w:line="175" w:lineRule="exact"/>
        <w:rPr>
          <w:sz w:val="20"/>
          <w:szCs w:val="20"/>
          <w:color w:val="auto"/>
        </w:rPr>
      </w:pPr>
    </w:p>
    <w:p>
      <w:pPr>
        <w:ind w:right="360" w:firstLine="886"/>
        <w:spacing w:after="0" w:line="264" w:lineRule="auto"/>
        <w:tabs>
          <w:tab w:leader="none" w:pos="11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each meeting of the stockholders, each stockholder shall be entitled to vote, in person or by proxy, each share or fractional share of the stock of the Corporation having voting rights on the matter in question and which shall have been held by such stockholder and registered in such stockholder’s name on the books of the Corporation:</w:t>
      </w:r>
    </w:p>
    <w:p>
      <w:pPr>
        <w:spacing w:after="0" w:line="127" w:lineRule="exact"/>
        <w:rPr>
          <w:rFonts w:ascii="Arial" w:cs="Arial" w:eastAsia="Arial" w:hAnsi="Arial"/>
          <w:sz w:val="18"/>
          <w:szCs w:val="18"/>
          <w:color w:val="auto"/>
        </w:rPr>
      </w:pPr>
    </w:p>
    <w:p>
      <w:pPr>
        <w:ind w:right="80" w:firstLine="1440"/>
        <w:spacing w:after="0" w:line="277" w:lineRule="auto"/>
        <w:tabs>
          <w:tab w:leader="none" w:pos="1646" w:val="left"/>
        </w:tabs>
        <w:numPr>
          <w:ilvl w:val="1"/>
          <w:numId w:val="40"/>
        </w:numPr>
        <w:rPr>
          <w:rFonts w:ascii="Arial" w:cs="Arial" w:eastAsia="Arial" w:hAnsi="Arial"/>
          <w:sz w:val="18"/>
          <w:szCs w:val="18"/>
          <w:color w:val="auto"/>
        </w:rPr>
      </w:pPr>
      <w:r>
        <w:rPr>
          <w:rFonts w:ascii="Arial" w:cs="Arial" w:eastAsia="Arial" w:hAnsi="Arial"/>
          <w:sz w:val="18"/>
          <w:szCs w:val="18"/>
          <w:color w:val="auto"/>
        </w:rPr>
        <w:t>on the date fixed pursuant to Section 6.05 of these Bylaws as the record date for the determination of stockholders entitled to notice of and to vote at such meeting, or</w:t>
      </w:r>
    </w:p>
    <w:p>
      <w:pPr>
        <w:spacing w:after="0" w:line="116" w:lineRule="exact"/>
        <w:rPr>
          <w:rFonts w:ascii="Arial" w:cs="Arial" w:eastAsia="Arial" w:hAnsi="Arial"/>
          <w:sz w:val="18"/>
          <w:szCs w:val="18"/>
          <w:color w:val="auto"/>
        </w:rPr>
      </w:pPr>
    </w:p>
    <w:p>
      <w:pPr>
        <w:ind w:right="220" w:firstLine="1440"/>
        <w:spacing w:after="0" w:line="342" w:lineRule="auto"/>
        <w:tabs>
          <w:tab w:leader="none" w:pos="1696"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no such record date shall have been so fixed, then (a) at the close of business on the day before the day on which notice of the meeting shall be given or (b) if notice of the meeting shall be waived, at the close of business on the day before the day on which the meeting shall be held.</w:t>
      </w:r>
    </w:p>
    <w:p>
      <w:pPr>
        <w:spacing w:after="0" w:line="69" w:lineRule="exact"/>
        <w:rPr>
          <w:rFonts w:ascii="Arial" w:cs="Arial" w:eastAsia="Arial" w:hAnsi="Arial"/>
          <w:sz w:val="16"/>
          <w:szCs w:val="16"/>
          <w:color w:val="auto"/>
        </w:rPr>
      </w:pPr>
    </w:p>
    <w:p>
      <w:pPr>
        <w:ind w:right="300" w:firstLine="886"/>
        <w:spacing w:after="0" w:line="342" w:lineRule="auto"/>
        <w:tabs>
          <w:tab w:leader="none" w:pos="113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69" w:lineRule="exact"/>
        <w:rPr>
          <w:rFonts w:ascii="Arial" w:cs="Arial" w:eastAsia="Arial" w:hAnsi="Arial"/>
          <w:sz w:val="16"/>
          <w:szCs w:val="16"/>
          <w:color w:val="auto"/>
        </w:rPr>
      </w:pPr>
    </w:p>
    <w:p>
      <w:pPr>
        <w:ind w:firstLine="886"/>
        <w:spacing w:after="0" w:line="254" w:lineRule="auto"/>
        <w:tabs>
          <w:tab w:leader="none" w:pos="11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Any such voting rights may be exercised by the stockholder entitled thereto in person or by his or her proxy delivered to the secretary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proxy shall be voted or acted upon after three (3) years from its date unless said proxy shall provide for a longer period. At any meeting of the stockholders all matters, except as otherwise provided in the Certificate of Incorporation, these Bylaws, Delaware Law, the rules or regulations of any stock exchange applicable to the Corporation, or any regulation applicable to the Corporation or its securities, shall be decided by the vote of a majority in voting interest of the stockholders present in person or by proxy and entitled to vote thereon, a quorum being present. The vote at any meeting of the stockholders on any question need not be by ballot, except as otherwise provided in the Certificate of Incorporation or unless so directed by the chair of the meeting. On a vote by ballot, each ballot shall be signed by the stockholder voting, or by his or her proxy, if there be such proxy, and it shall state the number of shares voted.</w:t>
      </w:r>
    </w:p>
    <w:p>
      <w:pPr>
        <w:spacing w:after="0" w:line="134"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b w:val="1"/>
          <w:bCs w:val="1"/>
          <w:color w:val="auto"/>
        </w:rPr>
        <w:t>Business at Annual Meeting (other than the Election of Directors).</w:t>
      </w:r>
      <w:r>
        <w:rPr>
          <w:rFonts w:ascii="Arial" w:cs="Arial" w:eastAsia="Arial" w:hAnsi="Arial"/>
          <w:sz w:val="16"/>
          <w:szCs w:val="16"/>
          <w:color w:val="auto"/>
        </w:rPr>
        <w:t xml:space="preserve"> Only such business (other than nominations for election to the Board, which must comply with the provisions of Section 3.03(b)) may be transacted at an annual meeting of stockholders as is either (1) specified in the notice of meeting (or any supplement thereto) given by or at the direction of the Board (or any duly authorized committee thereof), (2) otherwise properly brought before the meeting by or at the direction of the Board (or any duly authorized committee thereof), or (3) otherwise properly brought before the meeting by a stockholder who is a stockholder of record at the time of the giving of notice provided for in this Section 2.07 and on the record date for the determination of stockholders entitled to notice of and to vote at the meeting and who complies with the notice procedures set forth in this Section 2.07.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638" w:right="259" w:bottom="1440" w:gutter="0" w:footer="0" w:header="0"/>
        </w:sectPr>
      </w:pPr>
    </w:p>
    <w:bookmarkStart w:id="146" w:name="page147"/>
    <w:bookmarkEnd w:id="146"/>
    <w:p>
      <w:pPr>
        <w:ind w:firstLine="824"/>
        <w:spacing w:after="0" w:line="284" w:lineRule="auto"/>
        <w:rPr>
          <w:sz w:val="20"/>
          <w:szCs w:val="20"/>
          <w:color w:val="auto"/>
        </w:rPr>
      </w:pPr>
      <w:r>
        <w:rPr>
          <w:rFonts w:ascii="Arial" w:cs="Arial" w:eastAsia="Arial" w:hAnsi="Arial"/>
          <w:sz w:val="16"/>
          <w:szCs w:val="16"/>
          <w:color w:val="auto"/>
        </w:rPr>
        <w:t>A stockholder’s notice to the Secretary of the Corporation shall set forth: (a) as to each matter the stockholder proposes to bring before the annual meeting, a brief description of the business desired to be brought before the annual meeting and the reasons for conducting such business at the annual meeting and the text of the business (including the text of any resolutions proposed for consideration and in the event that such business includes a proposal to amend these Bylaws, the language of the proposed amendment), and (b) as to the stockholder giving notice and the beneficial owner, if any, on whose behalf the proposal is being made, (i) 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the proposal of such business and any material interest of such person or any affiliates or associates of such person, in such business, including any anticipated benefit therefrom to such person, or any affiliates or associates of such person; (iv) whether the stockholder giving notice intends, or is part of a group that intends, to solicit proxies from other stockholders in support of such proposal; (v) a representation that the stockholder giving notice intends to appear in person or by proxy at the annual meeting to bring such business before the meeting; and (vi)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“Exchange Act”), and the rules and regulations promulgated thereunder.</w:t>
      </w:r>
    </w:p>
    <w:p>
      <w:pPr>
        <w:spacing w:after="0" w:line="180" w:lineRule="exact"/>
        <w:rPr>
          <w:sz w:val="20"/>
          <w:szCs w:val="20"/>
          <w:color w:val="auto"/>
        </w:rPr>
      </w:pPr>
    </w:p>
    <w:p>
      <w:pPr>
        <w:ind w:right="240" w:firstLine="824"/>
        <w:spacing w:after="0" w:line="293" w:lineRule="auto"/>
        <w:rPr>
          <w:sz w:val="20"/>
          <w:szCs w:val="20"/>
          <w:color w:val="auto"/>
        </w:rPr>
      </w:pPr>
      <w:r>
        <w:rPr>
          <w:rFonts w:ascii="Arial" w:cs="Arial" w:eastAsia="Arial" w:hAnsi="Arial"/>
          <w:sz w:val="16"/>
          <w:szCs w:val="16"/>
          <w:color w:val="auto"/>
        </w:rPr>
        <w:t>A stockholder providing notice of business proposed to be brought before an annual meeting shall further update and supplement such notice, if necessary, so that the information provided or required to be provided in such notice pursuant to this Section 2.07 shall be true and correct as of the record date for determining the stockholders entitled to receive notice of the annual meeting. Such update and supplement shall be delivered to or be mailed and received by the Secretary at the principal office of the Corporation not later than five business days after the record date for determining the stockholders entitled to receive notice of the annual meeting. Nothing contained in this Section 2.07 shall be deemed to affect any rights of stockholders to request inclusion of proposals in the Corporation’s proxy statement pursuant to Rule 14a-8 under the Exchange Act (or any successor provision of law).</w:t>
      </w:r>
    </w:p>
    <w:p>
      <w:pPr>
        <w:spacing w:after="0" w:line="165" w:lineRule="exact"/>
        <w:rPr>
          <w:sz w:val="20"/>
          <w:szCs w:val="20"/>
          <w:color w:val="auto"/>
        </w:rPr>
      </w:pPr>
    </w:p>
    <w:p>
      <w:pPr>
        <w:ind w:right="200" w:firstLine="824"/>
        <w:spacing w:after="0" w:line="272" w:lineRule="auto"/>
        <w:rPr>
          <w:sz w:val="20"/>
          <w:szCs w:val="20"/>
          <w:color w:val="auto"/>
        </w:rPr>
      </w:pPr>
      <w:r>
        <w:rPr>
          <w:rFonts w:ascii="Arial" w:cs="Arial" w:eastAsia="Arial" w:hAnsi="Arial"/>
          <w:sz w:val="17"/>
          <w:szCs w:val="17"/>
          <w:color w:val="auto"/>
        </w:rPr>
        <w:t>Notwithstanding the foregoing provisions of this Section 2.07, unless otherwise required by law or the Board or the chair of the annual meeting determines otherwise, if the stockholder (or a qualified representative of the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2.07,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8" w:lineRule="exact"/>
        <w:rPr>
          <w:sz w:val="20"/>
          <w:szCs w:val="20"/>
          <w:color w:val="auto"/>
        </w:rPr>
      </w:pPr>
    </w:p>
    <w:p>
      <w:pPr>
        <w:ind w:right="160" w:firstLine="824"/>
        <w:spacing w:after="0" w:line="342" w:lineRule="auto"/>
        <w:rPr>
          <w:sz w:val="20"/>
          <w:szCs w:val="20"/>
          <w:color w:val="auto"/>
        </w:rPr>
      </w:pPr>
      <w:r>
        <w:rPr>
          <w:rFonts w:ascii="Arial" w:cs="Arial" w:eastAsia="Arial" w:hAnsi="Arial"/>
          <w:sz w:val="16"/>
          <w:szCs w:val="16"/>
          <w:color w:val="auto"/>
        </w:rPr>
        <w:t>No business shall be conducted at the annual meeting except in accordance with the procedures set forth in this Section 2.07; provided, however, that nothing in this Section 2.07 shall be deemed to preclude discussion by any stockholder of any business properly brought before the annual meeting.</w:t>
      </w:r>
    </w:p>
    <w:p>
      <w:pPr>
        <w:spacing w:after="0" w:line="200" w:lineRule="exact"/>
        <w:rPr>
          <w:sz w:val="20"/>
          <w:szCs w:val="20"/>
          <w:color w:val="auto"/>
        </w:rPr>
      </w:pP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38" w:right="239" w:bottom="1440" w:gutter="0" w:footer="0" w:header="0"/>
        </w:sectPr>
      </w:pPr>
    </w:p>
    <w:bookmarkStart w:id="147" w:name="page148"/>
    <w:bookmarkEnd w:id="147"/>
    <w:p>
      <w:pPr>
        <w:ind w:right="60" w:firstLine="824"/>
        <w:spacing w:after="0" w:line="264" w:lineRule="auto"/>
        <w:rPr>
          <w:sz w:val="20"/>
          <w:szCs w:val="20"/>
          <w:color w:val="auto"/>
        </w:rPr>
      </w:pPr>
      <w:r>
        <w:rPr>
          <w:rFonts w:ascii="Arial" w:cs="Arial" w:eastAsia="Arial" w:hAnsi="Arial"/>
          <w:sz w:val="18"/>
          <w:szCs w:val="18"/>
          <w:color w:val="auto"/>
        </w:rPr>
        <w:t>The chair of the annual meeting shall, if the facts warrant, determine and declare to the meeting that business was not properly brought before the meeting in accordance with this Section 2.07 and if he should so determine, he shall so declare to the meeting and any such business not properly brought before the meeting shall not be transacted.</w:t>
      </w:r>
    </w:p>
    <w:p>
      <w:pPr>
        <w:spacing w:after="0" w:line="123" w:lineRule="exact"/>
        <w:rPr>
          <w:sz w:val="20"/>
          <w:szCs w:val="20"/>
          <w:color w:val="auto"/>
        </w:rPr>
      </w:pPr>
    </w:p>
    <w:p>
      <w:pPr>
        <w:ind w:right="100" w:firstLine="446"/>
        <w:spacing w:after="0" w:line="298"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b w:val="1"/>
          <w:bCs w:val="1"/>
          <w:color w:val="auto"/>
        </w:rPr>
        <w:t>List of Stockholders.</w:t>
      </w:r>
      <w:r>
        <w:rPr>
          <w:rFonts w:ascii="Arial" w:cs="Arial" w:eastAsia="Arial" w:hAnsi="Arial"/>
          <w:sz w:val="16"/>
          <w:szCs w:val="16"/>
          <w:color w:val="auto"/>
        </w:rPr>
        <w:t xml:space="preserve"> 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as required by applicable law. The list shall also be produced and kept at the time and place of the meeting during the whole time thereof, and may be inspected by any stockholder who is present.</w:t>
      </w:r>
    </w:p>
    <w:p>
      <w:pPr>
        <w:spacing w:after="0" w:line="10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b w:val="1"/>
          <w:bCs w:val="1"/>
          <w:color w:val="auto"/>
        </w:rPr>
        <w:t>Inspectors.</w:t>
      </w:r>
      <w:r>
        <w:rPr>
          <w:rFonts w:ascii="Arial" w:cs="Arial" w:eastAsia="Arial" w:hAnsi="Arial"/>
          <w:sz w:val="18"/>
          <w:szCs w:val="18"/>
          <w:color w:val="auto"/>
        </w:rPr>
        <w:t xml:space="preserve"> Prior to each meeting of the stockholders, one or more inspectors shall be appointed by the Board, or, if no such appointment shall have been made, such inspectors shall be appointed by the chair of the meeting, to act thereat. Each inspector so appointed shall first subscribe an oath or affirmation faithfully to execute the duties of an inspector at such meeting with strict impartiality and according to the best of his or her ability. Such inspector(s) shall take charge of the ballots at such meeting, count the ballots cast on any question and deliver a written report of the results thereof to the secretary of such meeting. The inspector(s) need not be stockholders of the Corporation. Any officer of the Corporation may be an inspector on any question other than a vote for or against his or her election to any position with the Corporation or on any other question in which he or she may be directly interested other than as a stockholder.</w:t>
      </w:r>
    </w:p>
    <w:p>
      <w:pPr>
        <w:spacing w:after="0" w:line="135"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b w:val="1"/>
          <w:bCs w:val="1"/>
          <w:color w:val="auto"/>
        </w:rPr>
        <w:t>Regulations for Conduct of Stockholders Meeting.</w:t>
      </w:r>
      <w:r>
        <w:rPr>
          <w:rFonts w:ascii="Arial" w:cs="Arial" w:eastAsia="Arial" w:hAnsi="Arial"/>
          <w:sz w:val="17"/>
          <w:szCs w:val="17"/>
          <w:color w:val="auto"/>
        </w:rPr>
        <w:t xml:space="preserve"> The Board may adopt by resolution such rules and regulations for the conduct of the meeting of stockholders as it shall deem appropriate. Except to the extent inconsistent with such rules and regulations adopted by the Board, the chair of any meeting of stockholders shall have the right and authority to convene and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and (c) limitations on the time allotted to questions or comments by participants. Unless and to the extent determined by the Board or the chair of the meeting, meetings of stockholders shall not be required to be held in accordance with the rules of parliamentary procedure.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BOARD OF DIRECTORS</w:t>
      </w:r>
    </w:p>
    <w:p>
      <w:pPr>
        <w:spacing w:after="0" w:line="153" w:lineRule="exact"/>
        <w:rPr>
          <w:sz w:val="20"/>
          <w:szCs w:val="20"/>
          <w:color w:val="auto"/>
        </w:rPr>
      </w:pPr>
    </w:p>
    <w:p>
      <w:pPr>
        <w:ind w:right="20" w:firstLine="446"/>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color w:val="auto"/>
        </w:rPr>
        <w:t>General Powers.</w:t>
      </w:r>
      <w:r>
        <w:rPr>
          <w:rFonts w:ascii="Arial" w:cs="Arial" w:eastAsia="Arial" w:hAnsi="Arial"/>
          <w:sz w:val="18"/>
          <w:szCs w:val="18"/>
          <w:color w:val="auto"/>
        </w:rPr>
        <w:t xml:space="preserve"> The property, business and affairs of the Corporation shall be managed by or under the direction of the Board, who may exercise all such powers of the Corporation and do all such lawful acts and things as are not by Delaware Law, the Certificate of Incorporation or these Bylaws directed or required to be exercised or done by the stockholders of the Corporation.</w:t>
      </w:r>
    </w:p>
    <w:p>
      <w:pPr>
        <w:spacing w:after="0" w:line="122" w:lineRule="exact"/>
        <w:rPr>
          <w:sz w:val="20"/>
          <w:szCs w:val="20"/>
          <w:color w:val="auto"/>
        </w:rPr>
      </w:pPr>
    </w:p>
    <w:p>
      <w:pPr>
        <w:ind w:right="40" w:firstLine="446"/>
        <w:spacing w:after="0" w:line="282"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color w:val="auto"/>
        </w:rPr>
        <w:t>Number.</w:t>
      </w:r>
      <w:r>
        <w:rPr>
          <w:rFonts w:ascii="Arial" w:cs="Arial" w:eastAsia="Arial" w:hAnsi="Arial"/>
          <w:sz w:val="18"/>
          <w:szCs w:val="18"/>
          <w:color w:val="auto"/>
        </w:rPr>
        <w:t xml:space="preserve"> The exact number of directors shall be fixed from time to time, within the limits specified in the Certificate of Incorporation, by resolution of the Board.</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b w:val="1"/>
          <w:bCs w:val="1"/>
          <w:color w:val="auto"/>
        </w:rPr>
        <w:t>Election of Directors.</w:t>
      </w:r>
    </w:p>
    <w:p>
      <w:pPr>
        <w:spacing w:after="0" w:line="171" w:lineRule="exact"/>
        <w:rPr>
          <w:sz w:val="20"/>
          <w:szCs w:val="20"/>
          <w:color w:val="auto"/>
        </w:rPr>
      </w:pPr>
    </w:p>
    <w:p>
      <w:pPr>
        <w:ind w:right="20" w:firstLine="886"/>
        <w:spacing w:after="0" w:line="277" w:lineRule="auto"/>
        <w:tabs>
          <w:tab w:leader="none" w:pos="1122"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 xml:space="preserve">Voting. </w:t>
      </w:r>
      <w:r>
        <w:rPr>
          <w:rFonts w:ascii="Arial" w:cs="Arial" w:eastAsia="Arial" w:hAnsi="Arial"/>
          <w:sz w:val="17"/>
          <w:szCs w:val="17"/>
          <w:color w:val="auto"/>
        </w:rPr>
        <w:t>The directors shall be elected annually by the stockholders of the Corporation. A nominee for director shall be elected by the vote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majority of votes cast with respect to such nominee’s election, except that directors shall be elected by a plurality of the votes cast in a contested election. An election is contested if the number of nominees exceeds the number of directors to be elected. For election of directors, a majority of the votes cast means that the number of votes cast “for” a nominee exceeds the votes cast “against” that nominee, without counting abstentions as votes cast. If directors are to be elected by a plurality vote, stockholders may not vote against a nominee.</w:t>
      </w: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60"/>
          </w:cols>
          <w:pgMar w:left="240" w:top="638" w:right="299" w:bottom="1440" w:gutter="0" w:footer="0" w:header="0"/>
        </w:sectPr>
      </w:pPr>
    </w:p>
    <w:bookmarkStart w:id="148" w:name="page149"/>
    <w:bookmarkEnd w:id="148"/>
    <w:p>
      <w:pPr>
        <w:ind w:firstLine="886"/>
        <w:spacing w:after="0" w:line="287" w:lineRule="auto"/>
        <w:tabs>
          <w:tab w:leader="none" w:pos="1133"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 xml:space="preserve">Nomination of Directors. </w:t>
      </w:r>
      <w:r>
        <w:rPr>
          <w:rFonts w:ascii="Arial" w:cs="Arial" w:eastAsia="Arial" w:hAnsi="Arial"/>
          <w:sz w:val="16"/>
          <w:szCs w:val="16"/>
          <w:color w:val="auto"/>
        </w:rPr>
        <w:t>Only persons who are nominated in accordance with the following procedures shall be eligible for election as</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the Corporation. Nominations of persons for election to the Board may be made at a meeting of stockholders (1) by or at the direction of the Board, (2) by the Nominating and Corporate Governance Committee (or any other duly authorized committee of the Board), or (3) by any stockholder of the Corporation who is a stockholder of record at the time of the giving of notice provided for in this Section 3.03(b) and on the record date for the determination of stockholders entitled to notice of and to vote at such meeting and who complies with the notice procedures set forth in this Section 3.03(b). In addition to any other applicable requirements, for a nomination to be made by a stockholder, such stockholder must have given timely notice in writing to the Secretary of the Corporation. To be timely, a stockholder’s notice to the Secretary of the Corporation must be delivered to or mailed and received at the principal office of the Corporation not later than the close of business on the 90th day, nor earlier than the close of business on the 120th day, prior to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w:t>
      </w:r>
    </w:p>
    <w:p>
      <w:pPr>
        <w:spacing w:after="0" w:line="169" w:lineRule="exact"/>
        <w:rPr>
          <w:sz w:val="20"/>
          <w:szCs w:val="20"/>
          <w:color w:val="auto"/>
        </w:rPr>
      </w:pPr>
    </w:p>
    <w:p>
      <w:pPr>
        <w:ind w:right="280" w:firstLine="824"/>
        <w:spacing w:after="0" w:line="291" w:lineRule="auto"/>
        <w:rPr>
          <w:sz w:val="20"/>
          <w:szCs w:val="20"/>
          <w:color w:val="auto"/>
        </w:rPr>
      </w:pPr>
      <w:r>
        <w:rPr>
          <w:rFonts w:ascii="Arial" w:cs="Arial" w:eastAsia="Arial" w:hAnsi="Arial"/>
          <w:sz w:val="16"/>
          <w:szCs w:val="16"/>
          <w:color w:val="auto"/>
        </w:rPr>
        <w:t>Such stockholder’s notice to the Secretary shall set forth: (a) as to each person whom the stockholder proposes to nominate for election or re-election as a director (i) the name, age, business address and residence address of such person, (ii) the principal occupation or employment of such person,</w:t>
      </w:r>
    </w:p>
    <w:p>
      <w:pPr>
        <w:ind w:right="40" w:firstLine="8"/>
        <w:spacing w:after="0" w:line="283" w:lineRule="auto"/>
        <w:tabs>
          <w:tab w:leader="none" w:pos="3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and (iv)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and the beneficial owner, if any, on whose behalf the nomination is being made, (i) the name and record address of such person;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such person, or any affiliates or associates of such person, and any proposed nominee or any other person or persons (including their names) pursuant to which the nomination(s) are being made by such person, and any material interest of such person, or any affiliates or associates of such person, in such nomination, including any</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00"/>
          </w:cols>
          <w:pgMar w:left="240" w:top="634" w:right="259" w:bottom="1440" w:gutter="0" w:footer="0" w:header="0"/>
        </w:sectPr>
      </w:pPr>
    </w:p>
    <w:bookmarkStart w:id="149" w:name="page150"/>
    <w:bookmarkEnd w:id="149"/>
    <w:p>
      <w:pPr>
        <w:spacing w:after="0" w:line="254" w:lineRule="auto"/>
        <w:rPr>
          <w:sz w:val="20"/>
          <w:szCs w:val="20"/>
          <w:color w:val="auto"/>
        </w:rPr>
      </w:pPr>
      <w:r>
        <w:rPr>
          <w:rFonts w:ascii="Arial" w:cs="Arial" w:eastAsia="Arial" w:hAnsi="Arial"/>
          <w:sz w:val="18"/>
          <w:szCs w:val="18"/>
          <w:color w:val="auto"/>
        </w:rPr>
        <w:t>anticipated benefit therefrom to such person, or any affiliates or associates of such person; (iv) a representation that the stockholder giving notice intends to appear in person or by proxy at the meeting to nominate the persons named in its notice; (v) a representation whether such stockholder intends, or is part of a group that intends, to solicit proxies from other stockholders in support of such nomination; and (vi)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 The Corporation may require any proposed nominee to furnish such other information as may reasonably be required by the Corporation to determine the eligibility of such proposed nominee to serve as a director of the Corporation.</w:t>
      </w:r>
    </w:p>
    <w:p>
      <w:pPr>
        <w:spacing w:after="0" w:line="192" w:lineRule="exact"/>
        <w:rPr>
          <w:sz w:val="20"/>
          <w:szCs w:val="20"/>
          <w:color w:val="auto"/>
        </w:rPr>
      </w:pPr>
    </w:p>
    <w:p>
      <w:pPr>
        <w:ind w:right="100" w:firstLine="824"/>
        <w:spacing w:after="0" w:line="257" w:lineRule="auto"/>
        <w:rPr>
          <w:sz w:val="20"/>
          <w:szCs w:val="20"/>
          <w:color w:val="auto"/>
        </w:rPr>
      </w:pPr>
      <w:r>
        <w:rPr>
          <w:rFonts w:ascii="Arial" w:cs="Arial" w:eastAsia="Arial" w:hAnsi="Arial"/>
          <w:sz w:val="18"/>
          <w:szCs w:val="18"/>
          <w:color w:val="auto"/>
        </w:rPr>
        <w:t>A stockholder providing notice of any nomination proposed to be made at a meeting of stockholders shall further update and supplement such notice, if necessary, so that the information provided or required to be provided in such notice pursuant to this Section 3.03(b) shall be true and correct as of the record date for determining the stockholders entitled to receive notice of the meeting. Such update and supplement shall be delivered to or be mailed and received by the Secretary at the principal office of the Corporation not later than five business days after the record date for determining the stockholders entitled to receive notice of such meeting.</w:t>
      </w:r>
    </w:p>
    <w:p>
      <w:pPr>
        <w:spacing w:after="0" w:line="188" w:lineRule="exact"/>
        <w:rPr>
          <w:sz w:val="20"/>
          <w:szCs w:val="20"/>
          <w:color w:val="auto"/>
        </w:rPr>
      </w:pPr>
    </w:p>
    <w:p>
      <w:pPr>
        <w:ind w:firstLine="824"/>
        <w:spacing w:after="0" w:line="293" w:lineRule="auto"/>
        <w:rPr>
          <w:sz w:val="20"/>
          <w:szCs w:val="20"/>
          <w:color w:val="auto"/>
        </w:rPr>
      </w:pPr>
      <w:r>
        <w:rPr>
          <w:rFonts w:ascii="Arial" w:cs="Arial" w:eastAsia="Arial" w:hAnsi="Arial"/>
          <w:sz w:val="16"/>
          <w:szCs w:val="16"/>
          <w:color w:val="auto"/>
        </w:rPr>
        <w:t>No person shall be eligible for election as a director of the Corporation unless nominated in accordance with the procedures set forth herein. Notwithstanding anything above to the contrary, in the event that the number of directors to be elected to the Board at an annual meeting is increased and there is no public announcement by the Corporation naming the nominees for the additional directorships at least 100 days prior to the first anniversary of the preceding year’s annual meeting, a stockholder’s notice required by this Section 3.03(b) shall also be considered timely, but only with respect to nominees for the additional directorships, if it shall be delivered to the Secretary of the Corporation at the principal executive offices of the Corporation not later than the close of business on the 10th day following the day on which such public announcement is first made by the Corporation.</w:t>
      </w:r>
    </w:p>
    <w:p>
      <w:pPr>
        <w:spacing w:after="0" w:line="165" w:lineRule="exact"/>
        <w:rPr>
          <w:sz w:val="20"/>
          <w:szCs w:val="20"/>
          <w:color w:val="auto"/>
        </w:rPr>
      </w:pPr>
    </w:p>
    <w:p>
      <w:pPr>
        <w:ind w:right="180" w:firstLine="824"/>
        <w:spacing w:after="0" w:line="342" w:lineRule="auto"/>
        <w:rPr>
          <w:sz w:val="20"/>
          <w:szCs w:val="20"/>
          <w:color w:val="auto"/>
        </w:rPr>
      </w:pPr>
      <w:r>
        <w:rPr>
          <w:rFonts w:ascii="Arial" w:cs="Arial" w:eastAsia="Arial" w:hAnsi="Arial"/>
          <w:sz w:val="16"/>
          <w:szCs w:val="16"/>
          <w:color w:val="auto"/>
        </w:rPr>
        <w:t>The chair of the meeting shall, if the facts warrant, determine and declare to the meeting that a nomination was not made in accordance with the foregoing procedure and, if the chair should so determine, the chair shall so declare to the meeting, and the defective nomination shall be disregarded.</w:t>
      </w:r>
    </w:p>
    <w:p>
      <w:pPr>
        <w:spacing w:after="0" w:line="124" w:lineRule="exact"/>
        <w:rPr>
          <w:sz w:val="20"/>
          <w:szCs w:val="20"/>
          <w:color w:val="auto"/>
        </w:rPr>
      </w:pPr>
    </w:p>
    <w:p>
      <w:pPr>
        <w:ind w:right="40" w:firstLine="824"/>
        <w:spacing w:after="0" w:line="255" w:lineRule="auto"/>
        <w:rPr>
          <w:sz w:val="20"/>
          <w:szCs w:val="20"/>
          <w:color w:val="auto"/>
        </w:rPr>
      </w:pPr>
      <w:r>
        <w:rPr>
          <w:rFonts w:ascii="Arial" w:cs="Arial" w:eastAsia="Arial" w:hAnsi="Arial"/>
          <w:sz w:val="18"/>
          <w:szCs w:val="18"/>
          <w:color w:val="auto"/>
        </w:rPr>
        <w:t>Notwithstanding the foregoing provisions of this Section 3.03(b), unless otherwise required by applicable law or the Board or the chair of the annual meeting determines otherwise,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3.03(b),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31" w:lineRule="exact"/>
        <w:rPr>
          <w:sz w:val="20"/>
          <w:szCs w:val="20"/>
          <w:color w:val="auto"/>
        </w:rPr>
      </w:pPr>
    </w:p>
    <w:p>
      <w:pPr>
        <w:jc w:val="both"/>
        <w:ind w:right="100" w:firstLine="446"/>
        <w:spacing w:after="0" w:line="31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b w:val="1"/>
          <w:bCs w:val="1"/>
          <w:color w:val="auto"/>
        </w:rPr>
        <w:t>Resignations.</w:t>
      </w:r>
      <w:r>
        <w:rPr>
          <w:rFonts w:ascii="Arial" w:cs="Arial" w:eastAsia="Arial" w:hAnsi="Arial"/>
          <w:sz w:val="16"/>
          <w:szCs w:val="16"/>
          <w:color w:val="auto"/>
        </w:rPr>
        <w:t xml:space="preserve"> Any director of the Corporation may resign at any time by giving written notice or notice by electronic transmission to the Board or to the Secretary of the Corporation. Any such resignation shall take effect at the time specified therein, or, if the time be not specified, it shall take effect immediately upon its receipt; and unless otherwise specified therein, the acceptance of such resignation shall not be necessary to make it effective.</w:t>
      </w:r>
    </w:p>
    <w:p>
      <w:pPr>
        <w:spacing w:after="0" w:line="88" w:lineRule="exact"/>
        <w:rPr>
          <w:sz w:val="20"/>
          <w:szCs w:val="20"/>
          <w:color w:val="auto"/>
        </w:rPr>
      </w:pPr>
    </w:p>
    <w:p>
      <w:pPr>
        <w:jc w:val="both"/>
        <w:ind w:right="60" w:firstLine="446"/>
        <w:spacing w:after="0" w:line="347"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b w:val="1"/>
          <w:bCs w:val="1"/>
          <w:color w:val="auto"/>
        </w:rPr>
        <w:t>Removal.</w:t>
      </w:r>
      <w:r>
        <w:rPr>
          <w:rFonts w:ascii="Arial" w:cs="Arial" w:eastAsia="Arial" w:hAnsi="Arial"/>
          <w:sz w:val="16"/>
          <w:szCs w:val="16"/>
          <w:color w:val="auto"/>
        </w:rPr>
        <w:t xml:space="preserve"> Unless otherwise restricted by statute, the Certificate of Incorporation or these Bylaws, any director or the entire Board may be removed with or without cause by the holders of two-thirds of the total voting power of all outstanding shares then entitled to vote at an election of directors.</w:t>
      </w:r>
    </w:p>
    <w:p>
      <w:pPr>
        <w:spacing w:after="0" w:line="62" w:lineRule="exact"/>
        <w:rPr>
          <w:sz w:val="20"/>
          <w:szCs w:val="20"/>
          <w:color w:val="auto"/>
        </w:rPr>
      </w:pPr>
    </w:p>
    <w:p>
      <w:pPr>
        <w:ind w:right="100" w:firstLine="446"/>
        <w:spacing w:after="0" w:line="261"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Except as otherwise provided in the Certificate of Incorporation, any vacancy in the Board, whether because of death, resignation, disqualification, an increase in the number of directors, or any other cause, may only be filled by vote of the majority of the remaining directors, although less than a quorum. Each director so chosen to fill a vacancy shall hold office until his or her successor shall have been elected and shall qualify or until such director shall resign or shall have been removed.</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80"/>
          </w:cols>
          <w:pgMar w:left="240" w:top="638" w:right="279" w:bottom="1440" w:gutter="0" w:footer="0" w:header="0"/>
        </w:sectPr>
      </w:pPr>
    </w:p>
    <w:bookmarkStart w:id="150" w:name="page151"/>
    <w:bookmarkEnd w:id="150"/>
    <w:p>
      <w:pPr>
        <w:ind w:right="280" w:firstLine="446"/>
        <w:spacing w:after="0" w:line="28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Board shall meet as soon as practicable after each annual election of directors and notice of such first meeting shall not be required.</w:t>
      </w:r>
    </w:p>
    <w:p>
      <w:pPr>
        <w:spacing w:after="0" w:line="108" w:lineRule="exact"/>
        <w:rPr>
          <w:sz w:val="20"/>
          <w:szCs w:val="20"/>
          <w:color w:val="auto"/>
        </w:rPr>
      </w:pPr>
    </w:p>
    <w:p>
      <w:pPr>
        <w:jc w:val="both"/>
        <w:ind w:firstLine="446"/>
        <w:spacing w:after="0" w:line="314"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b w:val="1"/>
          <w:bCs w:val="1"/>
          <w:color w:val="auto"/>
        </w:rPr>
        <w:t>Regular Meetings.</w:t>
      </w:r>
      <w:r>
        <w:rPr>
          <w:rFonts w:ascii="Arial" w:cs="Arial" w:eastAsia="Arial" w:hAnsi="Arial"/>
          <w:sz w:val="16"/>
          <w:szCs w:val="16"/>
          <w:color w:val="auto"/>
        </w:rPr>
        <w:t xml:space="preserve"> Regular meetings of the Board may be held at such times as the Board shall from time to time by resolution determine. If any day fixed for a regular meeting shall be a legal holiday at the place where the meeting is to be held, then the meeting shall be held at the same hour and place on the next succeeding business day not a legal holiday. Except as provided by applicable law, notice of regular meetings need not be given.</w:t>
      </w:r>
    </w:p>
    <w:p>
      <w:pPr>
        <w:spacing w:after="0" w:line="88" w:lineRule="exact"/>
        <w:rPr>
          <w:sz w:val="20"/>
          <w:szCs w:val="20"/>
          <w:color w:val="auto"/>
        </w:rPr>
      </w:pPr>
    </w:p>
    <w:p>
      <w:pPr>
        <w:ind w:right="200" w:firstLine="446"/>
        <w:spacing w:after="0" w:line="314"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b w:val="1"/>
          <w:bCs w:val="1"/>
          <w:color w:val="auto"/>
        </w:rPr>
        <w:t>Special Meetings.</w:t>
      </w:r>
      <w:r>
        <w:rPr>
          <w:rFonts w:ascii="Arial" w:cs="Arial" w:eastAsia="Arial" w:hAnsi="Arial"/>
          <w:sz w:val="16"/>
          <w:szCs w:val="16"/>
          <w:color w:val="auto"/>
        </w:rPr>
        <w:t xml:space="preserve"> Special meetings of the Board may be called at any time by the Chair of the Board, by the Chief Executive Officer or by the Secretary upon the written request of at least one-third of the directors then in office. Such meetings shall be held at the principal office of the Corporation, or at such other place or places, within or without the State of Delaware, as the person or persons calling the meeting may designate.</w:t>
      </w:r>
    </w:p>
    <w:p>
      <w:pPr>
        <w:spacing w:after="0" w:line="88" w:lineRule="exact"/>
        <w:rPr>
          <w:sz w:val="20"/>
          <w:szCs w:val="20"/>
          <w:color w:val="auto"/>
        </w:rPr>
      </w:pPr>
    </w:p>
    <w:p>
      <w:pPr>
        <w:ind w:right="120" w:firstLine="446"/>
        <w:spacing w:after="0" w:line="28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b w:val="1"/>
          <w:bCs w:val="1"/>
          <w:color w:val="auto"/>
        </w:rPr>
        <w:t>Committees.</w:t>
      </w:r>
      <w:r>
        <w:rPr>
          <w:rFonts w:ascii="Arial" w:cs="Arial" w:eastAsia="Arial" w:hAnsi="Arial"/>
          <w:sz w:val="16"/>
          <w:szCs w:val="16"/>
          <w:color w:val="auto"/>
        </w:rPr>
        <w:t xml:space="preserve">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Delaware Law to be submitted to stockholders for approval or (b) adopting, amending or repealing any of these Bylaws. Any such committee shall keep written minutes of its meetings and report the same to the Board at the next regular meeting of the Board. Any Board committee may create one or more subcommittees, each subcommittee to consist of one or more members of such committee, and delegate to the subcommittee any or all of the powers of the committee.</w:t>
      </w:r>
    </w:p>
    <w:p>
      <w:pPr>
        <w:spacing w:after="0" w:line="110"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b w:val="1"/>
          <w:bCs w:val="1"/>
          <w:color w:val="auto"/>
        </w:rPr>
        <w:t>Notice of Meetings.</w:t>
      </w:r>
      <w:r>
        <w:rPr>
          <w:rFonts w:ascii="Arial" w:cs="Arial" w:eastAsia="Arial" w:hAnsi="Arial"/>
          <w:sz w:val="17"/>
          <w:szCs w:val="17"/>
          <w:color w:val="auto"/>
        </w:rPr>
        <w:t xml:space="preserve"> Notice of all special meetings of the Board or a committee shall be mailed to each director, addressed to his or her residence or usual place of business, at least five (5) days before the day on which the meeting is to be held, or shall be personally delivered or otherwise given by such delivery means (telecopy, electronic or other) as the Secretary deems appropriate and in compliance with applicable law, at least two (2) days before the day on which the meeting is to be held. Such notice may be waived by any director and any meeting shall be a legal meeting without notice having been given if all the directors shall be present thereat or if those not present shall, either before or after the meeting, waive notice of or consent to (in writing or by electronic transmission) such meeting or shall after the meeting sign the approval of the minutes thereof. All such waivers, consents or approvals shall be filed with the corporate records or be made a part of the minutes of the meeting.</w:t>
      </w:r>
    </w:p>
    <w:p>
      <w:pPr>
        <w:spacing w:after="0" w:line="118"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color w:val="auto"/>
        </w:rPr>
        <w:t>Place of Meeting, Etc.</w:t>
      </w:r>
      <w:r>
        <w:rPr>
          <w:rFonts w:ascii="Arial" w:cs="Arial" w:eastAsia="Arial" w:hAnsi="Arial"/>
          <w:sz w:val="18"/>
          <w:szCs w:val="18"/>
          <w:color w:val="auto"/>
        </w:rPr>
        <w:t xml:space="preserve"> The Board (or committee of the Board) may hold any of its meetings at such place or places within or without the State of Delaware as the Board (or the committee) may from time to time by resolution designate or as shall be designated by the person or persons calling the meeting or in the notice or a waiver of notice of any such meeting. Directors may participate in any regular or special meeting of the Board or a committee by means of conference telephone or other communications equipment pursuant to which all persons participating in the meeting can hear each other, and such participation shall constitute presence in person at such meeting.</w:t>
      </w:r>
    </w:p>
    <w:p>
      <w:pPr>
        <w:spacing w:after="0" w:line="130" w:lineRule="exact"/>
        <w:rPr>
          <w:sz w:val="20"/>
          <w:szCs w:val="20"/>
          <w:color w:val="auto"/>
        </w:rPr>
      </w:pPr>
    </w:p>
    <w:p>
      <w:pPr>
        <w:ind w:right="60" w:firstLine="446"/>
        <w:spacing w:after="0" w:line="295"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b w:val="1"/>
          <w:bCs w:val="1"/>
          <w:color w:val="auto"/>
        </w:rPr>
        <w:t>Quorum and Manner of Acting.</w:t>
      </w:r>
      <w:r>
        <w:rPr>
          <w:rFonts w:ascii="Arial" w:cs="Arial" w:eastAsia="Arial" w:hAnsi="Arial"/>
          <w:sz w:val="16"/>
          <w:szCs w:val="16"/>
          <w:color w:val="auto"/>
        </w:rPr>
        <w:t xml:space="preserve"> Except as otherwise provided in these Bylaws or by Delaware Law, the presence of a majority of the total number of directors shall be required to constitute a quorum for the transaction of business at any meeting of the Board and the presence of a majority of the total number of directors then serving on a committee of the Board shall be required to constitute a quorum for the transaction of business at any meeting of such committee, and all matters shall be decided at any such meeting, a quorum being present, by the affirmative votes of a majority of the directors present. In the absence of a quorum at any meeting or any adjournment thereof, a majority of directors present may adjourn such meeting from time to time. At any adjourned meeting at which a quorum is present, any business may be transacted which might have been transacted at the</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796" w:right="239" w:bottom="1440" w:gutter="0" w:footer="0" w:header="0"/>
        </w:sectPr>
      </w:pPr>
    </w:p>
    <w:bookmarkStart w:id="151" w:name="page152"/>
    <w:bookmarkEnd w:id="151"/>
    <w:p>
      <w:pPr>
        <w:ind w:right="300"/>
        <w:spacing w:after="0" w:line="277" w:lineRule="auto"/>
        <w:rPr>
          <w:sz w:val="20"/>
          <w:szCs w:val="20"/>
          <w:color w:val="auto"/>
        </w:rPr>
      </w:pPr>
      <w:r>
        <w:rPr>
          <w:rFonts w:ascii="Arial" w:cs="Arial" w:eastAsia="Arial" w:hAnsi="Arial"/>
          <w:sz w:val="18"/>
          <w:szCs w:val="18"/>
          <w:color w:val="auto"/>
        </w:rPr>
        <w:t>meeting as originally called. Notice of any adjourned meeting need not be given. The directors shall act only as a Board or as a committee thereof, and the individual directors shall have no power as such.</w:t>
      </w:r>
    </w:p>
    <w:p>
      <w:pPr>
        <w:spacing w:after="0" w:line="112" w:lineRule="exact"/>
        <w:rPr>
          <w:sz w:val="20"/>
          <w:szCs w:val="20"/>
          <w:color w:val="auto"/>
        </w:rPr>
      </w:pPr>
    </w:p>
    <w:p>
      <w:pPr>
        <w:ind w:right="200" w:firstLine="446"/>
        <w:spacing w:after="0" w:line="266"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b w:val="1"/>
          <w:bCs w:val="1"/>
          <w:color w:val="auto"/>
        </w:rPr>
        <w:t>Action by Consent.</w:t>
      </w:r>
      <w:r>
        <w:rPr>
          <w:rFonts w:ascii="Arial" w:cs="Arial" w:eastAsia="Arial" w:hAnsi="Arial"/>
          <w:sz w:val="18"/>
          <w:szCs w:val="18"/>
          <w:color w:val="auto"/>
        </w:rPr>
        <w:t xml:space="preserve"> Any action required or permitted to be taken at any meeting of the Board or of any committee thereof may be taken without a meeting if all members of the Board or such committee consent thereto in writing or by electronic transmission, as the case may be, and such written consent or electronic transmission is filed with the minutes of proceedings of the Board or committee.</w:t>
      </w:r>
    </w:p>
    <w:p>
      <w:pPr>
        <w:spacing w:after="0" w:line="122" w:lineRule="exact"/>
        <w:rPr>
          <w:sz w:val="20"/>
          <w:szCs w:val="20"/>
          <w:color w:val="auto"/>
        </w:rPr>
      </w:pPr>
    </w:p>
    <w:p>
      <w:pPr>
        <w:ind w:right="200" w:firstLine="446"/>
        <w:spacing w:after="0" w:line="282"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The directors shall receive such compensation for their services as directors, and such additional compensation for their services as members of any committees of the Board, as may be authorized by the Board.</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b w:val="1"/>
          <w:bCs w:val="1"/>
          <w:color w:val="auto"/>
        </w:rPr>
        <w:t>Board Leadership.</w:t>
      </w:r>
    </w:p>
    <w:p>
      <w:pPr>
        <w:spacing w:after="0" w:line="225" w:lineRule="exact"/>
        <w:rPr>
          <w:sz w:val="20"/>
          <w:szCs w:val="20"/>
          <w:color w:val="auto"/>
        </w:rPr>
      </w:pPr>
    </w:p>
    <w:p>
      <w:pPr>
        <w:ind w:right="180" w:firstLine="899"/>
        <w:spacing w:after="0" w:line="303" w:lineRule="auto"/>
        <w:tabs>
          <w:tab w:leader="none" w:pos="1136"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auto"/>
        </w:rPr>
        <w:t>Chair of the Board</w:t>
      </w:r>
      <w:r>
        <w:rPr>
          <w:rFonts w:ascii="Arial" w:cs="Arial" w:eastAsia="Arial" w:hAnsi="Arial"/>
          <w:sz w:val="16"/>
          <w:szCs w:val="16"/>
          <w:color w:val="auto"/>
        </w:rPr>
        <w:t>. The Board may elect or appoint, from among its members, a Chair of the Board and one or more Vice Chairs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who shall not be considered by virtue of holding such position officers of the Corporation. The Chair of the Board, when present, shall preside at all meetings of the stockholders of the Corporation and of the Board. The Chair of the Board shall perform, under the direction and subject to the control of the Board, all duties incident to the office of Chair of the Board and such other duties as the Board may assign to the Chair of the Board from time to time.</w:t>
      </w:r>
    </w:p>
    <w:p>
      <w:pPr>
        <w:spacing w:after="0" w:line="151" w:lineRule="exact"/>
        <w:rPr>
          <w:rFonts w:ascii="Arial" w:cs="Arial" w:eastAsia="Arial" w:hAnsi="Arial"/>
          <w:sz w:val="16"/>
          <w:szCs w:val="16"/>
          <w:color w:val="auto"/>
        </w:rPr>
      </w:pPr>
    </w:p>
    <w:p>
      <w:pPr>
        <w:ind w:right="60" w:firstLine="899"/>
        <w:spacing w:after="0" w:line="281" w:lineRule="auto"/>
        <w:tabs>
          <w:tab w:leader="none" w:pos="1146"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 xml:space="preserve">Lead Director. </w:t>
      </w:r>
      <w:r>
        <w:rPr>
          <w:rFonts w:ascii="Arial" w:cs="Arial" w:eastAsia="Arial" w:hAnsi="Arial"/>
          <w:sz w:val="17"/>
          <w:szCs w:val="17"/>
          <w:color w:val="auto"/>
        </w:rPr>
        <w:t>At any time the Chair of the Board is not independent as that term is defined in the Corporation’s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Guidelines and any additional independence criteria established by the Board of Directors, the Securities and Exchange Commission and the New York Stock Exchange, the independent directors may designate from among them a Lead Director having the duties and responsibilities required by any applicable rules of the New York Stock Exchange and as otherwise determined by the Board of Directors from time to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153" w:lineRule="exact"/>
        <w:rPr>
          <w:sz w:val="20"/>
          <w:szCs w:val="20"/>
          <w:color w:val="auto"/>
        </w:rPr>
      </w:pPr>
    </w:p>
    <w:p>
      <w:pPr>
        <w:ind w:right="120" w:firstLine="446"/>
        <w:spacing w:after="0" w:line="26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b w:val="1"/>
          <w:bCs w:val="1"/>
          <w:color w:val="auto"/>
        </w:rPr>
        <w:t>Principal Officers.</w:t>
      </w:r>
      <w:r>
        <w:rPr>
          <w:rFonts w:ascii="Arial" w:cs="Arial" w:eastAsia="Arial" w:hAnsi="Arial"/>
          <w:sz w:val="18"/>
          <w:szCs w:val="18"/>
          <w:color w:val="auto"/>
        </w:rPr>
        <w:t xml:space="preserve"> The principal officers of the Corporation shall be a Chief Executive Officer, Chief Financial Officer, one or more Presidents of various ranks, one or more Executive Vice Presidents, a Secretary, a Controller and a Treasurer, all of whom shall serve under the direction and subject to the control of the Board.</w:t>
      </w:r>
    </w:p>
    <w:p>
      <w:pPr>
        <w:spacing w:after="0" w:line="82"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b w:val="1"/>
          <w:bCs w:val="1"/>
          <w:color w:val="auto"/>
        </w:rPr>
        <w:t>Additional Officers and Agents</w:t>
      </w:r>
      <w:r>
        <w:rPr>
          <w:rFonts w:ascii="Arial" w:cs="Arial" w:eastAsia="Arial" w:hAnsi="Arial"/>
          <w:sz w:val="17"/>
          <w:szCs w:val="17"/>
          <w:color w:val="auto"/>
        </w:rPr>
        <w:t>. In addition to the principal officers designated in Section 4.01, the Board may from time to time elect such other officers and agents as it may deem necessary or advisable, including one or more Vice Presidents of various rank, one or more Assistant Vice Presidents, one or more Assistant Secretaries, one or more Assistant Treasurers, and an Assistant Controller, each of which officers and agents shall be subject to the control of the Board and have such authority and perform such duties as are provided in these Bylaws or as the Board, Chair of the Board or Chief Executive Officer may from time to time determine. Each such officer shall hold office until his or her successor shall have been duly chosen and qualified or until his or her earlier resignation, removal or other disqualification for service. No person shall be deemed an officer of the Corporation unless and until elected as an officer by the Board in accordance with Section 4.02 or Section 4.03.</w:t>
      </w:r>
    </w:p>
    <w:p>
      <w:pPr>
        <w:spacing w:after="0" w:line="64" w:lineRule="exact"/>
        <w:rPr>
          <w:sz w:val="20"/>
          <w:szCs w:val="20"/>
          <w:color w:val="auto"/>
        </w:rPr>
      </w:pPr>
    </w:p>
    <w:p>
      <w:pPr>
        <w:ind w:right="120" w:firstLine="446"/>
        <w:spacing w:after="0" w:line="26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The officers of the Corporation shall be elected annually (or at such other intervals as the Board may determine) by the Board. Each such officer shall hold office until his or her successor shall have been duly elected and qualified or until his or her earlier resignation, removal or other disqualification for service.</w:t>
      </w:r>
    </w:p>
    <w:p>
      <w:pPr>
        <w:spacing w:after="0" w:line="122" w:lineRule="exact"/>
        <w:rPr>
          <w:sz w:val="20"/>
          <w:szCs w:val="20"/>
          <w:color w:val="auto"/>
        </w:rPr>
      </w:pPr>
    </w:p>
    <w:p>
      <w:pPr>
        <w:ind w:right="120" w:firstLine="446"/>
        <w:spacing w:after="0" w:line="26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b w:val="1"/>
          <w:bCs w:val="1"/>
          <w:color w:val="auto"/>
        </w:rPr>
        <w:t>Removal.</w:t>
      </w:r>
      <w:r>
        <w:rPr>
          <w:rFonts w:ascii="Arial" w:cs="Arial" w:eastAsia="Arial" w:hAnsi="Arial"/>
          <w:sz w:val="18"/>
          <w:szCs w:val="18"/>
          <w:color w:val="auto"/>
        </w:rPr>
        <w:t xml:space="preserve"> All officers and agents of the Corporation, elected or appointed by the Board, may be removed, either with or without cause, at any time, by (a) resolution adopted by the Board or (b) if the officer or agent is not a principal officer by the Chief Executive Officer (or someone to whom the Chief Executive Officer has delegated this authority).</w:t>
      </w:r>
    </w:p>
    <w:p>
      <w:pPr>
        <w:spacing w:after="0" w:line="122" w:lineRule="exact"/>
        <w:rPr>
          <w:sz w:val="20"/>
          <w:szCs w:val="20"/>
          <w:color w:val="auto"/>
        </w:rPr>
      </w:pPr>
    </w:p>
    <w:p>
      <w:pPr>
        <w:ind w:right="520" w:firstLine="446"/>
        <w:spacing w:after="0" w:line="282"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b w:val="1"/>
          <w:bCs w:val="1"/>
          <w:color w:val="auto"/>
        </w:rPr>
        <w:t>Resignations.</w:t>
      </w:r>
      <w:r>
        <w:rPr>
          <w:rFonts w:ascii="Arial" w:cs="Arial" w:eastAsia="Arial" w:hAnsi="Arial"/>
          <w:sz w:val="18"/>
          <w:szCs w:val="18"/>
          <w:color w:val="auto"/>
        </w:rPr>
        <w:t xml:space="preserve"> Any officer may resign at any time by giving written notice to the Board, the Chair of the Board, the Chief Executive Officer or the Secretary of the Corporation. Any such resignation shall take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r>
              <w:rPr>
                <w:rFonts w:ascii="Arial" w:cs="Arial" w:eastAsia="Arial" w:hAnsi="Arial"/>
                <w:sz w:val="14"/>
                <w:szCs w:val="14"/>
                <w:color w:val="auto"/>
              </w:rPr>
              <w:t>March 20, 2015</w:t>
            </w:r>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638" w:right="239" w:bottom="1440" w:gutter="0" w:footer="0" w:header="0"/>
        </w:sectPr>
      </w:pPr>
    </w:p>
    <w:bookmarkStart w:id="152" w:name="page153"/>
    <w:bookmarkEnd w:id="152"/>
    <w:p>
      <w:pPr>
        <w:ind w:right="120"/>
        <w:spacing w:after="0" w:line="277" w:lineRule="auto"/>
        <w:rPr>
          <w:sz w:val="20"/>
          <w:szCs w:val="20"/>
          <w:color w:val="auto"/>
        </w:rPr>
      </w:pPr>
      <w:r>
        <w:rPr>
          <w:rFonts w:ascii="Arial" w:cs="Arial" w:eastAsia="Arial" w:hAnsi="Arial"/>
          <w:sz w:val="18"/>
          <w:szCs w:val="18"/>
          <w:color w:val="auto"/>
        </w:rPr>
        <w:t>effect at the date of the receipt of such notice or at any later time specified therein; and unless otherwise specified therein, the acceptance of such resignation shall not be necessary to make it effective.</w:t>
      </w:r>
    </w:p>
    <w:p>
      <w:pPr>
        <w:spacing w:after="0" w:line="112" w:lineRule="exact"/>
        <w:rPr>
          <w:sz w:val="20"/>
          <w:szCs w:val="20"/>
          <w:color w:val="auto"/>
        </w:rPr>
      </w:pPr>
    </w:p>
    <w:p>
      <w:pPr>
        <w:ind w:right="240" w:firstLine="446"/>
        <w:spacing w:after="0" w:line="282"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A vacancy in any office because of death, resignation, removal, disqualification, or other cause, may be filled in the manner prescribed in these Bylaws for regular appointments to such office.</w:t>
      </w:r>
    </w:p>
    <w:p>
      <w:pPr>
        <w:spacing w:after="0" w:line="108"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b w:val="1"/>
          <w:bCs w:val="1"/>
          <w:color w:val="auto"/>
        </w:rPr>
        <w:t>Chief Executive Officer.</w:t>
      </w:r>
      <w:r>
        <w:rPr>
          <w:rFonts w:ascii="Arial" w:cs="Arial" w:eastAsia="Arial" w:hAnsi="Arial"/>
          <w:sz w:val="18"/>
          <w:szCs w:val="18"/>
          <w:color w:val="auto"/>
        </w:rPr>
        <w:t xml:space="preserve"> Subject to such supervisory powers, if any, as may be given by the Board to the Chair of the Board, if any, the Chief Executive Officer, if such officer is appointed, shall, subject to the control of the Board, have general supervision, direction and control of the business and officers of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Corporation. In the event of the death, disability or other absence of the Chair of the Board, the duties of the Chair of the Board may be performed by the Chief Executive Officer, including presiding at any meeting of the Board or the stockholders of the Corporation. The Chief Executive Officer may execute (in facsimile or otherwise) and deliver certificates for shares of the Corporation, any deeds, mortgages, bonds, contracts or other instruments that the Board has authorized to be executed and delivered, except in cases where the execution and delivery thereof shall be expressly and exclusively delegated to one or more other officers or agents of the Corporation by the Board or these Bylaws, or where the execution and delivery thereof shall be required by applicable law to be executed and delivered by another person.</w:t>
      </w:r>
    </w:p>
    <w:p>
      <w:pPr>
        <w:spacing w:after="0" w:line="96"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b w:val="1"/>
          <w:bCs w:val="1"/>
          <w:color w:val="auto"/>
        </w:rPr>
        <w:t>President(s).</w:t>
      </w:r>
      <w:r>
        <w:rPr>
          <w:rFonts w:ascii="Arial" w:cs="Arial" w:eastAsia="Arial" w:hAnsi="Arial"/>
          <w:sz w:val="17"/>
          <w:szCs w:val="17"/>
          <w:color w:val="auto"/>
        </w:rPr>
        <w:t xml:space="preserve"> Individuals appointed to the office of President shall perform, under the direction and subject to the control of the Board and the Chief Executive Officer, all duties incident to the office of President and such other duties as the Board or Chief Executive Officer may assign to such President from time to time. The President may execute (in facsimile or otherwise) and deliver certificates for shares of the Corporation, any deeds, mortgages, bonds, contracts or other instruments that the Board or the Chief Executive Officer has authorized to be executed and delivered, except in cases where the execution and delivery thereof shall be expressly and exclusively delegated to one or more other officers of agents of the Corporation by the Board or these Bylaws, or where the execution and delivery thereof shall be required by applicable law to be executed and delivered by another person. Individuals appointed to the office of President of an organizational unit of the Corporation or Group President shall perform, under the direction and subject to the control of the Board, the Chief Executive Officer and the President of the Corporation and shall have such other duties as the Board, Chief Executive Officer or President of the Corporation may assign to such officers from time to time.</w:t>
      </w:r>
    </w:p>
    <w:p>
      <w:pPr>
        <w:spacing w:after="0" w:line="120" w:lineRule="exact"/>
        <w:rPr>
          <w:sz w:val="20"/>
          <w:szCs w:val="20"/>
          <w:color w:val="auto"/>
        </w:rPr>
      </w:pPr>
    </w:p>
    <w:p>
      <w:pPr>
        <w:ind w:right="140" w:firstLine="446"/>
        <w:spacing w:after="0" w:line="261"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b w:val="1"/>
          <w:bCs w:val="1"/>
          <w:color w:val="auto"/>
        </w:rPr>
        <w:t>Vice Presidents.</w:t>
      </w:r>
      <w:r>
        <w:rPr>
          <w:rFonts w:ascii="Arial" w:cs="Arial" w:eastAsia="Arial" w:hAnsi="Arial"/>
          <w:sz w:val="18"/>
          <w:szCs w:val="18"/>
          <w:color w:val="auto"/>
        </w:rPr>
        <w:t xml:space="preserve"> Each Vice President of the Corporation shall perform, under the direction and subject to the control of the Board, the Chief Executive Officer or President, such duties as the Board, the Chief Executive Officer, any President or such other office or officers may assign to such Vice President from time to time. Vice Presidents of the Corporation may be further designated as Executive Vice Presidents, Senior Vice Presidents, Vice Presidents, Assistant Vice Presidents or such other similar title as the Board may designate.</w:t>
      </w:r>
    </w:p>
    <w:p>
      <w:pPr>
        <w:spacing w:after="0" w:line="126" w:lineRule="exact"/>
        <w:rPr>
          <w:sz w:val="20"/>
          <w:szCs w:val="20"/>
          <w:color w:val="auto"/>
        </w:rPr>
      </w:pPr>
    </w:p>
    <w:p>
      <w:pPr>
        <w:ind w:right="40" w:firstLine="446"/>
        <w:spacing w:after="0" w:line="288"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b w:val="1"/>
          <w:bCs w:val="1"/>
          <w:color w:val="auto"/>
        </w:rPr>
        <w:t>Secretary.</w:t>
      </w:r>
      <w:r>
        <w:rPr>
          <w:rFonts w:ascii="Arial" w:cs="Arial" w:eastAsia="Arial" w:hAnsi="Arial"/>
          <w:sz w:val="16"/>
          <w:szCs w:val="16"/>
          <w:color w:val="auto"/>
        </w:rPr>
        <w:t xml:space="preserve"> The Secretary of the Corporation or his or her designee shall attend all meetings of the stockholders of the Corporation, the Board and committees established by the Board and shall record correctly the proceedings of such meetings in a book suitable for such purposes. The Secretary shall attest with a signature and the seal of the Corporation (in facsimile or otherwise) all stock certificates issued by the Corporation and shall keep or cause to be kept a stock ledger in which all transactions pertaining to shares of all classes and series of capital stock of the Corporation shall be correctly recorded. The Secretary shall also attest with a signature and the seal of the Corporation (in facsimile or otherwise) all deeds, conveyances or other instruments requiring the seal of the Corporation. The Chair of the Board, the Chief Executive Officer or the Secretary shall give, or cause to be given, notice of all meetings of the stockholders of the Corporation and special meetings of the Board or committees established by the Board. The Secretary is authorized to issue certificates, to which the corporate seal may be affixed, attesting to the incumbency of officers of the Corporation or to actions duly taken by the stockholders of the Corporation, the Board or any committee established by the Board. The Secretary shall perform, under the direction and subject to the control of the Board and the Chief Executive Officer, all duties incident to the office of Secretary and such other duties as the Board or the Chief Executive Officer may assign to the Secretary from time to time. The duties of the Secretary may also be performed by any Assistant Secretary of the Corporation.</w:t>
      </w:r>
    </w:p>
    <w:p>
      <w:pPr>
        <w:spacing w:after="0" w:line="110" w:lineRule="exact"/>
        <w:rPr>
          <w:sz w:val="20"/>
          <w:szCs w:val="20"/>
          <w:color w:val="auto"/>
        </w:rPr>
      </w:pPr>
    </w:p>
    <w:p>
      <w:pPr>
        <w:ind w:right="60" w:firstLine="446"/>
        <w:spacing w:after="0" w:line="266"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b w:val="1"/>
          <w:bCs w:val="1"/>
          <w:color w:val="auto"/>
        </w:rPr>
        <w:t>Chief Financial Officer.</w:t>
      </w:r>
      <w:r>
        <w:rPr>
          <w:rFonts w:ascii="Arial" w:cs="Arial" w:eastAsia="Arial" w:hAnsi="Arial"/>
          <w:sz w:val="18"/>
          <w:szCs w:val="18"/>
          <w:color w:val="auto"/>
        </w:rPr>
        <w:t xml:space="preserve"> The Chief Financial Officer of the Corporation in general shall supervise all of the financial affairs of the Corporation, under the direction and subject to the control of the Board and the Chief Executive Officer. The Chief Financial Officer shall perform, under the direction and subject to the</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Arial" w:cs="Arial" w:eastAsia="Arial" w:hAnsi="Arial"/>
                <w:sz w:val="14"/>
                <w:szCs w:val="14"/>
                <w:color w:val="auto"/>
              </w:rPr>
              <w:t>March 20, 2015</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638" w:right="259" w:bottom="1440" w:gutter="0" w:footer="0" w:header="0"/>
        </w:sectPr>
      </w:pPr>
    </w:p>
    <w:bookmarkStart w:id="153" w:name="page154"/>
    <w:bookmarkEnd w:id="153"/>
    <w:p>
      <w:pPr>
        <w:spacing w:after="0" w:line="277" w:lineRule="auto"/>
        <w:rPr>
          <w:sz w:val="20"/>
          <w:szCs w:val="20"/>
          <w:color w:val="auto"/>
        </w:rPr>
      </w:pPr>
      <w:r>
        <w:rPr>
          <w:rFonts w:ascii="Arial" w:cs="Arial" w:eastAsia="Arial" w:hAnsi="Arial"/>
          <w:sz w:val="18"/>
          <w:szCs w:val="18"/>
          <w:color w:val="auto"/>
        </w:rPr>
        <w:t>control of the Board and the Chief Executive Officer, all duties incident to the office of Chief Financial Officer and such other duties as the Board or the Chief Executive Officer may assign to the Chief Financial Officer from time to time.</w:t>
      </w:r>
    </w:p>
    <w:p>
      <w:pPr>
        <w:spacing w:after="0" w:line="112"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b w:val="1"/>
          <w:bCs w:val="1"/>
          <w:color w:val="auto"/>
        </w:rPr>
        <w:t>Treasurer.</w:t>
      </w:r>
      <w:r>
        <w:rPr>
          <w:rFonts w:ascii="Arial" w:cs="Arial" w:eastAsia="Arial" w:hAnsi="Arial"/>
          <w:sz w:val="16"/>
          <w:szCs w:val="16"/>
          <w:color w:val="auto"/>
        </w:rPr>
        <w:t xml:space="preserve"> The Treasurer of the Corporation shall have the care and custody of all the funds, notes, bonds, debentures, stock and other securities of the Corporation that may come into the hands of the Treasurer, acting in such capacity. The Treasurer shall be responsible for the investment and reinvestment of funds of the Corporation in accordance with general investment policies determined from time to time by the Corporation and shall ensure that the Corporation is adequately funded at all times by arranging, under the direction and subject to the control of the Board, the Chief Executive Officer, and the Chief Financial Officer, for the issuance of debt, equity and other forms of securities that may be necessary or appropriate. The Treasurer may endorse (in facsimile or otherwise) checks, drafts, notes, bonds, debentures and other instruments for the payment of money for deposit or collection when necessary or appropriate and may deposit the same to the credit of the Corporation in such banks or depositories as the Board may designate from time to time, and the Treasurer may endorse (in facsimile or otherwise) all commercial documents requiring endorsements for or on behalf of the Corporation. The Treasurer may deliver instructions to financial institutions by facsimile or otherwise. The Treasurer may execute (in facsimile or otherwise) all receipts and vouchers for payments made to the Corporation. The Treasurer shall render an account of the Treasurer’s transactions to the Board or its Audit Committee as often as the Board or its Audit Committee shall require from time to time. The Treasurer shall enter regularly in the books to be kept by the Treasurer for that purpose, a full and adequate account of all monies received and paid by the Treasurer on account of the Corporation. If requested by the Board, the Treasurer shall give a bond to the Corporation for the faithful performance of the Treasurer’s duties, the expenses of which bond shall be borne by the Corporation. The Treasurer shall perform, under the direction and subject to the control of the Board, the Chief Executive Officer and the Chief Financial Officer, all duties incident to the office of Treasurer and such other duties as the Board, the Chief Executive Officer or the Chief Financial Officer may assign to the Treasurer from time to time. The duties of the Treasurer may be performed by any Assistant Treasurer of the Corporation.</w:t>
      </w:r>
    </w:p>
    <w:p>
      <w:pPr>
        <w:spacing w:after="0" w:line="111" w:lineRule="exact"/>
        <w:rPr>
          <w:sz w:val="20"/>
          <w:szCs w:val="20"/>
          <w:color w:val="auto"/>
        </w:rPr>
      </w:pPr>
    </w:p>
    <w:p>
      <w:pPr>
        <w:ind w:right="140" w:firstLine="446"/>
        <w:spacing w:after="0" w:line="272"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b w:val="1"/>
          <w:bCs w:val="1"/>
          <w:color w:val="auto"/>
        </w:rPr>
        <w:t>Controller.</w:t>
      </w:r>
      <w:r>
        <w:rPr>
          <w:rFonts w:ascii="Arial" w:cs="Arial" w:eastAsia="Arial" w:hAnsi="Arial"/>
          <w:sz w:val="17"/>
          <w:szCs w:val="17"/>
          <w:color w:val="auto"/>
        </w:rPr>
        <w:t xml:space="preserve"> The Controller of the Corporation shall be the chief accounting officer of the Corporation, shall maintain adequate records of all assets, liabilities and transactions of the Corporation and shall be responsible for the design, installation and maintenance of accounting and cost control systems and procedures throughout the Corporation. The Controller also shall keep in books belonging to the Corporation full and accurate accounts of receipts of, and disbursements made by, the Corporation. The Controller shall render an account of the Controller’s transactions to the Board or its Audit Committee as often as the Board or its Audit Committee shall require from time to time. The Controller shall perform, under the direction and subject to the control of the Board, the Chief Executive Officer and the Chief Financial Officer, all duties incident to the office of Controller and such other duties as the Board, the Chief Executive Officer and the Chief Financial Officer, may assign to the Controller from time to time. The duties of the Controller may also be performed by any Assistant Controller of the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DELEGATIONS OF AUTHORITY</w:t>
      </w:r>
    </w:p>
    <w:p>
      <w:pPr>
        <w:spacing w:after="0" w:line="153" w:lineRule="exact"/>
        <w:rPr>
          <w:sz w:val="20"/>
          <w:szCs w:val="20"/>
          <w:color w:val="auto"/>
        </w:rPr>
      </w:pPr>
    </w:p>
    <w:p>
      <w:pPr>
        <w:ind w:firstLine="446"/>
        <w:spacing w:after="0" w:line="28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b w:val="1"/>
          <w:bCs w:val="1"/>
          <w:color w:val="auto"/>
        </w:rPr>
        <w:t>Execution of Contracts.</w:t>
      </w:r>
      <w:r>
        <w:rPr>
          <w:rFonts w:ascii="Arial" w:cs="Arial" w:eastAsia="Arial" w:hAnsi="Arial"/>
          <w:sz w:val="17"/>
          <w:szCs w:val="17"/>
          <w:color w:val="auto"/>
        </w:rPr>
        <w:t xml:space="preserve"> Except as otherwise provided in these Bylaws, the Board may authorize any officer or officers, agent or agents, to enter into any contract or execute any instrument in the name of and on behalf of the Corporation, and such authority may be general or confined to specific instances; and unless so authorized by the Board or by these Bylaws, no officer, agent or employee shall have any power or authority to bind the Corporation by any contract or engagement or to pledge its credit or to render it liable for any purpose or in any amount.</w:t>
      </w:r>
    </w:p>
    <w:p>
      <w:pPr>
        <w:spacing w:after="0" w:line="111" w:lineRule="exact"/>
        <w:rPr>
          <w:sz w:val="20"/>
          <w:szCs w:val="20"/>
          <w:color w:val="auto"/>
        </w:rPr>
      </w:pPr>
    </w:p>
    <w:p>
      <w:pPr>
        <w:ind w:right="80" w:firstLine="446"/>
        <w:spacing w:after="0" w:line="28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b w:val="1"/>
          <w:bCs w:val="1"/>
          <w:color w:val="auto"/>
        </w:rPr>
        <w:t>Checks, Drafts, Etc.</w:t>
      </w:r>
      <w:r>
        <w:rPr>
          <w:rFonts w:ascii="Arial" w:cs="Arial" w:eastAsia="Arial" w:hAnsi="Arial"/>
          <w:sz w:val="17"/>
          <w:szCs w:val="17"/>
          <w:color w:val="auto"/>
        </w:rPr>
        <w:t xml:space="preserve"> All checks, drafts or other orders for payment of money, notes or other evidence of indebtedness, issued in the name of or payable to the Corporation, shall be signed or endorsed by such person or persons and in such manner as, from time to time, shall be determined by resolution of the Board. Each such officer, assistant, agent or attorney shall give such bond, if any, as the Board may require.</w:t>
      </w:r>
    </w:p>
    <w:p>
      <w:pPr>
        <w:spacing w:after="0" w:line="104" w:lineRule="exact"/>
        <w:rPr>
          <w:sz w:val="20"/>
          <w:szCs w:val="20"/>
          <w:color w:val="auto"/>
        </w:rPr>
      </w:pPr>
    </w:p>
    <w:p>
      <w:pPr>
        <w:ind w:right="340" w:firstLine="446"/>
        <w:spacing w:after="0" w:line="282"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b w:val="1"/>
          <w:bCs w:val="1"/>
          <w:color w:val="auto"/>
        </w:rPr>
        <w:t>Deposits.</w:t>
      </w:r>
      <w:r>
        <w:rPr>
          <w:rFonts w:ascii="Arial" w:cs="Arial" w:eastAsia="Arial" w:hAnsi="Arial"/>
          <w:sz w:val="18"/>
          <w:szCs w:val="18"/>
          <w:color w:val="auto"/>
        </w:rPr>
        <w:t xml:space="preserve"> All funds of the Corporation not otherwise employed shall be deposited from time to time to the credit of the Corporation in such banks, trust companies or other depositories as the Board may select, or</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Arial" w:cs="Arial" w:eastAsia="Arial" w:hAnsi="Arial"/>
                <w:sz w:val="14"/>
                <w:szCs w:val="14"/>
                <w:color w:val="auto"/>
              </w:rPr>
              <w:t>March 20, 2015</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639" w:right="239" w:bottom="1440" w:gutter="0" w:footer="0" w:header="0"/>
        </w:sectPr>
      </w:pPr>
    </w:p>
    <w:bookmarkStart w:id="154" w:name="page155"/>
    <w:bookmarkEnd w:id="154"/>
    <w:p>
      <w:pPr>
        <w:ind w:right="20"/>
        <w:spacing w:after="0" w:line="273" w:lineRule="auto"/>
        <w:rPr>
          <w:sz w:val="20"/>
          <w:szCs w:val="20"/>
          <w:color w:val="auto"/>
        </w:rPr>
      </w:pPr>
      <w:r>
        <w:rPr>
          <w:rFonts w:ascii="Arial" w:cs="Arial" w:eastAsia="Arial" w:hAnsi="Arial"/>
          <w:sz w:val="17"/>
          <w:szCs w:val="17"/>
          <w:color w:val="auto"/>
        </w:rPr>
        <w:t>as may be selected by any officer or officers, assistant or assistants, agent or agents, or attorney or attorneys of the Corporation to whom such power shall have been delegated by the Board. For the purpose of deposit and for the purpose of collection for the account of the Corporation, the Chair of the Board, the Chief Executive Officer, the Chief Financial Officer, any President, the Treasurer or any Vice President who has been authorized by the Chief Executive Officer, Chief Financial Officer or Treasurer to do so (or any other officer or officers, assistant or assistants, agent or agents, or attorney or attorneys of the Corporation who shall from time to time be determined by the Board) may endorse, assign and deliver checks, drafts and other orders for the payment of money which are payable to the order of the Corporation.</w:t>
      </w:r>
    </w:p>
    <w:p>
      <w:pPr>
        <w:spacing w:after="0" w:line="120" w:lineRule="exact"/>
        <w:rPr>
          <w:sz w:val="20"/>
          <w:szCs w:val="20"/>
          <w:color w:val="auto"/>
        </w:rPr>
      </w:pPr>
    </w:p>
    <w:p>
      <w:pPr>
        <w:ind w:right="40" w:firstLine="446"/>
        <w:spacing w:after="0" w:line="25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b w:val="1"/>
          <w:bCs w:val="1"/>
          <w:color w:val="auto"/>
        </w:rPr>
        <w:t>General and Special Bank Accounts.</w:t>
      </w:r>
      <w:r>
        <w:rPr>
          <w:rFonts w:ascii="Arial" w:cs="Arial" w:eastAsia="Arial" w:hAnsi="Arial"/>
          <w:sz w:val="18"/>
          <w:szCs w:val="18"/>
          <w:color w:val="auto"/>
        </w:rPr>
        <w:t xml:space="preserve"> The Board (or a committee of the Board to which such power is delegated) may from time to time authorize the opening and keeping of general and special bank accounts with such banks, trust companies or other depositories as the Board (or committee) may select or as may be selected by any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SHARES AND SHARE TRANSFER</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b w:val="1"/>
          <w:bCs w:val="1"/>
          <w:color w:val="auto"/>
        </w:rPr>
        <w:t>Certificates Representing Stock.</w:t>
      </w:r>
    </w:p>
    <w:p>
      <w:pPr>
        <w:spacing w:after="0" w:line="171" w:lineRule="exact"/>
        <w:rPr>
          <w:sz w:val="20"/>
          <w:szCs w:val="20"/>
          <w:color w:val="auto"/>
        </w:rPr>
      </w:pPr>
    </w:p>
    <w:p>
      <w:pPr>
        <w:ind w:firstLine="886"/>
        <w:spacing w:after="0" w:line="292" w:lineRule="auto"/>
        <w:tabs>
          <w:tab w:leader="none" w:pos="1122"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Form and Execution of Certificates. </w:t>
      </w:r>
      <w:r>
        <w:rPr>
          <w:rFonts w:ascii="Arial" w:cs="Arial" w:eastAsia="Arial" w:hAnsi="Arial"/>
          <w:sz w:val="16"/>
          <w:szCs w:val="16"/>
          <w:color w:val="auto"/>
        </w:rPr>
        <w:t>Certificates (if any) representing shares of stock or any bond, debenture or other corporate securities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shall be in such form as is consistent with the Certificate of Incorporation and applicable law, and shall be numbered in the order in which they shall be issued and shall be signed in the name of the Corporation by the President or a Vice President, and by the Secretary or an Assistant Secretary or by the Treasurer or an Assistant Treasurer. Any of or all of the signatures on the certificates may be a facsimile. In case any officer, transfer agent or registrar who has signed, or whose facsimile signature has been placed upon, any such certificate has ceased to be such officer, transfer agent or registrar before such certificate is issued, such certificate may be issued by the Corporation with the same effect as though the person who signed such certificate, or whose facsimile signature shall have been placed thereupon, were such officer, transfer agent or registrar at the date of issue.</w:t>
      </w:r>
    </w:p>
    <w:p>
      <w:pPr>
        <w:spacing w:after="0" w:line="107" w:lineRule="exact"/>
        <w:rPr>
          <w:rFonts w:ascii="Arial" w:cs="Arial" w:eastAsia="Arial" w:hAnsi="Arial"/>
          <w:sz w:val="16"/>
          <w:szCs w:val="16"/>
          <w:color w:val="auto"/>
        </w:rPr>
      </w:pPr>
    </w:p>
    <w:p>
      <w:pPr>
        <w:ind w:firstLine="886"/>
        <w:spacing w:after="0" w:line="272" w:lineRule="auto"/>
        <w:tabs>
          <w:tab w:leader="none" w:pos="1133"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Special Designation on Certificates. </w:t>
      </w:r>
      <w:r>
        <w:rPr>
          <w:rFonts w:ascii="Arial" w:cs="Arial" w:eastAsia="Arial" w:hAnsi="Arial"/>
          <w:sz w:val="17"/>
          <w:szCs w:val="17"/>
          <w:color w:val="auto"/>
        </w:rPr>
        <w:t>If the Corporation is authorized to issue more than one class of stock or more than one series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Delaware Law,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18" w:lineRule="exact"/>
        <w:rPr>
          <w:rFonts w:ascii="Arial" w:cs="Arial" w:eastAsia="Arial" w:hAnsi="Arial"/>
          <w:sz w:val="17"/>
          <w:szCs w:val="17"/>
          <w:color w:val="auto"/>
        </w:rPr>
      </w:pPr>
    </w:p>
    <w:p>
      <w:pPr>
        <w:ind w:firstLine="886"/>
        <w:spacing w:after="0" w:line="255" w:lineRule="auto"/>
        <w:tabs>
          <w:tab w:leader="none" w:pos="112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Lost Certificates. </w:t>
      </w:r>
      <w:r>
        <w:rPr>
          <w:rFonts w:ascii="Arial" w:cs="Arial" w:eastAsia="Arial" w:hAnsi="Arial"/>
          <w:sz w:val="18"/>
          <w:szCs w:val="18"/>
          <w:color w:val="auto"/>
        </w:rPr>
        <w:t>Except as provided in this Section 6.01(c), no new certificates for shares shall be issued to replace a previously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unless the latter is surrendered to the Corporation and canceled at the same time. The Corporation may issue a new certificate of stock in the place of any certificate previously issued by it, alleged to have been lost, stolen, mutilated or destroyed, and the Corporation may require the owner of the lost, stolen, mutilated or destroyed certificate, or the owner’s legal representative, to give the Corporation a bond sufficient to indemnify it against any claim that may be made against it on account of the alleged loss, theft, mutilation or destruction of any such certificate or the issuance of such new certificate; provided, however, that a new certificate or uncertificated share may be issued without requiring any bond when, in the judgment of the Board, or the Secretary of the Corporation, it is proper so to do.</w:t>
      </w:r>
    </w:p>
    <w:p>
      <w:pPr>
        <w:spacing w:after="0" w:line="135" w:lineRule="exact"/>
        <w:rPr>
          <w:sz w:val="20"/>
          <w:szCs w:val="20"/>
          <w:color w:val="auto"/>
        </w:rPr>
      </w:pPr>
    </w:p>
    <w:p>
      <w:pPr>
        <w:ind w:right="320" w:firstLine="446"/>
        <w:spacing w:after="0" w:line="282"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b w:val="1"/>
          <w:bCs w:val="1"/>
          <w:color w:val="auto"/>
        </w:rPr>
        <w:t>Uncertificated Shares.</w:t>
      </w:r>
      <w:r>
        <w:rPr>
          <w:rFonts w:ascii="Arial" w:cs="Arial" w:eastAsia="Arial" w:hAnsi="Arial"/>
          <w:sz w:val="18"/>
          <w:szCs w:val="18"/>
          <w:color w:val="auto"/>
        </w:rPr>
        <w:t xml:space="preserve"> Subject to any conditions imposed by Delaware Law, the Board may provide by resolution or resolutions that some or all of any or all classes or series of the stock of the Corporation</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Arial" w:cs="Arial" w:eastAsia="Arial" w:hAnsi="Arial"/>
                <w:sz w:val="14"/>
                <w:szCs w:val="14"/>
                <w:color w:val="auto"/>
              </w:rPr>
              <w:t>March 20, 2015</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340"/>
          </w:cols>
          <w:pgMar w:left="240" w:top="638" w:right="319" w:bottom="1440" w:gutter="0" w:footer="0" w:header="0"/>
        </w:sectPr>
      </w:pPr>
    </w:p>
    <w:bookmarkStart w:id="155" w:name="page156"/>
    <w:bookmarkEnd w:id="155"/>
    <w:p>
      <w:pPr>
        <w:ind w:right="140"/>
        <w:spacing w:after="0" w:line="277" w:lineRule="auto"/>
        <w:rPr>
          <w:sz w:val="20"/>
          <w:szCs w:val="20"/>
          <w:color w:val="auto"/>
        </w:rPr>
      </w:pPr>
      <w:r>
        <w:rPr>
          <w:rFonts w:ascii="Arial" w:cs="Arial" w:eastAsia="Arial" w:hAnsi="Arial"/>
          <w:sz w:val="18"/>
          <w:szCs w:val="18"/>
          <w:color w:val="auto"/>
        </w:rPr>
        <w:t>shall be uncertificated shares. Within a reasonable time after the issuance or transfer of any uncertificated shares, the Corporation shall send to the registered owner thereof any written notice prescribed by Delaware Law.</w:t>
      </w:r>
    </w:p>
    <w:p>
      <w:pPr>
        <w:spacing w:after="0" w:line="112"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b w:val="1"/>
          <w:bCs w:val="1"/>
          <w:color w:val="auto"/>
        </w:rPr>
        <w:t>Transfers of Stock.</w:t>
      </w:r>
      <w:r>
        <w:rPr>
          <w:rFonts w:ascii="Arial" w:cs="Arial" w:eastAsia="Arial" w:hAnsi="Arial"/>
          <w:sz w:val="17"/>
          <w:szCs w:val="17"/>
          <w:color w:val="auto"/>
        </w:rPr>
        <w:t xml:space="preserve"> Upon compliance with provisions restricting the transfer or registration of transfer of shares of stock, if any, transfers or registrations of transfers of shares of stock of the Corporation shall be made only on the books of the Corporation by the registered holder thereof, or by the attorney of the registered holder thereunto authorized by power of attorney duly executed and filed with the Secretary, or with a transfer clerk or a transfer agent, if any, and with respect to shares represented by certificates, upon surrender of the certificate or certificates for such shares properly endorsed, and with respect to uncertificated shares, upon the execution by the transferor and transferee of all transfer documents in such form as the Corporation shall reasonably require, and, with respect to all shares, upon the payment of all taxes thereon. The person in whose name shares of stock stand on the books of the Corporation shall be deemed the owner thereof for all purposes as regards the Corporation. Whenever any shares are pledged for collateral security such fact shall be reflected on the books of the Corporation.</w:t>
      </w:r>
    </w:p>
    <w:p>
      <w:pPr>
        <w:spacing w:after="0" w:line="118" w:lineRule="exact"/>
        <w:rPr>
          <w:sz w:val="20"/>
          <w:szCs w:val="20"/>
          <w:color w:val="auto"/>
        </w:rPr>
      </w:pPr>
    </w:p>
    <w:p>
      <w:pPr>
        <w:jc w:val="both"/>
        <w:ind w:right="120" w:firstLine="446"/>
        <w:spacing w:after="0" w:line="261"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b w:val="1"/>
          <w:bCs w:val="1"/>
          <w:color w:val="auto"/>
        </w:rPr>
        <w:t>Regulations.</w:t>
      </w:r>
      <w:r>
        <w:rPr>
          <w:rFonts w:ascii="Arial" w:cs="Arial" w:eastAsia="Arial" w:hAnsi="Arial"/>
          <w:sz w:val="18"/>
          <w:szCs w:val="18"/>
          <w:color w:val="auto"/>
        </w:rPr>
        <w:t xml:space="preserve"> The Board may make such rules and regulations as it may deem expedient, not inconsistent with these Bylaws, concerning the issue, transfer and registration of certificates for shares of the stock of the Corporation. It may appoint, or authorize any officer or officers to appoint, one or more transfer clerks or one or more transfer agents and one or more registrars, and may require all certificates for stock to bear the signature or signatures of any of them.</w:t>
      </w:r>
    </w:p>
    <w:p>
      <w:pPr>
        <w:spacing w:after="0" w:line="126"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b w:val="1"/>
          <w:bCs w:val="1"/>
          <w:color w:val="auto"/>
        </w:rPr>
        <w:t>Fixing Date for Determination of Stockholders of Record.</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such meeting; provided, however, that the Board may fix a new record date for the adjourned meeting.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ind w:right="40" w:firstLine="446"/>
        <w:spacing w:after="0" w:line="282"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b w:val="1"/>
          <w:bCs w:val="1"/>
          <w:color w:val="auto"/>
        </w:rPr>
        <w:t>Seal.</w:t>
      </w:r>
      <w:r>
        <w:rPr>
          <w:rFonts w:ascii="Arial" w:cs="Arial" w:eastAsia="Arial" w:hAnsi="Arial"/>
          <w:sz w:val="18"/>
          <w:szCs w:val="18"/>
          <w:color w:val="auto"/>
        </w:rPr>
        <w:t xml:space="preserve"> The Board shall provide a corporate seal, which shall be in the form of a circle and shall bear the name of the Corporation and words and figures showing that the Corporation was incorporated in the State of Delaware and the year of incorporation.</w:t>
      </w:r>
    </w:p>
    <w:p>
      <w:pPr>
        <w:spacing w:after="0" w:line="108" w:lineRule="exact"/>
        <w:rPr>
          <w:sz w:val="20"/>
          <w:szCs w:val="20"/>
          <w:color w:val="auto"/>
        </w:rPr>
      </w:pPr>
    </w:p>
    <w:p>
      <w:pPr>
        <w:jc w:val="both"/>
        <w:ind w:right="20" w:firstLine="446"/>
        <w:spacing w:after="0" w:line="26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b w:val="1"/>
          <w:bCs w:val="1"/>
          <w:color w:val="auto"/>
        </w:rPr>
        <w:t>Waiver of Notices.</w:t>
      </w:r>
      <w:r>
        <w:rPr>
          <w:rFonts w:ascii="Arial" w:cs="Arial" w:eastAsia="Arial" w:hAnsi="Arial"/>
          <w:sz w:val="18"/>
          <w:szCs w:val="18"/>
          <w:color w:val="auto"/>
        </w:rPr>
        <w:t xml:space="preserve"> Whenever notice is required to be given by these Bylaws, the Certificate of Incorporation or Delaware Law, the person entitled to said notice may waive such notice (in writing or by electronic transmission), either before or after the time stated therein, and such waiver shall be deemed equivalent to notice.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The fiscal year of the Corporation shall begin on the day after the Friday closest to December 31 in each year.</w:t>
      </w:r>
    </w:p>
    <w:p>
      <w:pPr>
        <w:spacing w:after="0" w:line="171" w:lineRule="exact"/>
        <w:rPr>
          <w:sz w:val="20"/>
          <w:szCs w:val="20"/>
          <w:color w:val="auto"/>
        </w:rPr>
      </w:pPr>
    </w:p>
    <w:p>
      <w:pPr>
        <w:ind w:right="100" w:firstLine="446"/>
        <w:spacing w:after="0" w:line="261"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b w:val="1"/>
          <w:bCs w:val="1"/>
          <w:color w:val="auto"/>
        </w:rPr>
        <w:t>Amendments.</w:t>
      </w:r>
      <w:r>
        <w:rPr>
          <w:rFonts w:ascii="Arial" w:cs="Arial" w:eastAsia="Arial" w:hAnsi="Arial"/>
          <w:sz w:val="18"/>
          <w:szCs w:val="18"/>
          <w:color w:val="auto"/>
        </w:rPr>
        <w:t xml:space="preserve"> These Bylaws, or any of them, may be altered, amended or repealed, and new Bylaws may be made by the Board, by vote of a majority of the number of directors then in office as directors, acting at any meeting of the Board. No section of the Bylaws shall be adopted, repealed, altered, amended or rescinded by the stockholders of the Corporation except by the vote of the holders of not less than two-thirds of the total voting power of all outstanding shares of voting stock of the Corporation.</w:t>
      </w:r>
    </w:p>
    <w:p>
      <w:pPr>
        <w:spacing w:after="0" w:line="126" w:lineRule="exact"/>
        <w:rPr>
          <w:sz w:val="20"/>
          <w:szCs w:val="20"/>
          <w:color w:val="auto"/>
        </w:rPr>
      </w:pPr>
    </w:p>
    <w:p>
      <w:pPr>
        <w:ind w:right="60" w:firstLine="446"/>
        <w:spacing w:after="0" w:line="26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b w:val="1"/>
          <w:bCs w:val="1"/>
          <w:color w:val="auto"/>
        </w:rPr>
        <w:t>Designation of Engineer.</w:t>
      </w:r>
      <w:r>
        <w:rPr>
          <w:rFonts w:ascii="Arial" w:cs="Arial" w:eastAsia="Arial" w:hAnsi="Arial"/>
          <w:sz w:val="18"/>
          <w:szCs w:val="18"/>
          <w:color w:val="auto"/>
        </w:rPr>
        <w:t xml:space="preserve"> The Corporation engages in the practice of engineering in various jurisdictions which regulate such practice, including the State of Washington. In order to comply with the laws of such jurisdictions, including the State of Washington, all engineering decisions pertaining to any project or engineering activities in any such jurisdiction shall be made by a designated engineer licensed to practice in such jurisdiction who shall be appointed by the Board from time to time as vacancies occur.</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Arial" w:cs="Arial" w:eastAsia="Arial" w:hAnsi="Arial"/>
                <w:sz w:val="14"/>
                <w:szCs w:val="14"/>
                <w:color w:val="auto"/>
              </w:rPr>
              <w:t>March 20, 2015</w:t>
            </w:r>
          </w:p>
        </w:tc>
        <w:tc>
          <w:tcPr>
            <w:tcW w:w="2560" w:type="dxa"/>
            <w:vAlign w:val="bottom"/>
          </w:tcPr>
          <w:p>
            <w:pPr>
              <w:jc w:val="right"/>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638" w:right="239" w:bottom="1440" w:gutter="0" w:footer="0" w:header="0"/>
        </w:sectPr>
      </w:pPr>
    </w:p>
    <w:bookmarkStart w:id="156" w:name="page157"/>
    <w:bookmarkEnd w:id="156"/>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r>
              <w:rPr>
                <w:rFonts w:ascii="Arial" w:cs="Arial" w:eastAsia="Arial" w:hAnsi="Arial"/>
                <w:sz w:val="14"/>
                <w:szCs w:val="14"/>
                <w:color w:val="auto"/>
              </w:rPr>
              <w:t>March 20, 2015</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0179"/>
          </w:cols>
          <w:pgMar w:left="280" w:top="1440" w:right="1440"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 Y L A W 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LEIDOS,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March 20, 2015</w:t>
      </w:r>
    </w:p>
    <w:p>
      <w:pPr>
        <w:sectPr>
          <w:pgSz w:w="11900" w:h="16838" w:orient="portrait"/>
          <w:cols w:equalWidth="0" w:num="1">
            <w:col w:w="11380"/>
          </w:cols>
          <w:pgMar w:left="280" w:top="526"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LEIDOS,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Delaware corporation)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OFFICES</w:t>
      </w:r>
    </w:p>
    <w:p>
      <w:pPr>
        <w:spacing w:after="0" w:line="153" w:lineRule="exact"/>
        <w:rPr>
          <w:sz w:val="20"/>
          <w:szCs w:val="20"/>
          <w:color w:val="auto"/>
        </w:rPr>
      </w:pPr>
    </w:p>
    <w:p>
      <w:pPr>
        <w:ind w:right="260" w:firstLine="446"/>
        <w:spacing w:after="0" w:line="31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b w:val="1"/>
          <w:bCs w:val="1"/>
          <w:color w:val="auto"/>
        </w:rPr>
        <w:t>Registered Office.</w:t>
      </w:r>
      <w:r>
        <w:rPr>
          <w:rFonts w:ascii="Arial" w:cs="Arial" w:eastAsia="Arial" w:hAnsi="Arial"/>
          <w:sz w:val="17"/>
          <w:szCs w:val="17"/>
          <w:color w:val="auto"/>
        </w:rPr>
        <w:t xml:space="preserve"> The registered office of LEIDOS, INC. (the “Corporation”) in the State of Delaware shall be at 1209 Orange Street, City of Wilmington, County of New Castle, and the name of the registered agent in charge thereof shall be The Corporation Trust Company.</w:t>
      </w:r>
    </w:p>
    <w:p>
      <w:pPr>
        <w:spacing w:after="0" w:line="84" w:lineRule="exact"/>
        <w:rPr>
          <w:sz w:val="20"/>
          <w:szCs w:val="20"/>
          <w:color w:val="auto"/>
        </w:rPr>
      </w:pPr>
    </w:p>
    <w:p>
      <w:pPr>
        <w:ind w:right="100" w:firstLine="446"/>
        <w:spacing w:after="0" w:line="34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b w:val="1"/>
          <w:bCs w:val="1"/>
          <w:color w:val="auto"/>
        </w:rPr>
        <w:t>Principal Office.</w:t>
      </w:r>
      <w:r>
        <w:rPr>
          <w:rFonts w:ascii="Arial" w:cs="Arial" w:eastAsia="Arial" w:hAnsi="Arial"/>
          <w:sz w:val="16"/>
          <w:szCs w:val="16"/>
          <w:color w:val="auto"/>
        </w:rPr>
        <w:t xml:space="preserve"> The principal office for the transaction of the business of the Corporation shall be at 11951 Freedom Drive, Reston, Virginia 20190. The Board of Directors (the “Board”) is hereby granted full power and authority to change said principal office from one location to another.</w:t>
      </w:r>
    </w:p>
    <w:p>
      <w:pPr>
        <w:spacing w:after="0" w:line="62" w:lineRule="exact"/>
        <w:rPr>
          <w:sz w:val="20"/>
          <w:szCs w:val="20"/>
          <w:color w:val="auto"/>
        </w:rPr>
      </w:pPr>
    </w:p>
    <w:p>
      <w:pPr>
        <w:ind w:right="460" w:firstLine="446"/>
        <w:spacing w:after="0" w:line="282"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b w:val="1"/>
          <w:bCs w:val="1"/>
          <w:color w:val="auto"/>
        </w:rPr>
        <w:t>Other Offices.</w:t>
      </w:r>
      <w:r>
        <w:rPr>
          <w:rFonts w:ascii="Arial" w:cs="Arial" w:eastAsia="Arial" w:hAnsi="Arial"/>
          <w:sz w:val="18"/>
          <w:szCs w:val="18"/>
          <w:color w:val="auto"/>
        </w:rPr>
        <w:t xml:space="preserve"> The Corporation may also have an office or offices at such other place or places, either within or without the State of Delaware, as the Board may from time to time determine or as the business of the Corporation may require.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MEETINGS OF STOCKHOLDERS</w:t>
      </w:r>
    </w:p>
    <w:p>
      <w:pPr>
        <w:spacing w:after="0" w:line="153" w:lineRule="exact"/>
        <w:rPr>
          <w:sz w:val="20"/>
          <w:szCs w:val="20"/>
          <w:color w:val="auto"/>
        </w:rPr>
      </w:pPr>
    </w:p>
    <w:p>
      <w:pPr>
        <w:ind w:right="20" w:firstLine="446"/>
        <w:spacing w:after="0" w:line="282"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b w:val="1"/>
          <w:bCs w:val="1"/>
          <w:color w:val="auto"/>
        </w:rPr>
        <w:t>Annual Meetings.</w:t>
      </w:r>
      <w:r>
        <w:rPr>
          <w:rFonts w:ascii="Arial" w:cs="Arial" w:eastAsia="Arial" w:hAnsi="Arial"/>
          <w:sz w:val="18"/>
          <w:szCs w:val="18"/>
          <w:color w:val="auto"/>
        </w:rPr>
        <w:t xml:space="preserve"> An annual meeting of stockholders shall be held for the election of directors and to transact such other business as may properly be brought before the meeting.</w:t>
      </w:r>
    </w:p>
    <w:p>
      <w:pPr>
        <w:spacing w:after="0" w:line="108"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stockholders of the Corporation for any purpose or purposes may be called at any time by the Board, or by a committee of the Board which has been duly designated by the Board and whose powers and authority, as provided in a resolution of the Board or in the Bylaws, include the power to call such meetings, but such special meetings may not be called by any other person or persons; provided, however, that if and to the extent that any special meeting of stockholders may be called by any other person or persons specified in any provisions of the Certificate of Incorporation or any amendment thereto or any certificate filed under Section 151(g) of the General Corporation Law of the State of Delaware (“Delaware Law”) (or its successor statute as in effect from time to time hereafter), then such special meeting may also be called by the person or persons, in the manner, at the times and for the purposes so specified.</w:t>
      </w:r>
    </w:p>
    <w:p>
      <w:pPr>
        <w:spacing w:after="0" w:line="118" w:lineRule="exact"/>
        <w:rPr>
          <w:sz w:val="20"/>
          <w:szCs w:val="20"/>
          <w:color w:val="auto"/>
        </w:rPr>
      </w:pPr>
    </w:p>
    <w:p>
      <w:pPr>
        <w:ind w:right="240" w:firstLine="446"/>
        <w:spacing w:after="0" w:line="266"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b w:val="1"/>
          <w:bCs w:val="1"/>
          <w:color w:val="auto"/>
        </w:rPr>
        <w:t>Time and Place of Meetings.</w:t>
      </w:r>
      <w:r>
        <w:rPr>
          <w:rFonts w:ascii="Arial" w:cs="Arial" w:eastAsia="Arial" w:hAnsi="Arial"/>
          <w:sz w:val="18"/>
          <w:szCs w:val="18"/>
          <w:color w:val="auto"/>
        </w:rPr>
        <w:t xml:space="preserve"> All meetings of the stockholders shall be held at such places, within or without the State of Delaware, on such date and at such time as may from time to time be designated by the person or persons calling the respective meeting and specified in the respective notices or waivers of notice thereof.</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b w:val="1"/>
          <w:bCs w:val="1"/>
          <w:color w:val="auto"/>
        </w:rPr>
        <w:t>Notice of Meetings and Adjourned Meetings; Waivers of Notice.</w:t>
      </w:r>
    </w:p>
    <w:p>
      <w:pPr>
        <w:spacing w:after="0" w:line="175" w:lineRule="exact"/>
        <w:rPr>
          <w:sz w:val="20"/>
          <w:szCs w:val="20"/>
          <w:color w:val="auto"/>
        </w:rPr>
      </w:pPr>
    </w:p>
    <w:p>
      <w:pPr>
        <w:ind w:right="20" w:firstLine="454"/>
        <w:spacing w:after="0" w:line="270" w:lineRule="auto"/>
        <w:tabs>
          <w:tab w:leader="none" w:pos="69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Whenever stockholders are required or permitted to take any action at a meeting, a notice of the meeting shall be given to stockholders of the Corporation, as required by applicable law, which shall state the place, date and hour of the meeting, and, in the case of a special meeting, the purpose or purposes for which the meeting is called. Notice may be given by such delivery means (mail, telecopy, electronic or other) as the Secretary deems appropriate and in compliance with applicable law and shall be delivered to the stockholder’s address as it appears on the stock transfer records of the Corporation. Unless otherwise required by Delaware Law, such notice shall be given not less than 10 nor more than 60 days before the date of the meeting to each stockholder of record entitled to vote at such meeting. Unless otherwise expressly required by Delaware Law, when a meeting is adjourned to another time or place (whether or not a quorum is present), notice need not be given of the adjourned meeting if the time and place thereof are announced at the meeting at which the adjournment is taken. At the adjourned meeting, the Corporation may transact any business which might have been transacted at the original meeting. If the adjournment is for more</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20, 2015</w:t>
      </w:r>
    </w:p>
    <w:p>
      <w:pPr>
        <w:sectPr>
          <w:pgSz w:w="11900" w:h="16838" w:orient="portrait"/>
          <w:cols w:equalWidth="0" w:num="1">
            <w:col w:w="11400"/>
          </w:cols>
          <w:pgMar w:left="240" w:top="1040" w:right="259" w:bottom="1440" w:gutter="0" w:footer="0" w:header="0"/>
        </w:sectPr>
      </w:pPr>
    </w:p>
    <w:bookmarkStart w:id="159" w:name="page160"/>
    <w:bookmarkEnd w:id="159"/>
    <w:p>
      <w:pPr>
        <w:ind w:right="740"/>
        <w:spacing w:after="0" w:line="277" w:lineRule="auto"/>
        <w:rPr>
          <w:sz w:val="20"/>
          <w:szCs w:val="20"/>
          <w:color w:val="auto"/>
        </w:rPr>
      </w:pPr>
      <w:r>
        <w:rPr>
          <w:rFonts w:ascii="Arial" w:cs="Arial" w:eastAsia="Arial" w:hAnsi="Arial"/>
          <w:sz w:val="18"/>
          <w:szCs w:val="18"/>
          <w:color w:val="auto"/>
        </w:rPr>
        <w:t>than 30 days, or after the adjournment a new record date is fixed for the adjourned meeting, a notice of the adjourned meeting shall be given to each stockholder of record entitled to vote at the meeting.</w:t>
      </w:r>
    </w:p>
    <w:p>
      <w:pPr>
        <w:spacing w:after="0" w:line="116" w:lineRule="exact"/>
        <w:rPr>
          <w:sz w:val="20"/>
          <w:szCs w:val="20"/>
          <w:color w:val="auto"/>
        </w:rPr>
      </w:pPr>
    </w:p>
    <w:p>
      <w:pPr>
        <w:jc w:val="both"/>
        <w:ind w:right="80" w:firstLine="454"/>
        <w:spacing w:after="0" w:line="302" w:lineRule="auto"/>
        <w:tabs>
          <w:tab w:leader="none" w:pos="7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waiver of any such notice given by the person entitled thereto, whether before or after the time stated therein, shall be deemed equivalent to notice. Attendance of a person at a meeting shall constitute a waiver of notice of such meeting, except when the person attends the meeting for the express purpose of objecting, and such person objects at the beginning of the meeting, to the transaction of any business because the meeting is not lawfully called or convened. Business transacted at any special meeting of stockholders shall be limited to the purposes stated in the notice.</w:t>
      </w:r>
    </w:p>
    <w:p>
      <w:pPr>
        <w:spacing w:after="0" w:line="96" w:lineRule="exact"/>
        <w:rPr>
          <w:sz w:val="20"/>
          <w:szCs w:val="20"/>
          <w:color w:val="auto"/>
        </w:rPr>
      </w:pPr>
    </w:p>
    <w:p>
      <w:pPr>
        <w:ind w:firstLine="446"/>
        <w:spacing w:after="0" w:line="274"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b w:val="1"/>
          <w:bCs w:val="1"/>
          <w:color w:val="auto"/>
        </w:rPr>
        <w:t>Quorum.</w:t>
      </w:r>
      <w:r>
        <w:rPr>
          <w:rFonts w:ascii="Arial" w:cs="Arial" w:eastAsia="Arial" w:hAnsi="Arial"/>
          <w:sz w:val="17"/>
          <w:szCs w:val="17"/>
          <w:color w:val="auto"/>
        </w:rPr>
        <w:t xml:space="preserve"> Except as provided by Delaware Law, the holders of record of a majority in voting interest of the shares of stock of the Corporation entitled to be voted thereat, present in person or by proxy, shall constitute a quorum for the transaction of business at any meeting of the stockholders of the Corporation or any adjournment thereof. In the absence of a quorum at any meeting or any adjournment thereof, a majority in voting interest of the stockholders present in person or by proxy and entitled to vote thereat or, in the absence therefrom of all the stockholders, any officer entitled to preside at, or to act as a secretary of, such meeting may adjourn such meeting from time to time. At any such adjourned meeting at which a quorum is present, any business may be transacted which might have been transacted at the meeting as originally called.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b w:val="1"/>
          <w:bCs w:val="1"/>
          <w:color w:val="auto"/>
        </w:rPr>
        <w:t>Voting.</w:t>
      </w:r>
    </w:p>
    <w:p>
      <w:pPr>
        <w:spacing w:after="0" w:line="175" w:lineRule="exact"/>
        <w:rPr>
          <w:sz w:val="20"/>
          <w:szCs w:val="20"/>
          <w:color w:val="auto"/>
        </w:rPr>
      </w:pPr>
    </w:p>
    <w:p>
      <w:pPr>
        <w:ind w:right="80" w:firstLine="454"/>
        <w:spacing w:after="0" w:line="264" w:lineRule="auto"/>
        <w:tabs>
          <w:tab w:leader="none" w:pos="6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each meeting of the stockholders, each stockholder shall be entitled to vote, in person or by proxy, each share or fractional share of the stock of the Corporation having voting rights on the matter in question and which shall have been held by such stockholder and registered in such stockholder’s name on the books of the Corporation:</w:t>
      </w:r>
    </w:p>
    <w:p>
      <w:pPr>
        <w:spacing w:after="0" w:line="46" w:lineRule="exact"/>
        <w:rPr>
          <w:rFonts w:ascii="Arial" w:cs="Arial" w:eastAsia="Arial" w:hAnsi="Arial"/>
          <w:sz w:val="18"/>
          <w:szCs w:val="18"/>
          <w:color w:val="auto"/>
        </w:rPr>
      </w:pPr>
    </w:p>
    <w:p>
      <w:pPr>
        <w:ind w:left="440" w:right="140" w:firstLine="446"/>
        <w:spacing w:after="0" w:line="277" w:lineRule="auto"/>
        <w:tabs>
          <w:tab w:leader="none" w:pos="11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on the date fixed pursuant to Section 6.05 of these Bylaws as the record date for the determination of stockholders entitled to notice of and to vote at such meeting, or</w:t>
      </w:r>
    </w:p>
    <w:p>
      <w:pPr>
        <w:spacing w:after="0" w:line="116" w:lineRule="exact"/>
        <w:rPr>
          <w:rFonts w:ascii="Arial" w:cs="Arial" w:eastAsia="Arial" w:hAnsi="Arial"/>
          <w:sz w:val="18"/>
          <w:szCs w:val="18"/>
          <w:color w:val="auto"/>
        </w:rPr>
      </w:pPr>
    </w:p>
    <w:p>
      <w:pPr>
        <w:ind w:left="440" w:right="40" w:firstLine="446"/>
        <w:spacing w:after="0" w:line="342" w:lineRule="auto"/>
        <w:tabs>
          <w:tab w:leader="none" w:pos="1151"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no such record date shall have been so fixed, then (a) at the close of business on the day before the day on which notice of the meeting shall be given or (b) if notice of the meeting shall be waived, at the close of business on the day before the day on which the meeting shall be held.</w:t>
      </w:r>
    </w:p>
    <w:p>
      <w:pPr>
        <w:spacing w:after="0" w:line="69" w:lineRule="exact"/>
        <w:rPr>
          <w:rFonts w:ascii="Arial" w:cs="Arial" w:eastAsia="Arial" w:hAnsi="Arial"/>
          <w:sz w:val="16"/>
          <w:szCs w:val="16"/>
          <w:color w:val="auto"/>
        </w:rPr>
      </w:pPr>
    </w:p>
    <w:p>
      <w:pPr>
        <w:ind w:right="60" w:firstLine="454"/>
        <w:spacing w:after="0" w:line="342" w:lineRule="auto"/>
        <w:tabs>
          <w:tab w:leader="none" w:pos="701"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its own stock belonging to the Corporation or to another corporation, if a majority of the shares entitled to vote in the election of directors in such other corporation is held, directly or indirectly, by the Corporation, shall neither be entitled to vote nor be counted for quorum purposes.</w:t>
      </w:r>
    </w:p>
    <w:p>
      <w:pPr>
        <w:spacing w:after="0" w:line="69" w:lineRule="exact"/>
        <w:rPr>
          <w:rFonts w:ascii="Arial" w:cs="Arial" w:eastAsia="Arial" w:hAnsi="Arial"/>
          <w:sz w:val="16"/>
          <w:szCs w:val="16"/>
          <w:color w:val="auto"/>
        </w:rPr>
      </w:pPr>
    </w:p>
    <w:p>
      <w:pPr>
        <w:ind w:right="80" w:firstLine="454"/>
        <w:spacing w:after="0" w:line="272" w:lineRule="auto"/>
        <w:tabs>
          <w:tab w:leader="none" w:pos="69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such voting rights may be exercised by the stockholder entitled thereto in person or by his or her proxy delivered to the secretary of the meeting; provided, however, that no proxy shall be voted or acted upon after three (3) years from its date unless said proxy shall provide for a longer period. At any meeting of the stockholders all matters, except as otherwise provided in the Certificate of Incorporation, these Bylaws, Delaware Law, or any regulation applicable to the Corporation or its securities, shall be decided by the vote of a majority in voting interest of the stockholders present in person or by proxy and entitled to vote thereon, a quorum being present. The vote at any meeting of the stockholders on any question need not be by ballot, except as otherwise provided in the Certificate of Incorporation or unless so directed by the chair of the meeting. On a vote by ballot, each ballot shall be signed by the stockholder voting, or by his or her proxy, if there be such proxy, and it shall state the number of shares voted.</w:t>
      </w:r>
    </w:p>
    <w:p>
      <w:pPr>
        <w:spacing w:after="0" w:line="120" w:lineRule="exact"/>
        <w:rPr>
          <w:sz w:val="20"/>
          <w:szCs w:val="20"/>
          <w:color w:val="auto"/>
        </w:rPr>
      </w:pPr>
    </w:p>
    <w:p>
      <w:pPr>
        <w:ind w:right="140" w:firstLine="446"/>
        <w:spacing w:after="0" w:line="298"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b w:val="1"/>
          <w:bCs w:val="1"/>
          <w:color w:val="auto"/>
        </w:rPr>
        <w:t>List of Stockholders.</w:t>
      </w:r>
      <w:r>
        <w:rPr>
          <w:rFonts w:ascii="Arial" w:cs="Arial" w:eastAsia="Arial" w:hAnsi="Arial"/>
          <w:sz w:val="16"/>
          <w:szCs w:val="16"/>
          <w:color w:val="auto"/>
        </w:rPr>
        <w:t xml:space="preserve"> The Secretary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as required by applicable law. The list shall also be produced and kept at the time and place of the meeting during the whole time thereof, and may be inspected by any stockholder who is present.</w:t>
      </w:r>
    </w:p>
    <w:p>
      <w:pPr>
        <w:spacing w:after="0" w:line="100" w:lineRule="exact"/>
        <w:rPr>
          <w:sz w:val="20"/>
          <w:szCs w:val="20"/>
          <w:color w:val="auto"/>
        </w:rPr>
      </w:pPr>
    </w:p>
    <w:p>
      <w:pPr>
        <w:ind w:right="120" w:firstLine="446"/>
        <w:spacing w:after="0" w:line="282"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b w:val="1"/>
          <w:bCs w:val="1"/>
          <w:color w:val="auto"/>
        </w:rPr>
        <w:t>Inspectors.</w:t>
      </w:r>
      <w:r>
        <w:rPr>
          <w:rFonts w:ascii="Arial" w:cs="Arial" w:eastAsia="Arial" w:hAnsi="Arial"/>
          <w:sz w:val="18"/>
          <w:szCs w:val="18"/>
          <w:color w:val="auto"/>
        </w:rPr>
        <w:t xml:space="preserve"> Prior to each meeting of the stockholders, one or more inspectors shall be appointed by the Board, or, if no such appointment shall have been made, such inspectors shall be appointed by the chair of the</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530" w:right="259" w:bottom="1440" w:gutter="0" w:footer="0" w:header="0"/>
        </w:sectPr>
      </w:pPr>
    </w:p>
    <w:bookmarkStart w:id="160" w:name="page161"/>
    <w:bookmarkEnd w:id="160"/>
    <w:p>
      <w:pPr>
        <w:ind w:right="120"/>
        <w:spacing w:after="0" w:line="276" w:lineRule="auto"/>
        <w:rPr>
          <w:sz w:val="20"/>
          <w:szCs w:val="20"/>
          <w:color w:val="auto"/>
        </w:rPr>
      </w:pPr>
      <w:r>
        <w:rPr>
          <w:rFonts w:ascii="Arial" w:cs="Arial" w:eastAsia="Arial" w:hAnsi="Arial"/>
          <w:sz w:val="17"/>
          <w:szCs w:val="17"/>
          <w:color w:val="auto"/>
        </w:rPr>
        <w:t>meeting, to act thereat. Each inspector so appointed shall first subscribe an oath or affirmation faithfully to execute the duties of an inspector at such meeting with strict impartiality and according to the best of his or her ability. Such inspector(s) shall take charge of the ballots at such meeting, count the ballots cast on any question and deliver a written report of the results thereof to the secretary of such meeting. The inspector(s) need not be stockholders of the Corporation. Any officer of the Corporation may be an inspector on any question other than a vote for or against his or her election to any position with the Corporation or on any other question in which he or she may be directly interested other than as a stockholder.</w:t>
      </w:r>
    </w:p>
    <w:p>
      <w:pPr>
        <w:spacing w:after="0" w:line="115"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b w:val="1"/>
          <w:bCs w:val="1"/>
          <w:color w:val="auto"/>
        </w:rPr>
        <w:t>Regulations for Conduct of Stockholders Meeting.</w:t>
      </w:r>
      <w:r>
        <w:rPr>
          <w:rFonts w:ascii="Arial" w:cs="Arial" w:eastAsia="Arial" w:hAnsi="Arial"/>
          <w:sz w:val="17"/>
          <w:szCs w:val="17"/>
          <w:color w:val="auto"/>
        </w:rPr>
        <w:t xml:space="preserve"> The Board may adopt by resolution such rules and regulations for the conduct of the meeting of stockholders as it shall deem appropriate. Except to the extent inconsistent with such rules and regulations adopted by the Board, the chair of any meeting of stockholders shall have the right and authority to convene and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and (c) limitations on the time allotted to questions or comments by participants. Unless and to the extent determined by the Board or the chair of the meeting, meetings of stockholders shall not be required to be held in accordance with the rules of parliamentary procedure.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w:t>
      </w:r>
    </w:p>
    <w:p>
      <w:pPr>
        <w:spacing w:after="0" w:line="153" w:lineRule="exact"/>
        <w:rPr>
          <w:sz w:val="20"/>
          <w:szCs w:val="20"/>
          <w:color w:val="auto"/>
        </w:rPr>
      </w:pPr>
    </w:p>
    <w:p>
      <w:pPr>
        <w:ind w:right="80" w:firstLine="446"/>
        <w:spacing w:after="0" w:line="26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b w:val="1"/>
          <w:bCs w:val="1"/>
          <w:color w:val="auto"/>
        </w:rPr>
        <w:t>General Powers.</w:t>
      </w:r>
      <w:r>
        <w:rPr>
          <w:rFonts w:ascii="Arial" w:cs="Arial" w:eastAsia="Arial" w:hAnsi="Arial"/>
          <w:sz w:val="18"/>
          <w:szCs w:val="18"/>
          <w:color w:val="auto"/>
        </w:rPr>
        <w:t xml:space="preserve"> The property, business and affairs of the Corporation shall be managed by or under the direction of the Board, who may exercise all such powers of the Corporation and do all such lawful acts and things as are not by Delaware Law, the Certificate of Incorporation or these Bylaws directed or required to be exercised or done by the stockholders of the Corporation.</w:t>
      </w:r>
    </w:p>
    <w:p>
      <w:pPr>
        <w:spacing w:after="0" w:line="122" w:lineRule="exact"/>
        <w:rPr>
          <w:sz w:val="20"/>
          <w:szCs w:val="20"/>
          <w:color w:val="auto"/>
        </w:rPr>
      </w:pPr>
    </w:p>
    <w:p>
      <w:pPr>
        <w:ind w:right="100" w:firstLine="446"/>
        <w:spacing w:after="0" w:line="282"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b w:val="1"/>
          <w:bCs w:val="1"/>
          <w:color w:val="auto"/>
        </w:rPr>
        <w:t>Number.</w:t>
      </w:r>
      <w:r>
        <w:rPr>
          <w:rFonts w:ascii="Arial" w:cs="Arial" w:eastAsia="Arial" w:hAnsi="Arial"/>
          <w:sz w:val="18"/>
          <w:szCs w:val="18"/>
          <w:color w:val="auto"/>
        </w:rPr>
        <w:t xml:space="preserve"> The exact number of directors shall be fixed from time to time, within the limits specified in the Certificate of Incorporation, by resolution of the Board.</w:t>
      </w:r>
    </w:p>
    <w:p>
      <w:pPr>
        <w:spacing w:after="0" w:line="10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b w:val="1"/>
          <w:bCs w:val="1"/>
          <w:color w:val="auto"/>
        </w:rPr>
        <w:t>Election of Directors.</w:t>
      </w:r>
      <w:r>
        <w:rPr>
          <w:rFonts w:ascii="Arial" w:cs="Arial" w:eastAsia="Arial" w:hAnsi="Arial"/>
          <w:sz w:val="17"/>
          <w:szCs w:val="17"/>
          <w:color w:val="auto"/>
        </w:rPr>
        <w:t xml:space="preserve"> The directors shall be elected annually by the stockholders of the Corporation and the persons receiving the greatest number of votes, up to the number of directors to be elected, shall be the persons then elected. The election of directors is subject to any provisions contained in the Certificate of Incorporation relating thereto, including any provisions for a classified board and for cumulative voting.</w:t>
      </w:r>
    </w:p>
    <w:p>
      <w:pPr>
        <w:spacing w:after="0" w:line="104" w:lineRule="exact"/>
        <w:rPr>
          <w:sz w:val="20"/>
          <w:szCs w:val="20"/>
          <w:color w:val="auto"/>
        </w:rPr>
      </w:pPr>
    </w:p>
    <w:p>
      <w:pPr>
        <w:jc w:val="both"/>
        <w:ind w:right="140" w:firstLine="446"/>
        <w:spacing w:after="0" w:line="314"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b w:val="1"/>
          <w:bCs w:val="1"/>
          <w:color w:val="auto"/>
        </w:rPr>
        <w:t>Resignations.</w:t>
      </w:r>
      <w:r>
        <w:rPr>
          <w:rFonts w:ascii="Arial" w:cs="Arial" w:eastAsia="Arial" w:hAnsi="Arial"/>
          <w:sz w:val="16"/>
          <w:szCs w:val="16"/>
          <w:color w:val="auto"/>
        </w:rPr>
        <w:t xml:space="preserve"> Any director of the Corporation may resign at any time by giving written notice or notice by electronic transmission to the Board or to the Secretary of the Corporation. Any such resignation shall take effect at the time specified therein, or, if the time be not specified, it shall take effect immediately upon its receipt; and unless otherwise specified therein, the acceptance of such resignation shall not be necessary to make it effective.</w:t>
      </w:r>
    </w:p>
    <w:p>
      <w:pPr>
        <w:spacing w:after="0" w:line="88" w:lineRule="exact"/>
        <w:rPr>
          <w:sz w:val="20"/>
          <w:szCs w:val="20"/>
          <w:color w:val="auto"/>
        </w:rPr>
      </w:pPr>
    </w:p>
    <w:p>
      <w:pPr>
        <w:ind w:right="140" w:firstLine="446"/>
        <w:spacing w:after="0" w:line="261"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Except as otherwise provided in the Certificate of Incorporation, any vacancy in the Board, whether because of death, resignation, disqualification, an increase in the number of directors, or any other cause, may only be filled by vote of the majority of the remaining directors, although less than a quorum. Each director so chosen to fill a vacancy shall hold office until his or her successor shall have been elected and shall qualify or until such director shall resign or shall have been removed.</w:t>
      </w:r>
    </w:p>
    <w:p>
      <w:pPr>
        <w:spacing w:after="0" w:line="126" w:lineRule="exact"/>
        <w:rPr>
          <w:sz w:val="20"/>
          <w:szCs w:val="20"/>
          <w:color w:val="auto"/>
        </w:rPr>
      </w:pPr>
    </w:p>
    <w:p>
      <w:pPr>
        <w:ind w:right="280" w:firstLine="446"/>
        <w:spacing w:after="0" w:line="282"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Board shall meet as soon as practicable after each annual election of directors and notice of such first meeting shall not be required.</w:t>
      </w:r>
    </w:p>
    <w:p>
      <w:pPr>
        <w:spacing w:after="0" w:line="108" w:lineRule="exact"/>
        <w:rPr>
          <w:sz w:val="20"/>
          <w:szCs w:val="20"/>
          <w:color w:val="auto"/>
        </w:rPr>
      </w:pPr>
    </w:p>
    <w:p>
      <w:pPr>
        <w:jc w:val="both"/>
        <w:ind w:firstLine="446"/>
        <w:spacing w:after="0" w:line="314"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b w:val="1"/>
          <w:bCs w:val="1"/>
          <w:color w:val="auto"/>
        </w:rPr>
        <w:t>Regular Meetings.</w:t>
      </w:r>
      <w:r>
        <w:rPr>
          <w:rFonts w:ascii="Arial" w:cs="Arial" w:eastAsia="Arial" w:hAnsi="Arial"/>
          <w:sz w:val="16"/>
          <w:szCs w:val="16"/>
          <w:color w:val="auto"/>
        </w:rPr>
        <w:t xml:space="preserve"> Regular meetings of the Board may be held at such times as the Board shall from time to time by resolution determine. If any day fixed for a regular meeting shall be a legal holiday at the place where the meeting is to be held, then the meeting shall be held at the same hour and place on the next succeeding business day not a legal holiday. Except as provided by applicable law, notice of regular meetings need not be given.</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531" w:right="239" w:bottom="1440" w:gutter="0" w:footer="0" w:header="0"/>
        </w:sectPr>
      </w:pPr>
    </w:p>
    <w:bookmarkStart w:id="161" w:name="page162"/>
    <w:bookmarkEnd w:id="161"/>
    <w:p>
      <w:pPr>
        <w:ind w:right="200" w:firstLine="446"/>
        <w:spacing w:after="0" w:line="314"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b w:val="1"/>
          <w:bCs w:val="1"/>
          <w:color w:val="auto"/>
        </w:rPr>
        <w:t>Special Meetings</w:t>
      </w:r>
      <w:r>
        <w:rPr>
          <w:rFonts w:ascii="Arial" w:cs="Arial" w:eastAsia="Arial" w:hAnsi="Arial"/>
          <w:sz w:val="16"/>
          <w:szCs w:val="16"/>
          <w:color w:val="auto"/>
        </w:rPr>
        <w:t>. Special meetings of the Board may be called at any time by the Chair of the Board, by the Chief Executive Officer or by the Secretary upon the written request of at least one-third of the directors then in office. Such meetings shall be held at the principal office of the Corporation, or at such other place or places, within or without the State of Delaware, as the person or persons calling the meeting may designate.</w:t>
      </w:r>
    </w:p>
    <w:p>
      <w:pPr>
        <w:spacing w:after="0" w:line="88" w:lineRule="exact"/>
        <w:rPr>
          <w:sz w:val="20"/>
          <w:szCs w:val="20"/>
          <w:color w:val="auto"/>
        </w:rPr>
      </w:pPr>
    </w:p>
    <w:p>
      <w:pPr>
        <w:ind w:right="120" w:firstLine="446"/>
        <w:spacing w:after="0" w:line="288"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b w:val="1"/>
          <w:bCs w:val="1"/>
          <w:color w:val="auto"/>
        </w:rPr>
        <w:t>Committees.</w:t>
      </w:r>
      <w:r>
        <w:rPr>
          <w:rFonts w:ascii="Arial" w:cs="Arial" w:eastAsia="Arial" w:hAnsi="Arial"/>
          <w:sz w:val="16"/>
          <w:szCs w:val="16"/>
          <w:color w:val="auto"/>
        </w:rPr>
        <w:t xml:space="preserve">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Delaware Law to be submitted to stockholders for approval or (b) adopting, amending or repealing any of these Bylaws. Any such committee shall keep written minutes of its meetings and report the same to the Board at the next regular meeting of the Board. Any Board committee may create one or more subcommittees, each subcommittee to consist of one or more members of such committee, and delegate to the subcommittee any or all of the powers of the committee.</w:t>
      </w:r>
    </w:p>
    <w:p>
      <w:pPr>
        <w:spacing w:after="0" w:line="110"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b w:val="1"/>
          <w:bCs w:val="1"/>
          <w:color w:val="auto"/>
        </w:rPr>
        <w:t>Notice of Meetings.</w:t>
      </w:r>
      <w:r>
        <w:rPr>
          <w:rFonts w:ascii="Arial" w:cs="Arial" w:eastAsia="Arial" w:hAnsi="Arial"/>
          <w:sz w:val="17"/>
          <w:szCs w:val="17"/>
          <w:color w:val="auto"/>
        </w:rPr>
        <w:t xml:space="preserve"> Notice of all special meetings of the Board or a committee shall be mailed to each director, addressed to his or her residence or usual place of business, at least five (5) days before the day on which the meeting is to be held, or shall be personally delivered or otherwise given by such delivery means (telecopy, electronic or other) as the Secretary deems appropriate and in compliance with applicable law, at least two (2) days before the day on which the meeting is to be held. Such notice may be waived by any director and any meeting shall be a legal meeting without notice having been given if all the directors shall be present thereat or if those not present shall, either before or after the meeting, waive notice of, or consent to (in writing or by electronic transmission) such meeting or shall after the meeting sign the approval of the minutes thereof. All such waivers, consents or approvals shall be filed with the corporate records or be made a part of the minutes of the meeting.</w:t>
      </w:r>
    </w:p>
    <w:p>
      <w:pPr>
        <w:spacing w:after="0" w:line="118"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b w:val="1"/>
          <w:bCs w:val="1"/>
          <w:color w:val="auto"/>
        </w:rPr>
        <w:t>Place of Meeting, Etc.</w:t>
      </w:r>
      <w:r>
        <w:rPr>
          <w:rFonts w:ascii="Arial" w:cs="Arial" w:eastAsia="Arial" w:hAnsi="Arial"/>
          <w:sz w:val="18"/>
          <w:szCs w:val="18"/>
          <w:color w:val="auto"/>
        </w:rPr>
        <w:t xml:space="preserve"> The Board (or committee of the Board) may hold any of its meetings at such place or places within or without the State of Delaware as the Board (or the committee) may from time to time by resolution designate or as shall be designated by the person or persons calling the meeting or in the notice or a waiver of notice of any such meeting. Directors may participate in any regular or special meeting of the Board or a committee by means of conference telephone or other communications equipment pursuant to which all persons participating in the meeting can hear each other, and such participation shall constitute presence in person at such meeting.</w:t>
      </w:r>
    </w:p>
    <w:p>
      <w:pPr>
        <w:spacing w:after="0" w:line="13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b w:val="1"/>
          <w:bCs w:val="1"/>
          <w:color w:val="auto"/>
        </w:rPr>
        <w:t>Quorum and Manner of Acting.</w:t>
      </w:r>
      <w:r>
        <w:rPr>
          <w:rFonts w:ascii="Arial" w:cs="Arial" w:eastAsia="Arial" w:hAnsi="Arial"/>
          <w:sz w:val="18"/>
          <w:szCs w:val="18"/>
          <w:color w:val="auto"/>
        </w:rPr>
        <w:t xml:space="preserve"> Except as otherwise provided in these Bylaws or by Delaware Law, the presence of a majority of the total number of directors shall be required to constitute a quorum for the transaction of business at any meeting of the Board and the presence of a majority of the total number of directors then serving on a committee of the Board shall be required to constitute a quorum for the transaction of business at any meeting of such committee, and all matters shall be decided at any such meeting, a quorum being present, by the affirmative votes of a majority of the directors present. In the absence of a quorum at any meeting or any adjournment thereof, a majority of directors present may adjourn such meeting from time to time. At any adjourned meeting at which a quorum is present, any business may be transacted which might have been transacted at the meeting as originally called. Notice of any adjourned meeting need not be given. The directors shall act only as a Board or as a committee thereof, and the individual directors shall have no power as such.</w:t>
      </w:r>
    </w:p>
    <w:p>
      <w:pPr>
        <w:spacing w:after="0" w:line="131" w:lineRule="exact"/>
        <w:rPr>
          <w:sz w:val="20"/>
          <w:szCs w:val="20"/>
          <w:color w:val="auto"/>
        </w:rPr>
      </w:pPr>
    </w:p>
    <w:p>
      <w:pPr>
        <w:ind w:right="200" w:firstLine="446"/>
        <w:spacing w:after="0" w:line="26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b w:val="1"/>
          <w:bCs w:val="1"/>
          <w:color w:val="auto"/>
        </w:rPr>
        <w:t>Action by Consent.</w:t>
      </w:r>
      <w:r>
        <w:rPr>
          <w:rFonts w:ascii="Arial" w:cs="Arial" w:eastAsia="Arial" w:hAnsi="Arial"/>
          <w:sz w:val="18"/>
          <w:szCs w:val="18"/>
          <w:color w:val="auto"/>
        </w:rPr>
        <w:t xml:space="preserve"> Any action required or permitted to be taken at any meeting of the Board or of any committee thereof may be taken without a meeting if all members of the Board or such committee consent thereto in writing or by electronic transmission, as the case may be, and such written consent or electronic transmission is filed with the minutes of proceedings of the Board or committee.</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526" w:right="239" w:bottom="1440" w:gutter="0" w:footer="0" w:header="0"/>
        </w:sectPr>
      </w:pPr>
    </w:p>
    <w:bookmarkStart w:id="162" w:name="page163"/>
    <w:bookmarkEnd w:id="162"/>
    <w:p>
      <w:pPr>
        <w:ind w:right="200" w:firstLine="446"/>
        <w:spacing w:after="0" w:line="282"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b w:val="1"/>
          <w:bCs w:val="1"/>
          <w:color w:val="auto"/>
        </w:rPr>
        <w:t>Compensation.</w:t>
      </w:r>
      <w:r>
        <w:rPr>
          <w:rFonts w:ascii="Arial" w:cs="Arial" w:eastAsia="Arial" w:hAnsi="Arial"/>
          <w:sz w:val="18"/>
          <w:szCs w:val="18"/>
          <w:color w:val="auto"/>
        </w:rPr>
        <w:t xml:space="preserve"> The directors shall receive such compensation for their services as directors, and such additional compensation for their services as members of any committees of the Board, as may be authorized by the Board.</w:t>
      </w:r>
    </w:p>
    <w:p>
      <w:pPr>
        <w:spacing w:after="0" w:line="108" w:lineRule="exact"/>
        <w:rPr>
          <w:sz w:val="20"/>
          <w:szCs w:val="20"/>
          <w:color w:val="auto"/>
        </w:rPr>
      </w:pPr>
    </w:p>
    <w:p>
      <w:pPr>
        <w:ind w:firstLine="446"/>
        <w:spacing w:after="0" w:line="303"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b w:val="1"/>
          <w:bCs w:val="1"/>
          <w:color w:val="auto"/>
        </w:rPr>
        <w:t>Officers of the Board.</w:t>
      </w:r>
      <w:r>
        <w:rPr>
          <w:rFonts w:ascii="Arial" w:cs="Arial" w:eastAsia="Arial" w:hAnsi="Arial"/>
          <w:sz w:val="16"/>
          <w:szCs w:val="16"/>
          <w:color w:val="auto"/>
        </w:rPr>
        <w:t xml:space="preserve"> The Board may elect or appoint, from among its members, a Chair of the Board and one or more Vice Chairs of the Board, who shall not be considered by virtue of holding such position officers of the Corporation. The Chair of the Board, when present, shall preside at all meetings of the stockholders of the Corporation and of the Board. The Chair of the Board shall perform, under the direction and subject to the control of the Board, all duties incident to the office of Chair of the Board and such other duties as the Board may assign to the Chair of the Board from time to time.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153" w:lineRule="exact"/>
        <w:rPr>
          <w:sz w:val="20"/>
          <w:szCs w:val="20"/>
          <w:color w:val="auto"/>
        </w:rPr>
      </w:pPr>
    </w:p>
    <w:p>
      <w:pPr>
        <w:ind w:right="120" w:firstLine="446"/>
        <w:spacing w:after="0" w:line="266"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b w:val="1"/>
          <w:bCs w:val="1"/>
          <w:color w:val="auto"/>
        </w:rPr>
        <w:t>Principal Officers.</w:t>
      </w:r>
      <w:r>
        <w:rPr>
          <w:rFonts w:ascii="Arial" w:cs="Arial" w:eastAsia="Arial" w:hAnsi="Arial"/>
          <w:sz w:val="18"/>
          <w:szCs w:val="18"/>
          <w:color w:val="auto"/>
        </w:rPr>
        <w:t xml:space="preserve"> The principal officers of the Corporation shall be a Chief Executive Officer, Chief Financial Officer, one or more Presidents of various ranks, one or more Executive Vice Presidents, a Secretary, a Controller and a Treasurer, all of whom shall serve under the direction and subject to the control of the Board.</w:t>
      </w:r>
    </w:p>
    <w:p>
      <w:pPr>
        <w:spacing w:after="0" w:line="122"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b w:val="1"/>
          <w:bCs w:val="1"/>
          <w:color w:val="auto"/>
        </w:rPr>
        <w:t>Additional Officers and Agents.</w:t>
      </w:r>
      <w:r>
        <w:rPr>
          <w:rFonts w:ascii="Arial" w:cs="Arial" w:eastAsia="Arial" w:hAnsi="Arial"/>
          <w:sz w:val="17"/>
          <w:szCs w:val="17"/>
          <w:color w:val="auto"/>
        </w:rPr>
        <w:t xml:space="preserve"> In addition to the principal officers designated in Section 4.01, the Board may from time to time elect such other officers and agents as it may deem necessary or advisable, including one or more Vice Presidents of various rank, one or more Assistant Vice Presidents, one or more Assistant Secretaries, one or more Assistant Treasurers, and an Assistant Controller, each of which officers and agents shall be subject to the control of the Board and have such authority and perform such duties as are provided in these Bylaws or as the Board, Chair of the Board or Chief Executive Officer may from time to time determine. Each such officer shall hold office until his or her successor shall have been duly chosen and qualified or until his or her earlier resignation, removal or other disqualification for service. No person shall be deemed an officer of the Corporation unless and until elected as an officer by the Board in accordance with Section 4.02 or Section 4.03.</w:t>
      </w:r>
    </w:p>
    <w:p>
      <w:pPr>
        <w:spacing w:after="0" w:line="118" w:lineRule="exact"/>
        <w:rPr>
          <w:sz w:val="20"/>
          <w:szCs w:val="20"/>
          <w:color w:val="auto"/>
        </w:rPr>
      </w:pPr>
    </w:p>
    <w:p>
      <w:pPr>
        <w:ind w:right="120" w:firstLine="446"/>
        <w:spacing w:after="0" w:line="26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The officers of the Corporation shall be elected annually (or at such other intervals as the Board may determine) by the Board. Each such officer shall hold office until his or her successor shall have been duly elected and qualified or until his or her earlier resignation, removal or other disqualification for service.</w:t>
      </w:r>
    </w:p>
    <w:p>
      <w:pPr>
        <w:spacing w:after="0" w:line="122" w:lineRule="exact"/>
        <w:rPr>
          <w:sz w:val="20"/>
          <w:szCs w:val="20"/>
          <w:color w:val="auto"/>
        </w:rPr>
      </w:pPr>
    </w:p>
    <w:p>
      <w:pPr>
        <w:ind w:right="120" w:firstLine="446"/>
        <w:spacing w:after="0" w:line="26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b w:val="1"/>
          <w:bCs w:val="1"/>
          <w:color w:val="auto"/>
        </w:rPr>
        <w:t>Removal.</w:t>
      </w:r>
      <w:r>
        <w:rPr>
          <w:rFonts w:ascii="Arial" w:cs="Arial" w:eastAsia="Arial" w:hAnsi="Arial"/>
          <w:sz w:val="18"/>
          <w:szCs w:val="18"/>
          <w:color w:val="auto"/>
        </w:rPr>
        <w:t xml:space="preserve"> All officers and agents of the Corporation, elected or appointed by the Board, may be removed, either with or without cause, at any time, by (a) resolution adopted by the Board or (b) if the officer or agent is not a principal officer by the Chief Executive Officer (or someone to whom the Chief Executive Officer has delegated this authority).</w:t>
      </w:r>
    </w:p>
    <w:p>
      <w:pPr>
        <w:spacing w:after="0" w:line="122" w:lineRule="exact"/>
        <w:rPr>
          <w:sz w:val="20"/>
          <w:szCs w:val="20"/>
          <w:color w:val="auto"/>
        </w:rPr>
      </w:pPr>
    </w:p>
    <w:p>
      <w:pPr>
        <w:ind w:firstLine="446"/>
        <w:spacing w:after="0" w:line="289"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b w:val="1"/>
          <w:bCs w:val="1"/>
          <w:color w:val="auto"/>
        </w:rPr>
        <w:t>Resignations.</w:t>
      </w:r>
      <w:r>
        <w:rPr>
          <w:rFonts w:ascii="Arial" w:cs="Arial" w:eastAsia="Arial" w:hAnsi="Arial"/>
          <w:sz w:val="17"/>
          <w:szCs w:val="17"/>
          <w:color w:val="auto"/>
        </w:rPr>
        <w:t xml:space="preserve"> Any officer may resign at any time by giving written notice to the Board, the Chair of the Board, the Chief Executive Officer or the Secretary of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04" w:lineRule="exact"/>
        <w:rPr>
          <w:sz w:val="20"/>
          <w:szCs w:val="20"/>
          <w:color w:val="auto"/>
        </w:rPr>
      </w:pPr>
    </w:p>
    <w:p>
      <w:pPr>
        <w:ind w:right="260" w:firstLine="446"/>
        <w:spacing w:after="0" w:line="282"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b w:val="1"/>
          <w:bCs w:val="1"/>
          <w:color w:val="auto"/>
        </w:rPr>
        <w:t>Vacancies.</w:t>
      </w:r>
      <w:r>
        <w:rPr>
          <w:rFonts w:ascii="Arial" w:cs="Arial" w:eastAsia="Arial" w:hAnsi="Arial"/>
          <w:sz w:val="18"/>
          <w:szCs w:val="18"/>
          <w:color w:val="auto"/>
        </w:rPr>
        <w:t xml:space="preserve"> A vacancy in any office because of death, resignation, removal, disqualification, or other cause, may be filled in the manner prescribed in these Bylaws for regular appointments to such office.</w:t>
      </w:r>
    </w:p>
    <w:p>
      <w:pPr>
        <w:spacing w:after="0" w:line="108" w:lineRule="exact"/>
        <w:rPr>
          <w:sz w:val="20"/>
          <w:szCs w:val="20"/>
          <w:color w:val="auto"/>
        </w:rPr>
      </w:pPr>
    </w:p>
    <w:p>
      <w:pPr>
        <w:ind w:right="160" w:firstLine="446"/>
        <w:spacing w:after="0" w:line="273"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b w:val="1"/>
          <w:bCs w:val="1"/>
          <w:color w:val="auto"/>
        </w:rPr>
        <w:t>Chief Executive Officer.</w:t>
      </w:r>
      <w:r>
        <w:rPr>
          <w:rFonts w:ascii="Arial" w:cs="Arial" w:eastAsia="Arial" w:hAnsi="Arial"/>
          <w:sz w:val="17"/>
          <w:szCs w:val="17"/>
          <w:color w:val="auto"/>
        </w:rPr>
        <w:t xml:space="preserve"> Subject to such supervisory powers, if any, as may be given by the Board to the Chair of the Board, if any, the Chief Executive Officer, if such officer is appointed, shall, subject to the control of the Board, have general supervision direction and control of the business and officers of the Corporation. In the event of the death, disability or other absence of the Chair of the Board, the duties of the Chair of the Board may be performed by the Chief Executive Officer, including presiding at any meeting of the Board or the stockholders of the Corporation. The Chief Executive Officer may execute (in facsimile or otherwise) and deliver certificates for shares of the Corporation, any deeds, mortgages, bonds, contracts or other instruments that the Board has authorized to be executed and delivered, except in cases where the execution and delivery thereof shall be expressly and exclusively delegated to one or more other officers or agents of the Corporation by the Board or these</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526"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Bylaws, or where the execution and delivery thereof shall be required by applicable law to be executed and delivered by another person.</w:t>
      </w:r>
    </w:p>
    <w:p>
      <w:pPr>
        <w:spacing w:after="0" w:line="167"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 xml:space="preserve">Section 4.08 </w:t>
      </w:r>
      <w:r>
        <w:rPr>
          <w:rFonts w:ascii="Arial" w:cs="Arial" w:eastAsia="Arial" w:hAnsi="Arial"/>
          <w:sz w:val="17"/>
          <w:szCs w:val="17"/>
          <w:b w:val="1"/>
          <w:bCs w:val="1"/>
          <w:color w:val="auto"/>
        </w:rPr>
        <w:t>President(s).</w:t>
      </w:r>
      <w:r>
        <w:rPr>
          <w:rFonts w:ascii="Arial" w:cs="Arial" w:eastAsia="Arial" w:hAnsi="Arial"/>
          <w:sz w:val="17"/>
          <w:szCs w:val="17"/>
          <w:color w:val="auto"/>
        </w:rPr>
        <w:t xml:space="preserve"> Individuals appointed to the office of President shall perform, under the direction and subject to the control of the Board and the Chief Executive Officer, all duties incident to the office of President and such other duties as the Board or Chief Executive Officer may assign to such President from time to time. The President may execute (in facsimile or otherwise) and deliver certificates for shares of the Corporation, any deeds, mortgages, bonds, contracts or other instruments that the Board or the Chief Executive Officer has authorized to be executed and delivered, except in cases where the execution and delivery thereof shall be expressly and exclusively delegated to one or more other officers of agents of the Corporation by the Board or these Bylaws, or where the execution and delivery thereof shall be required by applicable law to be executed and delivered by another person. Individuals appointed to the office of President of an organizational unit of the Corporation or Group President shall perform, under the direction and subject to the control of the Board, the Chief Executive Officer and the President of the Corporation and shall have such other duties as the Board, Chief Executive Officer or President of the Corporation may assign to such officers from time to time.</w:t>
      </w:r>
    </w:p>
    <w:p>
      <w:pPr>
        <w:spacing w:after="0" w:line="120" w:lineRule="exact"/>
        <w:rPr>
          <w:sz w:val="20"/>
          <w:szCs w:val="20"/>
          <w:color w:val="auto"/>
        </w:rPr>
      </w:pPr>
    </w:p>
    <w:p>
      <w:pPr>
        <w:ind w:right="140" w:firstLine="446"/>
        <w:spacing w:after="0" w:line="261"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b w:val="1"/>
          <w:bCs w:val="1"/>
          <w:color w:val="auto"/>
        </w:rPr>
        <w:t>Vice Presidents.</w:t>
      </w:r>
      <w:r>
        <w:rPr>
          <w:rFonts w:ascii="Arial" w:cs="Arial" w:eastAsia="Arial" w:hAnsi="Arial"/>
          <w:sz w:val="18"/>
          <w:szCs w:val="18"/>
          <w:color w:val="auto"/>
        </w:rPr>
        <w:t xml:space="preserve"> Each Vice President of the Corporation shall perform, under the direction and subject to the control of the Board, the Chief Executive Officer or President, such duties as the Board, the Chief Executive Officer, any President or such other office or officers may assign to such Vice President from time to time. Vice Presidents of the Corporation may be further designated as Executive Vice Presidents, Senior Vice Presidents, Vice Presidents, Assistant Vice Presidents or such other similar title as the Board may designate.</w:t>
      </w:r>
    </w:p>
    <w:p>
      <w:pPr>
        <w:spacing w:after="0" w:line="126" w:lineRule="exact"/>
        <w:rPr>
          <w:sz w:val="20"/>
          <w:szCs w:val="20"/>
          <w:color w:val="auto"/>
        </w:rPr>
      </w:pPr>
    </w:p>
    <w:p>
      <w:pPr>
        <w:ind w:right="40" w:firstLine="446"/>
        <w:spacing w:after="0" w:line="288"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b w:val="1"/>
          <w:bCs w:val="1"/>
          <w:color w:val="auto"/>
        </w:rPr>
        <w:t>Secretary.</w:t>
      </w:r>
      <w:r>
        <w:rPr>
          <w:rFonts w:ascii="Arial" w:cs="Arial" w:eastAsia="Arial" w:hAnsi="Arial"/>
          <w:sz w:val="16"/>
          <w:szCs w:val="16"/>
          <w:color w:val="auto"/>
        </w:rPr>
        <w:t xml:space="preserve"> The Secretary of the Corporation or his or her designee shall attend all meetings of the stockholders of the Corporation, the Board and committees established by the Board and shall record correctly the proceedings of such meetings in a book suitable for such purposes. The Secretary shall attest with a signature and the seal of the Corporation (in facsimile or otherwise) all stock certificates issued by the Corporation and shall keep or cause to be kept a stock ledger in which all transactions pertaining to shares of all classes and series of capital stock of the Corporation shall be correctly recorded. The Secretary shall also attest with a signature and the seal of the Corporation (in facsimile or otherwise) all deeds, conveyances or other instruments requiring the seal of the Corporation. The Chair of the Board, the Chief Executive Officer or the Secretary shall give, or cause to be given, notice of all meetings of the stockholders of the Corporation and special meetings of the Board or committees established by the Board. The Secretary is authorized to issue certificates, to which the corporate seal may be affixed, attesting to the incumbency of officers of the Corporation or to actions duly taken by the stockholders of the Corporation, the Board or any committee established by the Board. The Secretary shall perform, under the direction and subject to the control of the Board and the Chief Executive Officer, all duties incident to the office of Secretary and such other duties as the Board or the Chief Executive Officer may assign to the Secretary from time to time. The duties of the Secretary may also be performed by any Assistant Secretary of the Corporation.</w:t>
      </w:r>
    </w:p>
    <w:p>
      <w:pPr>
        <w:spacing w:after="0" w:line="110" w:lineRule="exact"/>
        <w:rPr>
          <w:sz w:val="20"/>
          <w:szCs w:val="20"/>
          <w:color w:val="auto"/>
        </w:rPr>
      </w:pPr>
    </w:p>
    <w:p>
      <w:pPr>
        <w:ind w:right="60" w:firstLine="446"/>
        <w:spacing w:after="0" w:line="261"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b w:val="1"/>
          <w:bCs w:val="1"/>
          <w:color w:val="auto"/>
        </w:rPr>
        <w:t>Chief Financial Officer.</w:t>
      </w:r>
      <w:r>
        <w:rPr>
          <w:rFonts w:ascii="Arial" w:cs="Arial" w:eastAsia="Arial" w:hAnsi="Arial"/>
          <w:sz w:val="18"/>
          <w:szCs w:val="18"/>
          <w:color w:val="auto"/>
        </w:rPr>
        <w:t xml:space="preserve"> The Chief Financial Officer of the Corporation in general shall supervise all of the financial affairs of the Corporation, under the direction and subject to the control of the Board and the Chief Executive Officer. The Chief Financial Officer shall perform, under the direction and subject to the control of the Board and the Chief Executive Officer, all duties incident to the office of Chief Financial Officer and such other duties as the Board or the Chief Executive Officer may assign to the Chief Financial Officer from time to time.</w:t>
      </w:r>
    </w:p>
    <w:p>
      <w:pPr>
        <w:spacing w:after="0" w:line="126"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b w:val="1"/>
          <w:bCs w:val="1"/>
          <w:color w:val="auto"/>
        </w:rPr>
        <w:t>Treasurer.</w:t>
      </w:r>
      <w:r>
        <w:rPr>
          <w:rFonts w:ascii="Arial" w:cs="Arial" w:eastAsia="Arial" w:hAnsi="Arial"/>
          <w:sz w:val="17"/>
          <w:szCs w:val="17"/>
          <w:color w:val="auto"/>
        </w:rPr>
        <w:t xml:space="preserve"> The Treasurer of the Corporation shall have the care and custody of all the funds, notes, bonds, debentures, stock and other securities of the Corporation that may come into the hands of the Treasurer, acting in such capacity. The Treasurer shall be responsible for the investment and reinvestment of funds of the Corporation in accordance with general investment policies determined from time to time by the Corporation and shall ensure that the Corporation is adequately funded at all times by arranging, under the direction and subject to the control of the Board, the Chief Executive Officer, and the Chief Financial Officer, for the issuance of debt, equity and other forms of securities that may be necessary or appropriate. The Treasurer may endorse (in facsimile or otherwise) checks, drafts, notes, bonds, debentures and other instruments for the payment of money for deposit or collection when necessary or appropriate and may deposit the same to the credit of the Corporation in such banks or</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00"/>
          </w:cols>
          <w:pgMar w:left="240" w:top="531" w:right="259" w:bottom="1440" w:gutter="0" w:footer="0" w:header="0"/>
        </w:sectPr>
      </w:pPr>
    </w:p>
    <w:bookmarkStart w:id="164" w:name="page165"/>
    <w:bookmarkEnd w:id="164"/>
    <w:p>
      <w:pPr>
        <w:ind w:right="300"/>
        <w:spacing w:after="0" w:line="258" w:lineRule="auto"/>
        <w:rPr>
          <w:sz w:val="20"/>
          <w:szCs w:val="20"/>
          <w:color w:val="auto"/>
        </w:rPr>
      </w:pPr>
      <w:r>
        <w:rPr>
          <w:rFonts w:ascii="Arial" w:cs="Arial" w:eastAsia="Arial" w:hAnsi="Arial"/>
          <w:sz w:val="18"/>
          <w:szCs w:val="18"/>
          <w:color w:val="auto"/>
        </w:rPr>
        <w:t>depositories as the Board may designate from time to time, and the Treasurer may endorse (in facsimile or otherwise) all commercial documents requiring endorsements for or on behalf of the Corporation. The Treasurer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may deliver instructions to financial institutions by facsimile or otherwise. The Treasurer may execute (in facsimile or otherwise) all receipts and vouchers for payments made to the Corporation. The Treasurer shall render an account of the Treasurer’s transactions to the Board or its Audit Committee as often as the Board or its Audit Committee shall require from time to time. The Treasurer shall enter regularly in the books to be kept by the Treasurer for that purpose, a full and adequate account of all monies received and paid by the Treasurer on account of the Corporation. If requested by the Board, the Treasurer shall give a bond to the Corporation for the faithful performance of the Treasurer’s duties, the expenses of which bond shall be borne by the Corporation. The Treasurer shall perform, under the direction and subject to the control of the Board, the Chief Executive Officer and the Chief Financial Officer, all duties incident to the office of Treasurer and such other duties as the Board, the Chief Executive Officer or the Chief Financial Officer may assign to the Treasurer from time to time. The duties of the Treasurer may be performed by any Assistant Treasurer of the Corporation.</w:t>
      </w:r>
    </w:p>
    <w:p>
      <w:pPr>
        <w:spacing w:after="0" w:line="112" w:lineRule="exact"/>
        <w:rPr>
          <w:sz w:val="20"/>
          <w:szCs w:val="20"/>
          <w:color w:val="auto"/>
        </w:rPr>
      </w:pPr>
    </w:p>
    <w:p>
      <w:pPr>
        <w:ind w:right="140" w:firstLine="446"/>
        <w:spacing w:after="0" w:line="272"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b w:val="1"/>
          <w:bCs w:val="1"/>
          <w:color w:val="auto"/>
        </w:rPr>
        <w:t>Controller.</w:t>
      </w:r>
      <w:r>
        <w:rPr>
          <w:rFonts w:ascii="Arial" w:cs="Arial" w:eastAsia="Arial" w:hAnsi="Arial"/>
          <w:sz w:val="17"/>
          <w:szCs w:val="17"/>
          <w:color w:val="auto"/>
        </w:rPr>
        <w:t xml:space="preserve"> The Controller of the Corporation shall be the chief accounting officer of the Corporation, shall maintain adequate records of all assets, liabilities and transactions of the Corporation and shall be responsible for the design, installation and maintenance of accounting and cost control systems and procedures throughout the Corporation. The Controller also shall keep in books belonging to the Corporation full and accurate accounts of receipts of, and disbursements made by, the Corporation. The Controller shall render an account of the Controller’s transactions to the Board or its Audit Committee as often as the Board or its Audit Committee shall require from time to time. The Controller shall perform, under the direction and subject to the control of the Board, the Chief Executive Officer and the Chief Financial Officer, all duties incident to the office of Controller and such other duties as the Board, the Chief Executive Officer and the Chief Financial Officer, may assign to the Controller from time to time. The duties of the Controller may also be performed by any Assistant Controller of the Corporation.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DELEGATIONS OF AUTHORITY</w:t>
      </w:r>
    </w:p>
    <w:p>
      <w:pPr>
        <w:spacing w:after="0" w:line="153" w:lineRule="exact"/>
        <w:rPr>
          <w:sz w:val="20"/>
          <w:szCs w:val="20"/>
          <w:color w:val="auto"/>
        </w:rPr>
      </w:pPr>
    </w:p>
    <w:p>
      <w:pPr>
        <w:ind w:firstLine="446"/>
        <w:spacing w:after="0" w:line="28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b w:val="1"/>
          <w:bCs w:val="1"/>
          <w:color w:val="auto"/>
        </w:rPr>
        <w:t>Execution of Contracts.</w:t>
      </w:r>
      <w:r>
        <w:rPr>
          <w:rFonts w:ascii="Arial" w:cs="Arial" w:eastAsia="Arial" w:hAnsi="Arial"/>
          <w:sz w:val="17"/>
          <w:szCs w:val="17"/>
          <w:color w:val="auto"/>
        </w:rPr>
        <w:t xml:space="preserve"> Except as otherwise provided in these Bylaws, the Board may authorize any officer or officers, agent or agents, to enter into any contract or execute any instrument in the name of and on behalf of the Corporation, and such authority may be general or confined to specific instances; and unless so authorized by the Board or by these Bylaws, no officer, agent or employee shall have any power or authority to bind the Corporation by any contract or engagement or to pledge its credit or to render it liable for any purpose or in any amount.</w:t>
      </w:r>
    </w:p>
    <w:p>
      <w:pPr>
        <w:spacing w:after="0" w:line="111" w:lineRule="exact"/>
        <w:rPr>
          <w:sz w:val="20"/>
          <w:szCs w:val="20"/>
          <w:color w:val="auto"/>
        </w:rPr>
      </w:pPr>
    </w:p>
    <w:p>
      <w:pPr>
        <w:ind w:right="80" w:firstLine="446"/>
        <w:spacing w:after="0" w:line="289"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b w:val="1"/>
          <w:bCs w:val="1"/>
          <w:color w:val="auto"/>
        </w:rPr>
        <w:t>Checks, Drafts, Etc.</w:t>
      </w:r>
      <w:r>
        <w:rPr>
          <w:rFonts w:ascii="Arial" w:cs="Arial" w:eastAsia="Arial" w:hAnsi="Arial"/>
          <w:sz w:val="17"/>
          <w:szCs w:val="17"/>
          <w:color w:val="auto"/>
        </w:rPr>
        <w:t xml:space="preserve"> All checks, drafts or other orders for payment of money, notes or other evidence of indebtedness, issued in the name of or payable to the Corporation, shall be signed or endorsed by such person or persons and in such manner as, from time to time, shall be determined by resolution of the Board. Each such officer, assistant, agent or attorney shall give such bond, if any, as the Board may require.</w:t>
      </w:r>
    </w:p>
    <w:p>
      <w:pPr>
        <w:spacing w:after="0" w:line="104" w:lineRule="exact"/>
        <w:rPr>
          <w:sz w:val="20"/>
          <w:szCs w:val="20"/>
          <w:color w:val="auto"/>
        </w:rPr>
      </w:pPr>
    </w:p>
    <w:p>
      <w:pPr>
        <w:ind w:right="60" w:firstLine="446"/>
        <w:spacing w:after="0" w:line="29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b w:val="1"/>
          <w:bCs w:val="1"/>
          <w:color w:val="auto"/>
        </w:rPr>
        <w:t>Deposits.</w:t>
      </w:r>
      <w:r>
        <w:rPr>
          <w:rFonts w:ascii="Arial" w:cs="Arial" w:eastAsia="Arial" w:hAnsi="Arial"/>
          <w:sz w:val="16"/>
          <w:szCs w:val="16"/>
          <w:color w:val="auto"/>
        </w:rPr>
        <w:t xml:space="preserve"> All funds of the Corporation not otherwise employed shall be deposited from time to time to the credit of the Corporation in such banks, trust companies or other depositories as the Board may select, or as may be selected by any officer or officers, assistant or assistants, agent or agents, or attorney or attorneys of the Corporation to whom such power shall have been delegated by the Board. For the purpose of deposit and for the purpose of collection for the account of the Corporation, the Chair of the Board, the Chief Executive Officer, the Chief Financial Officer, any President, the Treasurer or any Vice President who has been authorized by the Chief Executive Officer, Chief Financial Officer or Treasurer to do so (or any other officer or officers, assistant or assistants, agent or agents, or attorney or attorneys of the Corporation who shall from time to time be determined by the Board) may endorse, assign and deliver checks, drafts and other orders for the payment of money which are payable to the order of the Corporation.</w:t>
      </w:r>
    </w:p>
    <w:p>
      <w:pPr>
        <w:spacing w:after="0" w:line="108" w:lineRule="exact"/>
        <w:rPr>
          <w:sz w:val="20"/>
          <w:szCs w:val="20"/>
          <w:color w:val="auto"/>
        </w:rPr>
      </w:pPr>
    </w:p>
    <w:p>
      <w:pPr>
        <w:ind w:right="220" w:firstLine="446"/>
        <w:spacing w:after="0" w:line="266"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b w:val="1"/>
          <w:bCs w:val="1"/>
          <w:color w:val="auto"/>
        </w:rPr>
        <w:t>General Special Bank Accounts.</w:t>
      </w:r>
      <w:r>
        <w:rPr>
          <w:rFonts w:ascii="Arial" w:cs="Arial" w:eastAsia="Arial" w:hAnsi="Arial"/>
          <w:sz w:val="18"/>
          <w:szCs w:val="18"/>
          <w:color w:val="auto"/>
        </w:rPr>
        <w:t xml:space="preserve"> The Board (or a committee of the Board to which such power is delegated) may from time to time authorize the opening and keeping of general and special bank accounts with such banks, trust companies or other depositories as the Board (or committee) may select or as may be selected by</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530" w:right="239" w:bottom="1440" w:gutter="0" w:footer="0" w:header="0"/>
        </w:sectPr>
      </w:pPr>
    </w:p>
    <w:bookmarkStart w:id="165" w:name="page166"/>
    <w:bookmarkEnd w:id="165"/>
    <w:p>
      <w:pPr>
        <w:jc w:val="both"/>
        <w:ind w:right="160"/>
        <w:spacing w:after="0" w:line="264" w:lineRule="auto"/>
        <w:rPr>
          <w:sz w:val="20"/>
          <w:szCs w:val="20"/>
          <w:color w:val="auto"/>
        </w:rPr>
      </w:pPr>
      <w:r>
        <w:rPr>
          <w:rFonts w:ascii="Arial" w:cs="Arial" w:eastAsia="Arial" w:hAnsi="Arial"/>
          <w:sz w:val="18"/>
          <w:szCs w:val="18"/>
          <w:color w:val="auto"/>
        </w:rPr>
        <w:t>any officer or officers, assistant or assistants, agent or agents, or attorney or attorneys of the Corporation to whom such power shall have been delegated by the Board. The Board may make such special rules and regulations with respect to such bank accounts, not inconsistent with the provisions of these Bylaws, as it may deem expedient.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SHARE TRANSFER</w:t>
      </w:r>
    </w:p>
    <w:p>
      <w:pPr>
        <w:spacing w:after="0" w:line="153" w:lineRule="exact"/>
        <w:rPr>
          <w:sz w:val="20"/>
          <w:szCs w:val="20"/>
          <w:color w:val="auto"/>
        </w:rPr>
      </w:pPr>
    </w:p>
    <w:p>
      <w:pPr>
        <w:ind w:right="80" w:firstLine="446"/>
        <w:spacing w:after="0" w:line="292"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b w:val="1"/>
          <w:bCs w:val="1"/>
          <w:color w:val="auto"/>
        </w:rPr>
        <w:t>Certificates Representing Stock.</w:t>
      </w:r>
      <w:r>
        <w:rPr>
          <w:rFonts w:ascii="Arial" w:cs="Arial" w:eastAsia="Arial" w:hAnsi="Arial"/>
          <w:sz w:val="16"/>
          <w:szCs w:val="16"/>
          <w:color w:val="auto"/>
        </w:rPr>
        <w:t xml:space="preserve"> Certificates (if any) representing shares of stock or any bond, debenture or other corporate securities of the Corporation shall be in such form as is consistent with the Certificate of Incorporation and applicable law, and shall be numbered in the order in which they shall be issued and shall be signed in the name of the Corporation by the President or a Vice President, and by the Secretary or an Assistant Secretary or by the Treasurer or an Assistant Treasurer. Any of or all of the signatures on the certificates may be a facsimile. In case any officer, transfer agent or registrar who has signed, or whose facsimile signature has been placed upon, any such certificate, has ceased to be such officer, transfer agent or registrar before such certificate is issued, such certificate may nevertheless be issued by the Corporation with the same effect as though the person who signed such certificate, or whose facsimile signature shall have been placed thereupon, were such officer, transfer agent or registrar at the date of issue.</w:t>
      </w:r>
    </w:p>
    <w:p>
      <w:pPr>
        <w:spacing w:after="0" w:line="108"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b w:val="1"/>
          <w:bCs w:val="1"/>
          <w:color w:val="auto"/>
        </w:rPr>
        <w:t>Transfers of Stock.</w:t>
      </w:r>
      <w:r>
        <w:rPr>
          <w:rFonts w:ascii="Arial" w:cs="Arial" w:eastAsia="Arial" w:hAnsi="Arial"/>
          <w:sz w:val="17"/>
          <w:szCs w:val="17"/>
          <w:color w:val="auto"/>
        </w:rPr>
        <w:t xml:space="preserve"> Upon compliance with provisions restricting the transfer or registration of shares of stock, if any, transfers or registrations of transfers of shares of stock of the Corporation shall be made only on the books of the Corporation by the registered holder thereof, or by the attorney of the registered holder thereunto authorized by power of attorney duly executed and filed with the Secretary, or with a transfer clerk or a transfer agent, if any, and with respect to shares represented by certificates upon surrender of the certificate or certificates for such shares properly endorsed, and with respect to uncertificated shares, upon the execution by the transferor and transferee of all transfer documents in such form as the Corporation shall reasonably require, and, with respect to all shares, upon the payment of all taxes thereon. The person in whose name shares of stock stand on the books of the Corporation shall be deemed the owner thereof for all purposes as regards the Corporation. Whenever any shares are pledged for collateral security such fact shall be reflected on the books of the Corporation.</w:t>
      </w:r>
    </w:p>
    <w:p>
      <w:pPr>
        <w:spacing w:after="0" w:line="172" w:lineRule="exact"/>
        <w:rPr>
          <w:sz w:val="20"/>
          <w:szCs w:val="20"/>
          <w:color w:val="auto"/>
        </w:rPr>
      </w:pPr>
    </w:p>
    <w:p>
      <w:pPr>
        <w:jc w:val="both"/>
        <w:ind w:right="120" w:firstLine="446"/>
        <w:spacing w:after="0" w:line="261"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b w:val="1"/>
          <w:bCs w:val="1"/>
          <w:color w:val="auto"/>
        </w:rPr>
        <w:t>Regulations.</w:t>
      </w:r>
      <w:r>
        <w:rPr>
          <w:rFonts w:ascii="Arial" w:cs="Arial" w:eastAsia="Arial" w:hAnsi="Arial"/>
          <w:sz w:val="18"/>
          <w:szCs w:val="18"/>
          <w:color w:val="auto"/>
        </w:rPr>
        <w:t xml:space="preserve"> The Board may make such rules and regulations as it may deem expedient, not inconsistent with these Bylaws, concerning the issue, transfer and registration of certificates for shares of the stock of the Corporation. It may appoint, or authorize any officer or officers to appoint, one or more transfer clerks or one or more transfer agents and one or more registrars, and may require all certificates for stock to bear the signature or signatures of any of them.</w:t>
      </w:r>
    </w:p>
    <w:p>
      <w:pPr>
        <w:spacing w:after="0" w:line="126" w:lineRule="exact"/>
        <w:rPr>
          <w:sz w:val="20"/>
          <w:szCs w:val="20"/>
          <w:color w:val="auto"/>
        </w:rPr>
      </w:pPr>
    </w:p>
    <w:p>
      <w:pPr>
        <w:jc w:val="both"/>
        <w:ind w:firstLine="446"/>
        <w:spacing w:after="0" w:line="281"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b w:val="1"/>
          <w:bCs w:val="1"/>
          <w:color w:val="auto"/>
        </w:rPr>
        <w:t>Lost, Stolen, Destroyed and Mutilated Certificates.</w:t>
      </w:r>
      <w:r>
        <w:rPr>
          <w:rFonts w:ascii="Arial" w:cs="Arial" w:eastAsia="Arial" w:hAnsi="Arial"/>
          <w:sz w:val="17"/>
          <w:szCs w:val="17"/>
          <w:color w:val="auto"/>
        </w:rPr>
        <w:t xml:space="preserve"> In any case of any alleged loss, theft, destruction, or mutilation of any certificate of stock, another may be issued in its place upon certification of such alleged loss, theft, destruction, or mutilation and upon the giving of a bond or indemnity to the Corporation in such form and in such sum as the Board may direct;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new certificate or uncertificated share may be issued without requiring any bond or indemnity when, in the judgment of the Board, or the Corporate Secretary, it is proper so to do.</w:t>
      </w:r>
    </w:p>
    <w:p>
      <w:pPr>
        <w:spacing w:after="0" w:line="111" w:lineRule="exact"/>
        <w:rPr>
          <w:sz w:val="20"/>
          <w:szCs w:val="20"/>
          <w:color w:val="auto"/>
        </w:rPr>
      </w:pPr>
    </w:p>
    <w:p>
      <w:pPr>
        <w:ind w:firstLine="446"/>
        <w:spacing w:after="0" w:line="291"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b w:val="1"/>
          <w:bCs w:val="1"/>
          <w:color w:val="auto"/>
        </w:rPr>
        <w:t>Fixing Date for Determination of Stockholders of Record.</w:t>
      </w:r>
      <w:r>
        <w:rPr>
          <w:rFonts w:ascii="Arial" w:cs="Arial" w:eastAsia="Arial" w:hAnsi="Arial"/>
          <w:sz w:val="16"/>
          <w:szCs w:val="16"/>
          <w:color w:val="auto"/>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other change, conversion or exchange of stock or for the purpose of any other lawful action, the Board may fix, in advance, a record date, which shall not be more than 60 nor less than 10 days before the date of such meeting, nor more than 60 days prior to any other action. If in any case involving the determination of stockholders for any purpose other than notice of or voting at a meeting of stockholders, the Board shall not fix such a record date, the record date for determining stockholders for such purpose shall be the close of business on the day on which the Board shall adopt the resolution relating thereto. A determination of stockholders entitled to notice of or to vote at a meeting of stockholders shall apply to any adjournment of such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the adjourned meeting.</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6"/>
                <w:szCs w:val="16"/>
                <w:color w:val="auto"/>
              </w:rPr>
              <w:t>March 20, 2015</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530" w:right="2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ind w:firstLine="446"/>
        <w:spacing w:after="0" w:line="282"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b w:val="1"/>
          <w:bCs w:val="1"/>
          <w:color w:val="auto"/>
        </w:rPr>
        <w:t>Seal.</w:t>
      </w:r>
      <w:r>
        <w:rPr>
          <w:rFonts w:ascii="Arial" w:cs="Arial" w:eastAsia="Arial" w:hAnsi="Arial"/>
          <w:sz w:val="18"/>
          <w:szCs w:val="18"/>
          <w:color w:val="auto"/>
        </w:rPr>
        <w:t xml:space="preserve"> The Board shall provide a corporate seal, which shall be in the form of a circle and shall bear the name of the Corporation and words and figures showing that the Corporation was incorporated in the State of Delaware and the year of incorporation.</w:t>
      </w:r>
    </w:p>
    <w:p>
      <w:pPr>
        <w:spacing w:after="0" w:line="108" w:lineRule="exact"/>
        <w:rPr>
          <w:sz w:val="20"/>
          <w:szCs w:val="20"/>
          <w:color w:val="auto"/>
        </w:rPr>
      </w:pPr>
    </w:p>
    <w:p>
      <w:pPr>
        <w:ind w:right="140" w:firstLine="446"/>
        <w:spacing w:after="0" w:line="266"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b w:val="1"/>
          <w:bCs w:val="1"/>
          <w:color w:val="auto"/>
        </w:rPr>
        <w:t>Waiver of Notices.</w:t>
      </w:r>
      <w:r>
        <w:rPr>
          <w:rFonts w:ascii="Arial" w:cs="Arial" w:eastAsia="Arial" w:hAnsi="Arial"/>
          <w:sz w:val="18"/>
          <w:szCs w:val="18"/>
          <w:color w:val="auto"/>
        </w:rPr>
        <w:t xml:space="preserve"> Whenever notice is required to be given by these Bylaws or the Certificate of Incorporation or Delaware Law, the person entitled to said notice may waive such notice (in writing or by electronic transmission), either before or after the time stated therein, and such waiver shall be deemed equivalent to notice.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The fiscal year of the Corporation shall begin on the day after the Friday closest to December 31 in each year.</w:t>
      </w:r>
    </w:p>
    <w:p>
      <w:pPr>
        <w:spacing w:after="0" w:line="171" w:lineRule="exact"/>
        <w:rPr>
          <w:sz w:val="20"/>
          <w:szCs w:val="20"/>
          <w:color w:val="auto"/>
        </w:rPr>
      </w:pPr>
    </w:p>
    <w:p>
      <w:pPr>
        <w:ind w:right="80" w:firstLine="446"/>
        <w:spacing w:after="0" w:line="282"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b w:val="1"/>
          <w:bCs w:val="1"/>
          <w:color w:val="auto"/>
        </w:rPr>
        <w:t>Amendments.</w:t>
      </w:r>
      <w:r>
        <w:rPr>
          <w:rFonts w:ascii="Arial" w:cs="Arial" w:eastAsia="Arial" w:hAnsi="Arial"/>
          <w:sz w:val="18"/>
          <w:szCs w:val="18"/>
          <w:color w:val="auto"/>
        </w:rPr>
        <w:t xml:space="preserve"> These Bylaws, or any of them, may be altered, amended or repealed, and new Bylaws may be made by the Board, by vote of a majority of the number of directors then in office as directors, acting at any meeting of the Board.</w:t>
      </w:r>
    </w:p>
    <w:p>
      <w:pPr>
        <w:spacing w:after="0" w:line="108" w:lineRule="exact"/>
        <w:rPr>
          <w:sz w:val="20"/>
          <w:szCs w:val="20"/>
          <w:color w:val="auto"/>
        </w:rPr>
      </w:pPr>
    </w:p>
    <w:p>
      <w:pPr>
        <w:ind w:right="20" w:firstLine="446"/>
        <w:spacing w:after="0" w:line="26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b w:val="1"/>
          <w:bCs w:val="1"/>
          <w:color w:val="auto"/>
        </w:rPr>
        <w:t>Designation of Engineer.</w:t>
      </w:r>
      <w:r>
        <w:rPr>
          <w:rFonts w:ascii="Arial" w:cs="Arial" w:eastAsia="Arial" w:hAnsi="Arial"/>
          <w:sz w:val="18"/>
          <w:szCs w:val="18"/>
          <w:color w:val="auto"/>
        </w:rPr>
        <w:t xml:space="preserve"> The Corporation engages in the practice of engineering in various jurisdictions which regulate such practice, including the State of Washington. In order to comply with the laws of such jurisdictions, including the State of Washington, all engineering decisions pertaining to any project or engineering activities in any such jurisdiction shall be made by a designated engineer licensed to practice in such jurisdiction who shall be appointed by the Board from time to time as vacancies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6"/>
                <w:szCs w:val="16"/>
                <w:color w:val="auto"/>
              </w:rPr>
              <w:t>March 20, 2015</w:t>
            </w:r>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380"/>
          </w:cols>
          <w:pgMar w:left="240" w:top="607" w:right="27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10.19</w:t>
      </w: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FORM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INDEMNIFICATION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made effective as of ____________, between Leidos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and ___________ (the “</w:t>
      </w:r>
      <w:r>
        <w:rPr>
          <w:rFonts w:ascii="Arial" w:cs="Arial" w:eastAsia="Arial" w:hAnsi="Arial"/>
          <w:sz w:val="21"/>
          <w:szCs w:val="21"/>
          <w:u w:val="single" w:color="auto"/>
          <w:color w:val="auto"/>
        </w:rPr>
        <w:t>Indemnitee</w:t>
      </w:r>
      <w:r>
        <w:rPr>
          <w:rFonts w:ascii="Arial" w:cs="Arial" w:eastAsia="Arial" w:hAnsi="Arial"/>
          <w:sz w:val="21"/>
          <w:szCs w:val="21"/>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24" w:lineRule="exact"/>
        <w:rPr>
          <w:sz w:val="20"/>
          <w:szCs w:val="20"/>
          <w:color w:val="auto"/>
        </w:rPr>
      </w:pPr>
    </w:p>
    <w:p>
      <w:pPr>
        <w:ind w:right="200" w:firstLine="656"/>
        <w:spacing w:after="0" w:line="249" w:lineRule="auto"/>
        <w:tabs>
          <w:tab w:leader="none" w:pos="1053"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Company and Indemnitee recognize that highly competent persons have become more reluctant to serve publicly-held corporations as directors, officers or in other capacities unless they are provided with adequate protection through insurance and/or adequate indemnification against inordinate risks of claims and actions against them arising out of their service to, and activities on behalf of, those corporations.</w:t>
      </w:r>
    </w:p>
    <w:p>
      <w:pPr>
        <w:spacing w:after="0" w:line="186" w:lineRule="exact"/>
        <w:rPr>
          <w:rFonts w:ascii="Arial" w:cs="Arial" w:eastAsia="Arial" w:hAnsi="Arial"/>
          <w:sz w:val="21"/>
          <w:szCs w:val="21"/>
          <w:color w:val="auto"/>
        </w:rPr>
      </w:pPr>
    </w:p>
    <w:p>
      <w:pPr>
        <w:ind w:right="140" w:firstLine="656"/>
        <w:spacing w:after="0" w:line="258" w:lineRule="auto"/>
        <w:tabs>
          <w:tab w:leader="none" w:pos="1045"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recognition of (1) Indemnitee’s need for substantial protection against personal liability in order to enhance Indemnitee’s continued and effective service to the Company and (2) Indemnitee’s reliance on the provisions of the Company’s Certificate of Incorporation (“</w:t>
      </w:r>
      <w:r>
        <w:rPr>
          <w:rFonts w:ascii="Arial" w:cs="Arial" w:eastAsia="Arial" w:hAnsi="Arial"/>
          <w:sz w:val="20"/>
          <w:szCs w:val="20"/>
          <w:u w:val="single" w:color="auto"/>
          <w:color w:val="auto"/>
        </w:rPr>
        <w:t>Certificate of Incorporation</w:t>
      </w:r>
      <w:r>
        <w:rPr>
          <w:rFonts w:ascii="Arial" w:cs="Arial" w:eastAsia="Arial" w:hAnsi="Arial"/>
          <w:sz w:val="20"/>
          <w:szCs w:val="20"/>
          <w:color w:val="auto"/>
        </w:rPr>
        <w:t>”) requiring indemnification of the Indemnitee to the fullest extent permitted by law, and in part to provide Indemnitee with specific contractual assurance that the protection promised by the Certificate of Incorporation will be available to Indemnitee (regardless of, among other things, any amendment to or revocation of the Certificate of Incorporation, any change in the composition of the Company’s Board of Directors or an acquisition transaction relating to the Company), the Company wishes to provide in this Agreement for the indemnification of, and the advancing of expenses to, Indemnitee to the fullest extent permitted by law and as set forth in this Agreement.</w:t>
      </w:r>
    </w:p>
    <w:p>
      <w:pPr>
        <w:spacing w:after="0" w:line="183" w:lineRule="exact"/>
        <w:rPr>
          <w:rFonts w:ascii="Arial" w:cs="Arial" w:eastAsia="Arial" w:hAnsi="Arial"/>
          <w:sz w:val="20"/>
          <w:szCs w:val="20"/>
          <w:color w:val="auto"/>
        </w:rPr>
      </w:pPr>
    </w:p>
    <w:p>
      <w:pPr>
        <w:ind w:firstLine="656"/>
        <w:spacing w:after="0" w:line="271" w:lineRule="auto"/>
        <w:tabs>
          <w:tab w:leader="none" w:pos="1041"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Certificate of Incorporation and the General Corporation Law of the State of Delaware (“</w:t>
      </w:r>
      <w:r>
        <w:rPr>
          <w:rFonts w:ascii="Arial" w:cs="Arial" w:eastAsia="Arial" w:hAnsi="Arial"/>
          <w:sz w:val="20"/>
          <w:szCs w:val="20"/>
          <w:u w:val="single" w:color="auto"/>
          <w:color w:val="auto"/>
        </w:rPr>
        <w:t>DGCL</w:t>
      </w:r>
      <w:r>
        <w:rPr>
          <w:rFonts w:ascii="Arial" w:cs="Arial" w:eastAsia="Arial" w:hAnsi="Arial"/>
          <w:sz w:val="20"/>
          <w:szCs w:val="20"/>
          <w:color w:val="auto"/>
        </w:rPr>
        <w:t>”) expressly provide that the indemnification provisions set forth therein are not exclusive and contemplate that contracts may be entered into between the Company and members of the Board of Directors, officers and other persons with respect to indemnification.</w:t>
      </w:r>
    </w:p>
    <w:p>
      <w:pPr>
        <w:spacing w:after="0" w:line="166" w:lineRule="exact"/>
        <w:rPr>
          <w:rFonts w:ascii="Arial" w:cs="Arial" w:eastAsia="Arial" w:hAnsi="Arial"/>
          <w:sz w:val="20"/>
          <w:szCs w:val="20"/>
          <w:color w:val="auto"/>
        </w:rPr>
      </w:pPr>
    </w:p>
    <w:p>
      <w:pPr>
        <w:ind w:right="580" w:firstLine="656"/>
        <w:spacing w:after="0" w:line="253" w:lineRule="auto"/>
        <w:tabs>
          <w:tab w:leader="none" w:pos="1057" w:val="left"/>
        </w:tabs>
        <w:numPr>
          <w:ilvl w:val="0"/>
          <w:numId w:val="49"/>
        </w:numPr>
        <w:rPr>
          <w:rFonts w:ascii="Arial" w:cs="Arial" w:eastAsia="Arial" w:hAnsi="Arial"/>
          <w:sz w:val="21"/>
          <w:szCs w:val="21"/>
          <w:color w:val="auto"/>
        </w:rPr>
      </w:pPr>
      <w:r>
        <w:rPr>
          <w:rFonts w:ascii="Arial" w:cs="Arial" w:eastAsia="Arial" w:hAnsi="Arial"/>
          <w:sz w:val="21"/>
          <w:szCs w:val="21"/>
          <w:color w:val="auto"/>
        </w:rPr>
        <w:t>It is reasonable, prudent and necessary for the Company to obligate itself contractually to indemnify, and to advance expenses on behalf of, such persons to the fullest extent permitted by applicable law so that they will serve or continue to serve the Company free from undue concern that they will not be so indemnified.</w:t>
      </w:r>
    </w:p>
    <w:p>
      <w:pPr>
        <w:spacing w:after="0" w:line="181" w:lineRule="exact"/>
        <w:rPr>
          <w:rFonts w:ascii="Arial" w:cs="Arial" w:eastAsia="Arial" w:hAnsi="Arial"/>
          <w:sz w:val="21"/>
          <w:szCs w:val="21"/>
          <w:color w:val="auto"/>
        </w:rPr>
      </w:pPr>
    </w:p>
    <w:p>
      <w:pPr>
        <w:ind w:right="600" w:firstLine="656"/>
        <w:spacing w:after="0" w:line="348" w:lineRule="auto"/>
        <w:tabs>
          <w:tab w:leader="none" w:pos="10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is a supplement to, and in furtherance of, the Certificate of Incorporation and any resolutions adopted pursuant thereto and shall not be deemed a substitute therefor, nor to diminish or abrogate any rights of Indemnitee thereunder.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AGREEMENT</w:t>
      </w:r>
    </w:p>
    <w:p>
      <w:pPr>
        <w:spacing w:after="0" w:line="224" w:lineRule="exact"/>
        <w:rPr>
          <w:sz w:val="20"/>
          <w:szCs w:val="20"/>
          <w:color w:val="auto"/>
        </w:rPr>
      </w:pPr>
    </w:p>
    <w:p>
      <w:pPr>
        <w:ind w:right="520" w:firstLine="648"/>
        <w:spacing w:after="0" w:line="289" w:lineRule="auto"/>
        <w:rPr>
          <w:sz w:val="20"/>
          <w:szCs w:val="20"/>
          <w:color w:val="auto"/>
        </w:rPr>
      </w:pPr>
      <w:r>
        <w:rPr>
          <w:rFonts w:ascii="Arial" w:cs="Arial" w:eastAsia="Arial" w:hAnsi="Arial"/>
          <w:sz w:val="20"/>
          <w:szCs w:val="20"/>
          <w:color w:val="auto"/>
        </w:rPr>
        <w:t>In consideration of the premises and of Indemnitee’s agreeing to serve or continuing to serve the Company directly or, at its request, with another enterprise, and intending to be legally bound hereby, the parties hereto agree as follows:</w:t>
      </w:r>
    </w:p>
    <w:p>
      <w:pPr>
        <w:sectPr>
          <w:pgSz w:w="11900" w:h="16838" w:orient="portrait"/>
          <w:cols w:equalWidth="0" w:num="1">
            <w:col w:w="11420"/>
          </w:cols>
          <w:pgMar w:left="240" w:top="554" w:right="239" w:bottom="1440" w:gutter="0" w:footer="0" w:header="0"/>
        </w:sectPr>
      </w:pPr>
    </w:p>
    <w:bookmarkStart w:id="168" w:name="page169"/>
    <w:bookmarkEnd w:id="168"/>
    <w:p>
      <w:pPr>
        <w:ind w:left="804" w:hanging="804"/>
        <w:spacing w:after="0"/>
        <w:tabs>
          <w:tab w:leader="none" w:pos="804"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Basic Indemnification Agreement</w:t>
      </w:r>
      <w:r>
        <w:rPr>
          <w:rFonts w:ascii="Arial" w:cs="Arial" w:eastAsia="Arial" w:hAnsi="Arial"/>
          <w:sz w:val="21"/>
          <w:szCs w:val="21"/>
          <w:b w:val="1"/>
          <w:bCs w:val="1"/>
          <w:i w:val="1"/>
          <w:iCs w:val="1"/>
          <w:color w:val="auto"/>
        </w:rPr>
        <w:t>.</w:t>
      </w:r>
    </w:p>
    <w:p>
      <w:pPr>
        <w:spacing w:after="0" w:line="223" w:lineRule="exact"/>
        <w:rPr>
          <w:rFonts w:ascii="Arial" w:cs="Arial" w:eastAsia="Arial" w:hAnsi="Arial"/>
          <w:sz w:val="21"/>
          <w:szCs w:val="21"/>
          <w:b w:val="1"/>
          <w:bCs w:val="1"/>
          <w:color w:val="auto"/>
        </w:rPr>
      </w:pPr>
    </w:p>
    <w:p>
      <w:pPr>
        <w:ind w:left="1044" w:hanging="395"/>
        <w:spacing w:after="0"/>
        <w:tabs>
          <w:tab w:leader="none" w:pos="1044" w:val="left"/>
        </w:tabs>
        <w:numPr>
          <w:ilvl w:val="1"/>
          <w:numId w:val="50"/>
        </w:numPr>
        <w:rPr>
          <w:rFonts w:ascii="Arial" w:cs="Arial" w:eastAsia="Arial" w:hAnsi="Arial"/>
          <w:sz w:val="18"/>
          <w:szCs w:val="18"/>
          <w:b w:val="1"/>
          <w:bCs w:val="1"/>
          <w:i w:val="1"/>
          <w:iCs w:val="1"/>
          <w:color w:val="auto"/>
        </w:rPr>
      </w:pPr>
      <w:r>
        <w:rPr>
          <w:rFonts w:ascii="Arial" w:cs="Arial" w:eastAsia="Arial" w:hAnsi="Arial"/>
          <w:sz w:val="21"/>
          <w:szCs w:val="21"/>
          <w:b w:val="1"/>
          <w:bCs w:val="1"/>
          <w:i w:val="1"/>
          <w:iCs w:val="1"/>
          <w:color w:val="auto"/>
        </w:rPr>
        <w:t>General Indemnity and Exceptions.</w:t>
      </w:r>
    </w:p>
    <w:p>
      <w:pPr>
        <w:spacing w:after="0" w:line="225" w:lineRule="exact"/>
        <w:rPr>
          <w:rFonts w:ascii="Arial" w:cs="Arial" w:eastAsia="Arial" w:hAnsi="Arial"/>
          <w:sz w:val="18"/>
          <w:szCs w:val="18"/>
          <w:b w:val="1"/>
          <w:bCs w:val="1"/>
          <w:i w:val="1"/>
          <w:iCs w:val="1"/>
          <w:color w:val="auto"/>
        </w:rPr>
      </w:pPr>
    </w:p>
    <w:p>
      <w:pPr>
        <w:ind w:left="-656" w:right="60" w:firstLine="1953"/>
        <w:spacing w:after="0" w:line="277" w:lineRule="auto"/>
        <w:tabs>
          <w:tab w:leader="none" w:pos="1678" w:val="left"/>
        </w:tabs>
        <w:numPr>
          <w:ilvl w:val="2"/>
          <w:numId w:val="50"/>
        </w:numPr>
        <w:rPr>
          <w:rFonts w:ascii="Arial" w:cs="Arial" w:eastAsia="Arial" w:hAnsi="Arial"/>
          <w:sz w:val="16"/>
          <w:szCs w:val="16"/>
          <w:color w:val="auto"/>
        </w:rPr>
      </w:pPr>
      <w:r>
        <w:rPr>
          <w:rFonts w:ascii="Arial" w:cs="Arial" w:eastAsia="Arial" w:hAnsi="Arial"/>
          <w:sz w:val="19"/>
          <w:szCs w:val="19"/>
          <w:b w:val="1"/>
          <w:bCs w:val="1"/>
          <w:u w:val="single" w:color="auto"/>
          <w:color w:val="auto"/>
        </w:rPr>
        <w:t>Indemnity</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Indemnitee was, is or becomes a party to or witness or other participant in, or is</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to be made a party to or witness or other participant in, a Claim (as defined in Section 9(b)) by reason of (or arising in part out of) an Indemnifiable Event (as defined in Section 9(d)), the Company shall indemnify Indemnitee to the fullest extent permitted by law, against: (i) any and all Expenses (as defined in Section 9(c)), judgments, fines, penalties and amounts paid in settlement (including all interest, assessments and other charges paid or payable in connection therewith) of such Claim actually and reasonably incurred by or on behalf of Indemnitee in connection with such Claim; and (ii) any federal, state, local or foreign taxes imposed on Indemnitee as a result of the actual or deemed receipt of any payments under this Agreement. Such indemnification shall be made as soon as practicable but in any event no later than 30 days after written demand is presented to the Company.</w:t>
      </w:r>
    </w:p>
    <w:p>
      <w:pPr>
        <w:spacing w:after="0" w:line="156" w:lineRule="exact"/>
        <w:rPr>
          <w:rFonts w:ascii="Arial" w:cs="Arial" w:eastAsia="Arial" w:hAnsi="Arial"/>
          <w:sz w:val="16"/>
          <w:szCs w:val="16"/>
          <w:color w:val="auto"/>
        </w:rPr>
      </w:pPr>
    </w:p>
    <w:p>
      <w:pPr>
        <w:ind w:left="-656" w:right="100" w:firstLine="1953"/>
        <w:spacing w:after="0" w:line="247" w:lineRule="auto"/>
        <w:tabs>
          <w:tab w:leader="none" w:pos="1678" w:val="left"/>
        </w:tabs>
        <w:numPr>
          <w:ilvl w:val="2"/>
          <w:numId w:val="50"/>
        </w:numPr>
        <w:rPr>
          <w:rFonts w:ascii="Arial" w:cs="Arial" w:eastAsia="Arial" w:hAnsi="Arial"/>
          <w:sz w:val="18"/>
          <w:szCs w:val="18"/>
          <w:color w:val="auto"/>
        </w:rPr>
      </w:pPr>
      <w:r>
        <w:rPr>
          <w:rFonts w:ascii="Arial" w:cs="Arial" w:eastAsia="Arial" w:hAnsi="Arial"/>
          <w:sz w:val="21"/>
          <w:szCs w:val="21"/>
          <w:b w:val="1"/>
          <w:bCs w:val="1"/>
          <w:u w:val="single" w:color="auto"/>
          <w:color w:val="auto"/>
        </w:rPr>
        <w:t>Indemnity Exceptions Prior to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anything in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prior to a Change in Control (as defined in Section 9(a)) and except as set forth in Sections 1(b), 3 and 7, Indemnitee shall not be entitled to indemnification pursuant to this Agreement in connection with any Claim: (i) initiated by Indemnitee against the Company or any director or officer of the Company, unless the Company has joined in or consented to the initiation of such Claim; (ii) made on account of Indemnitee’s conduct which constitutes a breach of Indemnitee’s duty of loyalty to the Company or its stockholders or is an act or omission not in good faith or involves intentional misconduct or a knowing violation of the law; or (iii) arising from the purchase and sale by Indemnitee of securities in violation of Section 16(b) of the Securities Exchange Act of 1934, as amended (the “</w:t>
      </w:r>
      <w:r>
        <w:rPr>
          <w:rFonts w:ascii="Arial" w:cs="Arial" w:eastAsia="Arial" w:hAnsi="Arial"/>
          <w:sz w:val="21"/>
          <w:szCs w:val="21"/>
          <w:u w:val="single" w:color="auto"/>
          <w:color w:val="auto"/>
        </w:rPr>
        <w:t>Exchange</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w:t>
      </w:r>
      <w:r>
        <w:rPr>
          <w:rFonts w:ascii="Arial" w:cs="Arial" w:eastAsia="Arial" w:hAnsi="Arial"/>
          <w:sz w:val="21"/>
          <w:szCs w:val="21"/>
          <w:color w:val="auto"/>
        </w:rPr>
        <w:t>”).</w:t>
      </w:r>
    </w:p>
    <w:p>
      <w:pPr>
        <w:spacing w:after="0" w:line="192" w:lineRule="exact"/>
        <w:rPr>
          <w:rFonts w:ascii="Arial" w:cs="Arial" w:eastAsia="Arial" w:hAnsi="Arial"/>
          <w:sz w:val="18"/>
          <w:szCs w:val="18"/>
          <w:color w:val="auto"/>
        </w:rPr>
      </w:pPr>
    </w:p>
    <w:p>
      <w:pPr>
        <w:ind w:left="-656" w:firstLine="1305"/>
        <w:spacing w:after="0" w:line="272" w:lineRule="auto"/>
        <w:tabs>
          <w:tab w:leader="none" w:pos="1030" w:val="left"/>
        </w:tabs>
        <w:numPr>
          <w:ilvl w:val="1"/>
          <w:numId w:val="50"/>
        </w:numPr>
        <w:rPr>
          <w:rFonts w:ascii="Arial" w:cs="Arial" w:eastAsia="Arial" w:hAnsi="Arial"/>
          <w:sz w:val="16"/>
          <w:szCs w:val="16"/>
          <w:b w:val="1"/>
          <w:bCs w:val="1"/>
          <w:i w:val="1"/>
          <w:iCs w:val="1"/>
          <w:color w:val="auto"/>
        </w:rPr>
      </w:pPr>
      <w:r>
        <w:rPr>
          <w:rFonts w:ascii="Arial" w:cs="Arial" w:eastAsia="Arial" w:hAnsi="Arial"/>
          <w:sz w:val="19"/>
          <w:szCs w:val="19"/>
          <w:b w:val="1"/>
          <w:bCs w:val="1"/>
          <w:i w:val="1"/>
          <w:iCs w:val="1"/>
          <w:color w:val="auto"/>
        </w:rPr>
        <w:t>Reviewing Party Determination of Indemnification</w:t>
      </w:r>
      <w:r>
        <w:rPr>
          <w:rFonts w:ascii="Arial" w:cs="Arial" w:eastAsia="Arial" w:hAnsi="Arial"/>
          <w:sz w:val="19"/>
          <w:szCs w:val="19"/>
          <w:color w:val="auto"/>
        </w:rPr>
        <w:t>. The indemnification obligations of the Company under Section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1(a) shall not be applicable if the Reviewing Party (as defined in Section 9(f)) has determined (in a written opinion, in any case in which the special independent counsel referred to in Section 2 is involved) that Indemnitee would not be permitted to be indemnified under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Indemnitee has commenced legal proceedings in the Court of Chancery of the State of Delaware (the “</w:t>
      </w:r>
      <w:r>
        <w:rPr>
          <w:rFonts w:ascii="Arial" w:cs="Arial" w:eastAsia="Arial" w:hAnsi="Arial"/>
          <w:sz w:val="19"/>
          <w:szCs w:val="19"/>
          <w:u w:val="single" w:color="auto"/>
          <w:color w:val="auto"/>
        </w:rPr>
        <w:t>Delaware Court</w:t>
      </w:r>
      <w:r>
        <w:rPr>
          <w:rFonts w:ascii="Arial" w:cs="Arial" w:eastAsia="Arial" w:hAnsi="Arial"/>
          <w:sz w:val="19"/>
          <w:szCs w:val="19"/>
          <w:color w:val="auto"/>
        </w:rPr>
        <w:t>”) to secure a determination that Indemnitee should be indemnified under applicable law, any determination made by the Reviewing Party that Indemnitee would not be permitted to be indemnified under applicable law shall not be binding until a final judicial determination is made with respect thereto (as to which all rights of appeal therefrom have been exhausted or lapsed). If there has not been a Change in Control, the Reviewing Party shall be selected by the Board of Directors, and if there has been such a Change in Control, the Reviewing Party shall be the special independent counsel referred to in Section 2. If there has been no determination by the Reviewing Party or if the Reviewing Party determines that Indemnitee substantively would not be permitted to be indemnified in whole or in part under applicable law, Indemnitee shall have the right to commence litigation in the Delaware Court seeking an initial determination by the court or challenging any such determination by the Reviewing Party or any aspect thereof and the Company hereby consents to service of process and to appear in any such proceeding. Any determination by the Reviewing Party otherwise shall be conclusive and binding on the Company and Indemnitee. The Company shall indemnify Indemnitee</w:t>
      </w:r>
    </w:p>
    <w:p>
      <w:pPr>
        <w:spacing w:after="0" w:line="200" w:lineRule="exact"/>
        <w:rPr>
          <w:sz w:val="20"/>
          <w:szCs w:val="20"/>
          <w:color w:val="auto"/>
        </w:rPr>
      </w:pPr>
    </w:p>
    <w:p>
      <w:pPr>
        <w:spacing w:after="0" w:line="228"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77" w:right="239" w:bottom="1440" w:gutter="0" w:footer="0" w:header="0"/>
        </w:sectPr>
      </w:pPr>
    </w:p>
    <w:bookmarkStart w:id="169" w:name="page170"/>
    <w:bookmarkEnd w:id="169"/>
    <w:p>
      <w:pPr>
        <w:ind w:right="120"/>
        <w:spacing w:after="0" w:line="264" w:lineRule="auto"/>
        <w:rPr>
          <w:sz w:val="20"/>
          <w:szCs w:val="20"/>
          <w:color w:val="auto"/>
        </w:rPr>
      </w:pPr>
      <w:r>
        <w:rPr>
          <w:rFonts w:ascii="Arial" w:cs="Arial" w:eastAsia="Arial" w:hAnsi="Arial"/>
          <w:sz w:val="21"/>
          <w:szCs w:val="21"/>
          <w:color w:val="auto"/>
        </w:rPr>
        <w:t>for Expenses incurred by Indemnitee in connection with the successful establishment or enforcement, in whole or in part, by Indemnitee of Indemnitee’s right to indemnification or advances.</w:t>
      </w:r>
    </w:p>
    <w:p>
      <w:pPr>
        <w:spacing w:after="0" w:line="171" w:lineRule="exact"/>
        <w:rPr>
          <w:sz w:val="20"/>
          <w:szCs w:val="20"/>
          <w:color w:val="auto"/>
        </w:rPr>
      </w:pPr>
    </w:p>
    <w:p>
      <w:pPr>
        <w:ind w:right="120" w:firstLine="1305"/>
        <w:spacing w:after="0" w:line="275" w:lineRule="auto"/>
        <w:tabs>
          <w:tab w:leader="none" w:pos="1676" w:val="left"/>
        </w:tabs>
        <w:numPr>
          <w:ilvl w:val="1"/>
          <w:numId w:val="51"/>
        </w:numPr>
        <w:rPr>
          <w:rFonts w:ascii="Arial" w:cs="Arial" w:eastAsia="Arial" w:hAnsi="Arial"/>
          <w:sz w:val="16"/>
          <w:szCs w:val="16"/>
          <w:b w:val="1"/>
          <w:bCs w:val="1"/>
          <w:i w:val="1"/>
          <w:iCs w:val="1"/>
          <w:color w:val="auto"/>
        </w:rPr>
      </w:pPr>
      <w:r>
        <w:rPr>
          <w:rFonts w:ascii="Arial" w:cs="Arial" w:eastAsia="Arial" w:hAnsi="Arial"/>
          <w:sz w:val="19"/>
          <w:szCs w:val="19"/>
          <w:b w:val="1"/>
          <w:bCs w:val="1"/>
          <w:i w:val="1"/>
          <w:iCs w:val="1"/>
          <w:color w:val="auto"/>
        </w:rPr>
        <w:t xml:space="preserve">Advancement of Expenses. </w:t>
      </w:r>
      <w:r>
        <w:rPr>
          <w:rFonts w:ascii="Arial" w:cs="Arial" w:eastAsia="Arial" w:hAnsi="Arial"/>
          <w:sz w:val="19"/>
          <w:szCs w:val="19"/>
          <w:color w:val="auto"/>
        </w:rPr>
        <w:t>If requested by Indemnitee in writing, the Company shall advance (within ten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days of such written request) any and all Expenses to Indemnitee (an “</w:t>
      </w:r>
      <w:r>
        <w:rPr>
          <w:rFonts w:ascii="Arial" w:cs="Arial" w:eastAsia="Arial" w:hAnsi="Arial"/>
          <w:sz w:val="19"/>
          <w:szCs w:val="19"/>
          <w:u w:val="single" w:color="auto"/>
          <w:color w:val="auto"/>
        </w:rPr>
        <w:t>Expense Advance</w:t>
      </w:r>
      <w:r>
        <w:rPr>
          <w:rFonts w:ascii="Arial" w:cs="Arial" w:eastAsia="Arial" w:hAnsi="Arial"/>
          <w:sz w:val="19"/>
          <w:szCs w:val="19"/>
          <w:color w:val="auto"/>
        </w:rPr>
        <w:t xml:space="preserve">”). The obligation of the Company to make an Expense Advance shall be subject to the condition that the Company receives an undertaking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Indemnitee has commenced legal proceedings in Delaware Court as provided in Section 1(b), </w:t>
      </w:r>
      <w:r>
        <w:rPr>
          <w:rFonts w:ascii="Arial" w:cs="Arial" w:eastAsia="Arial" w:hAnsi="Arial"/>
          <w:sz w:val="19"/>
          <w:szCs w:val="19"/>
          <w:u w:val="single" w:color="auto"/>
          <w:color w:val="auto"/>
        </w:rPr>
        <w:t>then</w:t>
      </w:r>
      <w:r>
        <w:rPr>
          <w:rFonts w:ascii="Arial" w:cs="Arial" w:eastAsia="Arial" w:hAnsi="Arial"/>
          <w:sz w:val="19"/>
          <w:szCs w:val="19"/>
          <w:color w:val="auto"/>
        </w:rPr>
        <w:t xml:space="preserve"> Indemnitee shall not be required to reimburse the Company for any Expense Advance until a final judicial determination is made with respect thereto (as to which all rights of appeal therefrom have been exhausted or lapsed). Indemnitee’s obligation to reimburse the Company for Expense Advances shall be unsecured and no interest shall be charged thereon.</w:t>
      </w:r>
    </w:p>
    <w:p>
      <w:pPr>
        <w:spacing w:after="0" w:line="158" w:lineRule="exact"/>
        <w:rPr>
          <w:rFonts w:ascii="Arial" w:cs="Arial" w:eastAsia="Arial" w:hAnsi="Arial"/>
          <w:sz w:val="16"/>
          <w:szCs w:val="16"/>
          <w:b w:val="1"/>
          <w:bCs w:val="1"/>
          <w:i w:val="1"/>
          <w:iCs w:val="1"/>
          <w:color w:val="auto"/>
        </w:rPr>
      </w:pPr>
    </w:p>
    <w:p>
      <w:pPr>
        <w:ind w:left="980" w:hanging="324"/>
        <w:spacing w:after="0"/>
        <w:tabs>
          <w:tab w:leader="none" w:pos="980" w:val="left"/>
        </w:tabs>
        <w:numPr>
          <w:ilvl w:val="0"/>
          <w:numId w:val="52"/>
        </w:numPr>
        <w:rPr>
          <w:rFonts w:ascii="Arial" w:cs="Arial" w:eastAsia="Arial" w:hAnsi="Arial"/>
          <w:sz w:val="18"/>
          <w:szCs w:val="18"/>
          <w:b w:val="1"/>
          <w:bCs w:val="1"/>
          <w:color w:val="auto"/>
        </w:rPr>
      </w:pPr>
      <w:r>
        <w:rPr>
          <w:rFonts w:ascii="Arial" w:cs="Arial" w:eastAsia="Arial" w:hAnsi="Arial"/>
          <w:sz w:val="21"/>
          <w:szCs w:val="21"/>
          <w:b w:val="1"/>
          <w:bCs w:val="1"/>
          <w:color w:val="auto"/>
        </w:rPr>
        <w:t>Special Independent Counsel after Certain Changes in Control.</w:t>
      </w:r>
    </w:p>
    <w:p>
      <w:pPr>
        <w:spacing w:after="0" w:line="237" w:lineRule="exact"/>
        <w:rPr>
          <w:rFonts w:ascii="Arial" w:cs="Arial" w:eastAsia="Arial" w:hAnsi="Arial"/>
          <w:sz w:val="18"/>
          <w:szCs w:val="18"/>
          <w:b w:val="1"/>
          <w:bCs w:val="1"/>
          <w:color w:val="auto"/>
        </w:rPr>
      </w:pPr>
    </w:p>
    <w:p>
      <w:pPr>
        <w:ind w:right="120" w:firstLine="1305"/>
        <w:spacing w:after="0" w:line="275" w:lineRule="auto"/>
        <w:tabs>
          <w:tab w:leader="none" w:pos="1686" w:val="left"/>
        </w:tabs>
        <w:numPr>
          <w:ilvl w:val="1"/>
          <w:numId w:val="52"/>
        </w:numPr>
        <w:rPr>
          <w:rFonts w:ascii="Arial" w:cs="Arial" w:eastAsia="Arial" w:hAnsi="Arial"/>
          <w:sz w:val="16"/>
          <w:szCs w:val="16"/>
          <w:b w:val="1"/>
          <w:bCs w:val="1"/>
          <w:i w:val="1"/>
          <w:iCs w:val="1"/>
          <w:color w:val="auto"/>
        </w:rPr>
      </w:pPr>
      <w:r>
        <w:rPr>
          <w:rFonts w:ascii="Arial" w:cs="Arial" w:eastAsia="Arial" w:hAnsi="Arial"/>
          <w:sz w:val="19"/>
          <w:szCs w:val="19"/>
          <w:b w:val="1"/>
          <w:bCs w:val="1"/>
          <w:i w:val="1"/>
          <w:iCs w:val="1"/>
          <w:color w:val="auto"/>
        </w:rPr>
        <w:t>Role of Special Counsel</w:t>
      </w:r>
      <w:r>
        <w:rPr>
          <w:rFonts w:ascii="Arial" w:cs="Arial" w:eastAsia="Arial" w:hAnsi="Arial"/>
          <w:sz w:val="19"/>
          <w:szCs w:val="19"/>
          <w:color w:val="auto"/>
        </w:rPr>
        <w:t>. If there is a Change in Control of the Company (other than a Change in Control approved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by two-thirds or more of the Company’s Board of Directors who were directors immediately prior to such Change in Control), then with respect to all matters thereafter arising concerning the rights of Indemnitee to indemnity payments and Expense Advances under this Agreement or any other agreement, the Certificate of Incorporation or the Company’s Bylaws (the “</w:t>
      </w:r>
      <w:r>
        <w:rPr>
          <w:rFonts w:ascii="Arial" w:cs="Arial" w:eastAsia="Arial" w:hAnsi="Arial"/>
          <w:sz w:val="19"/>
          <w:szCs w:val="19"/>
          <w:u w:val="single" w:color="auto"/>
          <w:color w:val="auto"/>
        </w:rPr>
        <w:t>Bylaws</w:t>
      </w:r>
      <w:r>
        <w:rPr>
          <w:rFonts w:ascii="Arial" w:cs="Arial" w:eastAsia="Arial" w:hAnsi="Arial"/>
          <w:sz w:val="19"/>
          <w:szCs w:val="19"/>
          <w:color w:val="auto"/>
        </w:rPr>
        <w:t>”) now or hereafter in effect relating to Claims for Indemnifiable Events, the Company shall seek legal advice only from special independent counsel selected by Indemnitee and approved by the Company (which approval shall not be unreasonably withheld or delayed) and who has not otherwise performed services for the Company within the last five years or for Indemnitee. Such special independent counsel, among other things, shall, within 90 days of its retention, render its written opinion to the Company and Indemnitee as to whether and to what extent Indemnitee would be permitted to be indemnified under applicable law.</w:t>
      </w:r>
    </w:p>
    <w:p>
      <w:pPr>
        <w:spacing w:after="0" w:line="164" w:lineRule="exact"/>
        <w:rPr>
          <w:rFonts w:ascii="Arial" w:cs="Arial" w:eastAsia="Arial" w:hAnsi="Arial"/>
          <w:sz w:val="16"/>
          <w:szCs w:val="16"/>
          <w:b w:val="1"/>
          <w:bCs w:val="1"/>
          <w:i w:val="1"/>
          <w:iCs w:val="1"/>
          <w:color w:val="auto"/>
        </w:rPr>
      </w:pPr>
    </w:p>
    <w:p>
      <w:pPr>
        <w:ind w:firstLine="1305"/>
        <w:spacing w:after="0" w:line="250" w:lineRule="auto"/>
        <w:tabs>
          <w:tab w:leader="none" w:pos="1686" w:val="left"/>
        </w:tabs>
        <w:numPr>
          <w:ilvl w:val="1"/>
          <w:numId w:val="52"/>
        </w:numPr>
        <w:rPr>
          <w:rFonts w:ascii="Arial" w:cs="Arial" w:eastAsia="Arial" w:hAnsi="Arial"/>
          <w:sz w:val="18"/>
          <w:szCs w:val="18"/>
          <w:b w:val="1"/>
          <w:bCs w:val="1"/>
          <w:i w:val="1"/>
          <w:iCs w:val="1"/>
          <w:color w:val="auto"/>
        </w:rPr>
      </w:pPr>
      <w:r>
        <w:rPr>
          <w:rFonts w:ascii="Arial" w:cs="Arial" w:eastAsia="Arial" w:hAnsi="Arial"/>
          <w:sz w:val="21"/>
          <w:szCs w:val="21"/>
          <w:b w:val="1"/>
          <w:bCs w:val="1"/>
          <w:i w:val="1"/>
          <w:iCs w:val="1"/>
          <w:color w:val="auto"/>
        </w:rPr>
        <w:t xml:space="preserve">Selection of Special Counsel. </w:t>
      </w:r>
      <w:r>
        <w:rPr>
          <w:rFonts w:ascii="Arial" w:cs="Arial" w:eastAsia="Arial" w:hAnsi="Arial"/>
          <w:sz w:val="21"/>
          <w:szCs w:val="21"/>
          <w:color w:val="auto"/>
        </w:rPr>
        <w:t>In the event that Indemnitee and the Company are unable to agree on the selection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special independent counsel, such special independent counsel shall be selected by lot from among at least five law firms with (i) offices in the State of Delaware having more than fifty attorneys, (ii) a rating of “av” or better in the then current Martindale Hubbell Law Directory and (iii) attorneys specializing in corporate law. Such selection shall be made in the presence of Indemnitee (and his or her legal counsel or either of them, as Indemnitee may elect).</w:t>
      </w:r>
    </w:p>
    <w:p>
      <w:pPr>
        <w:spacing w:after="0" w:line="187" w:lineRule="exact"/>
        <w:rPr>
          <w:rFonts w:ascii="Arial" w:cs="Arial" w:eastAsia="Arial" w:hAnsi="Arial"/>
          <w:sz w:val="18"/>
          <w:szCs w:val="18"/>
          <w:b w:val="1"/>
          <w:bCs w:val="1"/>
          <w:i w:val="1"/>
          <w:iCs w:val="1"/>
          <w:color w:val="auto"/>
        </w:rPr>
      </w:pPr>
    </w:p>
    <w:p>
      <w:pPr>
        <w:ind w:right="300" w:firstLine="1305"/>
        <w:spacing w:after="0" w:line="278" w:lineRule="auto"/>
        <w:tabs>
          <w:tab w:leader="none" w:pos="1676" w:val="left"/>
        </w:tabs>
        <w:numPr>
          <w:ilvl w:val="1"/>
          <w:numId w:val="52"/>
        </w:numPr>
        <w:rPr>
          <w:rFonts w:ascii="Arial" w:cs="Arial" w:eastAsia="Arial" w:hAnsi="Arial"/>
          <w:sz w:val="17"/>
          <w:szCs w:val="17"/>
          <w:b w:val="1"/>
          <w:bCs w:val="1"/>
          <w:i w:val="1"/>
          <w:iCs w:val="1"/>
          <w:color w:val="auto"/>
        </w:rPr>
      </w:pPr>
      <w:r>
        <w:rPr>
          <w:rFonts w:ascii="Arial" w:cs="Arial" w:eastAsia="Arial" w:hAnsi="Arial"/>
          <w:sz w:val="20"/>
          <w:szCs w:val="20"/>
          <w:b w:val="1"/>
          <w:bCs w:val="1"/>
          <w:i w:val="1"/>
          <w:iCs w:val="1"/>
          <w:color w:val="auto"/>
        </w:rPr>
        <w:t>Payment for Special Counsel</w:t>
      </w:r>
      <w:r>
        <w:rPr>
          <w:rFonts w:ascii="Arial" w:cs="Arial" w:eastAsia="Arial" w:hAnsi="Arial"/>
          <w:sz w:val="20"/>
          <w:szCs w:val="20"/>
          <w:color w:val="auto"/>
        </w:rPr>
        <w:t>. The Company agrees to pay the reasonable fees of the special independent counsel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referred to above and to fully indemnify such counsel against any and all expenses (including attorneys’ fees), claims, liabilities, and damages arising out of or relating to this Agreement or to its engagement pursuant hereto.</w:t>
      </w:r>
    </w:p>
    <w:p>
      <w:pPr>
        <w:spacing w:after="0" w:line="153" w:lineRule="exact"/>
        <w:rPr>
          <w:rFonts w:ascii="Arial" w:cs="Arial" w:eastAsia="Arial" w:hAnsi="Arial"/>
          <w:sz w:val="17"/>
          <w:szCs w:val="17"/>
          <w:b w:val="1"/>
          <w:bCs w:val="1"/>
          <w:i w:val="1"/>
          <w:iCs w:val="1"/>
          <w:color w:val="auto"/>
        </w:rPr>
      </w:pPr>
    </w:p>
    <w:p>
      <w:pPr>
        <w:ind w:right="320" w:firstLine="656"/>
        <w:spacing w:after="0" w:line="302" w:lineRule="auto"/>
        <w:tabs>
          <w:tab w:leader="none" w:pos="963" w:val="left"/>
        </w:tabs>
        <w:numPr>
          <w:ilvl w:val="0"/>
          <w:numId w:val="52"/>
        </w:numPr>
        <w:rPr>
          <w:rFonts w:ascii="Arial" w:cs="Arial" w:eastAsia="Arial" w:hAnsi="Arial"/>
          <w:sz w:val="16"/>
          <w:szCs w:val="16"/>
          <w:b w:val="1"/>
          <w:bCs w:val="1"/>
          <w:color w:val="auto"/>
        </w:rPr>
      </w:pPr>
      <w:r>
        <w:rPr>
          <w:rFonts w:ascii="Arial" w:cs="Arial" w:eastAsia="Arial" w:hAnsi="Arial"/>
          <w:sz w:val="19"/>
          <w:szCs w:val="19"/>
          <w:b w:val="1"/>
          <w:bCs w:val="1"/>
          <w:color w:val="auto"/>
        </w:rPr>
        <w:t>Indemnification for Enforcement Expenses</w:t>
      </w:r>
      <w:r>
        <w:rPr>
          <w:rFonts w:ascii="Arial" w:cs="Arial" w:eastAsia="Arial" w:hAnsi="Arial"/>
          <w:sz w:val="19"/>
          <w:szCs w:val="19"/>
          <w:color w:val="auto"/>
        </w:rPr>
        <w:t>. The Company shall indemnify Indemnitee against any and all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attorneys’ fees) and, if requested by Indemnitee in writing, shall (within ten business days of such written request) advance such expenses to Indemnitee, which are incurred by Indemnitee in connection with any Claim asserted or action</w:t>
      </w: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69" w:right="239" w:bottom="1440" w:gutter="0" w:footer="0" w:header="0"/>
        </w:sectPr>
      </w:pPr>
    </w:p>
    <w:bookmarkStart w:id="170" w:name="page171"/>
    <w:bookmarkEnd w:id="170"/>
    <w:p>
      <w:pPr>
        <w:ind w:right="80"/>
        <w:spacing w:after="0" w:line="245" w:lineRule="auto"/>
        <w:rPr>
          <w:sz w:val="20"/>
          <w:szCs w:val="20"/>
          <w:color w:val="auto"/>
        </w:rPr>
      </w:pPr>
      <w:r>
        <w:rPr>
          <w:rFonts w:ascii="Arial" w:cs="Arial" w:eastAsia="Arial" w:hAnsi="Arial"/>
          <w:sz w:val="21"/>
          <w:szCs w:val="21"/>
          <w:color w:val="auto"/>
        </w:rPr>
        <w:t>brought by Indemnitee for (a) indemnification or advance payment of Expenses by the Company under this Agreement or any other agreement, Certificate of Incorporation or the Bylaws now or hereafter in effect relating to Claims for Indemnifiable Events and/or (b) recovery under any directors’ and officers’ liability insurance policies maintained by the Company, regardless of whether Indemnitee ultimately is determined to be entitled to such indemnification, advance expense payment or insurance recovery, as the case may be. The Indemnitee shall qualify for advances solely upon the execution and delivery to the Company of an undertaking providing that the Indemnitee undertakes to repay the advance to the extent that it is ultimately determined that the Indemnitee is not entitled to be indemnified by the Company.</w:t>
      </w:r>
    </w:p>
    <w:p>
      <w:pPr>
        <w:spacing w:after="0" w:line="186" w:lineRule="exact"/>
        <w:rPr>
          <w:sz w:val="20"/>
          <w:szCs w:val="20"/>
          <w:color w:val="auto"/>
        </w:rPr>
      </w:pPr>
    </w:p>
    <w:p>
      <w:pPr>
        <w:ind w:right="40" w:firstLine="656"/>
        <w:spacing w:after="0" w:line="247" w:lineRule="auto"/>
        <w:tabs>
          <w:tab w:leader="none" w:pos="963" w:val="left"/>
        </w:tabs>
        <w:numPr>
          <w:ilvl w:val="1"/>
          <w:numId w:val="53"/>
        </w:numPr>
        <w:rPr>
          <w:rFonts w:ascii="Arial" w:cs="Arial" w:eastAsia="Arial" w:hAnsi="Arial"/>
          <w:sz w:val="18"/>
          <w:szCs w:val="18"/>
          <w:b w:val="1"/>
          <w:bCs w:val="1"/>
          <w:color w:val="auto"/>
        </w:rPr>
      </w:pPr>
      <w:r>
        <w:rPr>
          <w:rFonts w:ascii="Arial" w:cs="Arial" w:eastAsia="Arial" w:hAnsi="Arial"/>
          <w:sz w:val="21"/>
          <w:szCs w:val="21"/>
          <w:b w:val="1"/>
          <w:bCs w:val="1"/>
          <w:color w:val="auto"/>
        </w:rPr>
        <w:t>Partial Indemnity</w:t>
      </w:r>
      <w:r>
        <w:rPr>
          <w:rFonts w:ascii="Arial" w:cs="Arial" w:eastAsia="Arial" w:hAnsi="Arial"/>
          <w:sz w:val="21"/>
          <w:szCs w:val="21"/>
          <w:color w:val="auto"/>
        </w:rPr>
        <w:t>. If, under any provisions of this Agreement, Indemnitee is entitled to indemnification by the Company of</w:t>
      </w:r>
      <w:r>
        <w:rPr>
          <w:rFonts w:ascii="Arial" w:cs="Arial" w:eastAsia="Arial" w:hAnsi="Arial"/>
          <w:sz w:val="21"/>
          <w:szCs w:val="21"/>
          <w:b w:val="1"/>
          <w:bCs w:val="1"/>
          <w:color w:val="auto"/>
        </w:rPr>
        <w:t xml:space="preserve"> </w:t>
      </w:r>
      <w:r>
        <w:rPr>
          <w:rFonts w:ascii="Arial" w:cs="Arial" w:eastAsia="Arial" w:hAnsi="Arial"/>
          <w:sz w:val="21"/>
          <w:szCs w:val="21"/>
          <w:color w:val="auto"/>
        </w:rPr>
        <w:t>some, but not all, of the Expenses, judgments, fines, penalties and amounts paid in settlement of a Claim, the Company shall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 In connection with any determination by the Reviewing Party or otherwise as to whether Indemnitee is entitled to be indemnified hereunder, the burden of proof shall be on the Company to establish that Indemnitee is not so entitled.</w:t>
      </w:r>
    </w:p>
    <w:p>
      <w:pPr>
        <w:spacing w:after="0" w:line="186" w:lineRule="exact"/>
        <w:rPr>
          <w:rFonts w:ascii="Arial" w:cs="Arial" w:eastAsia="Arial" w:hAnsi="Arial"/>
          <w:sz w:val="18"/>
          <w:szCs w:val="18"/>
          <w:b w:val="1"/>
          <w:bCs w:val="1"/>
          <w:color w:val="auto"/>
        </w:rPr>
      </w:pPr>
    </w:p>
    <w:p>
      <w:pPr>
        <w:ind w:right="140" w:firstLine="656"/>
        <w:spacing w:after="0" w:line="281" w:lineRule="auto"/>
        <w:tabs>
          <w:tab w:leader="none" w:pos="963" w:val="left"/>
        </w:tabs>
        <w:numPr>
          <w:ilvl w:val="1"/>
          <w:numId w:val="53"/>
        </w:numPr>
        <w:rPr>
          <w:rFonts w:ascii="Arial" w:cs="Arial" w:eastAsia="Arial" w:hAnsi="Arial"/>
          <w:sz w:val="17"/>
          <w:szCs w:val="17"/>
          <w:b w:val="1"/>
          <w:bCs w:val="1"/>
          <w:color w:val="auto"/>
        </w:rPr>
      </w:pPr>
      <w:r>
        <w:rPr>
          <w:rFonts w:ascii="Arial" w:cs="Arial" w:eastAsia="Arial" w:hAnsi="Arial"/>
          <w:sz w:val="20"/>
          <w:szCs w:val="20"/>
          <w:b w:val="1"/>
          <w:bCs w:val="1"/>
          <w:color w:val="auto"/>
        </w:rPr>
        <w:t>No Presumption</w:t>
      </w:r>
      <w:r>
        <w:rPr>
          <w:rFonts w:ascii="Arial" w:cs="Arial" w:eastAsia="Arial" w:hAnsi="Arial"/>
          <w:sz w:val="20"/>
          <w:szCs w:val="20"/>
          <w:color w:val="auto"/>
        </w:rPr>
        <w:t>. For purposes of this Agreement, the termination of any action, suit or proceeding by judgment, order,</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(whether with or without court approval) or conviction, or upon a plea of nolo contendere, or its equivalent, shall not create a presumption that Indemnitee did not meet any particular standard of conduct or have any particular belief.</w:t>
      </w:r>
    </w:p>
    <w:p>
      <w:pPr>
        <w:spacing w:after="0" w:line="151" w:lineRule="exact"/>
        <w:rPr>
          <w:rFonts w:ascii="Arial" w:cs="Arial" w:eastAsia="Arial" w:hAnsi="Arial"/>
          <w:sz w:val="17"/>
          <w:szCs w:val="17"/>
          <w:b w:val="1"/>
          <w:bCs w:val="1"/>
          <w:color w:val="auto"/>
        </w:rPr>
      </w:pPr>
    </w:p>
    <w:p>
      <w:pPr>
        <w:ind w:left="980" w:hanging="324"/>
        <w:spacing w:after="0"/>
        <w:tabs>
          <w:tab w:leader="none" w:pos="980" w:val="left"/>
        </w:tabs>
        <w:numPr>
          <w:ilvl w:val="1"/>
          <w:numId w:val="53"/>
        </w:numPr>
        <w:rPr>
          <w:rFonts w:ascii="Arial" w:cs="Arial" w:eastAsia="Arial" w:hAnsi="Arial"/>
          <w:sz w:val="18"/>
          <w:szCs w:val="18"/>
          <w:b w:val="1"/>
          <w:bCs w:val="1"/>
          <w:color w:val="auto"/>
        </w:rPr>
      </w:pPr>
      <w:r>
        <w:rPr>
          <w:rFonts w:ascii="Arial" w:cs="Arial" w:eastAsia="Arial" w:hAnsi="Arial"/>
          <w:sz w:val="21"/>
          <w:szCs w:val="21"/>
          <w:b w:val="1"/>
          <w:bCs w:val="1"/>
          <w:color w:val="auto"/>
        </w:rPr>
        <w:t>Indemnification Procedures.</w:t>
      </w:r>
    </w:p>
    <w:p>
      <w:pPr>
        <w:spacing w:after="0" w:line="237" w:lineRule="exact"/>
        <w:rPr>
          <w:rFonts w:ascii="Arial" w:cs="Arial" w:eastAsia="Arial" w:hAnsi="Arial"/>
          <w:sz w:val="18"/>
          <w:szCs w:val="18"/>
          <w:b w:val="1"/>
          <w:bCs w:val="1"/>
          <w:color w:val="auto"/>
        </w:rPr>
      </w:pPr>
    </w:p>
    <w:p>
      <w:pPr>
        <w:ind w:right="80" w:firstLine="1305"/>
        <w:spacing w:after="0" w:line="250" w:lineRule="auto"/>
        <w:tabs>
          <w:tab w:leader="none" w:pos="1686" w:val="left"/>
        </w:tabs>
        <w:numPr>
          <w:ilvl w:val="2"/>
          <w:numId w:val="53"/>
        </w:numPr>
        <w:rPr>
          <w:rFonts w:ascii="Arial" w:cs="Arial" w:eastAsia="Arial" w:hAnsi="Arial"/>
          <w:sz w:val="18"/>
          <w:szCs w:val="18"/>
          <w:b w:val="1"/>
          <w:bCs w:val="1"/>
          <w:i w:val="1"/>
          <w:iCs w:val="1"/>
          <w:color w:val="auto"/>
        </w:rPr>
      </w:pPr>
      <w:r>
        <w:rPr>
          <w:rFonts w:ascii="Arial" w:cs="Arial" w:eastAsia="Arial" w:hAnsi="Arial"/>
          <w:sz w:val="21"/>
          <w:szCs w:val="21"/>
          <w:b w:val="1"/>
          <w:bCs w:val="1"/>
          <w:i w:val="1"/>
          <w:iCs w:val="1"/>
          <w:color w:val="auto"/>
        </w:rPr>
        <w:t>Notification of Claim</w:t>
      </w:r>
      <w:r>
        <w:rPr>
          <w:rFonts w:ascii="Arial" w:cs="Arial" w:eastAsia="Arial" w:hAnsi="Arial"/>
          <w:sz w:val="21"/>
          <w:szCs w:val="21"/>
          <w:color w:val="auto"/>
        </w:rPr>
        <w:t>. Within 30 days after receipt by Indemnitee of notice of the commencement of a Claim which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may involve an Indemnifiable Event, Indemnitee will, if a claim in respect thereof is to be made against the Company under this Agreement, submit to the Company a written notice identifying the Claim, but the omission so to notify the Company will not relieve it from any liability which it may have to Indemnitee under this Agreement unless the Company is materially prejudiced by such lack of notice.</w:t>
      </w:r>
    </w:p>
    <w:p>
      <w:pPr>
        <w:spacing w:after="0" w:line="187" w:lineRule="exact"/>
        <w:rPr>
          <w:rFonts w:ascii="Arial" w:cs="Arial" w:eastAsia="Arial" w:hAnsi="Arial"/>
          <w:sz w:val="18"/>
          <w:szCs w:val="18"/>
          <w:b w:val="1"/>
          <w:bCs w:val="1"/>
          <w:i w:val="1"/>
          <w:iCs w:val="1"/>
          <w:color w:val="auto"/>
        </w:rPr>
      </w:pPr>
    </w:p>
    <w:p>
      <w:pPr>
        <w:ind w:left="1700" w:hanging="395"/>
        <w:spacing w:after="0"/>
        <w:tabs>
          <w:tab w:leader="none" w:pos="1700" w:val="left"/>
        </w:tabs>
        <w:numPr>
          <w:ilvl w:val="2"/>
          <w:numId w:val="53"/>
        </w:numPr>
        <w:rPr>
          <w:rFonts w:ascii="Arial" w:cs="Arial" w:eastAsia="Arial" w:hAnsi="Arial"/>
          <w:sz w:val="18"/>
          <w:szCs w:val="18"/>
          <w:b w:val="1"/>
          <w:bCs w:val="1"/>
          <w:i w:val="1"/>
          <w:iCs w:val="1"/>
          <w:color w:val="auto"/>
        </w:rPr>
      </w:pPr>
      <w:r>
        <w:rPr>
          <w:rFonts w:ascii="Arial" w:cs="Arial" w:eastAsia="Arial" w:hAnsi="Arial"/>
          <w:sz w:val="21"/>
          <w:szCs w:val="21"/>
          <w:b w:val="1"/>
          <w:bCs w:val="1"/>
          <w:i w:val="1"/>
          <w:iCs w:val="1"/>
          <w:color w:val="auto"/>
        </w:rPr>
        <w:t>Defense of Claim.</w:t>
      </w:r>
    </w:p>
    <w:p>
      <w:pPr>
        <w:spacing w:after="0" w:line="231" w:lineRule="exact"/>
        <w:rPr>
          <w:rFonts w:ascii="Arial" w:cs="Arial" w:eastAsia="Arial" w:hAnsi="Arial"/>
          <w:sz w:val="18"/>
          <w:szCs w:val="18"/>
          <w:b w:val="1"/>
          <w:bCs w:val="1"/>
          <w:i w:val="1"/>
          <w:iCs w:val="1"/>
          <w:color w:val="auto"/>
        </w:rPr>
      </w:pPr>
    </w:p>
    <w:p>
      <w:pPr>
        <w:ind w:left="2340" w:hanging="387"/>
        <w:spacing w:after="0"/>
        <w:tabs>
          <w:tab w:leader="none" w:pos="2340" w:val="left"/>
        </w:tabs>
        <w:numPr>
          <w:ilvl w:val="3"/>
          <w:numId w:val="53"/>
        </w:numPr>
        <w:rPr>
          <w:rFonts w:ascii="Arial" w:cs="Arial" w:eastAsia="Arial" w:hAnsi="Arial"/>
          <w:sz w:val="15"/>
          <w:szCs w:val="15"/>
          <w:color w:val="auto"/>
        </w:rPr>
      </w:pPr>
      <w:r>
        <w:rPr>
          <w:rFonts w:ascii="Arial" w:cs="Arial" w:eastAsia="Arial" w:hAnsi="Arial"/>
          <w:sz w:val="18"/>
          <w:szCs w:val="18"/>
          <w:color w:val="auto"/>
        </w:rPr>
        <w:t>With respect to any such Claim as to which Indemnitee notifies the Company of the commencement thereof:</w:t>
      </w:r>
    </w:p>
    <w:p>
      <w:pPr>
        <w:spacing w:after="0" w:line="57" w:lineRule="exact"/>
        <w:rPr>
          <w:rFonts w:ascii="Arial" w:cs="Arial" w:eastAsia="Arial" w:hAnsi="Arial"/>
          <w:sz w:val="15"/>
          <w:szCs w:val="15"/>
          <w:color w:val="auto"/>
        </w:rPr>
      </w:pPr>
    </w:p>
    <w:p>
      <w:pPr>
        <w:jc w:val="both"/>
        <w:ind w:firstLine="8"/>
        <w:spacing w:after="0" w:line="249" w:lineRule="auto"/>
        <w:tabs>
          <w:tab w:leader="none" w:pos="247" w:val="left"/>
        </w:tabs>
        <w:numPr>
          <w:ilvl w:val="0"/>
          <w:numId w:val="54"/>
        </w:numPr>
        <w:rPr>
          <w:rFonts w:ascii="Arial" w:cs="Arial" w:eastAsia="Arial" w:hAnsi="Arial"/>
          <w:sz w:val="21"/>
          <w:szCs w:val="21"/>
          <w:color w:val="auto"/>
        </w:rPr>
      </w:pPr>
      <w:r>
        <w:rPr>
          <w:rFonts w:ascii="Arial" w:cs="Arial" w:eastAsia="Arial" w:hAnsi="Arial"/>
          <w:sz w:val="21"/>
          <w:szCs w:val="21"/>
          <w:color w:val="auto"/>
        </w:rPr>
        <w:t>the Company will be entitled to participate therein at its own expense; and (ii) except as otherwise provided below, to the extent that it may wish, the Company (jointly with any other indemnifying party similarly notified) will be entitled to assume the defense thereof, with counsel selected by the Board of Directors and reasonably satisfactory to Indemnitee.</w:t>
      </w:r>
    </w:p>
    <w:p>
      <w:pPr>
        <w:spacing w:after="0" w:line="185" w:lineRule="exact"/>
        <w:rPr>
          <w:rFonts w:ascii="Arial" w:cs="Arial" w:eastAsia="Arial" w:hAnsi="Arial"/>
          <w:sz w:val="21"/>
          <w:szCs w:val="21"/>
          <w:color w:val="auto"/>
        </w:rPr>
      </w:pPr>
    </w:p>
    <w:p>
      <w:pPr>
        <w:jc w:val="both"/>
        <w:ind w:right="60" w:firstLine="1953"/>
        <w:spacing w:after="0" w:line="278" w:lineRule="auto"/>
        <w:tabs>
          <w:tab w:leader="none" w:pos="2335" w:val="left"/>
        </w:tabs>
        <w:numPr>
          <w:ilvl w:val="3"/>
          <w:numId w:val="54"/>
        </w:numPr>
        <w:rPr>
          <w:rFonts w:ascii="Arial" w:cs="Arial" w:eastAsia="Arial" w:hAnsi="Arial"/>
          <w:sz w:val="17"/>
          <w:szCs w:val="17"/>
          <w:color w:val="auto"/>
        </w:rPr>
      </w:pPr>
      <w:r>
        <w:rPr>
          <w:rFonts w:ascii="Arial" w:cs="Arial" w:eastAsia="Arial" w:hAnsi="Arial"/>
          <w:sz w:val="20"/>
          <w:szCs w:val="20"/>
          <w:color w:val="auto"/>
        </w:rPr>
        <w:t>After notice from the Company to Indemnitee of its election to assume the defense of a Claim, the Company will not be liable to Indemnitee under this Agreement for any legal or other expenses subsequently incurred by Indemnitee in connection with the defense thereof, other than reasonable costs of investigation or as otherwise provided below.</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369" w:right="259" w:bottom="1440" w:gutter="0" w:footer="0" w:header="0"/>
        </w:sectPr>
      </w:pPr>
    </w:p>
    <w:bookmarkStart w:id="171" w:name="page172"/>
    <w:bookmarkEnd w:id="171"/>
    <w:p>
      <w:pPr>
        <w:ind w:left="-656" w:right="20" w:firstLine="1953"/>
        <w:spacing w:after="0" w:line="246" w:lineRule="auto"/>
        <w:tabs>
          <w:tab w:leader="none" w:pos="1678" w:val="left"/>
        </w:tabs>
        <w:numPr>
          <w:ilvl w:val="2"/>
          <w:numId w:val="55"/>
        </w:numPr>
        <w:rPr>
          <w:rFonts w:ascii="Arial" w:cs="Arial" w:eastAsia="Arial" w:hAnsi="Arial"/>
          <w:sz w:val="18"/>
          <w:szCs w:val="18"/>
          <w:color w:val="auto"/>
        </w:rPr>
      </w:pPr>
      <w:r>
        <w:rPr>
          <w:rFonts w:ascii="Arial" w:cs="Arial" w:eastAsia="Arial" w:hAnsi="Arial"/>
          <w:sz w:val="21"/>
          <w:szCs w:val="21"/>
          <w:color w:val="auto"/>
        </w:rPr>
        <w:t>Indemnitee shall have the right to employ its own counsel in such action, suit or proceeding, but the fees and expenses of such counsel incurred after notice from the Company of its assumption of the defense thereof shall be at the expense of Indemnitee unless (i) the employment of counsel by Indemnitee has been authorized by the Company, (ii) Indemnitee shall have reasonably concluded that there may be a conflict of interest between the Company and the Indemnitee in the conduct of the defense of such action, or (iii) the Company shall not in fact have employed counsel to assume the defense of such action, in each of which cases, the fees and expenses of counsel shall be at the expense of the Company. The Company shall not be entitled to assume the defense of any claim brought by or on behalf of the Company or as to which Indemnitee shall have made the conclusion provided for in clause (ii) above.</w:t>
      </w:r>
    </w:p>
    <w:p>
      <w:pPr>
        <w:spacing w:after="0" w:line="194" w:lineRule="exact"/>
        <w:rPr>
          <w:rFonts w:ascii="Arial" w:cs="Arial" w:eastAsia="Arial" w:hAnsi="Arial"/>
          <w:sz w:val="18"/>
          <w:szCs w:val="18"/>
          <w:color w:val="auto"/>
        </w:rPr>
      </w:pPr>
    </w:p>
    <w:p>
      <w:pPr>
        <w:ind w:left="-656" w:firstLine="1305"/>
        <w:spacing w:after="0" w:line="266" w:lineRule="auto"/>
        <w:tabs>
          <w:tab w:leader="none" w:pos="1020" w:val="left"/>
        </w:tabs>
        <w:numPr>
          <w:ilvl w:val="1"/>
          <w:numId w:val="56"/>
        </w:numPr>
        <w:rPr>
          <w:rFonts w:ascii="Arial" w:cs="Arial" w:eastAsia="Arial" w:hAnsi="Arial"/>
          <w:sz w:val="17"/>
          <w:szCs w:val="17"/>
          <w:b w:val="1"/>
          <w:bCs w:val="1"/>
          <w:i w:val="1"/>
          <w:iCs w:val="1"/>
          <w:color w:val="auto"/>
        </w:rPr>
      </w:pPr>
      <w:r>
        <w:rPr>
          <w:rFonts w:ascii="Arial" w:cs="Arial" w:eastAsia="Arial" w:hAnsi="Arial"/>
          <w:sz w:val="20"/>
          <w:szCs w:val="20"/>
          <w:b w:val="1"/>
          <w:bCs w:val="1"/>
          <w:i w:val="1"/>
          <w:iCs w:val="1"/>
          <w:color w:val="auto"/>
        </w:rPr>
        <w:t xml:space="preserve">Consent to Settlement. </w:t>
      </w:r>
      <w:r>
        <w:rPr>
          <w:rFonts w:ascii="Arial" w:cs="Arial" w:eastAsia="Arial" w:hAnsi="Arial"/>
          <w:sz w:val="20"/>
          <w:szCs w:val="20"/>
          <w:color w:val="auto"/>
        </w:rPr>
        <w:t>With respect to any such Claim as to which Indemnitee notifies the Company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commencement thereof, the Company shall not be liable to indemnify Indemnitee under this Agreement for any amounts paid in settlement of any action or claim effected without its written consent. The Company shall not settle any action or claim in any manner which would impose any penalty or limitation on Indemnitee without Indemnitee’s written consent. Neither the Company nor Indemnitee will unreasonably withhold or delay their consent to any proposed settlement.</w:t>
      </w:r>
    </w:p>
    <w:p>
      <w:pPr>
        <w:spacing w:after="0" w:line="164" w:lineRule="exact"/>
        <w:rPr>
          <w:rFonts w:ascii="Arial" w:cs="Arial" w:eastAsia="Arial" w:hAnsi="Arial"/>
          <w:sz w:val="17"/>
          <w:szCs w:val="17"/>
          <w:b w:val="1"/>
          <w:bCs w:val="1"/>
          <w:i w:val="1"/>
          <w:iCs w:val="1"/>
          <w:color w:val="auto"/>
        </w:rPr>
      </w:pPr>
    </w:p>
    <w:p>
      <w:pPr>
        <w:ind w:left="-656" w:right="40" w:firstLine="656"/>
        <w:spacing w:after="0" w:line="274" w:lineRule="auto"/>
        <w:tabs>
          <w:tab w:leader="none" w:pos="307" w:val="left"/>
        </w:tabs>
        <w:numPr>
          <w:ilvl w:val="0"/>
          <w:numId w:val="57"/>
        </w:numPr>
        <w:rPr>
          <w:rFonts w:ascii="Arial" w:cs="Arial" w:eastAsia="Arial" w:hAnsi="Arial"/>
          <w:sz w:val="16"/>
          <w:szCs w:val="16"/>
          <w:b w:val="1"/>
          <w:bCs w:val="1"/>
          <w:color w:val="auto"/>
        </w:rPr>
      </w:pPr>
      <w:r>
        <w:rPr>
          <w:rFonts w:ascii="Arial" w:cs="Arial" w:eastAsia="Arial" w:hAnsi="Arial"/>
          <w:sz w:val="19"/>
          <w:szCs w:val="19"/>
          <w:b w:val="1"/>
          <w:bCs w:val="1"/>
          <w:color w:val="auto"/>
        </w:rPr>
        <w:t xml:space="preserve">Non-exclusivity. </w:t>
      </w:r>
      <w:r>
        <w:rPr>
          <w:rFonts w:ascii="Arial" w:cs="Arial" w:eastAsia="Arial" w:hAnsi="Arial"/>
          <w:sz w:val="19"/>
          <w:szCs w:val="19"/>
          <w:color w:val="auto"/>
        </w:rPr>
        <w:t>The rights of Indemnitee under this Agreement shall be in addition to any other rights Indemnitee may have</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the Certificate of Incorporation, the Bylaws, the DGCL, any agreement, a vote of the stockholders, a resolution of directors or otherwise. No amendment, alteration or repeal of this Agreement or of any provision hereof shall limit or restrict any right of Indemnitee under this Agreement in respect of any action taken or omitted by such Indemnitee acting on behalf of the Company and at the request of the Company prior to such amendment, alteration or repeal. To the extent that a change in the DGCL (whether by statute or judicial decision), the Certificate of Incorporation or the Bylaws permits greater indemnification than would be afforded currently under the Certificate of Incorporation, the Bylaws and this Agreement, it is the intent of the parties that Indemnitee shall enjoy by this Agreement the greater benefits so afforded by such change. No right or remedy in this Agreement is intended to be exclusive of any other right or remedy, and every other right and remedy shall be cumulative and in addition to every other right and remedy under this Agreement or now or hereafter existing at law or in equity or otherwise. The assertion or employment of any right or remedy under this Agreement shall not prevent the concurrent assertion or employment of any other right or remedy.</w:t>
      </w:r>
    </w:p>
    <w:p>
      <w:pPr>
        <w:spacing w:after="0" w:line="159" w:lineRule="exact"/>
        <w:rPr>
          <w:rFonts w:ascii="Arial" w:cs="Arial" w:eastAsia="Arial" w:hAnsi="Arial"/>
          <w:sz w:val="16"/>
          <w:szCs w:val="16"/>
          <w:b w:val="1"/>
          <w:bCs w:val="1"/>
          <w:color w:val="auto"/>
        </w:rPr>
      </w:pPr>
    </w:p>
    <w:p>
      <w:pPr>
        <w:ind w:left="324" w:hanging="324"/>
        <w:spacing w:after="0"/>
        <w:tabs>
          <w:tab w:leader="none" w:pos="324" w:val="left"/>
        </w:tabs>
        <w:numPr>
          <w:ilvl w:val="0"/>
          <w:numId w:val="57"/>
        </w:numPr>
        <w:rPr>
          <w:rFonts w:ascii="Arial" w:cs="Arial" w:eastAsia="Arial" w:hAnsi="Arial"/>
          <w:sz w:val="18"/>
          <w:szCs w:val="18"/>
          <w:b w:val="1"/>
          <w:bCs w:val="1"/>
          <w:color w:val="auto"/>
        </w:rPr>
      </w:pPr>
      <w:r>
        <w:rPr>
          <w:rFonts w:ascii="Arial" w:cs="Arial" w:eastAsia="Arial" w:hAnsi="Arial"/>
          <w:sz w:val="21"/>
          <w:szCs w:val="21"/>
          <w:b w:val="1"/>
          <w:bCs w:val="1"/>
          <w:color w:val="auto"/>
        </w:rPr>
        <w:t>Liability Insurance</w:t>
      </w:r>
      <w:r>
        <w:rPr>
          <w:rFonts w:ascii="Arial" w:cs="Arial" w:eastAsia="Arial" w:hAnsi="Arial"/>
          <w:sz w:val="21"/>
          <w:szCs w:val="21"/>
          <w:color w:val="auto"/>
        </w:rPr>
        <w:t>.</w:t>
      </w:r>
    </w:p>
    <w:p>
      <w:pPr>
        <w:spacing w:after="0" w:line="237" w:lineRule="exact"/>
        <w:rPr>
          <w:rFonts w:ascii="Arial" w:cs="Arial" w:eastAsia="Arial" w:hAnsi="Arial"/>
          <w:sz w:val="18"/>
          <w:szCs w:val="18"/>
          <w:b w:val="1"/>
          <w:bCs w:val="1"/>
          <w:color w:val="auto"/>
        </w:rPr>
      </w:pPr>
    </w:p>
    <w:p>
      <w:pPr>
        <w:ind w:left="-656" w:right="20" w:firstLine="1305"/>
        <w:spacing w:after="0" w:line="277" w:lineRule="auto"/>
        <w:tabs>
          <w:tab w:leader="none" w:pos="1030" w:val="left"/>
        </w:tabs>
        <w:numPr>
          <w:ilvl w:val="1"/>
          <w:numId w:val="57"/>
        </w:numPr>
        <w:rPr>
          <w:rFonts w:ascii="Arial" w:cs="Arial" w:eastAsia="Arial" w:hAnsi="Arial"/>
          <w:sz w:val="16"/>
          <w:szCs w:val="16"/>
          <w:b w:val="1"/>
          <w:bCs w:val="1"/>
          <w:i w:val="1"/>
          <w:iCs w:val="1"/>
          <w:color w:val="auto"/>
        </w:rPr>
      </w:pPr>
      <w:r>
        <w:rPr>
          <w:rFonts w:ascii="Arial" w:cs="Arial" w:eastAsia="Arial" w:hAnsi="Arial"/>
          <w:sz w:val="19"/>
          <w:szCs w:val="19"/>
          <w:b w:val="1"/>
          <w:bCs w:val="1"/>
          <w:i w:val="1"/>
          <w:iCs w:val="1"/>
          <w:color w:val="auto"/>
        </w:rPr>
        <w:t>Policy; Notice</w:t>
      </w:r>
      <w:r>
        <w:rPr>
          <w:rFonts w:ascii="Arial" w:cs="Arial" w:eastAsia="Arial" w:hAnsi="Arial"/>
          <w:sz w:val="19"/>
          <w:szCs w:val="19"/>
          <w:color w:val="auto"/>
        </w:rPr>
        <w:t>. To the extent the Company maintains an insurance policy or policies providing directors’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officers’ liability insurance, Indemnitee shall be covered by such policy or policies in accordance with its or their terms to the maximum extent of the coverage available for any Company director or officer. If, at the time the Company receives notice from any source of a Claim as to which Indemnitee is a party or a participant (as a witness or otherwise), the Company has directors’ and officers’ liability insurance in effect, the Company shall give prompt notice of such Claim to the insurers in accordance with the procedures set forth in the respective policies. The Company shall thereafter take all reasonably necessary or desirable action to cause such insurers to pay, on behalf of the Indemnitee, all amounts payable as a result of such Claim in accordance with the terms of such policies.</w:t>
      </w:r>
    </w:p>
    <w:p>
      <w:pPr>
        <w:spacing w:after="0" w:line="200" w:lineRule="exact"/>
        <w:rPr>
          <w:sz w:val="20"/>
          <w:szCs w:val="20"/>
          <w:color w:val="auto"/>
        </w:rPr>
      </w:pPr>
    </w:p>
    <w:p>
      <w:pPr>
        <w:spacing w:after="0" w:line="228"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44"/>
          </w:cols>
          <w:pgMar w:left="896" w:top="369" w:right="259" w:bottom="1440" w:gutter="0" w:footer="0" w:header="0"/>
        </w:sectPr>
      </w:pPr>
    </w:p>
    <w:bookmarkStart w:id="172" w:name="page173"/>
    <w:bookmarkEnd w:id="172"/>
    <w:p>
      <w:pPr>
        <w:ind w:firstLine="1305"/>
        <w:spacing w:after="0" w:line="272" w:lineRule="auto"/>
        <w:tabs>
          <w:tab w:leader="none" w:pos="1686" w:val="left"/>
        </w:tabs>
        <w:numPr>
          <w:ilvl w:val="1"/>
          <w:numId w:val="58"/>
        </w:numPr>
        <w:rPr>
          <w:rFonts w:ascii="Arial" w:cs="Arial" w:eastAsia="Arial" w:hAnsi="Arial"/>
          <w:sz w:val="16"/>
          <w:szCs w:val="16"/>
          <w:b w:val="1"/>
          <w:bCs w:val="1"/>
          <w:i w:val="1"/>
          <w:iCs w:val="1"/>
          <w:color w:val="auto"/>
        </w:rPr>
      </w:pPr>
      <w:r>
        <w:rPr>
          <w:rFonts w:ascii="Arial" w:cs="Arial" w:eastAsia="Arial" w:hAnsi="Arial"/>
          <w:sz w:val="19"/>
          <w:szCs w:val="19"/>
          <w:b w:val="1"/>
          <w:bCs w:val="1"/>
          <w:i w:val="1"/>
          <w:iCs w:val="1"/>
          <w:color w:val="auto"/>
        </w:rPr>
        <w:t>Potential Change in Control</w:t>
      </w:r>
      <w:r>
        <w:rPr>
          <w:rFonts w:ascii="Arial" w:cs="Arial" w:eastAsia="Arial" w:hAnsi="Arial"/>
          <w:sz w:val="19"/>
          <w:szCs w:val="19"/>
          <w:color w:val="auto"/>
        </w:rPr>
        <w:t>. In the event of a Potential Change in Control (as defined in Section 9(e)),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shall maintain in force any and all insurance policies then maintained by the Company providing directors’ and officers’ liability insurance, in respect of Indemnitee, for a period of at least two years after the end of current policy period then in effect. In satisfying this obligation, the Company shall not be obligated to pay premiums in excess of 200% of the annualized premium for each such policy based on the premium in effect on the date of the Potential Change in Control, and in the event coverage cannot be obtained for such amount, the Company shall cause to be obtained as much insurance as can be obtained for an amount equal to 200% of the annualized premium on terms not less favorable than those in effect on the date of the Potential Change in Control in terms of coverage and amounts. The Company shall indemnify Indemnitee for Expenses incurred by Indemnitee in connection with any successful action brought by Indemnitee for recovery under any insurance policy referred to in this Section 8(b) and shall advance to Indemnitee the Expenses of such action in the manner provided in Section 3 above. Notwithstanding the foregoing, the Company shall have no obligation under this Section 8(b) in the event that (i) the Potential Change in Control results in a Change in Control and (ii) the acquiring company, surviving corporation or other resulting entity is required to provide directors’ and officers’ liability insurance, in respect of Indemnitee, and for at least the period provided in this Section 8(b) on terms and in amounts that are at least equal to or more favorable than those in effect on the date of the Potential Change in Control.</w:t>
      </w:r>
    </w:p>
    <w:p>
      <w:pPr>
        <w:spacing w:after="0" w:line="160" w:lineRule="exact"/>
        <w:rPr>
          <w:rFonts w:ascii="Arial" w:cs="Arial" w:eastAsia="Arial" w:hAnsi="Arial"/>
          <w:sz w:val="16"/>
          <w:szCs w:val="16"/>
          <w:b w:val="1"/>
          <w:bCs w:val="1"/>
          <w:i w:val="1"/>
          <w:iCs w:val="1"/>
          <w:color w:val="auto"/>
        </w:rPr>
      </w:pPr>
    </w:p>
    <w:p>
      <w:pPr>
        <w:ind w:left="980" w:hanging="324"/>
        <w:spacing w:after="0"/>
        <w:tabs>
          <w:tab w:leader="none" w:pos="980" w:val="left"/>
        </w:tabs>
        <w:numPr>
          <w:ilvl w:val="0"/>
          <w:numId w:val="59"/>
        </w:numPr>
        <w:rPr>
          <w:rFonts w:ascii="Arial" w:cs="Arial" w:eastAsia="Arial" w:hAnsi="Arial"/>
          <w:sz w:val="18"/>
          <w:szCs w:val="18"/>
          <w:b w:val="1"/>
          <w:bCs w:val="1"/>
          <w:color w:val="auto"/>
        </w:rPr>
      </w:pPr>
      <w:r>
        <w:rPr>
          <w:rFonts w:ascii="Arial" w:cs="Arial" w:eastAsia="Arial" w:hAnsi="Arial"/>
          <w:sz w:val="21"/>
          <w:szCs w:val="21"/>
          <w:b w:val="1"/>
          <w:bCs w:val="1"/>
          <w:color w:val="auto"/>
        </w:rPr>
        <w:t>Certain Definitions</w:t>
      </w:r>
      <w:r>
        <w:rPr>
          <w:rFonts w:ascii="Arial" w:cs="Arial" w:eastAsia="Arial" w:hAnsi="Arial"/>
          <w:sz w:val="21"/>
          <w:szCs w:val="21"/>
          <w:color w:val="auto"/>
        </w:rPr>
        <w:t>.</w:t>
      </w:r>
    </w:p>
    <w:p>
      <w:pPr>
        <w:spacing w:after="0" w:line="237" w:lineRule="exact"/>
        <w:rPr>
          <w:rFonts w:ascii="Arial" w:cs="Arial" w:eastAsia="Arial" w:hAnsi="Arial"/>
          <w:sz w:val="18"/>
          <w:szCs w:val="18"/>
          <w:b w:val="1"/>
          <w:bCs w:val="1"/>
          <w:color w:val="auto"/>
        </w:rPr>
      </w:pPr>
    </w:p>
    <w:p>
      <w:pPr>
        <w:ind w:left="1700" w:hanging="395"/>
        <w:spacing w:after="0"/>
        <w:tabs>
          <w:tab w:leader="none" w:pos="1700" w:val="left"/>
        </w:tabs>
        <w:numPr>
          <w:ilvl w:val="1"/>
          <w:numId w:val="59"/>
        </w:numPr>
        <w:rPr>
          <w:rFonts w:ascii="Arial" w:cs="Arial" w:eastAsia="Arial" w:hAnsi="Arial"/>
          <w:sz w:val="16"/>
          <w:szCs w:val="16"/>
          <w:b w:val="1"/>
          <w:bCs w:val="1"/>
          <w:i w:val="1"/>
          <w:iCs w:val="1"/>
          <w:color w:val="auto"/>
        </w:rPr>
      </w:pPr>
      <w:r>
        <w:rPr>
          <w:rFonts w:ascii="Arial" w:cs="Arial" w:eastAsia="Arial" w:hAnsi="Arial"/>
          <w:sz w:val="19"/>
          <w:szCs w:val="19"/>
          <w:color w:val="auto"/>
        </w:rPr>
        <w:t xml:space="preserve">A </w:t>
      </w:r>
      <w:r>
        <w:rPr>
          <w:rFonts w:ascii="Arial" w:cs="Arial" w:eastAsia="Arial" w:hAnsi="Arial"/>
          <w:sz w:val="19"/>
          <w:szCs w:val="19"/>
          <w:b w:val="1"/>
          <w:bCs w:val="1"/>
          <w:i w:val="1"/>
          <w:iCs w:val="1"/>
          <w:color w:val="auto"/>
        </w:rPr>
        <w:t>“</w:t>
      </w:r>
      <w:r>
        <w:rPr>
          <w:rFonts w:ascii="Arial" w:cs="Arial" w:eastAsia="Arial" w:hAnsi="Arial"/>
          <w:sz w:val="19"/>
          <w:szCs w:val="19"/>
          <w:b w:val="1"/>
          <w:bCs w:val="1"/>
          <w:i w:val="1"/>
          <w:iCs w:val="1"/>
          <w:u w:val="single" w:color="auto"/>
          <w:color w:val="auto"/>
        </w:rPr>
        <w:t>Change in Control</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of the Company means, and shall be deemed to have occurred upon, any of the following</w:t>
      </w:r>
    </w:p>
    <w:p>
      <w:pPr>
        <w:spacing w:after="0" w:line="45" w:lineRule="exact"/>
        <w:rPr>
          <w:rFonts w:ascii="Arial" w:cs="Arial" w:eastAsia="Arial" w:hAnsi="Arial"/>
          <w:sz w:val="16"/>
          <w:szCs w:val="16"/>
          <w:b w:val="1"/>
          <w:bCs w:val="1"/>
          <w:i w:val="1"/>
          <w:iCs w:val="1"/>
          <w:color w:val="auto"/>
        </w:rPr>
      </w:pPr>
    </w:p>
    <w:p>
      <w:pPr>
        <w:spacing w:after="0"/>
        <w:rPr>
          <w:rFonts w:ascii="Arial" w:cs="Arial" w:eastAsia="Arial" w:hAnsi="Arial"/>
          <w:sz w:val="16"/>
          <w:szCs w:val="16"/>
          <w:b w:val="1"/>
          <w:bCs w:val="1"/>
          <w:i w:val="1"/>
          <w:iCs w:val="1"/>
          <w:color w:val="auto"/>
        </w:rPr>
      </w:pPr>
      <w:r>
        <w:rPr>
          <w:rFonts w:ascii="Arial" w:cs="Arial" w:eastAsia="Arial" w:hAnsi="Arial"/>
          <w:sz w:val="21"/>
          <w:szCs w:val="21"/>
          <w:color w:val="auto"/>
        </w:rPr>
        <w:t>events:</w:t>
      </w:r>
    </w:p>
    <w:p>
      <w:pPr>
        <w:spacing w:after="0" w:line="209" w:lineRule="exact"/>
        <w:rPr>
          <w:rFonts w:ascii="Arial" w:cs="Arial" w:eastAsia="Arial" w:hAnsi="Arial"/>
          <w:sz w:val="16"/>
          <w:szCs w:val="16"/>
          <w:b w:val="1"/>
          <w:bCs w:val="1"/>
          <w:i w:val="1"/>
          <w:iCs w:val="1"/>
          <w:color w:val="auto"/>
        </w:rPr>
      </w:pPr>
    </w:p>
    <w:p>
      <w:pPr>
        <w:ind w:right="20" w:firstLine="2034"/>
        <w:spacing w:after="0" w:line="277" w:lineRule="auto"/>
        <w:tabs>
          <w:tab w:leader="none" w:pos="2416" w:val="left"/>
        </w:tabs>
        <w:numPr>
          <w:ilvl w:val="2"/>
          <w:numId w:val="59"/>
        </w:numPr>
        <w:rPr>
          <w:rFonts w:ascii="Arial" w:cs="Arial" w:eastAsia="Arial" w:hAnsi="Arial"/>
          <w:sz w:val="16"/>
          <w:szCs w:val="16"/>
          <w:color w:val="auto"/>
        </w:rPr>
      </w:pPr>
      <w:r>
        <w:rPr>
          <w:rFonts w:ascii="Arial" w:cs="Arial" w:eastAsia="Arial" w:hAnsi="Arial"/>
          <w:sz w:val="19"/>
          <w:szCs w:val="19"/>
          <w:color w:val="auto"/>
        </w:rPr>
        <w:t>The acquisition by any person (as defined in Section 3(a)(9) of the Exchange Act and used in Sections 13(d) and 14(d) thereof including a group as defined in Section 13(d) thereof) of beneficial ownership (as defined in Rule 13d-3 of the General Rules and Regulations under the Exchange Act) of twenty-five percent (25%) or more of the outstanding Voting Securities; provided, however, that the following acquisitions shall not constitute a Change in Control for purposes of this subparagraph (1): (i) any acquisition directly from the Company; (ii) any acquisition by the Company or any of its subsidiaries; (iii) any acquisition by any employee benefit plan (or related trust) sponsored or maintained by the Company or any of its subsidiaries; or (iv) any acquisition by any corporation pursuant to a transaction which complies with clauses (i), (ii) and (iii) of subparagraph (3) below; or</w:t>
      </w:r>
    </w:p>
    <w:p>
      <w:pPr>
        <w:spacing w:after="0" w:line="166" w:lineRule="exact"/>
        <w:rPr>
          <w:rFonts w:ascii="Arial" w:cs="Arial" w:eastAsia="Arial" w:hAnsi="Arial"/>
          <w:sz w:val="16"/>
          <w:szCs w:val="16"/>
          <w:color w:val="auto"/>
        </w:rPr>
      </w:pPr>
    </w:p>
    <w:p>
      <w:pPr>
        <w:ind w:left="2420" w:hanging="386"/>
        <w:spacing w:after="0"/>
        <w:tabs>
          <w:tab w:leader="none" w:pos="2420" w:val="left"/>
        </w:tabs>
        <w:numPr>
          <w:ilvl w:val="2"/>
          <w:numId w:val="59"/>
        </w:numPr>
        <w:rPr>
          <w:rFonts w:ascii="Arial" w:cs="Arial" w:eastAsia="Arial" w:hAnsi="Arial"/>
          <w:sz w:val="18"/>
          <w:szCs w:val="18"/>
          <w:color w:val="auto"/>
        </w:rPr>
      </w:pPr>
      <w:r>
        <w:rPr>
          <w:rFonts w:ascii="Arial" w:cs="Arial" w:eastAsia="Arial" w:hAnsi="Arial"/>
          <w:sz w:val="21"/>
          <w:szCs w:val="21"/>
          <w:color w:val="auto"/>
        </w:rPr>
        <w:t>Individuals who, as of December 5, 2014, constitute the Board of Directors of the Company (the</w:t>
      </w:r>
    </w:p>
    <w:p>
      <w:pPr>
        <w:spacing w:after="0" w:line="23" w:lineRule="exact"/>
        <w:rPr>
          <w:sz w:val="20"/>
          <w:szCs w:val="20"/>
          <w:color w:val="auto"/>
        </w:rPr>
      </w:pPr>
    </w:p>
    <w:p>
      <w:pPr>
        <w:ind w:right="60"/>
        <w:spacing w:after="0" w:line="25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Incumbent Board</w:t>
      </w:r>
      <w:r>
        <w:rPr>
          <w:rFonts w:ascii="Arial" w:cs="Arial" w:eastAsia="Arial" w:hAnsi="Arial"/>
          <w:sz w:val="20"/>
          <w:szCs w:val="20"/>
          <w:color w:val="auto"/>
        </w:rPr>
        <w:t>”) cease for any reason to constitute at least a majority of the Company’s Board of Directors; provided, however, that any individual who becomes a director of the Company subsequent to December 5, 2014 and whose election, or whose nomination for election by the Company's stockholders, to the Board of Directors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w:t>
      </w:r>
    </w:p>
    <w:p>
      <w:pPr>
        <w:spacing w:after="0" w:line="200" w:lineRule="exact"/>
        <w:rPr>
          <w:sz w:val="20"/>
          <w:szCs w:val="20"/>
          <w:color w:val="auto"/>
        </w:rPr>
      </w:pPr>
    </w:p>
    <w:p>
      <w:pPr>
        <w:spacing w:after="0" w:line="24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0" w:right="239" w:bottom="1440" w:gutter="0" w:footer="0" w:header="0"/>
        </w:sectPr>
      </w:pPr>
    </w:p>
    <w:bookmarkStart w:id="173" w:name="page174"/>
    <w:bookmarkEnd w:id="173"/>
    <w:p>
      <w:pPr>
        <w:ind w:right="420"/>
        <w:spacing w:after="0" w:line="264" w:lineRule="auto"/>
        <w:rPr>
          <w:sz w:val="20"/>
          <w:szCs w:val="20"/>
          <w:color w:val="auto"/>
        </w:rPr>
      </w:pPr>
      <w:r>
        <w:rPr>
          <w:rFonts w:ascii="Arial" w:cs="Arial" w:eastAsia="Arial" w:hAnsi="Arial"/>
          <w:sz w:val="21"/>
          <w:szCs w:val="21"/>
          <w:color w:val="auto"/>
        </w:rPr>
        <w:t>promulgated under the Exchange Act), other actual or threatened solicitation of proxies or consents or an actual or threatened tender offer; or</w:t>
      </w:r>
    </w:p>
    <w:p>
      <w:pPr>
        <w:spacing w:after="0" w:line="171" w:lineRule="exact"/>
        <w:rPr>
          <w:sz w:val="20"/>
          <w:szCs w:val="20"/>
          <w:color w:val="auto"/>
        </w:rPr>
      </w:pPr>
    </w:p>
    <w:p>
      <w:pPr>
        <w:ind w:firstLine="2034"/>
        <w:spacing w:after="0" w:line="270" w:lineRule="auto"/>
        <w:tabs>
          <w:tab w:leader="none" w:pos="2416" w:val="left"/>
        </w:tabs>
        <w:numPr>
          <w:ilvl w:val="0"/>
          <w:numId w:val="60"/>
        </w:numPr>
        <w:rPr>
          <w:rFonts w:ascii="Arial" w:cs="Arial" w:eastAsia="Arial" w:hAnsi="Arial"/>
          <w:sz w:val="16"/>
          <w:szCs w:val="16"/>
          <w:color w:val="auto"/>
        </w:rPr>
      </w:pPr>
      <w:r>
        <w:rPr>
          <w:rFonts w:ascii="Arial" w:cs="Arial" w:eastAsia="Arial" w:hAnsi="Arial"/>
          <w:sz w:val="19"/>
          <w:szCs w:val="19"/>
          <w:color w:val="auto"/>
        </w:rPr>
        <w:t>Consummation of a reorganization, merger, or consolidation or sale or other disposition of all or substantially all of the assets of the Company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or,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twenty-five percent (25%) or more of the combined voting power of the then outstanding voting securities of such entity resulting from the Business Combination unless such person owned twenty-five percent (25%) or more of the outstanding shares or outstanding Voting Securities immediately prior to the Business Combination; and (iii) at least a majority of the members of the Board of Directors of the entity resulting from such Business Combination were members of the Incumbent Board at the time of the execution of the initial agreement, or the action of the Board of Directors, providing for such Business Combination; or</w:t>
      </w:r>
    </w:p>
    <w:p>
      <w:pPr>
        <w:spacing w:after="0" w:line="178" w:lineRule="exact"/>
        <w:rPr>
          <w:rFonts w:ascii="Arial" w:cs="Arial" w:eastAsia="Arial" w:hAnsi="Arial"/>
          <w:sz w:val="16"/>
          <w:szCs w:val="16"/>
          <w:color w:val="auto"/>
        </w:rPr>
      </w:pPr>
    </w:p>
    <w:p>
      <w:pPr>
        <w:ind w:left="2420" w:hanging="386"/>
        <w:spacing w:after="0"/>
        <w:tabs>
          <w:tab w:leader="none" w:pos="2420" w:val="left"/>
        </w:tabs>
        <w:numPr>
          <w:ilvl w:val="0"/>
          <w:numId w:val="60"/>
        </w:numPr>
        <w:rPr>
          <w:rFonts w:ascii="Arial" w:cs="Arial" w:eastAsia="Arial" w:hAnsi="Arial"/>
          <w:sz w:val="17"/>
          <w:szCs w:val="17"/>
          <w:color w:val="auto"/>
        </w:rPr>
      </w:pPr>
      <w:r>
        <w:rPr>
          <w:rFonts w:ascii="Arial" w:cs="Arial" w:eastAsia="Arial" w:hAnsi="Arial"/>
          <w:sz w:val="20"/>
          <w:szCs w:val="20"/>
          <w:color w:val="auto"/>
        </w:rPr>
        <w:t>Approval by the Company's stockholders of a complete liquidation or dissolution of the Company.</w:t>
      </w:r>
    </w:p>
    <w:p>
      <w:pPr>
        <w:spacing w:after="0" w:line="243"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For purposes of clause (3) above,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90" w:lineRule="exact"/>
        <w:rPr>
          <w:sz w:val="20"/>
          <w:szCs w:val="20"/>
          <w:color w:val="auto"/>
        </w:rPr>
      </w:pPr>
    </w:p>
    <w:p>
      <w:pPr>
        <w:ind w:right="100" w:firstLine="1305"/>
        <w:spacing w:after="0" w:line="259" w:lineRule="auto"/>
        <w:tabs>
          <w:tab w:leader="none" w:pos="1686" w:val="left"/>
        </w:tabs>
        <w:numPr>
          <w:ilvl w:val="0"/>
          <w:numId w:val="61"/>
        </w:numPr>
        <w:rPr>
          <w:rFonts w:ascii="Arial" w:cs="Arial" w:eastAsia="Arial" w:hAnsi="Arial"/>
          <w:sz w:val="18"/>
          <w:szCs w:val="18"/>
          <w:b w:val="1"/>
          <w:bCs w:val="1"/>
          <w:i w:val="1"/>
          <w:iCs w:val="1"/>
          <w:color w:val="auto"/>
        </w:rPr>
      </w:pPr>
      <w:r>
        <w:rPr>
          <w:rFonts w:ascii="Arial" w:cs="Arial" w:eastAsia="Arial" w:hAnsi="Arial"/>
          <w:sz w:val="21"/>
          <w:szCs w:val="21"/>
          <w:color w:val="auto"/>
        </w:rPr>
        <w:t xml:space="preserve">A </w:t>
      </w:r>
      <w:r>
        <w:rPr>
          <w:rFonts w:ascii="Arial" w:cs="Arial" w:eastAsia="Arial" w:hAnsi="Arial"/>
          <w:sz w:val="21"/>
          <w:szCs w:val="21"/>
          <w:b w:val="1"/>
          <w:bCs w:val="1"/>
          <w:i w:val="1"/>
          <w:iCs w:val="1"/>
          <w:color w:val="auto"/>
        </w:rPr>
        <w:t>“</w:t>
      </w:r>
      <w:r>
        <w:rPr>
          <w:rFonts w:ascii="Arial" w:cs="Arial" w:eastAsia="Arial" w:hAnsi="Arial"/>
          <w:sz w:val="21"/>
          <w:szCs w:val="21"/>
          <w:b w:val="1"/>
          <w:bCs w:val="1"/>
          <w:i w:val="1"/>
          <w:iCs w:val="1"/>
          <w:u w:val="single" w:color="auto"/>
          <w:color w:val="auto"/>
        </w:rPr>
        <w:t>Claim</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is any threatened, pending or completed action, suit, proceeding or alternative dispute resolution mechanism, or any inquiry, hearing or investigation, whether conducted by the Company or any other party, and whether civil, criminal, administrative, investigative or other.</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80"/>
          </w:cols>
          <w:pgMar w:left="240" w:top="369" w:right="279" w:bottom="1440" w:gutter="0" w:footer="0" w:header="0"/>
        </w:sectPr>
      </w:pPr>
    </w:p>
    <w:bookmarkStart w:id="174" w:name="page175"/>
    <w:bookmarkEnd w:id="174"/>
    <w:p>
      <w:pPr>
        <w:ind w:left="-656" w:right="80" w:firstLine="1305"/>
        <w:spacing w:after="0" w:line="259" w:lineRule="auto"/>
        <w:tabs>
          <w:tab w:leader="none" w:pos="1020" w:val="left"/>
        </w:tabs>
        <w:numPr>
          <w:ilvl w:val="1"/>
          <w:numId w:val="62"/>
        </w:numPr>
        <w:rPr>
          <w:rFonts w:ascii="Arial" w:cs="Arial" w:eastAsia="Arial" w:hAnsi="Arial"/>
          <w:sz w:val="18"/>
          <w:szCs w:val="18"/>
          <w:b w:val="1"/>
          <w:bCs w:val="1"/>
          <w:i w:val="1"/>
          <w:iCs w:val="1"/>
          <w:color w:val="auto"/>
        </w:rPr>
      </w:pPr>
      <w:r>
        <w:rPr>
          <w:rFonts w:ascii="Arial" w:cs="Arial" w:eastAsia="Arial" w:hAnsi="Arial"/>
          <w:sz w:val="21"/>
          <w:szCs w:val="21"/>
          <w:b w:val="1"/>
          <w:bCs w:val="1"/>
          <w:i w:val="1"/>
          <w:iCs w:val="1"/>
          <w:color w:val="auto"/>
        </w:rPr>
        <w:t>“</w:t>
      </w:r>
      <w:r>
        <w:rPr>
          <w:rFonts w:ascii="Arial" w:cs="Arial" w:eastAsia="Arial" w:hAnsi="Arial"/>
          <w:sz w:val="21"/>
          <w:szCs w:val="21"/>
          <w:b w:val="1"/>
          <w:bCs w:val="1"/>
          <w:i w:val="1"/>
          <w:iCs w:val="1"/>
          <w:u w:val="single" w:color="auto"/>
          <w:color w:val="auto"/>
        </w:rPr>
        <w:t>Expenses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include attorneys’ fees and all other costs, fees, expenses and obligations of any nature whatsoever paid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incurred in connection with investigating, defending, being a witness in, participating in (including appeal), or preparing to defend, any Claim relating to any Indemnifiable Event.</w:t>
      </w:r>
    </w:p>
    <w:p>
      <w:pPr>
        <w:spacing w:after="0" w:line="177" w:lineRule="exact"/>
        <w:rPr>
          <w:rFonts w:ascii="Arial" w:cs="Arial" w:eastAsia="Arial" w:hAnsi="Arial"/>
          <w:sz w:val="18"/>
          <w:szCs w:val="18"/>
          <w:b w:val="1"/>
          <w:bCs w:val="1"/>
          <w:i w:val="1"/>
          <w:iCs w:val="1"/>
          <w:color w:val="auto"/>
        </w:rPr>
      </w:pPr>
    </w:p>
    <w:p>
      <w:pPr>
        <w:ind w:left="-656" w:firstLine="1305"/>
        <w:spacing w:after="0" w:line="250" w:lineRule="auto"/>
        <w:tabs>
          <w:tab w:leader="none" w:pos="1030" w:val="left"/>
        </w:tabs>
        <w:numPr>
          <w:ilvl w:val="1"/>
          <w:numId w:val="62"/>
        </w:numPr>
        <w:rPr>
          <w:rFonts w:ascii="Arial" w:cs="Arial" w:eastAsia="Arial" w:hAnsi="Arial"/>
          <w:sz w:val="18"/>
          <w:szCs w:val="18"/>
          <w:b w:val="1"/>
          <w:bCs w:val="1"/>
          <w:i w:val="1"/>
          <w:iCs w:val="1"/>
          <w:color w:val="auto"/>
        </w:rPr>
      </w:pPr>
      <w:r>
        <w:rPr>
          <w:rFonts w:ascii="Arial" w:cs="Arial" w:eastAsia="Arial" w:hAnsi="Arial"/>
          <w:sz w:val="21"/>
          <w:szCs w:val="21"/>
          <w:color w:val="auto"/>
        </w:rPr>
        <w:t xml:space="preserve">An </w:t>
      </w:r>
      <w:r>
        <w:rPr>
          <w:rFonts w:ascii="Arial" w:cs="Arial" w:eastAsia="Arial" w:hAnsi="Arial"/>
          <w:sz w:val="21"/>
          <w:szCs w:val="21"/>
          <w:b w:val="1"/>
          <w:bCs w:val="1"/>
          <w:i w:val="1"/>
          <w:iCs w:val="1"/>
          <w:color w:val="auto"/>
        </w:rPr>
        <w:t>“</w:t>
      </w:r>
      <w:r>
        <w:rPr>
          <w:rFonts w:ascii="Arial" w:cs="Arial" w:eastAsia="Arial" w:hAnsi="Arial"/>
          <w:sz w:val="21"/>
          <w:szCs w:val="21"/>
          <w:b w:val="1"/>
          <w:bCs w:val="1"/>
          <w:i w:val="1"/>
          <w:iCs w:val="1"/>
          <w:u w:val="single" w:color="auto"/>
          <w:color w:val="auto"/>
        </w:rPr>
        <w:t>Indemnifiable Event</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is any event or occurrence (whether before or after the date hereof) related to the fact that Indemnitee is or was a director, officer, employee, consultant, agent or fiduciary of or to the Company, or any subsidiary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w:t>
      </w:r>
    </w:p>
    <w:p>
      <w:pPr>
        <w:spacing w:after="0" w:line="187" w:lineRule="exact"/>
        <w:rPr>
          <w:rFonts w:ascii="Arial" w:cs="Arial" w:eastAsia="Arial" w:hAnsi="Arial"/>
          <w:sz w:val="18"/>
          <w:szCs w:val="18"/>
          <w:b w:val="1"/>
          <w:bCs w:val="1"/>
          <w:i w:val="1"/>
          <w:iCs w:val="1"/>
          <w:color w:val="auto"/>
        </w:rPr>
      </w:pPr>
    </w:p>
    <w:p>
      <w:pPr>
        <w:ind w:left="-656" w:firstLine="1305"/>
        <w:spacing w:after="0" w:line="275" w:lineRule="auto"/>
        <w:tabs>
          <w:tab w:leader="none" w:pos="1020" w:val="left"/>
        </w:tabs>
        <w:numPr>
          <w:ilvl w:val="1"/>
          <w:numId w:val="62"/>
        </w:numPr>
        <w:rPr>
          <w:rFonts w:ascii="Arial" w:cs="Arial" w:eastAsia="Arial" w:hAnsi="Arial"/>
          <w:sz w:val="16"/>
          <w:szCs w:val="16"/>
          <w:b w:val="1"/>
          <w:bCs w:val="1"/>
          <w:i w:val="1"/>
          <w:iCs w:val="1"/>
          <w:color w:val="auto"/>
        </w:rPr>
      </w:pPr>
      <w:r>
        <w:rPr>
          <w:rFonts w:ascii="Arial" w:cs="Arial" w:eastAsia="Arial" w:hAnsi="Arial"/>
          <w:sz w:val="19"/>
          <w:szCs w:val="19"/>
          <w:color w:val="auto"/>
        </w:rPr>
        <w:t xml:space="preserve">A </w:t>
      </w:r>
      <w:r>
        <w:rPr>
          <w:rFonts w:ascii="Arial" w:cs="Arial" w:eastAsia="Arial" w:hAnsi="Arial"/>
          <w:sz w:val="19"/>
          <w:szCs w:val="19"/>
          <w:b w:val="1"/>
          <w:bCs w:val="1"/>
          <w:i w:val="1"/>
          <w:iCs w:val="1"/>
          <w:color w:val="auto"/>
        </w:rPr>
        <w:t>“</w:t>
      </w:r>
      <w:r>
        <w:rPr>
          <w:rFonts w:ascii="Arial" w:cs="Arial" w:eastAsia="Arial" w:hAnsi="Arial"/>
          <w:sz w:val="19"/>
          <w:szCs w:val="19"/>
          <w:b w:val="1"/>
          <w:bCs w:val="1"/>
          <w:i w:val="1"/>
          <w:iCs w:val="1"/>
          <w:u w:val="single" w:color="auto"/>
          <w:color w:val="auto"/>
        </w:rPr>
        <w:t>Potential Change in Control</w:t>
      </w:r>
      <w:r>
        <w:rPr>
          <w:rFonts w:ascii="Arial" w:cs="Arial" w:eastAsia="Arial" w:hAnsi="Arial"/>
          <w:sz w:val="19"/>
          <w:szCs w:val="19"/>
          <w:color w:val="auto"/>
        </w:rPr>
        <w:t>” shall be deemed to have occurred if (i) the Company enters into an agreement, the consummation of which would result in the occurrence of a Change in Control; (ii) any person (including the Company) publicly announces an intention to take actions which, if consummated, would constitute a Change in Control; (iii) any person, other than a trustee or other fiduciary holding securities under an employee benefit plan of the Company or a corporation owned, directly or indirectly, by the stockholders of the Company in substantially the same proportions as their ownership of stock of the Company, who is or becomes the beneficial owner, directly or indirectly, of securities of the Company representing 9.5% or more of the combined voting power of the Company’s then outstanding Voting Securities, increases such person’s beneficial ownership of such securities by five percentage points or more over the initial percentage of such Voting Securities held by such person; or (iv) the Board of Directors of the Company adopts a resolution to the effect that, for purposes of this Agreement, a Potential Change in Control has occurred.</w:t>
      </w:r>
    </w:p>
    <w:p>
      <w:pPr>
        <w:spacing w:after="0" w:line="164" w:lineRule="exact"/>
        <w:rPr>
          <w:rFonts w:ascii="Arial" w:cs="Arial" w:eastAsia="Arial" w:hAnsi="Arial"/>
          <w:sz w:val="16"/>
          <w:szCs w:val="16"/>
          <w:b w:val="1"/>
          <w:bCs w:val="1"/>
          <w:i w:val="1"/>
          <w:iCs w:val="1"/>
          <w:color w:val="auto"/>
        </w:rPr>
      </w:pPr>
    </w:p>
    <w:p>
      <w:pPr>
        <w:ind w:left="4" w:right="60" w:firstLine="645"/>
        <w:spacing w:after="0" w:line="250" w:lineRule="auto"/>
        <w:tabs>
          <w:tab w:leader="none" w:pos="1012" w:val="left"/>
        </w:tabs>
        <w:numPr>
          <w:ilvl w:val="1"/>
          <w:numId w:val="62"/>
        </w:numPr>
        <w:rPr>
          <w:rFonts w:ascii="Arial" w:cs="Arial" w:eastAsia="Arial" w:hAnsi="Arial"/>
          <w:sz w:val="18"/>
          <w:szCs w:val="18"/>
          <w:b w:val="1"/>
          <w:bCs w:val="1"/>
          <w:i w:val="1"/>
          <w:iCs w:val="1"/>
          <w:color w:val="auto"/>
        </w:rPr>
      </w:pPr>
      <w:r>
        <w:rPr>
          <w:rFonts w:ascii="Arial" w:cs="Arial" w:eastAsia="Arial" w:hAnsi="Arial"/>
          <w:sz w:val="21"/>
          <w:szCs w:val="21"/>
          <w:color w:val="auto"/>
        </w:rPr>
        <w:t xml:space="preserve">A </w:t>
      </w:r>
      <w:r>
        <w:rPr>
          <w:rFonts w:ascii="Arial" w:cs="Arial" w:eastAsia="Arial" w:hAnsi="Arial"/>
          <w:sz w:val="21"/>
          <w:szCs w:val="21"/>
          <w:b w:val="1"/>
          <w:bCs w:val="1"/>
          <w:i w:val="1"/>
          <w:iCs w:val="1"/>
          <w:color w:val="auto"/>
        </w:rPr>
        <w:t>“</w:t>
      </w:r>
      <w:r>
        <w:rPr>
          <w:rFonts w:ascii="Arial" w:cs="Arial" w:eastAsia="Arial" w:hAnsi="Arial"/>
          <w:sz w:val="21"/>
          <w:szCs w:val="21"/>
          <w:b w:val="1"/>
          <w:bCs w:val="1"/>
          <w:i w:val="1"/>
          <w:iCs w:val="1"/>
          <w:u w:val="single" w:color="auto"/>
          <w:color w:val="auto"/>
        </w:rPr>
        <w:t>Reviewing Party</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is (i) the Company’s Board of Directors (provided that a majority of directors are not parties to the particular Claim for which Indemnitee is seeking indemnification) or (ii) any other person or body appointed by the Company’s Board of Directors, who is not a party to the particular Claim for which Indemnitee is seeking indemnificationa majority of the disinterested directors (even if less than a quorum), , or (iii) if there has been a Change in Control, the special independent counsel referred to in Section 2.</w:t>
      </w:r>
    </w:p>
    <w:p>
      <w:pPr>
        <w:spacing w:after="0" w:line="187" w:lineRule="exact"/>
        <w:rPr>
          <w:rFonts w:ascii="Arial" w:cs="Arial" w:eastAsia="Arial" w:hAnsi="Arial"/>
          <w:sz w:val="18"/>
          <w:szCs w:val="18"/>
          <w:b w:val="1"/>
          <w:bCs w:val="1"/>
          <w:i w:val="1"/>
          <w:iCs w:val="1"/>
          <w:color w:val="auto"/>
        </w:rPr>
      </w:pPr>
    </w:p>
    <w:p>
      <w:pPr>
        <w:ind w:left="1044" w:hanging="395"/>
        <w:spacing w:after="0"/>
        <w:tabs>
          <w:tab w:leader="none" w:pos="1044" w:val="left"/>
        </w:tabs>
        <w:numPr>
          <w:ilvl w:val="1"/>
          <w:numId w:val="62"/>
        </w:numPr>
        <w:rPr>
          <w:rFonts w:ascii="Arial" w:cs="Arial" w:eastAsia="Arial" w:hAnsi="Arial"/>
          <w:sz w:val="17"/>
          <w:szCs w:val="17"/>
          <w:b w:val="1"/>
          <w:bCs w:val="1"/>
          <w:i w:val="1"/>
          <w:iCs w:val="1"/>
          <w:color w:val="auto"/>
        </w:rPr>
      </w:pPr>
      <w:r>
        <w:rPr>
          <w:rFonts w:ascii="Arial" w:cs="Arial" w:eastAsia="Arial" w:hAnsi="Arial"/>
          <w:sz w:val="20"/>
          <w:szCs w:val="20"/>
          <w:b w:val="1"/>
          <w:bCs w:val="1"/>
          <w:i w:val="1"/>
          <w:iCs w:val="1"/>
          <w:color w:val="auto"/>
        </w:rPr>
        <w:t>“</w:t>
      </w:r>
      <w:r>
        <w:rPr>
          <w:rFonts w:ascii="Arial" w:cs="Arial" w:eastAsia="Arial" w:hAnsi="Arial"/>
          <w:sz w:val="20"/>
          <w:szCs w:val="20"/>
          <w:b w:val="1"/>
          <w:bCs w:val="1"/>
          <w:i w:val="1"/>
          <w:iCs w:val="1"/>
          <w:u w:val="single" w:color="auto"/>
          <w:color w:val="auto"/>
        </w:rPr>
        <w:t>Voting Securities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means any securities of the Company which vote generally in the election of directors.</w:t>
      </w:r>
    </w:p>
    <w:p>
      <w:pPr>
        <w:spacing w:after="0" w:line="236" w:lineRule="exact"/>
        <w:rPr>
          <w:rFonts w:ascii="Arial" w:cs="Arial" w:eastAsia="Arial" w:hAnsi="Arial"/>
          <w:sz w:val="17"/>
          <w:szCs w:val="17"/>
          <w:b w:val="1"/>
          <w:bCs w:val="1"/>
          <w:i w:val="1"/>
          <w:iCs w:val="1"/>
          <w:color w:val="auto"/>
        </w:rPr>
      </w:pPr>
    </w:p>
    <w:p>
      <w:pPr>
        <w:ind w:left="-656" w:right="20" w:firstLine="656"/>
        <w:spacing w:after="0" w:line="326" w:lineRule="auto"/>
        <w:tabs>
          <w:tab w:leader="none" w:pos="397" w:val="left"/>
        </w:tabs>
        <w:numPr>
          <w:ilvl w:val="0"/>
          <w:numId w:val="63"/>
        </w:numPr>
        <w:rPr>
          <w:rFonts w:ascii="Arial" w:cs="Arial" w:eastAsia="Arial" w:hAnsi="Arial"/>
          <w:sz w:val="15"/>
          <w:szCs w:val="15"/>
          <w:b w:val="1"/>
          <w:bCs w:val="1"/>
          <w:color w:val="auto"/>
        </w:rPr>
      </w:pPr>
      <w:r>
        <w:rPr>
          <w:rFonts w:ascii="Arial" w:cs="Arial" w:eastAsia="Arial" w:hAnsi="Arial"/>
          <w:sz w:val="18"/>
          <w:szCs w:val="18"/>
          <w:b w:val="1"/>
          <w:bCs w:val="1"/>
          <w:color w:val="auto"/>
        </w:rPr>
        <w:t>Amendments, Termination and Waiver</w:t>
      </w:r>
      <w:r>
        <w:rPr>
          <w:rFonts w:ascii="Arial" w:cs="Arial" w:eastAsia="Arial" w:hAnsi="Arial"/>
          <w:sz w:val="18"/>
          <w:szCs w:val="18"/>
          <w:color w:val="auto"/>
        </w:rPr>
        <w:t>. No supplement, modification, amendment or termination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15" w:lineRule="exact"/>
        <w:rPr>
          <w:rFonts w:ascii="Arial" w:cs="Arial" w:eastAsia="Arial" w:hAnsi="Arial"/>
          <w:sz w:val="15"/>
          <w:szCs w:val="15"/>
          <w:b w:val="1"/>
          <w:bCs w:val="1"/>
          <w:color w:val="auto"/>
        </w:rPr>
      </w:pPr>
    </w:p>
    <w:p>
      <w:pPr>
        <w:jc w:val="both"/>
        <w:ind w:left="-656" w:right="60" w:firstLine="656"/>
        <w:spacing w:after="0" w:line="272" w:lineRule="auto"/>
        <w:tabs>
          <w:tab w:leader="none" w:pos="387" w:val="left"/>
        </w:tabs>
        <w:numPr>
          <w:ilvl w:val="0"/>
          <w:numId w:val="63"/>
        </w:numPr>
        <w:rPr>
          <w:rFonts w:ascii="Arial" w:cs="Arial" w:eastAsia="Arial" w:hAnsi="Arial"/>
          <w:sz w:val="17"/>
          <w:szCs w:val="17"/>
          <w:b w:val="1"/>
          <w:bCs w:val="1"/>
          <w:color w:val="auto"/>
        </w:rPr>
      </w:pPr>
      <w:r>
        <w:rPr>
          <w:rFonts w:ascii="Arial" w:cs="Arial" w:eastAsia="Arial" w:hAnsi="Arial"/>
          <w:sz w:val="20"/>
          <w:szCs w:val="20"/>
          <w:b w:val="1"/>
          <w:bCs w:val="1"/>
          <w:color w:val="auto"/>
        </w:rPr>
        <w:t>Contribution</w:t>
      </w:r>
      <w:r>
        <w:rPr>
          <w:rFonts w:ascii="Arial" w:cs="Arial" w:eastAsia="Arial" w:hAnsi="Arial"/>
          <w:sz w:val="20"/>
          <w:szCs w:val="20"/>
          <w:color w:val="auto"/>
        </w:rPr>
        <w:t>. If the indemnification provided in Sections 1 and 3 is unavailable, then, in respect of any Claim in which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 jointly liable with Indemnitee (or would be if joined in the Claim), the Company shall contribute to the amount of Expenses, judgments, fines, penalties and amounts paid in settlement as appropriate to reflect: (a) the relative benefits received by the Company, on the one hand, and Indemnitee, on the other hand, from the transaction from which</w:t>
      </w:r>
    </w:p>
    <w:p>
      <w:pPr>
        <w:spacing w:after="0" w:line="200" w:lineRule="exact"/>
        <w:rPr>
          <w:sz w:val="20"/>
          <w:szCs w:val="20"/>
          <w:color w:val="auto"/>
        </w:rPr>
      </w:pPr>
    </w:p>
    <w:p>
      <w:pPr>
        <w:spacing w:after="0" w:line="227"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369" w:right="239" w:bottom="1440" w:gutter="0" w:footer="0" w:header="0"/>
        </w:sectPr>
      </w:pPr>
    </w:p>
    <w:bookmarkStart w:id="175" w:name="page176"/>
    <w:bookmarkEnd w:id="175"/>
    <w:p>
      <w:pPr>
        <w:ind w:right="180"/>
        <w:spacing w:after="0" w:line="259" w:lineRule="auto"/>
        <w:rPr>
          <w:sz w:val="20"/>
          <w:szCs w:val="20"/>
          <w:color w:val="auto"/>
        </w:rPr>
      </w:pPr>
      <w:r>
        <w:rPr>
          <w:rFonts w:ascii="Arial" w:cs="Arial" w:eastAsia="Arial" w:hAnsi="Arial"/>
          <w:sz w:val="20"/>
          <w:szCs w:val="20"/>
          <w:color w:val="auto"/>
        </w:rPr>
        <w:t>the Claim arose, and (b) the relative fault of the Company, on the one hand, and of Indemnitee, on the other, in connection with the events which resulted in such Expenses, judgments, fines, penalties and amounts paid in settlement, as well as any other relevant equitable considerations. The relative fault of the Company, on the one hand, and of Indemnitee, on the other, shall be determined by reference to, among other things, the parties’ relative intent, knowledge, access to information and opportunity to correct or prevent the circumstances resulting in such Expenses and liabilities. The Company agrees that it would not be just and equitable if contribution pursuant to this Section 11 were determined by pro rata allocation or any other method of allocation which does not take account of the equitable considerations described in this Section 11.</w:t>
      </w:r>
    </w:p>
    <w:p>
      <w:pPr>
        <w:spacing w:after="0" w:line="174" w:lineRule="exact"/>
        <w:rPr>
          <w:sz w:val="20"/>
          <w:szCs w:val="20"/>
          <w:color w:val="auto"/>
        </w:rPr>
      </w:pPr>
    </w:p>
    <w:p>
      <w:pPr>
        <w:jc w:val="both"/>
        <w:ind w:right="160" w:firstLine="656"/>
        <w:spacing w:after="0" w:line="255" w:lineRule="auto"/>
        <w:tabs>
          <w:tab w:leader="none" w:pos="1053" w:val="left"/>
        </w:tabs>
        <w:numPr>
          <w:ilvl w:val="0"/>
          <w:numId w:val="64"/>
        </w:numPr>
        <w:rPr>
          <w:rFonts w:ascii="Arial" w:cs="Arial" w:eastAsia="Arial" w:hAnsi="Arial"/>
          <w:sz w:val="18"/>
          <w:szCs w:val="18"/>
          <w:b w:val="1"/>
          <w:bCs w:val="1"/>
          <w:color w:val="auto"/>
        </w:rPr>
      </w:pPr>
      <w:r>
        <w:rPr>
          <w:rFonts w:ascii="Arial" w:cs="Arial" w:eastAsia="Arial" w:hAnsi="Arial"/>
          <w:sz w:val="21"/>
          <w:szCs w:val="21"/>
          <w:b w:val="1"/>
          <w:bCs w:val="1"/>
          <w:color w:val="auto"/>
        </w:rPr>
        <w:t>Subrogation</w:t>
      </w:r>
      <w:r>
        <w:rPr>
          <w:rFonts w:ascii="Arial" w:cs="Arial" w:eastAsia="Arial" w:hAnsi="Arial"/>
          <w:sz w:val="21"/>
          <w:szCs w:val="21"/>
          <w:color w:val="auto"/>
        </w:rPr>
        <w:t>. In the event of payment under this Agreement, the Company shall be subrogated to the extent of such</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Arial" w:cs="Arial" w:eastAsia="Arial" w:hAnsi="Arial"/>
          <w:sz w:val="18"/>
          <w:szCs w:val="18"/>
          <w:b w:val="1"/>
          <w:bCs w:val="1"/>
          <w:color w:val="auto"/>
        </w:rPr>
      </w:pPr>
    </w:p>
    <w:p>
      <w:pPr>
        <w:jc w:val="both"/>
        <w:ind w:right="220" w:firstLine="656"/>
        <w:spacing w:after="0" w:line="281" w:lineRule="auto"/>
        <w:tabs>
          <w:tab w:leader="none" w:pos="1053" w:val="left"/>
        </w:tabs>
        <w:numPr>
          <w:ilvl w:val="0"/>
          <w:numId w:val="64"/>
        </w:numPr>
        <w:rPr>
          <w:rFonts w:ascii="Arial" w:cs="Arial" w:eastAsia="Arial" w:hAnsi="Arial"/>
          <w:sz w:val="17"/>
          <w:szCs w:val="17"/>
          <w:b w:val="1"/>
          <w:bCs w:val="1"/>
          <w:color w:val="auto"/>
        </w:rPr>
      </w:pPr>
      <w:r>
        <w:rPr>
          <w:rFonts w:ascii="Arial" w:cs="Arial" w:eastAsia="Arial" w:hAnsi="Arial"/>
          <w:sz w:val="20"/>
          <w:szCs w:val="20"/>
          <w:b w:val="1"/>
          <w:bCs w:val="1"/>
          <w:color w:val="auto"/>
        </w:rPr>
        <w:t>No Duplication of Payments</w:t>
      </w:r>
      <w:r>
        <w:rPr>
          <w:rFonts w:ascii="Arial" w:cs="Arial" w:eastAsia="Arial" w:hAnsi="Arial"/>
          <w:sz w:val="20"/>
          <w:szCs w:val="20"/>
          <w:color w:val="auto"/>
        </w:rPr>
        <w:t>. The Company shall not be liable under this Agreement to make any payment in connection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any Claim made against Indemnitee to the extent Indemnitee has otherwise actually received payment (under an insurance policy, the Certificate of Incorporation or otherwise) of the amounts otherwise idemnifiable hereunder.</w:t>
      </w:r>
    </w:p>
    <w:p>
      <w:pPr>
        <w:spacing w:after="0" w:line="151" w:lineRule="exact"/>
        <w:rPr>
          <w:rFonts w:ascii="Arial" w:cs="Arial" w:eastAsia="Arial" w:hAnsi="Arial"/>
          <w:sz w:val="17"/>
          <w:szCs w:val="17"/>
          <w:b w:val="1"/>
          <w:bCs w:val="1"/>
          <w:color w:val="auto"/>
        </w:rPr>
      </w:pPr>
    </w:p>
    <w:p>
      <w:pPr>
        <w:ind w:right="40" w:firstLine="656"/>
        <w:spacing w:after="0" w:line="304" w:lineRule="auto"/>
        <w:tabs>
          <w:tab w:leader="none" w:pos="1053" w:val="left"/>
        </w:tabs>
        <w:numPr>
          <w:ilvl w:val="0"/>
          <w:numId w:val="64"/>
        </w:numPr>
        <w:rPr>
          <w:rFonts w:ascii="Arial" w:cs="Arial" w:eastAsia="Arial" w:hAnsi="Arial"/>
          <w:sz w:val="15"/>
          <w:szCs w:val="15"/>
          <w:b w:val="1"/>
          <w:bCs w:val="1"/>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Agreement shall be binding upon and inure to the benefit of and be enforceable by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respective successors and assigns (including any direct or indirect successor by purchase, merger, consolidation or otherwise to all or substantially all of the business and/or assets of the Company), spouse, heirs, and personal and legal representatives. This Agreement shall continue in effect regardless of whether Indemnitee continues to serve as a director or officer (or in one of the capacities enumerated in Section 9(d) hereof) of the Company or of any other enterprise at the Board of Director’s request.</w:t>
      </w:r>
    </w:p>
    <w:p>
      <w:pPr>
        <w:spacing w:after="0" w:line="134" w:lineRule="exact"/>
        <w:rPr>
          <w:rFonts w:ascii="Arial" w:cs="Arial" w:eastAsia="Arial" w:hAnsi="Arial"/>
          <w:sz w:val="15"/>
          <w:szCs w:val="15"/>
          <w:b w:val="1"/>
          <w:bCs w:val="1"/>
          <w:color w:val="auto"/>
        </w:rPr>
      </w:pPr>
    </w:p>
    <w:p>
      <w:pPr>
        <w:ind w:firstLine="656"/>
        <w:spacing w:after="0" w:line="281" w:lineRule="auto"/>
        <w:tabs>
          <w:tab w:leader="none" w:pos="1053" w:val="left"/>
        </w:tabs>
        <w:numPr>
          <w:ilvl w:val="0"/>
          <w:numId w:val="64"/>
        </w:numPr>
        <w:rPr>
          <w:rFonts w:ascii="Arial" w:cs="Arial" w:eastAsia="Arial" w:hAnsi="Arial"/>
          <w:sz w:val="17"/>
          <w:szCs w:val="17"/>
          <w:b w:val="1"/>
          <w:bCs w:val="1"/>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The provisions of this Agreement shall be severable in the event that any of the provisions hereof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any provision within a single section, paragraph or sentence) are held by a court of competent jurisdiction to be invalid, void or otherwise unenforceable, and the remaining provisions shall remain enforceable to the fullest extent permitted by law.</w:t>
      </w:r>
    </w:p>
    <w:p>
      <w:pPr>
        <w:spacing w:after="0" w:line="151" w:lineRule="exact"/>
        <w:rPr>
          <w:rFonts w:ascii="Arial" w:cs="Arial" w:eastAsia="Arial" w:hAnsi="Arial"/>
          <w:sz w:val="17"/>
          <w:szCs w:val="17"/>
          <w:b w:val="1"/>
          <w:bCs w:val="1"/>
          <w:color w:val="auto"/>
        </w:rPr>
      </w:pPr>
    </w:p>
    <w:p>
      <w:pPr>
        <w:ind w:right="100" w:firstLine="656"/>
        <w:spacing w:after="0" w:line="262" w:lineRule="auto"/>
        <w:tabs>
          <w:tab w:leader="none" w:pos="1053" w:val="left"/>
        </w:tabs>
        <w:numPr>
          <w:ilvl w:val="0"/>
          <w:numId w:val="64"/>
        </w:numPr>
        <w:rPr>
          <w:rFonts w:ascii="Arial" w:cs="Arial" w:eastAsia="Arial" w:hAnsi="Arial"/>
          <w:sz w:val="18"/>
          <w:szCs w:val="18"/>
          <w:b w:val="1"/>
          <w:bCs w:val="1"/>
          <w:color w:val="auto"/>
        </w:rPr>
      </w:pPr>
      <w:r>
        <w:rPr>
          <w:rFonts w:ascii="Arial" w:cs="Arial" w:eastAsia="Arial" w:hAnsi="Arial"/>
          <w:sz w:val="21"/>
          <w:szCs w:val="21"/>
          <w:b w:val="1"/>
          <w:bCs w:val="1"/>
          <w:color w:val="auto"/>
        </w:rPr>
        <w:t xml:space="preserve">Applicable Law and Consent to Jurisdiction. </w:t>
      </w:r>
      <w:r>
        <w:rPr>
          <w:rFonts w:ascii="Arial" w:cs="Arial" w:eastAsia="Arial" w:hAnsi="Arial"/>
          <w:sz w:val="21"/>
          <w:szCs w:val="21"/>
          <w:color w:val="auto"/>
        </w:rPr>
        <w:t>This Agreement and the legal relations among the parties shall be governed</w:t>
      </w:r>
      <w:r>
        <w:rPr>
          <w:rFonts w:ascii="Arial" w:cs="Arial" w:eastAsia="Arial" w:hAnsi="Arial"/>
          <w:sz w:val="21"/>
          <w:szCs w:val="21"/>
          <w:b w:val="1"/>
          <w:bCs w:val="1"/>
          <w:color w:val="auto"/>
        </w:rPr>
        <w:t xml:space="preserve"> </w:t>
      </w:r>
      <w:r>
        <w:rPr>
          <w:rFonts w:ascii="Arial" w:cs="Arial" w:eastAsia="Arial" w:hAnsi="Arial"/>
          <w:sz w:val="21"/>
          <w:szCs w:val="21"/>
          <w:color w:val="auto"/>
        </w:rPr>
        <w:t>by, and construed and enforced in accordance with, the laws of the State of Delaware, without regard to its conflict of laws rules. The Company and Indemnitee hereby irrevocably and unconditionally:</w:t>
      </w:r>
    </w:p>
    <w:p>
      <w:pPr>
        <w:spacing w:after="0" w:line="174" w:lineRule="exact"/>
        <w:rPr>
          <w:rFonts w:ascii="Arial" w:cs="Arial" w:eastAsia="Arial" w:hAnsi="Arial"/>
          <w:sz w:val="18"/>
          <w:szCs w:val="18"/>
          <w:b w:val="1"/>
          <w:bCs w:val="1"/>
          <w:color w:val="auto"/>
        </w:rPr>
      </w:pPr>
    </w:p>
    <w:p>
      <w:pPr>
        <w:ind w:right="180" w:firstLine="1305"/>
        <w:spacing w:after="0" w:line="332" w:lineRule="auto"/>
        <w:tabs>
          <w:tab w:leader="none" w:pos="1686" w:val="left"/>
        </w:tabs>
        <w:numPr>
          <w:ilvl w:val="1"/>
          <w:numId w:val="64"/>
        </w:numPr>
        <w:rPr>
          <w:rFonts w:ascii="Arial" w:cs="Arial" w:eastAsia="Arial" w:hAnsi="Arial"/>
          <w:sz w:val="16"/>
          <w:szCs w:val="16"/>
          <w:b w:val="1"/>
          <w:bCs w:val="1"/>
          <w:i w:val="1"/>
          <w:iCs w:val="1"/>
          <w:color w:val="auto"/>
        </w:rPr>
      </w:pPr>
      <w:r>
        <w:rPr>
          <w:rFonts w:ascii="Arial" w:cs="Arial" w:eastAsia="Arial" w:hAnsi="Arial"/>
          <w:sz w:val="19"/>
          <w:szCs w:val="19"/>
          <w:color w:val="auto"/>
        </w:rPr>
        <w:t>agree that any action or proceeding arising out of or in connection with this Agreement shall be brought only in the Delaware Court and not in any other state or federal court in the United States of America or any court in any other country;</w:t>
      </w:r>
    </w:p>
    <w:p>
      <w:pPr>
        <w:spacing w:after="0" w:line="111" w:lineRule="exact"/>
        <w:rPr>
          <w:rFonts w:ascii="Arial" w:cs="Arial" w:eastAsia="Arial" w:hAnsi="Arial"/>
          <w:sz w:val="16"/>
          <w:szCs w:val="16"/>
          <w:b w:val="1"/>
          <w:bCs w:val="1"/>
          <w:i w:val="1"/>
          <w:iCs w:val="1"/>
          <w:color w:val="auto"/>
        </w:rPr>
      </w:pPr>
    </w:p>
    <w:p>
      <w:pPr>
        <w:ind w:right="600" w:firstLine="1305"/>
        <w:spacing w:after="0" w:line="277" w:lineRule="auto"/>
        <w:tabs>
          <w:tab w:leader="none" w:pos="1686" w:val="left"/>
        </w:tabs>
        <w:numPr>
          <w:ilvl w:val="1"/>
          <w:numId w:val="64"/>
        </w:numPr>
        <w:rPr>
          <w:rFonts w:ascii="Arial" w:cs="Arial" w:eastAsia="Arial" w:hAnsi="Arial"/>
          <w:sz w:val="18"/>
          <w:szCs w:val="18"/>
          <w:b w:val="1"/>
          <w:bCs w:val="1"/>
          <w:i w:val="1"/>
          <w:iCs w:val="1"/>
          <w:color w:val="auto"/>
        </w:rPr>
      </w:pPr>
      <w:r>
        <w:rPr>
          <w:rFonts w:ascii="Arial" w:cs="Arial" w:eastAsia="Arial" w:hAnsi="Arial"/>
          <w:sz w:val="21"/>
          <w:szCs w:val="21"/>
          <w:color w:val="auto"/>
        </w:rPr>
        <w:t>consent to submit to the exclusive jurisdiction of the Delaware Court for purposes of any action or proceeding arising out of or in connection with this Agreement;</w:t>
      </w:r>
    </w:p>
    <w:p>
      <w:pPr>
        <w:spacing w:after="0" w:line="158" w:lineRule="exact"/>
        <w:rPr>
          <w:rFonts w:ascii="Arial" w:cs="Arial" w:eastAsia="Arial" w:hAnsi="Arial"/>
          <w:sz w:val="18"/>
          <w:szCs w:val="18"/>
          <w:b w:val="1"/>
          <w:bCs w:val="1"/>
          <w:i w:val="1"/>
          <w:iCs w:val="1"/>
          <w:color w:val="auto"/>
        </w:rPr>
      </w:pPr>
    </w:p>
    <w:p>
      <w:pPr>
        <w:ind w:right="460" w:firstLine="1305"/>
        <w:spacing w:after="0" w:line="277" w:lineRule="auto"/>
        <w:tabs>
          <w:tab w:leader="none" w:pos="1676" w:val="left"/>
        </w:tabs>
        <w:numPr>
          <w:ilvl w:val="1"/>
          <w:numId w:val="64"/>
        </w:numPr>
        <w:rPr>
          <w:rFonts w:ascii="Arial" w:cs="Arial" w:eastAsia="Arial" w:hAnsi="Arial"/>
          <w:sz w:val="18"/>
          <w:szCs w:val="18"/>
          <w:b w:val="1"/>
          <w:bCs w:val="1"/>
          <w:i w:val="1"/>
          <w:iCs w:val="1"/>
          <w:color w:val="auto"/>
        </w:rPr>
      </w:pPr>
      <w:r>
        <w:rPr>
          <w:rFonts w:ascii="Arial" w:cs="Arial" w:eastAsia="Arial" w:hAnsi="Arial"/>
          <w:sz w:val="21"/>
          <w:szCs w:val="21"/>
          <w:color w:val="auto"/>
        </w:rPr>
        <w:t>appoint, irrevocably, to the extent such party is not a resident of the State of Delaware, the Company’s agent for service of process as its agent in the State of Delaware for</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369" w:right="259" w:bottom="1440" w:gutter="0" w:footer="0" w:header="0"/>
        </w:sectPr>
      </w:pPr>
    </w:p>
    <w:bookmarkStart w:id="176" w:name="page177"/>
    <w:bookmarkEnd w:id="176"/>
    <w:p>
      <w:pPr>
        <w:ind w:right="20"/>
        <w:spacing w:after="0" w:line="264" w:lineRule="auto"/>
        <w:rPr>
          <w:sz w:val="20"/>
          <w:szCs w:val="20"/>
          <w:color w:val="auto"/>
        </w:rPr>
      </w:pPr>
      <w:r>
        <w:rPr>
          <w:rFonts w:ascii="Arial" w:cs="Arial" w:eastAsia="Arial" w:hAnsi="Arial"/>
          <w:sz w:val="21"/>
          <w:szCs w:val="21"/>
          <w:color w:val="auto"/>
        </w:rPr>
        <w:t>acceptance of legal process in connection with any such action or proceeding against such party with the same legal force and validity as if served upon such party personally within the State of Delaware;</w:t>
      </w:r>
    </w:p>
    <w:p>
      <w:pPr>
        <w:spacing w:after="0" w:line="171" w:lineRule="exact"/>
        <w:rPr>
          <w:sz w:val="20"/>
          <w:szCs w:val="20"/>
          <w:color w:val="auto"/>
        </w:rPr>
      </w:pPr>
    </w:p>
    <w:p>
      <w:pPr>
        <w:ind w:left="1700" w:hanging="395"/>
        <w:spacing w:after="0"/>
        <w:tabs>
          <w:tab w:leader="none" w:pos="1700" w:val="left"/>
        </w:tabs>
        <w:numPr>
          <w:ilvl w:val="1"/>
          <w:numId w:val="65"/>
        </w:numPr>
        <w:rPr>
          <w:rFonts w:ascii="Arial" w:cs="Arial" w:eastAsia="Arial" w:hAnsi="Arial"/>
          <w:sz w:val="18"/>
          <w:szCs w:val="18"/>
          <w:b w:val="1"/>
          <w:bCs w:val="1"/>
          <w:i w:val="1"/>
          <w:iCs w:val="1"/>
          <w:color w:val="auto"/>
        </w:rPr>
      </w:pPr>
      <w:r>
        <w:rPr>
          <w:rFonts w:ascii="Arial" w:cs="Arial" w:eastAsia="Arial" w:hAnsi="Arial"/>
          <w:sz w:val="21"/>
          <w:szCs w:val="21"/>
          <w:color w:val="auto"/>
        </w:rPr>
        <w:t>waive any objection to the laying of venue of any such action or proceeding in the Delaware Court; and</w:t>
      </w:r>
    </w:p>
    <w:p>
      <w:pPr>
        <w:spacing w:after="0" w:line="231" w:lineRule="exact"/>
        <w:rPr>
          <w:rFonts w:ascii="Arial" w:cs="Arial" w:eastAsia="Arial" w:hAnsi="Arial"/>
          <w:sz w:val="18"/>
          <w:szCs w:val="18"/>
          <w:b w:val="1"/>
          <w:bCs w:val="1"/>
          <w:i w:val="1"/>
          <w:iCs w:val="1"/>
          <w:color w:val="auto"/>
        </w:rPr>
      </w:pPr>
    </w:p>
    <w:p>
      <w:pPr>
        <w:ind w:right="440" w:firstLine="1305"/>
        <w:spacing w:after="0" w:line="277" w:lineRule="auto"/>
        <w:tabs>
          <w:tab w:leader="none" w:pos="1676" w:val="left"/>
        </w:tabs>
        <w:numPr>
          <w:ilvl w:val="1"/>
          <w:numId w:val="65"/>
        </w:numPr>
        <w:rPr>
          <w:rFonts w:ascii="Arial" w:cs="Arial" w:eastAsia="Arial" w:hAnsi="Arial"/>
          <w:sz w:val="18"/>
          <w:szCs w:val="18"/>
          <w:b w:val="1"/>
          <w:bCs w:val="1"/>
          <w:i w:val="1"/>
          <w:iCs w:val="1"/>
          <w:color w:val="auto"/>
        </w:rPr>
      </w:pPr>
      <w:r>
        <w:rPr>
          <w:rFonts w:ascii="Arial" w:cs="Arial" w:eastAsia="Arial" w:hAnsi="Arial"/>
          <w:sz w:val="21"/>
          <w:szCs w:val="21"/>
          <w:color w:val="auto"/>
        </w:rPr>
        <w:t>waive, and agree not to plead or to make, any claim that any such action or proceeding brought in the Delaware Court has been brought in an improper or inconvenient forum.</w:t>
      </w:r>
    </w:p>
    <w:p>
      <w:pPr>
        <w:spacing w:after="0" w:line="152" w:lineRule="exact"/>
        <w:rPr>
          <w:rFonts w:ascii="Arial" w:cs="Arial" w:eastAsia="Arial" w:hAnsi="Arial"/>
          <w:sz w:val="18"/>
          <w:szCs w:val="18"/>
          <w:b w:val="1"/>
          <w:bCs w:val="1"/>
          <w:i w:val="1"/>
          <w:iCs w:val="1"/>
          <w:color w:val="auto"/>
        </w:rPr>
      </w:pPr>
    </w:p>
    <w:p>
      <w:pPr>
        <w:ind w:firstLine="656"/>
        <w:spacing w:after="0" w:line="326" w:lineRule="auto"/>
        <w:tabs>
          <w:tab w:leader="none" w:pos="1053" w:val="left"/>
        </w:tabs>
        <w:numPr>
          <w:ilvl w:val="0"/>
          <w:numId w:val="66"/>
        </w:numPr>
        <w:rPr>
          <w:rFonts w:ascii="Arial" w:cs="Arial" w:eastAsia="Arial" w:hAnsi="Arial"/>
          <w:sz w:val="15"/>
          <w:szCs w:val="15"/>
          <w:b w:val="1"/>
          <w:bCs w:val="1"/>
          <w:color w:val="auto"/>
        </w:rPr>
      </w:pPr>
      <w:r>
        <w:rPr>
          <w:rFonts w:ascii="Arial" w:cs="Arial" w:eastAsia="Arial" w:hAnsi="Arial"/>
          <w:sz w:val="18"/>
          <w:szCs w:val="18"/>
          <w:b w:val="1"/>
          <w:bCs w:val="1"/>
          <w:color w:val="auto"/>
        </w:rPr>
        <w:t>Identical Counterparts</w:t>
      </w:r>
      <w:r>
        <w:rPr>
          <w:rFonts w:ascii="Arial" w:cs="Arial" w:eastAsia="Arial" w:hAnsi="Arial"/>
          <w:sz w:val="18"/>
          <w:szCs w:val="18"/>
          <w:color w:val="auto"/>
        </w:rPr>
        <w:t>. This Agreement may be executed in one or more counterparts, each of which shall for all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have entered into this Indemnification Agreement effective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above.</w:t>
      </w:r>
    </w:p>
    <w:p>
      <w:pPr>
        <w:spacing w:after="0" w:line="194"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LEIDOS HOLDINGS, INC.</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2665095</wp:posOffset>
            </wp:positionH>
            <wp:positionV relativeFrom="paragraph">
              <wp:posOffset>-15875</wp:posOffset>
            </wp:positionV>
            <wp:extent cx="1314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198"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Name:</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Arial" w:cs="Arial" w:eastAsia="Arial" w:hAnsi="Arial"/>
          <w:sz w:val="21"/>
          <w:szCs w:val="2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60"/>
          </w:cols>
          <w:pgMar w:left="240" w:top="369" w:right="299" w:bottom="1440" w:gutter="0" w:footer="0" w:header="0"/>
        </w:sectPr>
      </w:pPr>
    </w:p>
    <w:bookmarkStart w:id="177" w:name="page178"/>
    <w:bookmarkEnd w:id="177"/>
    <w:p>
      <w:pPr>
        <w:ind w:left="10300"/>
        <w:spacing w:after="0"/>
        <w:rPr>
          <w:sz w:val="20"/>
          <w:szCs w:val="20"/>
          <w:color w:val="auto"/>
        </w:rPr>
      </w:pPr>
      <w:r>
        <w:rPr>
          <w:rFonts w:ascii="Arial" w:cs="Arial" w:eastAsia="Arial" w:hAnsi="Arial"/>
          <w:sz w:val="18"/>
          <w:szCs w:val="18"/>
          <w:b w:val="1"/>
          <w:bCs w:val="1"/>
          <w:color w:val="auto"/>
        </w:rPr>
        <w:t>Exhibit 10.33</w:t>
      </w:r>
    </w:p>
    <w:p>
      <w:pPr>
        <w:spacing w:after="0" w:line="275"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FORM OF</w:t>
      </w:r>
    </w:p>
    <w:p>
      <w:pPr>
        <w:spacing w:after="0" w:line="118" w:lineRule="exact"/>
        <w:rPr>
          <w:sz w:val="20"/>
          <w:szCs w:val="20"/>
          <w:color w:val="auto"/>
        </w:rPr>
      </w:pPr>
    </w:p>
    <w:p>
      <w:pPr>
        <w:ind w:left="4460"/>
        <w:spacing w:after="0"/>
        <w:rPr>
          <w:sz w:val="20"/>
          <w:szCs w:val="20"/>
          <w:color w:val="auto"/>
        </w:rPr>
      </w:pPr>
      <w:r>
        <w:rPr>
          <w:rFonts w:ascii="Arial" w:cs="Arial" w:eastAsia="Arial" w:hAnsi="Arial"/>
          <w:sz w:val="22"/>
          <w:szCs w:val="22"/>
          <w:b w:val="1"/>
          <w:bCs w:val="1"/>
          <w:i w:val="1"/>
          <w:iCs w:val="1"/>
          <w:color w:val="auto"/>
        </w:rPr>
        <w:t>LEIDOS HOLDINGS, INC.</w:t>
      </w:r>
    </w:p>
    <w:p>
      <w:pPr>
        <w:spacing w:after="0" w:line="106"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2006 EQUITY INCENTIVE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BY ACCEPTING THE AWARD DESCRIBED IN THIS AGREEMENT, YOU VOLUNTARILY AGREE TO ALL OF THE TERMS AND CONDITIONS SET FORTH IN THIS AGREEMENT, THE AWARD GRANT NOTICE AND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This Performance Share Award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effective as of the Grant Date (as defined below), is between Leidos Holdings, Inc.,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and Recipient (as defined below).</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sets forth the terms and conditions applicable to the award granted to Recipient pursuant to the Award Grant Notice (as defined below) representing a right to receive a number of shares of the Company’s Common Stock (the “</w:t>
      </w:r>
      <w:r>
        <w:rPr>
          <w:rFonts w:ascii="Arial" w:cs="Arial" w:eastAsia="Arial" w:hAnsi="Arial"/>
          <w:sz w:val="22"/>
          <w:szCs w:val="22"/>
          <w:b w:val="1"/>
          <w:bCs w:val="1"/>
          <w:color w:val="auto"/>
        </w:rPr>
        <w:t>Shares</w:t>
      </w:r>
      <w:r>
        <w:rPr>
          <w:rFonts w:ascii="Arial" w:cs="Arial" w:eastAsia="Arial" w:hAnsi="Arial"/>
          <w:sz w:val="22"/>
          <w:szCs w:val="22"/>
          <w:color w:val="auto"/>
        </w:rPr>
        <w:t>”) based on the extent, if any, to which the applicable Performance Goals (as defined below) have been achieved for the Performance Period (as defined below) (the “</w:t>
      </w:r>
      <w:r>
        <w:rPr>
          <w:rFonts w:ascii="Arial" w:cs="Arial" w:eastAsia="Arial" w:hAnsi="Arial"/>
          <w:sz w:val="22"/>
          <w:szCs w:val="22"/>
          <w:b w:val="1"/>
          <w:bCs w:val="1"/>
          <w:color w:val="auto"/>
        </w:rPr>
        <w:t>Performance Share Award</w:t>
      </w:r>
      <w:r>
        <w:rPr>
          <w:rFonts w:ascii="Arial" w:cs="Arial" w:eastAsia="Arial" w:hAnsi="Arial"/>
          <w:sz w:val="22"/>
          <w:szCs w:val="22"/>
          <w:color w:val="auto"/>
        </w:rPr>
        <w:t>”).</w:t>
      </w:r>
    </w:p>
    <w:p>
      <w:pPr>
        <w:spacing w:after="0" w:line="182" w:lineRule="exact"/>
        <w:rPr>
          <w:sz w:val="20"/>
          <w:szCs w:val="20"/>
          <w:color w:val="auto"/>
        </w:rPr>
      </w:pPr>
    </w:p>
    <w:p>
      <w:pPr>
        <w:jc w:val="both"/>
        <w:ind w:firstLine="8"/>
        <w:spacing w:after="0" w:line="256" w:lineRule="auto"/>
        <w:tabs>
          <w:tab w:leader="none" w:pos="378"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The following terms shall have the meanings as defined below. Capitalized terms used herein and not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meanings attributed to them in the Company’s 2006 Equity Incentive Plan (as may be amended from time to time, the “</w:t>
      </w:r>
      <w:r>
        <w:rPr>
          <w:rFonts w:ascii="Arial" w:cs="Arial" w:eastAsia="Arial" w:hAnsi="Arial"/>
          <w:sz w:val="22"/>
          <w:szCs w:val="22"/>
          <w:b w:val="1"/>
          <w:bCs w:val="1"/>
          <w:color w:val="auto"/>
        </w:rPr>
        <w:t>Plan</w:t>
      </w:r>
      <w:r>
        <w:rPr>
          <w:rFonts w:ascii="Arial" w:cs="Arial" w:eastAsia="Arial" w:hAnsi="Arial"/>
          <w:sz w:val="22"/>
          <w:szCs w:val="22"/>
          <w:color w:val="auto"/>
        </w:rPr>
        <w:t>”).</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Award Grant Notice</w:t>
      </w:r>
      <w:r>
        <w:rPr>
          <w:rFonts w:ascii="Arial" w:cs="Arial" w:eastAsia="Arial" w:hAnsi="Arial"/>
          <w:sz w:val="22"/>
          <w:szCs w:val="22"/>
          <w:color w:val="auto"/>
        </w:rPr>
        <w:t>” means the notice delivered to Recipient concurrently with this Agreement setting forth the Performance Goals and which is hereby made a part hereof and incorporated by reference into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Determination Date</w:t>
      </w:r>
      <w:r>
        <w:rPr>
          <w:rFonts w:ascii="Arial" w:cs="Arial" w:eastAsia="Arial" w:hAnsi="Arial"/>
          <w:sz w:val="22"/>
          <w:szCs w:val="22"/>
          <w:color w:val="auto"/>
        </w:rPr>
        <w:t>” means the date following the end of the Performance Period (and within two and one-half months following the end of the Performance Period) on which the Committee makes a final determination of whether and to what extent the Performance Goals set forth in the Award Grant Notice have been achieved for the entire Performance Period, as described in Section 3 hereof.</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an officer of the Company designated as such for purposes of Section 16 of the Securities Exchange Act of 1934,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Grant Date</w:t>
      </w:r>
      <w:r>
        <w:rPr>
          <w:rFonts w:ascii="Arial" w:cs="Arial" w:eastAsia="Arial" w:hAnsi="Arial"/>
          <w:sz w:val="19"/>
          <w:szCs w:val="19"/>
          <w:color w:val="auto"/>
        </w:rPr>
        <w:t>” means the effective date of the grant of the Performance Share Award as set forth in the Award Grant Notice.</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Ineligible Position</w:t>
      </w:r>
      <w:r>
        <w:rPr>
          <w:rFonts w:ascii="Arial" w:cs="Arial" w:eastAsia="Arial" w:hAnsi="Arial"/>
          <w:sz w:val="22"/>
          <w:szCs w:val="22"/>
          <w:color w:val="auto"/>
        </w:rPr>
        <w:t>” means a position of employment with the Company or an Affiliate that is not eligible to receive Performance Share Awards as determined by the Committee.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63" w:right="239" w:bottom="1440" w:gutter="0" w:footer="0" w:header="0"/>
        </w:sectPr>
      </w:pPr>
    </w:p>
    <w:bookmarkStart w:id="178" w:name="page179"/>
    <w:bookmarkEnd w:id="178"/>
    <w:p>
      <w:pPr>
        <w:ind w:left="10300"/>
        <w:spacing w:after="0"/>
        <w:rPr>
          <w:sz w:val="20"/>
          <w:szCs w:val="20"/>
          <w:color w:val="auto"/>
        </w:rPr>
      </w:pPr>
      <w:r>
        <w:rPr>
          <w:rFonts w:ascii="Arial" w:cs="Arial" w:eastAsia="Arial" w:hAnsi="Arial"/>
          <w:sz w:val="18"/>
          <w:szCs w:val="18"/>
          <w:b w:val="1"/>
          <w:bCs w:val="1"/>
          <w:color w:val="auto"/>
        </w:rPr>
        <w:t>Exhibit 10.33</w:t>
      </w:r>
    </w:p>
    <w:p>
      <w:pPr>
        <w:spacing w:after="0" w:line="2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Termination Without Cause</w:t>
      </w:r>
      <w:r>
        <w:rPr>
          <w:rFonts w:ascii="Arial" w:cs="Arial" w:eastAsia="Arial" w:hAnsi="Arial"/>
          <w:sz w:val="22"/>
          <w:szCs w:val="22"/>
          <w:color w:val="auto"/>
        </w:rPr>
        <w:t>” means a termination of the Recipient’s employment initiated by the Company for reasons other than conduct that is in violation of the Company’s policies or ethical standards.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Goals</w:t>
      </w:r>
      <w:r>
        <w:rPr>
          <w:rFonts w:ascii="Arial" w:cs="Arial" w:eastAsia="Arial" w:hAnsi="Arial"/>
          <w:sz w:val="21"/>
          <w:szCs w:val="21"/>
          <w:color w:val="auto"/>
        </w:rPr>
        <w:t>” means the goals approved by the Committee for the Performance Period to be set forth in the Award Goal Notice, which shall be used to determine whether, and to what extent, the Performance Share Award shall be earned and therefore Shares shall be issued to Recipient after the Determination Date pursuant to this Agreement.</w:t>
      </w:r>
    </w:p>
    <w:p>
      <w:pPr>
        <w:spacing w:after="0" w:line="15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Period</w:t>
      </w:r>
      <w:r>
        <w:rPr>
          <w:rFonts w:ascii="Arial" w:cs="Arial" w:eastAsia="Arial" w:hAnsi="Arial"/>
          <w:sz w:val="22"/>
          <w:szCs w:val="22"/>
          <w:color w:val="auto"/>
        </w:rPr>
        <w:t>” means the period of three fiscal years from fiscal year 20__ through fiscal year 20__, inclusive, based on the Company’s audited annual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Permanent Disability</w:t>
      </w:r>
      <w:r>
        <w:rPr>
          <w:rFonts w:ascii="Arial" w:cs="Arial" w:eastAsia="Arial" w:hAnsi="Arial"/>
          <w:sz w:val="22"/>
          <w:szCs w:val="22"/>
          <w:color w:val="auto"/>
        </w:rPr>
        <w:t>” means the status of disability determined conclusively by the Committee based upon certification of disability by the Social Security Administration or upon such other proof as the Committee may require, effective upon receipt of such certification or other proof by the Committee.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w:t>
      </w:r>
      <w:r>
        <w:rPr>
          <w:rFonts w:ascii="Arial" w:cs="Arial" w:eastAsia="Arial" w:hAnsi="Arial"/>
          <w:sz w:val="22"/>
          <w:szCs w:val="22"/>
          <w:color w:val="auto"/>
        </w:rPr>
        <w:t>” means the person granted a Performance Share Award as named in the Award Grant Notice who is affiliated with the Company or an Affiliate as an employee.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together with the regulations promulgated thereunder.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Shares</w:t>
      </w:r>
      <w:r>
        <w:rPr>
          <w:rFonts w:ascii="Arial" w:cs="Arial" w:eastAsia="Arial" w:hAnsi="Arial"/>
          <w:sz w:val="22"/>
          <w:szCs w:val="22"/>
          <w:color w:val="auto"/>
        </w:rPr>
        <w:t>” means the target number of Shares as set forth in the Award Grant Notice.</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Special Retirement</w:t>
      </w:r>
      <w:r>
        <w:rPr>
          <w:rFonts w:ascii="Arial" w:cs="Arial" w:eastAsia="Arial" w:hAnsi="Arial"/>
          <w:sz w:val="21"/>
          <w:szCs w:val="21"/>
          <w:color w:val="auto"/>
        </w:rPr>
        <w:t>” means: (i) retirement by the Recipient after reaching age 59½ with at least ten (10) years of service with the Company or an Affiliate; (ii) retirement by the Recipient after reaching age 59½ and Recipient’s age plus years of service with the Company or an Affiliate equals at least 70; or (iii) if the Recipient is an Executive Officer at the time of retirement, retirement after reaching age 65 by the Recipient, regardless of years of service with the Company. For Special Retirement purposes, years of service shall mean the period of service determined conclusively by the Committee.</w:t>
      </w:r>
    </w:p>
    <w:p>
      <w:pPr>
        <w:spacing w:after="0" w:line="171" w:lineRule="exact"/>
        <w:rPr>
          <w:sz w:val="20"/>
          <w:szCs w:val="20"/>
          <w:color w:val="auto"/>
        </w:rPr>
      </w:pPr>
    </w:p>
    <w:p>
      <w:pPr>
        <w:jc w:val="both"/>
        <w:ind w:firstLine="8"/>
        <w:spacing w:after="0" w:line="248" w:lineRule="auto"/>
        <w:tabs>
          <w:tab w:leader="none" w:pos="405"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 xml:space="preserve">PERFORMANCE SHARE AWARD SUBJECT TO TERMINATION. </w:t>
      </w:r>
      <w:r>
        <w:rPr>
          <w:rFonts w:ascii="Arial" w:cs="Arial" w:eastAsia="Arial" w:hAnsi="Arial"/>
          <w:sz w:val="22"/>
          <w:szCs w:val="22"/>
          <w:color w:val="auto"/>
        </w:rPr>
        <w:t>Except in the event of death, Permanent Disability,</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Retirement or Involuntary Termination Without Cause as set forth below, the Performance Share Award shall be terminated automatically without compensation and no Shares shall be issued to Recipient pursuant to this Agreement if, prior to the end of the Performance Period, Recipient’s employment with the Company or any Affiliate terminates, or if Recipient is an employee of an Affiliate and such entity ceases to be an Affiliate, whether by Committee action or otherwise, on the date such entity ceases to be an Affiliate.</w:t>
      </w:r>
    </w:p>
    <w:p>
      <w:pPr>
        <w:spacing w:after="0" w:line="187" w:lineRule="exact"/>
        <w:rPr>
          <w:rFonts w:ascii="Arial" w:cs="Arial" w:eastAsia="Arial" w:hAnsi="Arial"/>
          <w:sz w:val="22"/>
          <w:szCs w:val="22"/>
          <w:color w:val="auto"/>
        </w:rPr>
      </w:pPr>
    </w:p>
    <w:p>
      <w:pPr>
        <w:ind w:left="380" w:hanging="372"/>
        <w:spacing w:after="0"/>
        <w:tabs>
          <w:tab w:leader="none" w:pos="38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PERFORMANCE REQUIREMENTS.</w:t>
      </w:r>
    </w:p>
    <w:p>
      <w:pPr>
        <w:spacing w:after="0" w:line="219" w:lineRule="exact"/>
        <w:rPr>
          <w:rFonts w:ascii="Arial" w:cs="Arial" w:eastAsia="Arial" w:hAnsi="Arial"/>
          <w:sz w:val="22"/>
          <w:szCs w:val="22"/>
          <w:color w:val="auto"/>
        </w:rPr>
      </w:pPr>
    </w:p>
    <w:p>
      <w:pPr>
        <w:jc w:val="both"/>
        <w:ind w:left="1300" w:hanging="644"/>
        <w:spacing w:after="0" w:line="256" w:lineRule="auto"/>
        <w:tabs>
          <w:tab w:leader="none" w:pos="1300" w:val="left"/>
        </w:tabs>
        <w:numPr>
          <w:ilvl w:val="1"/>
          <w:numId w:val="68"/>
        </w:numPr>
        <w:rPr>
          <w:rFonts w:ascii="Arial" w:cs="Arial" w:eastAsia="Arial" w:hAnsi="Arial"/>
          <w:sz w:val="22"/>
          <w:szCs w:val="22"/>
          <w:color w:val="auto"/>
        </w:rPr>
      </w:pPr>
      <w:r>
        <w:rPr>
          <w:rFonts w:ascii="Arial" w:cs="Arial" w:eastAsia="Arial" w:hAnsi="Arial"/>
          <w:sz w:val="22"/>
          <w:szCs w:val="22"/>
          <w:b w:val="1"/>
          <w:bCs w:val="1"/>
          <w:color w:val="auto"/>
        </w:rPr>
        <w:t>Performance Goals</w:t>
      </w:r>
      <w:r>
        <w:rPr>
          <w:rFonts w:ascii="Arial" w:cs="Arial" w:eastAsia="Arial" w:hAnsi="Arial"/>
          <w:sz w:val="22"/>
          <w:szCs w:val="22"/>
          <w:color w:val="auto"/>
        </w:rPr>
        <w:t>. Following the end of the Performance Period, the Committee shall determine whether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to which each of the Performance Goals have been achieved for the entire Performance Period and shall determine the number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2" w:right="239" w:bottom="1440" w:gutter="0" w:footer="0" w:header="0"/>
        </w:sectPr>
      </w:pPr>
    </w:p>
    <w:bookmarkStart w:id="179" w:name="page180"/>
    <w:bookmarkEnd w:id="179"/>
    <w:p>
      <w:pPr>
        <w:ind w:left="10300"/>
        <w:spacing w:after="0"/>
        <w:rPr>
          <w:sz w:val="20"/>
          <w:szCs w:val="20"/>
          <w:color w:val="auto"/>
        </w:rPr>
      </w:pPr>
      <w:r>
        <w:rPr>
          <w:rFonts w:ascii="Arial" w:cs="Arial" w:eastAsia="Arial" w:hAnsi="Arial"/>
          <w:sz w:val="18"/>
          <w:szCs w:val="18"/>
          <w:b w:val="1"/>
          <w:bCs w:val="1"/>
          <w:color w:val="auto"/>
        </w:rPr>
        <w:t>Exhibit 10.33</w:t>
      </w:r>
    </w:p>
    <w:p>
      <w:pPr>
        <w:spacing w:after="0" w:line="281" w:lineRule="exact"/>
        <w:rPr>
          <w:sz w:val="20"/>
          <w:szCs w:val="20"/>
          <w:color w:val="auto"/>
        </w:rPr>
      </w:pPr>
    </w:p>
    <w:p>
      <w:pPr>
        <w:jc w:val="both"/>
        <w:ind w:left="1300"/>
        <w:spacing w:after="0" w:line="292" w:lineRule="auto"/>
        <w:rPr>
          <w:sz w:val="20"/>
          <w:szCs w:val="20"/>
          <w:color w:val="auto"/>
        </w:rPr>
      </w:pPr>
      <w:r>
        <w:rPr>
          <w:rFonts w:ascii="Arial" w:cs="Arial" w:eastAsia="Arial" w:hAnsi="Arial"/>
          <w:sz w:val="19"/>
          <w:szCs w:val="19"/>
          <w:color w:val="auto"/>
        </w:rPr>
        <w:t xml:space="preserve">Shares, if any, issuable to Recipient with respect to the level of achievement of each individual Performance Goal;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with respect to any Performance Share Award to a “covered employee” within the meaning of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162(m) of the Code, the Committee shall have certified the achievement of the Performance Goals. The aggregate number of Shares potentially issuable to Recipient with respect to all Performance Goals shall be between 0% and 150% of the number of Target Shares. If applicable, the Committee’s determinations with respect to the achievement of Performance Goals shall be based on the Company’s financial results reported in its annual report on Form 10-K as filed with the SEC, subject to any adjustments made by the Committee in accordance with Section 3 (c) below.</w:t>
      </w:r>
    </w:p>
    <w:p>
      <w:pPr>
        <w:spacing w:after="0" w:line="145" w:lineRule="exact"/>
        <w:rPr>
          <w:sz w:val="20"/>
          <w:szCs w:val="20"/>
          <w:color w:val="auto"/>
        </w:rPr>
      </w:pPr>
    </w:p>
    <w:p>
      <w:pPr>
        <w:jc w:val="both"/>
        <w:ind w:left="1300" w:hanging="644"/>
        <w:spacing w:after="0" w:line="267" w:lineRule="auto"/>
        <w:tabs>
          <w:tab w:leader="none" w:pos="1300" w:val="left"/>
        </w:tabs>
        <w:numPr>
          <w:ilvl w:val="1"/>
          <w:numId w:val="69"/>
        </w:numPr>
        <w:rPr>
          <w:rFonts w:ascii="Arial" w:cs="Arial" w:eastAsia="Arial" w:hAnsi="Arial"/>
          <w:sz w:val="21"/>
          <w:szCs w:val="21"/>
          <w:color w:val="auto"/>
        </w:rPr>
      </w:pPr>
      <w:r>
        <w:rPr>
          <w:rFonts w:ascii="Arial" w:cs="Arial" w:eastAsia="Arial" w:hAnsi="Arial"/>
          <w:sz w:val="21"/>
          <w:szCs w:val="21"/>
          <w:b w:val="1"/>
          <w:bCs w:val="1"/>
          <w:color w:val="auto"/>
        </w:rPr>
        <w:t>Committee Discretion to Reduce Performance Share Award</w:t>
      </w:r>
      <w:r>
        <w:rPr>
          <w:rFonts w:ascii="Arial" w:cs="Arial" w:eastAsia="Arial" w:hAnsi="Arial"/>
          <w:sz w:val="21"/>
          <w:szCs w:val="21"/>
          <w:color w:val="auto"/>
        </w:rPr>
        <w:t>. Notwithstanding satisfaction, achievement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completion of the Performance Goals set forth in the Award Goal Notice (or any adjustments thereto as provided below), the number of Shares issuable hereunder may be reduced by the Committee on the basis of such further considerations as the Committee in its sole discretion shall determine.</w:t>
      </w:r>
    </w:p>
    <w:p>
      <w:pPr>
        <w:spacing w:after="0" w:line="167" w:lineRule="exact"/>
        <w:rPr>
          <w:rFonts w:ascii="Arial" w:cs="Arial" w:eastAsia="Arial" w:hAnsi="Arial"/>
          <w:sz w:val="21"/>
          <w:szCs w:val="21"/>
          <w:color w:val="auto"/>
        </w:rPr>
      </w:pPr>
    </w:p>
    <w:p>
      <w:pPr>
        <w:jc w:val="both"/>
        <w:ind w:left="1300" w:hanging="644"/>
        <w:spacing w:after="0" w:line="290" w:lineRule="auto"/>
        <w:tabs>
          <w:tab w:leader="none" w:pos="1300" w:val="left"/>
        </w:tabs>
        <w:numPr>
          <w:ilvl w:val="1"/>
          <w:numId w:val="69"/>
        </w:numPr>
        <w:rPr>
          <w:rFonts w:ascii="Arial" w:cs="Arial" w:eastAsia="Arial" w:hAnsi="Arial"/>
          <w:sz w:val="19"/>
          <w:szCs w:val="19"/>
          <w:color w:val="auto"/>
        </w:rPr>
      </w:pPr>
      <w:r>
        <w:rPr>
          <w:rFonts w:ascii="Arial" w:cs="Arial" w:eastAsia="Arial" w:hAnsi="Arial"/>
          <w:sz w:val="19"/>
          <w:szCs w:val="19"/>
          <w:b w:val="1"/>
          <w:bCs w:val="1"/>
          <w:color w:val="auto"/>
        </w:rPr>
        <w:t>Adjustment of Performance Goals</w:t>
      </w:r>
      <w:r>
        <w:rPr>
          <w:rFonts w:ascii="Arial" w:cs="Arial" w:eastAsia="Arial" w:hAnsi="Arial"/>
          <w:sz w:val="19"/>
          <w:szCs w:val="19"/>
          <w:color w:val="auto"/>
        </w:rPr>
        <w:t>. To the extent it is intended that this Performance Share Award comply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performance-based exception to Section 162(m) of the Code, the Committee shall make no adjustment to the Performance Goals set forth in the Award Goal Notice with respect to a “covered employee” within the meaning of Section 162(m) of the Code, including the performance targets or the method of calculating the actual performance achieved relative to the Performance Goals, except to exclude the impact of (i) changes in accounting standards or adoption of any new accounting standards in accordance with generally accepted accounting principles in the United States, (ii) changes in federal statutory corporate tax rates, and (iii) extraordinary or unusual gains or losses, events or circumstances over which the Company has no or limited control, including the occurrence of any disaster, act of God or any other force majeure event.</w:t>
      </w:r>
    </w:p>
    <w:p>
      <w:pPr>
        <w:spacing w:after="0" w:line="149" w:lineRule="exact"/>
        <w:rPr>
          <w:rFonts w:ascii="Arial" w:cs="Arial" w:eastAsia="Arial" w:hAnsi="Arial"/>
          <w:sz w:val="19"/>
          <w:szCs w:val="19"/>
          <w:color w:val="auto"/>
        </w:rPr>
      </w:pPr>
    </w:p>
    <w:p>
      <w:pPr>
        <w:jc w:val="both"/>
        <w:ind w:left="1300" w:hanging="644"/>
        <w:spacing w:after="0" w:line="298" w:lineRule="auto"/>
        <w:tabs>
          <w:tab w:leader="none" w:pos="1300" w:val="left"/>
        </w:tabs>
        <w:numPr>
          <w:ilvl w:val="1"/>
          <w:numId w:val="69"/>
        </w:numPr>
        <w:rPr>
          <w:rFonts w:ascii="Arial" w:cs="Arial" w:eastAsia="Arial" w:hAnsi="Arial"/>
          <w:sz w:val="19"/>
          <w:szCs w:val="19"/>
          <w:color w:val="auto"/>
        </w:rPr>
      </w:pPr>
      <w:r>
        <w:rPr>
          <w:rFonts w:ascii="Arial" w:cs="Arial" w:eastAsia="Arial" w:hAnsi="Arial"/>
          <w:sz w:val="19"/>
          <w:szCs w:val="19"/>
          <w:b w:val="1"/>
          <w:bCs w:val="1"/>
          <w:color w:val="auto"/>
        </w:rPr>
        <w:t>Section 162(m)</w:t>
      </w:r>
      <w:r>
        <w:rPr>
          <w:rFonts w:ascii="Arial" w:cs="Arial" w:eastAsia="Arial" w:hAnsi="Arial"/>
          <w:sz w:val="19"/>
          <w:szCs w:val="19"/>
          <w:color w:val="auto"/>
        </w:rPr>
        <w:t>. To the extent the Committee has determined that this Performance Share Award is intended to</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the performance-based exception to Section 162(m) of the Code and the Recipient is a “covered employee” within the meaning of Section 162(m) of the Code, all actions taken hereunder (including without limitation any adjustments of Performance Goals or determination of whether a Fundamental Transaction has occurred) shall be made in a manner which would comply with Section 162(m) of the Code.</w:t>
      </w:r>
    </w:p>
    <w:p>
      <w:pPr>
        <w:spacing w:after="0" w:line="142" w:lineRule="exact"/>
        <w:rPr>
          <w:rFonts w:ascii="Arial" w:cs="Arial" w:eastAsia="Arial" w:hAnsi="Arial"/>
          <w:sz w:val="19"/>
          <w:szCs w:val="19"/>
          <w:color w:val="auto"/>
        </w:rPr>
      </w:pPr>
    </w:p>
    <w:p>
      <w:pPr>
        <w:ind w:left="380" w:hanging="372"/>
        <w:spacing w:after="0"/>
        <w:tabs>
          <w:tab w:leader="none" w:pos="380"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ISSUANCE OF SHARES.</w:t>
      </w:r>
    </w:p>
    <w:p>
      <w:pPr>
        <w:spacing w:after="0" w:line="219" w:lineRule="exact"/>
        <w:rPr>
          <w:rFonts w:ascii="Arial" w:cs="Arial" w:eastAsia="Arial" w:hAnsi="Arial"/>
          <w:sz w:val="22"/>
          <w:szCs w:val="22"/>
          <w:color w:val="auto"/>
        </w:rPr>
      </w:pPr>
    </w:p>
    <w:p>
      <w:pPr>
        <w:jc w:val="both"/>
        <w:ind w:left="1300" w:hanging="644"/>
        <w:spacing w:after="0" w:line="274" w:lineRule="auto"/>
        <w:tabs>
          <w:tab w:leader="none" w:pos="1300" w:val="left"/>
        </w:tabs>
        <w:numPr>
          <w:ilvl w:val="1"/>
          <w:numId w:val="70"/>
        </w:numPr>
        <w:rPr>
          <w:rFonts w:ascii="Arial" w:cs="Arial" w:eastAsia="Arial" w:hAnsi="Arial"/>
          <w:sz w:val="21"/>
          <w:szCs w:val="21"/>
          <w:color w:val="auto"/>
        </w:rPr>
      </w:pPr>
      <w:r>
        <w:rPr>
          <w:rFonts w:ascii="Arial" w:cs="Arial" w:eastAsia="Arial" w:hAnsi="Arial"/>
          <w:sz w:val="21"/>
          <w:szCs w:val="21"/>
          <w:b w:val="1"/>
          <w:bCs w:val="1"/>
          <w:color w:val="auto"/>
        </w:rPr>
        <w:t>Shares</w:t>
      </w:r>
      <w:r>
        <w:rPr>
          <w:rFonts w:ascii="Arial" w:cs="Arial" w:eastAsia="Arial" w:hAnsi="Arial"/>
          <w:sz w:val="21"/>
          <w:szCs w:val="21"/>
          <w:color w:val="auto"/>
        </w:rPr>
        <w:t>. Shares shall be issued, if and to the extent earned based on the achievement of the Performance Goals as</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by the Committee, on (or as promptly as administratively practicable following) the Determination Date, and in no event later than ninety (90) days following the end of the Performance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3"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10.33</w:t>
      </w:r>
    </w:p>
    <w:p>
      <w:pPr>
        <w:spacing w:after="0" w:line="252" w:lineRule="exact"/>
        <w:rPr>
          <w:sz w:val="20"/>
          <w:szCs w:val="20"/>
          <w:color w:val="auto"/>
        </w:rPr>
      </w:pPr>
    </w:p>
    <w:p>
      <w:pPr>
        <w:jc w:val="both"/>
        <w:ind w:left="1300" w:hanging="644"/>
        <w:spacing w:after="0" w:line="289" w:lineRule="auto"/>
        <w:tabs>
          <w:tab w:leader="none" w:pos="1300" w:val="left"/>
        </w:tabs>
        <w:numPr>
          <w:ilvl w:val="1"/>
          <w:numId w:val="71"/>
        </w:numPr>
        <w:rPr>
          <w:rFonts w:ascii="Arial" w:cs="Arial" w:eastAsia="Arial" w:hAnsi="Arial"/>
          <w:sz w:val="19"/>
          <w:szCs w:val="19"/>
          <w:color w:val="auto"/>
        </w:rPr>
      </w:pPr>
      <w:r>
        <w:rPr>
          <w:rFonts w:ascii="Arial" w:cs="Arial" w:eastAsia="Arial" w:hAnsi="Arial"/>
          <w:sz w:val="19"/>
          <w:szCs w:val="19"/>
          <w:b w:val="1"/>
          <w:bCs w:val="1"/>
          <w:color w:val="auto"/>
        </w:rPr>
        <w:t>Accrued Dividends</w:t>
      </w:r>
      <w:r>
        <w:rPr>
          <w:rFonts w:ascii="Arial" w:cs="Arial" w:eastAsia="Arial" w:hAnsi="Arial"/>
          <w:sz w:val="19"/>
          <w:szCs w:val="19"/>
          <w:color w:val="auto"/>
        </w:rPr>
        <w:t>. If the Company pays any cash dividends on its common stock, Recipient will be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an amount in cash (less any required withholding for taxes) equal in value to the cash dividends that would have been paid on Shares earned and issued under this Agreement assuming that such Shares had been outstanding as of the record date for such dividends declared on or after the Grant Date and prior to the issuance date of the Shares (“Accrued Dividends”). Such Accrued Dividends will be retained by the Company (without interest) and paid in cash when, and if, and to the extent that Shares are earned and issued based on the achievement of the Performance Goals. To the extent that Recipient has elected to defer receipt of the Shares in accordance with the terms of the applicable non-qualified deferral plan, payment of Accrued Dividends with respect to such Shares will be subject to the terms and conditions of such plan. The right to receive Dividend will cease and be forfeited upon the forfeiture and cancellation of this Performance Share Award.</w:t>
      </w:r>
    </w:p>
    <w:p>
      <w:pPr>
        <w:spacing w:after="0" w:line="151" w:lineRule="exact"/>
        <w:rPr>
          <w:rFonts w:ascii="Arial" w:cs="Arial" w:eastAsia="Arial" w:hAnsi="Arial"/>
          <w:sz w:val="19"/>
          <w:szCs w:val="19"/>
          <w:color w:val="auto"/>
        </w:rPr>
      </w:pPr>
    </w:p>
    <w:p>
      <w:pPr>
        <w:jc w:val="both"/>
        <w:ind w:left="1300" w:hanging="644"/>
        <w:spacing w:after="0" w:line="265"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b w:val="1"/>
          <w:bCs w:val="1"/>
          <w:color w:val="auto"/>
        </w:rPr>
        <w:t>Taxes, Deferrals and Other Matters</w:t>
      </w:r>
      <w:r>
        <w:rPr>
          <w:rFonts w:ascii="Arial" w:cs="Arial" w:eastAsia="Arial" w:hAnsi="Arial"/>
          <w:sz w:val="20"/>
          <w:szCs w:val="20"/>
          <w:color w:val="auto"/>
        </w:rPr>
        <w:t>. As a condition to the issuance of Shares hereunder, Recipient must have</w:t>
      </w:r>
      <w:r>
        <w:rPr>
          <w:rFonts w:ascii="Arial" w:cs="Arial" w:eastAsia="Arial" w:hAnsi="Arial"/>
          <w:sz w:val="20"/>
          <w:szCs w:val="20"/>
          <w:b w:val="1"/>
          <w:bCs w:val="1"/>
          <w:color w:val="auto"/>
        </w:rPr>
        <w:t xml:space="preserve"> </w:t>
      </w:r>
      <w:r>
        <w:rPr>
          <w:rFonts w:ascii="Arial" w:cs="Arial" w:eastAsia="Arial" w:hAnsi="Arial"/>
          <w:sz w:val="20"/>
          <w:szCs w:val="20"/>
          <w:color w:val="auto"/>
        </w:rPr>
        <w:t>satisfied his or her tax withholding obligations as specified in this Agreement and must have completed, signed and returned any documents and taken any additional action that the Company deems appropriate to enable it to accomplish the delivery of the Shares. In no event will the Company be obligated to issue a fractional share. Notwithstanding the foregoing, (i) the Company shall not be obligated to deliver any Shares during any period when the Company determines that the issuance or the delivery of Shares hereunder would violate any federal, state or other applicable laws and/or may issue Shares subject to any restrictive legends that, as determined by the Company, is necessary to comply with securities or other regulatory requirements, and (ii) the date on which Shares are issued may include a delay (but not later than the next December 31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after the end of the Performance Period) in order to provide the Company such time as it determines appropriate to address tax withholding and other administrative matters. If eligible, Recipient shall be given the opportunity to elect to defer receipt of the Shares. Such deferral election shall be in accordance with the terms of the applicable non-qualified deferral plan of the Company or an Affiliate and the requirements of Section 409A and subject to such additional terms and conditions as are set by the Committee.</w:t>
      </w:r>
    </w:p>
    <w:p>
      <w:pPr>
        <w:spacing w:after="0" w:line="177" w:lineRule="exact"/>
        <w:rPr>
          <w:rFonts w:ascii="Arial" w:cs="Arial" w:eastAsia="Arial" w:hAnsi="Arial"/>
          <w:sz w:val="20"/>
          <w:szCs w:val="20"/>
          <w:color w:val="auto"/>
        </w:rPr>
      </w:pPr>
    </w:p>
    <w:p>
      <w:pPr>
        <w:ind w:left="380" w:hanging="372"/>
        <w:spacing w:after="0"/>
        <w:tabs>
          <w:tab w:leader="none" w:pos="38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PARTIAL PAYMENT ON CERTAIN EVENTS.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1"/>
          <w:numId w:val="72"/>
        </w:numPr>
        <w:rPr>
          <w:rFonts w:ascii="Arial" w:cs="Arial" w:eastAsia="Arial" w:hAnsi="Arial"/>
          <w:sz w:val="19"/>
          <w:szCs w:val="19"/>
          <w:color w:val="auto"/>
        </w:rPr>
      </w:pPr>
      <w:r>
        <w:rPr>
          <w:rFonts w:ascii="Arial" w:cs="Arial" w:eastAsia="Arial" w:hAnsi="Arial"/>
          <w:sz w:val="19"/>
          <w:szCs w:val="19"/>
          <w:b w:val="1"/>
          <w:bCs w:val="1"/>
          <w:color w:val="auto"/>
        </w:rPr>
        <w:t>Disability, Special Retirement, Involuntary Termination Without Cause or Transfer to an Ineligible Position</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3240" w:hanging="1935"/>
        <w:spacing w:after="0" w:line="302" w:lineRule="auto"/>
        <w:tabs>
          <w:tab w:leader="none" w:pos="1944" w:val="left"/>
        </w:tabs>
        <w:numPr>
          <w:ilvl w:val="2"/>
          <w:numId w:val="72"/>
        </w:numPr>
        <w:rPr>
          <w:rFonts w:ascii="Arial" w:cs="Arial" w:eastAsia="Arial" w:hAnsi="Arial"/>
          <w:sz w:val="19"/>
          <w:szCs w:val="19"/>
          <w:color w:val="auto"/>
        </w:rPr>
      </w:pPr>
      <w:r>
        <w:rPr>
          <w:rFonts w:ascii="Arial" w:cs="Arial" w:eastAsia="Arial" w:hAnsi="Arial"/>
          <w:sz w:val="19"/>
          <w:szCs w:val="19"/>
          <w:color w:val="auto"/>
        </w:rPr>
        <w:t>If Recipient ceases to be employed by the Company or an Affiliate as a result of Recipient’s Permanent Disability, Special Retirement or Involuntary Termination Without Cause and Recipient is not in an Ineligible Position at the time of such event, Recipient shall remain eligible to receive, on (or as promptly as administratively practicable following) the Determination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62"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0"/>
          <w:szCs w:val="20"/>
          <w:b w:val="1"/>
          <w:bCs w:val="1"/>
          <w:color w:val="auto"/>
        </w:rPr>
        <w:t>Exhibit 10.33</w:t>
      </w:r>
    </w:p>
    <w:p>
      <w:pPr>
        <w:spacing w:after="0" w:line="200" w:lineRule="exact"/>
        <w:rPr>
          <w:sz w:val="20"/>
          <w:szCs w:val="20"/>
          <w:color w:val="auto"/>
        </w:rPr>
      </w:pPr>
    </w:p>
    <w:p>
      <w:pPr>
        <w:spacing w:after="0" w:line="274" w:lineRule="exact"/>
        <w:rPr>
          <w:sz w:val="20"/>
          <w:szCs w:val="20"/>
          <w:color w:val="auto"/>
        </w:rPr>
      </w:pPr>
    </w:p>
    <w:p>
      <w:pPr>
        <w:jc w:val="both"/>
        <w:ind w:left="1304"/>
        <w:spacing w:after="0" w:line="294" w:lineRule="auto"/>
        <w:rPr>
          <w:sz w:val="20"/>
          <w:szCs w:val="20"/>
          <w:color w:val="auto"/>
        </w:rPr>
      </w:pPr>
      <w:r>
        <w:rPr>
          <w:rFonts w:ascii="Arial" w:cs="Arial" w:eastAsia="Arial" w:hAnsi="Arial"/>
          <w:sz w:val="19"/>
          <w:szCs w:val="19"/>
          <w:color w:val="auto"/>
        </w:rPr>
        <w:t xml:space="preserve">a prorated portion of the Shares that would otherwise be issuable to Recipient under the Performance Share Award in the absence of such employment termination based on the actual achievement of the Performance Goals for the Performance Period;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prorated amount shall be determined based on the ratio of (x) the number of days elapsed from the beginning of the Performance Period to the employment termination date over (y) the number of days in the entire Performance Period (and not reflecting any shortening of the Performance Period as a result of a Fundamental Transaction as described below).</w:t>
      </w:r>
    </w:p>
    <w:p>
      <w:pPr>
        <w:spacing w:after="0" w:line="366" w:lineRule="exact"/>
        <w:rPr>
          <w:sz w:val="20"/>
          <w:szCs w:val="20"/>
          <w:color w:val="auto"/>
        </w:rPr>
      </w:pPr>
    </w:p>
    <w:p>
      <w:pPr>
        <w:ind w:left="2584" w:hanging="1935"/>
        <w:spacing w:after="0" w:line="257" w:lineRule="auto"/>
        <w:tabs>
          <w:tab w:leader="none" w:pos="1287" w:val="left"/>
        </w:tabs>
        <w:numPr>
          <w:ilvl w:val="1"/>
          <w:numId w:val="73"/>
        </w:numPr>
        <w:rPr>
          <w:rFonts w:ascii="Arial" w:cs="Arial" w:eastAsia="Arial" w:hAnsi="Arial"/>
          <w:sz w:val="21"/>
          <w:szCs w:val="21"/>
          <w:color w:val="auto"/>
        </w:rPr>
      </w:pPr>
      <w:r>
        <w:rPr>
          <w:rFonts w:ascii="Arial" w:cs="Arial" w:eastAsia="Arial" w:hAnsi="Arial"/>
          <w:sz w:val="21"/>
          <w:szCs w:val="21"/>
          <w:color w:val="auto"/>
        </w:rPr>
        <w:t xml:space="preserve">If Recipient is transferred to an Ineligible Position and either (i) remains employed by the Company or an Affiliate through the end of the Performance Period or, if applicable, through the time of consummation of a Fundamental Transaction as set forth in Section 5(c) below, or (ii) ceases to be employed by the Company or an Affiliate at any time prior to the end of the Performance Period as a result of Recipient’s Permanent Disability, Special Retirement or Involuntary Termination Without Cause, Recipient shall remain eligible to receive, on (or as promptly as administratively practicable following) the Determination Date, a prorated portion of the Shares that would otherwise be issuable to Recipient under the Performance Share Award in the absence of such transfer to an Ineligible Position based on the actual achievement of the Performance Goals for the portion of the Performance Period in which Recipient remained employed by the Company and not in an Ineligible Position;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prorated amount shall be determined based on the ratio of (x) the number of days elapsed from the beginning of the Performance Period to the date of transfer to an Ineligible Position over (y) the number of days in the entire Performance Period (and not reflecting any shortening of the Performance Period as a result of a Fundamental Transaction as described below).</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584" w:hanging="1935"/>
        <w:spacing w:after="0" w:line="292" w:lineRule="auto"/>
        <w:tabs>
          <w:tab w:leader="none" w:pos="1287" w:val="left"/>
        </w:tabs>
        <w:numPr>
          <w:ilvl w:val="1"/>
          <w:numId w:val="73"/>
        </w:numPr>
        <w:rPr>
          <w:rFonts w:ascii="Arial" w:cs="Arial" w:eastAsia="Arial" w:hAnsi="Arial"/>
          <w:sz w:val="19"/>
          <w:szCs w:val="19"/>
          <w:color w:val="auto"/>
        </w:rPr>
      </w:pPr>
      <w:r>
        <w:rPr>
          <w:rFonts w:ascii="Arial" w:cs="Arial" w:eastAsia="Arial" w:hAnsi="Arial"/>
          <w:sz w:val="19"/>
          <w:szCs w:val="19"/>
          <w:color w:val="auto"/>
        </w:rPr>
        <w:t>Notwithstanding the foregoing, Recipient shall not be entitled to any Shares under the Performance Share Award if Recipient: (i) fails to execute and deliver, no later than ninety (90) days following the end of the Performance Period, a general release of claims if requested by, and in a form satisfactory to, the Company or an Affiliate, (ii) violates the terms of his or her inventions, copyright and confidentiality agreement with the Company or an Affiliate, or (iii) breaches his or her other contractual or legal obligations to the Company or an Affiliate, including the non-solicitation obligations set forth in Section 13 of this Agreement.</w:t>
      </w:r>
    </w:p>
    <w:p>
      <w:pPr>
        <w:spacing w:after="0" w:line="145" w:lineRule="exact"/>
        <w:rPr>
          <w:rFonts w:ascii="Arial" w:cs="Arial" w:eastAsia="Arial" w:hAnsi="Arial"/>
          <w:sz w:val="19"/>
          <w:szCs w:val="19"/>
          <w:color w:val="auto"/>
        </w:rPr>
      </w:pPr>
    </w:p>
    <w:p>
      <w:pPr>
        <w:jc w:val="both"/>
        <w:ind w:left="644" w:hanging="644"/>
        <w:spacing w:after="0" w:line="315" w:lineRule="auto"/>
        <w:tabs>
          <w:tab w:leader="none" w:pos="644"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Death</w:t>
      </w:r>
      <w:r>
        <w:rPr>
          <w:rFonts w:ascii="Arial" w:cs="Arial" w:eastAsia="Arial" w:hAnsi="Arial"/>
          <w:sz w:val="19"/>
          <w:szCs w:val="19"/>
          <w:color w:val="auto"/>
        </w:rPr>
        <w:t>. If Recipient’s employment with the Company and its Affiliates terminates due to the death of Recipient, then</w:t>
      </w:r>
      <w:r>
        <w:rPr>
          <w:rFonts w:ascii="Arial" w:cs="Arial" w:eastAsia="Arial" w:hAnsi="Arial"/>
          <w:sz w:val="19"/>
          <w:szCs w:val="19"/>
          <w:b w:val="1"/>
          <w:bCs w:val="1"/>
          <w:color w:val="auto"/>
        </w:rPr>
        <w:t xml:space="preserve"> </w:t>
      </w:r>
      <w:r>
        <w:rPr>
          <w:rFonts w:ascii="Arial" w:cs="Arial" w:eastAsia="Arial" w:hAnsi="Arial"/>
          <w:sz w:val="19"/>
          <w:szCs w:val="19"/>
          <w:color w:val="auto"/>
        </w:rPr>
        <w:t>Recipient’s estate shall receive, promptly after the date of death, a prorated portion of the Shares that Recipient would have been issued pursuant to the Performance Share Award based on the formula set forth in</w:t>
      </w:r>
    </w:p>
    <w:p>
      <w:pPr>
        <w:spacing w:after="0" w:line="37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64"/>
          </w:cols>
          <w:pgMar w:left="896" w:top="563"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0"/>
          <w:szCs w:val="20"/>
          <w:b w:val="1"/>
          <w:bCs w:val="1"/>
          <w:color w:val="auto"/>
        </w:rPr>
        <w:t>Exhibit 10.33</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subsection (c) below as if a Fundamental Transaction had occurred on such date of death.</w:t>
      </w:r>
    </w:p>
    <w:p>
      <w:pPr>
        <w:spacing w:after="0" w:line="214" w:lineRule="exact"/>
        <w:rPr>
          <w:sz w:val="20"/>
          <w:szCs w:val="20"/>
          <w:color w:val="auto"/>
        </w:rPr>
      </w:pPr>
    </w:p>
    <w:p>
      <w:pPr>
        <w:jc w:val="both"/>
        <w:ind w:left="1300" w:hanging="644"/>
        <w:spacing w:after="0" w:line="249" w:lineRule="auto"/>
        <w:tabs>
          <w:tab w:leader="none" w:pos="130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Change in Control of Company</w:t>
      </w:r>
      <w:r>
        <w:rPr>
          <w:rFonts w:ascii="Arial" w:cs="Arial" w:eastAsia="Arial" w:hAnsi="Arial"/>
          <w:sz w:val="22"/>
          <w:szCs w:val="22"/>
          <w:color w:val="auto"/>
        </w:rPr>
        <w:t>. If a Fundamental Transaction (as defined in the Plan) occurs prior to the end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Period while Recipient is employed by the Company or an Affiliate or remains entitled to receive Shares pursuant to Section 5(a) above, the Performance Period shall be terminated and Recipient shall be entitled to receive, immediately prior to the consummation of such Fundamental Transaction, the following number of Shares (the “</w:t>
      </w:r>
      <w:r>
        <w:rPr>
          <w:rFonts w:ascii="Arial" w:cs="Arial" w:eastAsia="Arial" w:hAnsi="Arial"/>
          <w:sz w:val="22"/>
          <w:szCs w:val="22"/>
          <w:b w:val="1"/>
          <w:bCs w:val="1"/>
          <w:color w:val="auto"/>
        </w:rPr>
        <w:t>CIC Earned Shares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the Fundamental Transaction occurs on or prior to 50% of the Performance Period elapsing, a prorated number of Target Shares based on the portion of the Performance Period that has elapsed; plus</w:t>
      </w:r>
    </w:p>
    <w:p>
      <w:pPr>
        <w:spacing w:after="0" w:line="104" w:lineRule="exact"/>
        <w:rPr>
          <w:rFonts w:ascii="Arial" w:cs="Arial" w:eastAsia="Arial" w:hAnsi="Arial"/>
          <w:sz w:val="19"/>
          <w:szCs w:val="19"/>
          <w:color w:val="auto"/>
        </w:rPr>
      </w:pPr>
    </w:p>
    <w:p>
      <w:pPr>
        <w:jc w:val="both"/>
        <w:ind w:left="1960" w:hanging="655"/>
        <w:spacing w:after="0" w:line="297" w:lineRule="auto"/>
        <w:tabs>
          <w:tab w:leader="none" w:pos="1960" w:val="left"/>
        </w:tabs>
        <w:numPr>
          <w:ilvl w:val="1"/>
          <w:numId w:val="75"/>
        </w:numPr>
        <w:rPr>
          <w:rFonts w:ascii="Arial" w:cs="Arial" w:eastAsia="Arial" w:hAnsi="Arial"/>
          <w:sz w:val="19"/>
          <w:szCs w:val="19"/>
          <w:color w:val="auto"/>
        </w:rPr>
      </w:pPr>
      <w:r>
        <w:rPr>
          <w:rFonts w:ascii="Arial" w:cs="Arial" w:eastAsia="Arial" w:hAnsi="Arial"/>
          <w:sz w:val="19"/>
          <w:szCs w:val="19"/>
          <w:color w:val="auto"/>
        </w:rPr>
        <w:t>If the Fundamental Transaction occurs following at least 50% of the Performance Period elapsing, a number of Shares based on the achievement of the Performance Goals at the time of consummation of the Fundamental Transaction as determined by the Committee and prorated to reflect the portion of the Performance Period that has elapsed through the date of consummation of the Fundamental Transaction (or, if Recipient earlier transfers to an Ineligible Position, through the date of such transfer).</w:t>
      </w:r>
    </w:p>
    <w:p>
      <w:pPr>
        <w:spacing w:after="0" w:line="14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Notwithstanding the foregoing, if the Company determines that this Performance Share Award is “deferred compensation” for purposes of Section 409A and is not eligible for any exemption from or exception to Section 409A, and that the Fundamental Transaction is not also a “change in ownership”, “change in effective control” or a “change in the ownership of a substantial portion of the assets” of the Company under Section 409A, then the CIC Earned Shares (or a comparable amount of cash or acquiring company stock, depending on the consideration received by Company stockholders on such Fundamental Transaction) shall only be issued to Recipient on the date such Shares would have been issued pursuant to Section 4 if a Fundamental Transaction had not occurred), unless this Performance Share Award is terminated in a manner compliant with Section 409A.</w:t>
      </w:r>
    </w:p>
    <w:p>
      <w:pPr>
        <w:spacing w:after="0" w:line="145" w:lineRule="exact"/>
        <w:rPr>
          <w:sz w:val="20"/>
          <w:szCs w:val="20"/>
          <w:color w:val="auto"/>
        </w:rPr>
      </w:pPr>
    </w:p>
    <w:p>
      <w:pPr>
        <w:ind w:left="380" w:hanging="372"/>
        <w:spacing w:after="0"/>
        <w:tabs>
          <w:tab w:leader="none" w:pos="380" w:val="left"/>
        </w:tabs>
        <w:numPr>
          <w:ilvl w:val="0"/>
          <w:numId w:val="76"/>
        </w:numPr>
        <w:rPr>
          <w:rFonts w:ascii="Arial" w:cs="Arial" w:eastAsia="Arial" w:hAnsi="Arial"/>
          <w:sz w:val="22"/>
          <w:szCs w:val="22"/>
          <w:color w:val="auto"/>
        </w:rPr>
      </w:pPr>
      <w:r>
        <w:rPr>
          <w:rFonts w:ascii="Arial" w:cs="Arial" w:eastAsia="Arial" w:hAnsi="Arial"/>
          <w:sz w:val="22"/>
          <w:szCs w:val="22"/>
          <w:b w:val="1"/>
          <w:bCs w:val="1"/>
          <w:color w:val="auto"/>
        </w:rPr>
        <w:t>TAX MATTERS.</w:t>
      </w:r>
    </w:p>
    <w:p>
      <w:pPr>
        <w:spacing w:after="0" w:line="219"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76"/>
        </w:numPr>
        <w:rPr>
          <w:rFonts w:ascii="Arial" w:cs="Arial" w:eastAsia="Arial" w:hAnsi="Arial"/>
          <w:sz w:val="19"/>
          <w:szCs w:val="19"/>
          <w:color w:val="auto"/>
        </w:rPr>
      </w:pPr>
      <w:r>
        <w:rPr>
          <w:rFonts w:ascii="Arial" w:cs="Arial" w:eastAsia="Arial" w:hAnsi="Arial"/>
          <w:sz w:val="19"/>
          <w:szCs w:val="19"/>
          <w:b w:val="1"/>
          <w:bCs w:val="1"/>
          <w:color w:val="auto"/>
        </w:rPr>
        <w:t xml:space="preserve">Tax Withholding. </w:t>
      </w:r>
      <w:r>
        <w:rPr>
          <w:rFonts w:ascii="Arial" w:cs="Arial" w:eastAsia="Arial" w:hAnsi="Arial"/>
          <w:sz w:val="19"/>
          <w:szCs w:val="19"/>
          <w:color w:val="auto"/>
        </w:rPr>
        <w:t>If the Company or an Affiliate is required to withhold any federal, state, local or other taxes upon</w:t>
      </w:r>
      <w:r>
        <w:rPr>
          <w:rFonts w:ascii="Arial" w:cs="Arial" w:eastAsia="Arial" w:hAnsi="Arial"/>
          <w:sz w:val="19"/>
          <w:szCs w:val="19"/>
          <w:b w:val="1"/>
          <w:bCs w:val="1"/>
          <w:color w:val="auto"/>
        </w:rPr>
        <w:t xml:space="preserve"> </w:t>
      </w:r>
      <w:r>
        <w:rPr>
          <w:rFonts w:ascii="Arial" w:cs="Arial" w:eastAsia="Arial" w:hAnsi="Arial"/>
          <w:sz w:val="19"/>
          <w:szCs w:val="19"/>
          <w:color w:val="auto"/>
        </w:rPr>
        <w:t>the vesting or any acceleration of vesting of the RSUs, or any issuance of Common Stock or otherwise under this Agreement, Recipient authorizes the Company to withhold a sufficient number of shares of Common Stock issuable upon settlement of the RSUs at the then current Fair Market Value (as defined in the Plan) to meet the withholding obligation based on the minimum rates as required and/or permitted by law. Recipient further authorizes the Company, in the Company’s sole discretion, to sell a sufficient number of shares of Common Stock on behalf of Recipient to satisfy such obligations, accept payment to satisfy such obligations in the form of cash or delivery to the Company of shares of Company stock already owned by Recipient, withhold amounts from Recipient’s compensation, or any combination of the foregoing or other actions as may be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3"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10.33</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necessary or appropriate to satisfy any such tax withholding obligations as permitted by law.</w:t>
      </w:r>
    </w:p>
    <w:p>
      <w:pPr>
        <w:spacing w:after="0" w:line="214" w:lineRule="exact"/>
        <w:rPr>
          <w:sz w:val="20"/>
          <w:szCs w:val="20"/>
          <w:color w:val="auto"/>
        </w:rPr>
      </w:pPr>
    </w:p>
    <w:p>
      <w:pPr>
        <w:ind w:left="1300" w:hanging="644"/>
        <w:spacing w:after="0"/>
        <w:tabs>
          <w:tab w:leader="none" w:pos="1300" w:val="left"/>
        </w:tabs>
        <w:numPr>
          <w:ilvl w:val="1"/>
          <w:numId w:val="77"/>
        </w:numPr>
        <w:rPr>
          <w:rFonts w:ascii="Arial" w:cs="Arial" w:eastAsia="Arial" w:hAnsi="Arial"/>
          <w:sz w:val="22"/>
          <w:szCs w:val="22"/>
          <w:color w:val="auto"/>
        </w:rPr>
      </w:pPr>
      <w:r>
        <w:rPr>
          <w:rFonts w:ascii="Arial" w:cs="Arial" w:eastAsia="Arial" w:hAnsi="Arial"/>
          <w:sz w:val="22"/>
          <w:szCs w:val="22"/>
          <w:b w:val="1"/>
          <w:bCs w:val="1"/>
          <w:color w:val="auto"/>
        </w:rPr>
        <w:t>Section 409A</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660" w:right="20" w:firstLine="645"/>
        <w:spacing w:after="0" w:line="250" w:lineRule="auto"/>
        <w:tabs>
          <w:tab w:leader="none" w:pos="1765"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This Performance Share Award is intended to qualify for the short-term deferral exception to Section 409A of the Code (“</w:t>
      </w:r>
      <w:r>
        <w:rPr>
          <w:rFonts w:ascii="Arial" w:cs="Arial" w:eastAsia="Arial" w:hAnsi="Arial"/>
          <w:sz w:val="22"/>
          <w:szCs w:val="22"/>
          <w:b w:val="1"/>
          <w:bCs w:val="1"/>
          <w:color w:val="auto"/>
        </w:rPr>
        <w:t>Section 409A</w:t>
      </w:r>
      <w:r>
        <w:rPr>
          <w:rFonts w:ascii="Arial" w:cs="Arial" w:eastAsia="Arial" w:hAnsi="Arial"/>
          <w:sz w:val="22"/>
          <w:szCs w:val="22"/>
          <w:color w:val="auto"/>
        </w:rPr>
        <w:t>”) described in the regulations promulgated under Section 409A to the maximum extent possible, and for the Determination Date (and issuance of Shares hereunder) to be within 2 and ½ months following the end of the Performance Period.</w:t>
      </w:r>
    </w:p>
    <w:p>
      <w:pPr>
        <w:spacing w:after="0" w:line="188" w:lineRule="exact"/>
        <w:rPr>
          <w:rFonts w:ascii="Arial" w:cs="Arial" w:eastAsia="Arial" w:hAnsi="Arial"/>
          <w:sz w:val="22"/>
          <w:szCs w:val="22"/>
          <w:color w:val="auto"/>
        </w:rPr>
      </w:pPr>
    </w:p>
    <w:p>
      <w:pPr>
        <w:ind w:left="660" w:firstLine="645"/>
        <w:spacing w:after="0" w:line="287" w:lineRule="auto"/>
        <w:tabs>
          <w:tab w:leader="none" w:pos="1890" w:val="left"/>
        </w:tabs>
        <w:numPr>
          <w:ilvl w:val="2"/>
          <w:numId w:val="77"/>
        </w:numPr>
        <w:rPr>
          <w:rFonts w:ascii="Arial" w:cs="Arial" w:eastAsia="Arial" w:hAnsi="Arial"/>
          <w:sz w:val="21"/>
          <w:szCs w:val="21"/>
          <w:color w:val="auto"/>
        </w:rPr>
      </w:pPr>
      <w:r>
        <w:rPr>
          <w:rFonts w:ascii="Arial" w:cs="Arial" w:eastAsia="Arial" w:hAnsi="Arial"/>
          <w:sz w:val="21"/>
          <w:szCs w:val="21"/>
          <w:color w:val="auto"/>
        </w:rPr>
        <w:t>To the extent Section 409A is applicable to this Performance Share Award, this Performance Share Award is intended to comply with Section 409A and to be interpreted and construed consistent with such intent.</w:t>
      </w:r>
    </w:p>
    <w:p>
      <w:pPr>
        <w:spacing w:after="0" w:line="151" w:lineRule="exact"/>
        <w:rPr>
          <w:rFonts w:ascii="Arial" w:cs="Arial" w:eastAsia="Arial" w:hAnsi="Arial"/>
          <w:sz w:val="21"/>
          <w:szCs w:val="21"/>
          <w:color w:val="auto"/>
        </w:rPr>
      </w:pPr>
    </w:p>
    <w:p>
      <w:pPr>
        <w:jc w:val="both"/>
        <w:ind w:left="660" w:firstLine="645"/>
        <w:spacing w:after="0" w:line="312" w:lineRule="auto"/>
        <w:tabs>
          <w:tab w:leader="none" w:pos="1998" w:val="left"/>
        </w:tabs>
        <w:numPr>
          <w:ilvl w:val="2"/>
          <w:numId w:val="77"/>
        </w:numPr>
        <w:rPr>
          <w:rFonts w:ascii="Arial" w:cs="Arial" w:eastAsia="Arial" w:hAnsi="Arial"/>
          <w:sz w:val="19"/>
          <w:szCs w:val="19"/>
          <w:color w:val="auto"/>
        </w:rPr>
      </w:pPr>
      <w:r>
        <w:rPr>
          <w:rFonts w:ascii="Arial" w:cs="Arial" w:eastAsia="Arial" w:hAnsi="Arial"/>
          <w:sz w:val="19"/>
          <w:szCs w:val="19"/>
          <w:color w:val="auto"/>
        </w:rPr>
        <w:t>With respect to any Recipient who is eligible for Special Retirement, this Performance Share Award is intended to be paid on fixed payment dates under Sections 4(a) and 5 of this Agreement and such payments may not be accelerated except as set forth in Section 5(b) hereof or otherwise to the extent permitted under Section 409A.</w:t>
      </w:r>
    </w:p>
    <w:p>
      <w:pPr>
        <w:spacing w:after="0" w:line="133" w:lineRule="exact"/>
        <w:rPr>
          <w:rFonts w:ascii="Arial" w:cs="Arial" w:eastAsia="Arial" w:hAnsi="Arial"/>
          <w:sz w:val="19"/>
          <w:szCs w:val="19"/>
          <w:color w:val="auto"/>
        </w:rPr>
      </w:pPr>
    </w:p>
    <w:p>
      <w:pPr>
        <w:jc w:val="both"/>
        <w:ind w:left="660" w:firstLine="645"/>
        <w:spacing w:after="0" w:line="260" w:lineRule="auto"/>
        <w:tabs>
          <w:tab w:leader="none" w:pos="1857" w:val="left"/>
        </w:tabs>
        <w:numPr>
          <w:ilvl w:val="2"/>
          <w:numId w:val="77"/>
        </w:numPr>
        <w:rPr>
          <w:rFonts w:ascii="Arial" w:cs="Arial" w:eastAsia="Arial" w:hAnsi="Arial"/>
          <w:sz w:val="21"/>
          <w:szCs w:val="21"/>
          <w:color w:val="auto"/>
        </w:rPr>
      </w:pPr>
      <w:r>
        <w:rPr>
          <w:rFonts w:ascii="Arial" w:cs="Arial" w:eastAsia="Arial" w:hAnsi="Arial"/>
          <w:sz w:val="21"/>
          <w:szCs w:val="21"/>
          <w:color w:val="auto"/>
        </w:rPr>
        <w:t>Without limiting the generality of the foregoing, if Recipient is a “specified employee” within the meaning of Section 409A, as determined under the Company’s established methodology for determining specified employees, on the date of Recipient’s termination of service at a time when this Performance Share Award pursuant its terms would be settled, then to the extent required in order to comply with Section 409A, shares of Common Stock that would be issued under this Performance Share Award (or any other amount due hereunder) at such termination of service shall not be issued before the first business day following the earlier of (x) the date that is six months following Recipient’s termination of employment and (y) the date of Recipient’s death.</w:t>
      </w:r>
    </w:p>
    <w:p>
      <w:pPr>
        <w:spacing w:after="0" w:line="181" w:lineRule="exact"/>
        <w:rPr>
          <w:rFonts w:ascii="Arial" w:cs="Arial" w:eastAsia="Arial" w:hAnsi="Arial"/>
          <w:sz w:val="21"/>
          <w:szCs w:val="21"/>
          <w:color w:val="auto"/>
        </w:rPr>
      </w:pPr>
    </w:p>
    <w:p>
      <w:pPr>
        <w:jc w:val="both"/>
        <w:ind w:left="660" w:firstLine="645"/>
        <w:spacing w:after="0" w:line="253" w:lineRule="auto"/>
        <w:tabs>
          <w:tab w:leader="none" w:pos="1805" w:val="left"/>
        </w:tabs>
        <w:numPr>
          <w:ilvl w:val="2"/>
          <w:numId w:val="77"/>
        </w:numPr>
        <w:rPr>
          <w:rFonts w:ascii="Arial" w:cs="Arial" w:eastAsia="Arial" w:hAnsi="Arial"/>
          <w:sz w:val="22"/>
          <w:szCs w:val="22"/>
          <w:color w:val="auto"/>
        </w:rPr>
      </w:pPr>
      <w:r>
        <w:rPr>
          <w:rFonts w:ascii="Arial" w:cs="Arial" w:eastAsia="Arial" w:hAnsi="Arial"/>
          <w:sz w:val="22"/>
          <w:szCs w:val="22"/>
          <w:color w:val="auto"/>
        </w:rPr>
        <w:t>For purposes of this Agreement, the terms “terminate,” “terminated”, “termination” and “ceases to employed” and similar terms mean a termination of the Recipient’s employment that constitutes a “separation from service” within the meaning of the default rules of Section 409A.</w:t>
      </w:r>
    </w:p>
    <w:p>
      <w:pPr>
        <w:spacing w:after="0" w:line="179" w:lineRule="exact"/>
        <w:rPr>
          <w:rFonts w:ascii="Arial" w:cs="Arial" w:eastAsia="Arial" w:hAnsi="Arial"/>
          <w:sz w:val="22"/>
          <w:szCs w:val="22"/>
          <w:color w:val="auto"/>
        </w:rPr>
      </w:pPr>
    </w:p>
    <w:p>
      <w:pPr>
        <w:jc w:val="both"/>
        <w:ind w:firstLine="8"/>
        <w:spacing w:after="0" w:line="252" w:lineRule="auto"/>
        <w:tabs>
          <w:tab w:leader="none" w:pos="378"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RIGHTS, RESTRICTIONS AND LIMITATIONS. </w:t>
      </w:r>
      <w:r>
        <w:rPr>
          <w:rFonts w:ascii="Arial" w:cs="Arial" w:eastAsia="Arial" w:hAnsi="Arial"/>
          <w:sz w:val="22"/>
          <w:szCs w:val="22"/>
          <w:color w:val="auto"/>
        </w:rPr>
        <w:t>Any Shares issued to Recipient pursuant to this Agreement are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restrictions and limitations set forth in the Company’s Restated Certificate of Incorporation. Recipient shall not have the rights of a stockholder until Shares, if any, are issued following the Determination Date. The Performance Share Award and rights under this Agreement may be not transferred by Recipient.</w:t>
      </w:r>
    </w:p>
    <w:p>
      <w:pPr>
        <w:spacing w:after="0" w:line="180" w:lineRule="exact"/>
        <w:rPr>
          <w:rFonts w:ascii="Arial" w:cs="Arial" w:eastAsia="Arial" w:hAnsi="Arial"/>
          <w:sz w:val="22"/>
          <w:szCs w:val="22"/>
          <w:color w:val="auto"/>
        </w:rPr>
      </w:pPr>
    </w:p>
    <w:p>
      <w:pPr>
        <w:jc w:val="both"/>
        <w:ind w:firstLine="8"/>
        <w:spacing w:after="0" w:line="252" w:lineRule="auto"/>
        <w:tabs>
          <w:tab w:leader="none" w:pos="378"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 xml:space="preserve">RESTRICTIONS UNDER SECURITIES LAW. </w:t>
      </w:r>
      <w:r>
        <w:rPr>
          <w:rFonts w:ascii="Arial" w:cs="Arial" w:eastAsia="Arial" w:hAnsi="Arial"/>
          <w:sz w:val="22"/>
          <w:szCs w:val="22"/>
          <w:color w:val="auto"/>
        </w:rPr>
        <w:t>The Performance Share Award and Shares potentially issuable pursuant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subject to any restrictions which may be imposed under applicable state and federal securities laws and are subject to obtaining all necessary consents which may be required by, or any condition which may be imposed in accordance with, applicable state and federal securities laws or regulations.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62"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10.33</w:t>
      </w:r>
    </w:p>
    <w:p>
      <w:pPr>
        <w:spacing w:after="0" w:line="252"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EMPLOYMENT AT WILL.</w:t>
      </w:r>
    </w:p>
    <w:p>
      <w:pPr>
        <w:spacing w:after="0" w:line="225" w:lineRule="exact"/>
        <w:rPr>
          <w:rFonts w:ascii="Arial" w:cs="Arial" w:eastAsia="Arial" w:hAnsi="Arial"/>
          <w:sz w:val="22"/>
          <w:szCs w:val="22"/>
          <w:color w:val="auto"/>
        </w:rPr>
      </w:pPr>
    </w:p>
    <w:p>
      <w:pPr>
        <w:jc w:val="both"/>
        <w:ind w:left="1300" w:hanging="644"/>
        <w:spacing w:after="0" w:line="258" w:lineRule="auto"/>
        <w:tabs>
          <w:tab w:leader="none" w:pos="1300" w:val="left"/>
        </w:tabs>
        <w:numPr>
          <w:ilvl w:val="1"/>
          <w:numId w:val="79"/>
        </w:numPr>
        <w:rPr>
          <w:rFonts w:ascii="Arial" w:cs="Arial" w:eastAsia="Arial" w:hAnsi="Arial"/>
          <w:sz w:val="21"/>
          <w:szCs w:val="21"/>
          <w:color w:val="auto"/>
        </w:rPr>
      </w:pPr>
      <w:r>
        <w:rPr>
          <w:rFonts w:ascii="Arial" w:cs="Arial" w:eastAsia="Arial" w:hAnsi="Arial"/>
          <w:sz w:val="21"/>
          <w:szCs w:val="21"/>
          <w:color w:val="auto"/>
        </w:rPr>
        <w:t>Recipient’s employment or affiliation with the Company or an Affiliate is not for any specified term and may be terminated by Recipient or by the Company or an Affiliate at any time, for any reason, with or without cause and with or without notice. Nothing in this Agreement, the Plan or any covenant of good faith and fair dealing that may be found implicit in this Agreement or the Plan shall: (i) confer upon Recipient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Recipient at will and without regard to any future vesting opportunity that Recipient may have.</w:t>
      </w:r>
    </w:p>
    <w:p>
      <w:pPr>
        <w:spacing w:after="0" w:line="186" w:lineRule="exact"/>
        <w:rPr>
          <w:rFonts w:ascii="Arial" w:cs="Arial" w:eastAsia="Arial" w:hAnsi="Arial"/>
          <w:sz w:val="21"/>
          <w:szCs w:val="21"/>
          <w:color w:val="auto"/>
        </w:rPr>
      </w:pPr>
    </w:p>
    <w:p>
      <w:pPr>
        <w:jc w:val="both"/>
        <w:ind w:left="1300" w:hanging="644"/>
        <w:spacing w:after="0" w:line="258" w:lineRule="auto"/>
        <w:tabs>
          <w:tab w:leader="none" w:pos="1300" w:val="left"/>
        </w:tabs>
        <w:numPr>
          <w:ilvl w:val="1"/>
          <w:numId w:val="79"/>
        </w:numPr>
        <w:rPr>
          <w:rFonts w:ascii="Arial" w:cs="Arial" w:eastAsia="Arial" w:hAnsi="Arial"/>
          <w:sz w:val="21"/>
          <w:szCs w:val="21"/>
          <w:color w:val="auto"/>
        </w:rPr>
      </w:pPr>
      <w:r>
        <w:rPr>
          <w:rFonts w:ascii="Arial" w:cs="Arial" w:eastAsia="Arial" w:hAnsi="Arial"/>
          <w:sz w:val="21"/>
          <w:szCs w:val="21"/>
          <w:color w:val="auto"/>
        </w:rPr>
        <w:t>Recipient acknowledges and agrees that the right to receive Shares pursuant to this Agreement is earned, among other requirements, only by continuing as an employee at the will of the Company (not through the act of being hired, being granted the Performance Share Award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to the Company or an Affiliate, or the termination of Affiliate status of Recipient’s employer and the loss of benefits available to Recipient under this Agreement, including but not limited to, the termination of the right to receive Shares under this Agreement. Recipient further acknowledges that if the Performance Goals are not met, it is possible that no Shares will be issued hereunder.</w:t>
      </w:r>
    </w:p>
    <w:p>
      <w:pPr>
        <w:spacing w:after="0" w:line="180" w:lineRule="exact"/>
        <w:rPr>
          <w:rFonts w:ascii="Arial" w:cs="Arial" w:eastAsia="Arial" w:hAnsi="Arial"/>
          <w:sz w:val="21"/>
          <w:szCs w:val="21"/>
          <w:color w:val="auto"/>
        </w:rPr>
      </w:pPr>
    </w:p>
    <w:p>
      <w:pPr>
        <w:jc w:val="both"/>
        <w:ind w:firstLine="8"/>
        <w:spacing w:after="0" w:line="315" w:lineRule="auto"/>
        <w:tabs>
          <w:tab w:leader="none" w:pos="500"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 xml:space="preserve">INCORPORATION OF PLAN. </w:t>
      </w:r>
      <w:r>
        <w:rPr>
          <w:rFonts w:ascii="Arial" w:cs="Arial" w:eastAsia="Arial" w:hAnsi="Arial"/>
          <w:sz w:val="19"/>
          <w:szCs w:val="19"/>
          <w:color w:val="auto"/>
        </w:rPr>
        <w:t>The Performance Share Award is granted pursuant to the Plan, all the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of which are hereby made a part hereof and are incorporated herein by reference. In the event of any inconsistency between the terms and conditions contained herein and those set forth in the Plan, the terms and conditions of the Plan shall prevail.</w:t>
      </w:r>
    </w:p>
    <w:p>
      <w:pPr>
        <w:spacing w:after="0" w:line="125" w:lineRule="exact"/>
        <w:rPr>
          <w:rFonts w:ascii="Arial" w:cs="Arial" w:eastAsia="Arial" w:hAnsi="Arial"/>
          <w:sz w:val="19"/>
          <w:szCs w:val="19"/>
          <w:color w:val="auto"/>
        </w:rPr>
      </w:pPr>
    </w:p>
    <w:p>
      <w:pPr>
        <w:jc w:val="both"/>
        <w:ind w:firstLine="8"/>
        <w:spacing w:after="0" w:line="291" w:lineRule="auto"/>
        <w:tabs>
          <w:tab w:leader="none" w:pos="478"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 xml:space="preserve">RECOUPMENT OF AWARDS. </w:t>
      </w:r>
      <w:r>
        <w:rPr>
          <w:rFonts w:ascii="Arial" w:cs="Arial" w:eastAsia="Arial" w:hAnsi="Arial"/>
          <w:sz w:val="19"/>
          <w:szCs w:val="19"/>
          <w:color w:val="auto"/>
        </w:rPr>
        <w:t>The Human Resources and Compensation Committee of the Company’s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adopted a recoupment policy on June 18, 2009 (the “Policy”), that may require members of senior management to return incentive compensation if there is a material restatement of the financial results upon which the compensation was originally based. The Policy also provides for recovery of incentive compensation from any employee involved in fraud or intentional misconduct, whether or not it results in a restatement of the Company’s financial results. Recipient acknowledges and agrees that the Policy applies to the Performance Share Award and that any payments or issuances of Shares are subject to recoupment pursuant to the Policy, including any amendments to the Policy and any recoupment obligations imposed by applicable law or regulation. This Agreement shall be deemed to include the restrictions imposed by the Policy.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63"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0"/>
          <w:szCs w:val="20"/>
          <w:b w:val="1"/>
          <w:bCs w:val="1"/>
          <w:color w:val="auto"/>
        </w:rPr>
        <w:t>Exhibit 10.33</w:t>
      </w:r>
    </w:p>
    <w:p>
      <w:pPr>
        <w:spacing w:after="0" w:line="252" w:lineRule="exact"/>
        <w:rPr>
          <w:sz w:val="20"/>
          <w:szCs w:val="20"/>
          <w:color w:val="auto"/>
        </w:rPr>
      </w:pPr>
    </w:p>
    <w:p>
      <w:pPr>
        <w:jc w:val="both"/>
        <w:ind w:firstLine="8"/>
        <w:spacing w:after="0" w:line="248" w:lineRule="auto"/>
        <w:tabs>
          <w:tab w:leader="none" w:pos="527"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 xml:space="preserve">COPIES OF PLAN AND OTHER MATERIALS. </w:t>
      </w:r>
      <w:r>
        <w:rPr>
          <w:rFonts w:ascii="Arial" w:cs="Arial" w:eastAsia="Arial" w:hAnsi="Arial"/>
          <w:sz w:val="22"/>
          <w:szCs w:val="22"/>
          <w:color w:val="auto"/>
        </w:rPr>
        <w:t>Recipient acknowledges that Recipient has received copies of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and the Plan prospectus from the Company and agrees 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 Recipient acknowledges that a copy of the Policy referenced in Section 11 is available on the Company’s intranet, and is also available upon written or telephonic request to the Company.</w:t>
      </w:r>
    </w:p>
    <w:p>
      <w:pPr>
        <w:spacing w:after="0" w:line="187" w:lineRule="exact"/>
        <w:rPr>
          <w:rFonts w:ascii="Arial" w:cs="Arial" w:eastAsia="Arial" w:hAnsi="Arial"/>
          <w:sz w:val="22"/>
          <w:szCs w:val="22"/>
          <w:color w:val="auto"/>
        </w:rPr>
      </w:pPr>
    </w:p>
    <w:p>
      <w:pPr>
        <w:ind w:left="500" w:hanging="492"/>
        <w:spacing w:after="0"/>
        <w:tabs>
          <w:tab w:leader="none" w:pos="500" w:val="left"/>
        </w:tabs>
        <w:numPr>
          <w:ilvl w:val="0"/>
          <w:numId w:val="80"/>
        </w:numPr>
        <w:rPr>
          <w:rFonts w:ascii="Arial" w:cs="Arial" w:eastAsia="Arial" w:hAnsi="Arial"/>
          <w:sz w:val="22"/>
          <w:szCs w:val="22"/>
          <w:color w:val="auto"/>
        </w:rPr>
      </w:pPr>
      <w:r>
        <w:rPr>
          <w:rFonts w:ascii="Arial" w:cs="Arial" w:eastAsia="Arial" w:hAnsi="Arial"/>
          <w:sz w:val="22"/>
          <w:szCs w:val="22"/>
          <w:b w:val="1"/>
          <w:bCs w:val="1"/>
          <w:color w:val="auto"/>
        </w:rPr>
        <w:t>NON-SOLICITATION.</w:t>
      </w:r>
    </w:p>
    <w:p>
      <w:pPr>
        <w:spacing w:after="0" w:line="219" w:lineRule="exact"/>
        <w:rPr>
          <w:rFonts w:ascii="Arial" w:cs="Arial" w:eastAsia="Arial" w:hAnsi="Arial"/>
          <w:sz w:val="22"/>
          <w:szCs w:val="22"/>
          <w:color w:val="auto"/>
        </w:rPr>
      </w:pPr>
    </w:p>
    <w:p>
      <w:pPr>
        <w:jc w:val="both"/>
        <w:ind w:left="1300" w:hanging="644"/>
        <w:spacing w:after="0" w:line="298" w:lineRule="auto"/>
        <w:tabs>
          <w:tab w:leader="none" w:pos="1300" w:val="left"/>
        </w:tabs>
        <w:numPr>
          <w:ilvl w:val="1"/>
          <w:numId w:val="80"/>
        </w:numPr>
        <w:rPr>
          <w:rFonts w:ascii="Arial" w:cs="Arial" w:eastAsia="Arial" w:hAnsi="Arial"/>
          <w:sz w:val="19"/>
          <w:szCs w:val="19"/>
          <w:color w:val="auto"/>
        </w:rPr>
      </w:pPr>
      <w:r>
        <w:rPr>
          <w:rFonts w:ascii="Arial" w:cs="Arial" w:eastAsia="Arial" w:hAnsi="Arial"/>
          <w:sz w:val="19"/>
          <w:szCs w:val="19"/>
          <w:b w:val="1"/>
          <w:bCs w:val="1"/>
          <w:color w:val="auto"/>
        </w:rPr>
        <w:t>Solicitation of Employees</w:t>
      </w:r>
      <w:r>
        <w:rPr>
          <w:rFonts w:ascii="Arial" w:cs="Arial" w:eastAsia="Arial" w:hAnsi="Arial"/>
          <w:sz w:val="19"/>
          <w:szCs w:val="19"/>
          <w:color w:val="auto"/>
        </w:rPr>
        <w:t>. Recipient agrees that, both while employed by the Company or an Affiliate and for one</w:t>
      </w:r>
      <w:r>
        <w:rPr>
          <w:rFonts w:ascii="Arial" w:cs="Arial" w:eastAsia="Arial" w:hAnsi="Arial"/>
          <w:sz w:val="19"/>
          <w:szCs w:val="19"/>
          <w:b w:val="1"/>
          <w:bCs w:val="1"/>
          <w:color w:val="auto"/>
        </w:rPr>
        <w:t xml:space="preserve"> </w:t>
      </w:r>
      <w:r>
        <w:rPr>
          <w:rFonts w:ascii="Arial" w:cs="Arial" w:eastAsia="Arial" w:hAnsi="Arial"/>
          <w:sz w:val="19"/>
          <w:szCs w:val="19"/>
          <w:color w:val="auto"/>
        </w:rPr>
        <w:t>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the Recipient’s direct and indirect actions, and apply to actions intended to benefit Recipient or any other person, business or entity.</w:t>
      </w:r>
    </w:p>
    <w:p>
      <w:pPr>
        <w:spacing w:after="0" w:line="142" w:lineRule="exact"/>
        <w:rPr>
          <w:rFonts w:ascii="Arial" w:cs="Arial" w:eastAsia="Arial" w:hAnsi="Arial"/>
          <w:sz w:val="19"/>
          <w:szCs w:val="19"/>
          <w:color w:val="auto"/>
        </w:rPr>
      </w:pPr>
    </w:p>
    <w:p>
      <w:pPr>
        <w:jc w:val="both"/>
        <w:ind w:left="1300" w:hanging="644"/>
        <w:spacing w:after="0" w:line="256" w:lineRule="auto"/>
        <w:tabs>
          <w:tab w:leader="none" w:pos="1300" w:val="left"/>
        </w:tabs>
        <w:numPr>
          <w:ilvl w:val="1"/>
          <w:numId w:val="80"/>
        </w:numPr>
        <w:rPr>
          <w:rFonts w:ascii="Arial" w:cs="Arial" w:eastAsia="Arial" w:hAnsi="Arial"/>
          <w:sz w:val="22"/>
          <w:szCs w:val="22"/>
          <w:color w:val="auto"/>
        </w:rPr>
      </w:pPr>
      <w:r>
        <w:rPr>
          <w:rFonts w:ascii="Arial" w:cs="Arial" w:eastAsia="Arial" w:hAnsi="Arial"/>
          <w:sz w:val="22"/>
          <w:szCs w:val="22"/>
          <w:b w:val="1"/>
          <w:bCs w:val="1"/>
          <w:color w:val="auto"/>
        </w:rPr>
        <w:t>Solicitation of Customers</w:t>
      </w:r>
      <w:r>
        <w:rPr>
          <w:rFonts w:ascii="Arial" w:cs="Arial" w:eastAsia="Arial" w:hAnsi="Arial"/>
          <w:sz w:val="22"/>
          <w:szCs w:val="22"/>
          <w:color w:val="auto"/>
        </w:rPr>
        <w:t>. Recipient agrees that, for one year after termination of employment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or an Affiliate, Recipient will not participate in any solicitation of any customer or prospective customer of the Company or an Affiliate concerning any business that:</w:t>
      </w:r>
    </w:p>
    <w:p>
      <w:pPr>
        <w:spacing w:after="0" w:line="182"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80"/>
        </w:numPr>
        <w:rPr>
          <w:rFonts w:ascii="Arial" w:cs="Arial" w:eastAsia="Arial" w:hAnsi="Arial"/>
          <w:sz w:val="22"/>
          <w:szCs w:val="22"/>
          <w:color w:val="auto"/>
        </w:rPr>
      </w:pPr>
      <w:r>
        <w:rPr>
          <w:rFonts w:ascii="Arial" w:cs="Arial" w:eastAsia="Arial" w:hAnsi="Arial"/>
          <w:sz w:val="22"/>
          <w:szCs w:val="22"/>
          <w:color w:val="auto"/>
        </w:rPr>
        <w:t>involves the same programs or projects for that customer in which Recipient was personally and substantially involved during the 12 months prior to termination of employment; or</w:t>
      </w:r>
    </w:p>
    <w:p>
      <w:pPr>
        <w:spacing w:after="0" w:line="174" w:lineRule="exact"/>
        <w:rPr>
          <w:rFonts w:ascii="Arial" w:cs="Arial" w:eastAsia="Arial" w:hAnsi="Arial"/>
          <w:sz w:val="22"/>
          <w:szCs w:val="22"/>
          <w:color w:val="auto"/>
        </w:rPr>
      </w:pPr>
    </w:p>
    <w:p>
      <w:pPr>
        <w:jc w:val="both"/>
        <w:ind w:left="1960" w:hanging="655"/>
        <w:spacing w:after="0" w:line="302" w:lineRule="auto"/>
        <w:tabs>
          <w:tab w:leader="none" w:pos="1960" w:val="left"/>
        </w:tabs>
        <w:numPr>
          <w:ilvl w:val="2"/>
          <w:numId w:val="80"/>
        </w:numPr>
        <w:rPr>
          <w:rFonts w:ascii="Arial" w:cs="Arial" w:eastAsia="Arial" w:hAnsi="Arial"/>
          <w:sz w:val="19"/>
          <w:szCs w:val="19"/>
          <w:color w:val="auto"/>
        </w:rPr>
      </w:pPr>
      <w:r>
        <w:rPr>
          <w:rFonts w:ascii="Arial" w:cs="Arial" w:eastAsia="Arial" w:hAnsi="Arial"/>
          <w:sz w:val="19"/>
          <w:szCs w:val="19"/>
          <w:color w:val="auto"/>
        </w:rPr>
        <w:t>has been, at any time during the 12 months prior to termination of employment, the subject of any bid, offer or proposal activity by the Company or an Affiliate in respect of that customer or prospective customer, or any negotiations or discussions about the possible performance of services by the Company or an Affiliate to that customer or potential customer, in which Recipient was personally and substantially involved.</w:t>
      </w:r>
    </w:p>
    <w:p>
      <w:pPr>
        <w:spacing w:after="0" w:line="142" w:lineRule="exact"/>
        <w:rPr>
          <w:rFonts w:ascii="Arial" w:cs="Arial" w:eastAsia="Arial" w:hAnsi="Arial"/>
          <w:sz w:val="19"/>
          <w:szCs w:val="19"/>
          <w:color w:val="auto"/>
        </w:rPr>
      </w:pPr>
    </w:p>
    <w:p>
      <w:pPr>
        <w:jc w:val="both"/>
        <w:ind w:left="1960"/>
        <w:spacing w:after="0" w:line="250" w:lineRule="auto"/>
        <w:rPr>
          <w:rFonts w:ascii="Arial" w:cs="Arial" w:eastAsia="Arial" w:hAnsi="Arial"/>
          <w:sz w:val="19"/>
          <w:szCs w:val="19"/>
          <w:color w:val="auto"/>
        </w:rPr>
      </w:pPr>
      <w:r>
        <w:rPr>
          <w:rFonts w:ascii="Arial" w:cs="Arial" w:eastAsia="Arial" w:hAnsi="Arial"/>
          <w:sz w:val="22"/>
          <w:szCs w:val="22"/>
          <w:color w:val="auto"/>
        </w:rPr>
        <w:t>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w:t>
      </w:r>
    </w:p>
    <w:p>
      <w:pPr>
        <w:spacing w:after="0" w:line="182" w:lineRule="exact"/>
        <w:rPr>
          <w:rFonts w:ascii="Arial" w:cs="Arial" w:eastAsia="Arial" w:hAnsi="Arial"/>
          <w:sz w:val="19"/>
          <w:szCs w:val="19"/>
          <w:color w:val="auto"/>
        </w:rPr>
      </w:pPr>
    </w:p>
    <w:p>
      <w:pPr>
        <w:jc w:val="both"/>
        <w:ind w:left="1300" w:hanging="644"/>
        <w:spacing w:after="0" w:line="267" w:lineRule="auto"/>
        <w:tabs>
          <w:tab w:leader="none" w:pos="1300" w:val="left"/>
        </w:tabs>
        <w:numPr>
          <w:ilvl w:val="1"/>
          <w:numId w:val="80"/>
        </w:numPr>
        <w:rPr>
          <w:rFonts w:ascii="Arial" w:cs="Arial" w:eastAsia="Arial" w:hAnsi="Arial"/>
          <w:sz w:val="21"/>
          <w:szCs w:val="21"/>
          <w:color w:val="auto"/>
        </w:rPr>
      </w:pPr>
      <w:r>
        <w:rPr>
          <w:rFonts w:ascii="Arial" w:cs="Arial" w:eastAsia="Arial" w:hAnsi="Arial"/>
          <w:sz w:val="21"/>
          <w:szCs w:val="21"/>
          <w:b w:val="1"/>
          <w:bCs w:val="1"/>
          <w:color w:val="auto"/>
        </w:rPr>
        <w:t>Remedies</w:t>
      </w:r>
      <w:r>
        <w:rPr>
          <w:rFonts w:ascii="Arial" w:cs="Arial" w:eastAsia="Arial" w:hAnsi="Arial"/>
          <w:sz w:val="21"/>
          <w:szCs w:val="21"/>
          <w:color w:val="auto"/>
        </w:rPr>
        <w:t>. Recipient acknowledges and agrees that a breach of any of the promises or agreements contained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13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62"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10.33</w:t>
      </w:r>
    </w:p>
    <w:p>
      <w:pPr>
        <w:spacing w:after="0" w:line="252" w:lineRule="exact"/>
        <w:rPr>
          <w:sz w:val="20"/>
          <w:szCs w:val="20"/>
          <w:color w:val="auto"/>
        </w:rPr>
      </w:pPr>
    </w:p>
    <w:p>
      <w:pPr>
        <w:jc w:val="both"/>
        <w:ind w:firstLine="8"/>
        <w:spacing w:after="0" w:line="247" w:lineRule="auto"/>
        <w:tabs>
          <w:tab w:leader="none" w:pos="540"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MISCELLANEOUS. </w:t>
      </w:r>
      <w:r>
        <w:rPr>
          <w:rFonts w:ascii="Arial" w:cs="Arial" w:eastAsia="Arial" w:hAnsi="Arial"/>
          <w:sz w:val="22"/>
          <w:szCs w:val="22"/>
          <w:color w:val="auto"/>
        </w:rPr>
        <w:t>This Agreement (together with the Award Grant Notice) contains the entire agreement of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its subject matter, provided, however, that if Recipient and the Company are parties to an existing written agreement addressing the subject matter of Section 13, such agreement shall control with respect to such subject matter until the termination thereof, at which time Section 13 shall control. This Agreement shall be binding upon and shall inure to the benefit of the respective parties, the successors and assigns of the Company, and the heirs, legatees and personal representatives of Recipient. The parties hereby agree that should any portion of this Agreement be judicially held to be invalid, unenforceable, or void, such portion shall be construed by limiting and reducing it, so as to be enforceable to the maximum extent compatible with the applicable law as is then in effect.</w:t>
      </w:r>
    </w:p>
    <w:p>
      <w:pPr>
        <w:spacing w:after="0" w:line="186" w:lineRule="exact"/>
        <w:rPr>
          <w:rFonts w:ascii="Arial" w:cs="Arial" w:eastAsia="Arial" w:hAnsi="Arial"/>
          <w:sz w:val="22"/>
          <w:szCs w:val="22"/>
          <w:color w:val="auto"/>
        </w:rPr>
      </w:pPr>
    </w:p>
    <w:p>
      <w:pPr>
        <w:ind w:firstLine="8"/>
        <w:spacing w:after="0" w:line="269" w:lineRule="auto"/>
        <w:tabs>
          <w:tab w:leader="none" w:pos="500"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shall be governed by, construed and enforced in accordance with the laws of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Delaware without reference to such state’s principles of conflict of laws.</w:t>
      </w:r>
    </w:p>
    <w:p>
      <w:pPr>
        <w:spacing w:after="0" w:line="162" w:lineRule="exact"/>
        <w:rPr>
          <w:rFonts w:ascii="Arial" w:cs="Arial" w:eastAsia="Arial" w:hAnsi="Arial"/>
          <w:sz w:val="22"/>
          <w:szCs w:val="22"/>
          <w:color w:val="auto"/>
        </w:rPr>
      </w:pPr>
    </w:p>
    <w:p>
      <w:pPr>
        <w:jc w:val="both"/>
        <w:ind w:firstLine="8"/>
        <w:spacing w:after="0" w:line="252" w:lineRule="auto"/>
        <w:tabs>
          <w:tab w:leader="none" w:pos="716"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 xml:space="preserve">ACKNOWLEDGMENT. </w:t>
      </w:r>
      <w:r>
        <w:rPr>
          <w:rFonts w:ascii="Arial" w:cs="Arial" w:eastAsia="Arial" w:hAnsi="Arial"/>
          <w:sz w:val="22"/>
          <w:szCs w:val="22"/>
          <w:color w:val="auto"/>
        </w:rPr>
        <w:t>Recipient acknowledges that the Performance Share Award constitutes full and adequate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for Recipient’s obligations under this Agreement, the acceptance of the Performance Share Award constitutes an unequivocal acceptance of this Agreement and any attempted modification or deletion will have no force or effect on the Company’s right to enforce the terms and conditions stated herein.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By accepting the Performance Share Award, you agree to all of the terms and conditions set forth herein and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62" w:right="2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39"/>
        </w:trPr>
        <w:tc>
          <w:tcPr>
            <w:tcW w:w="4220" w:type="dxa"/>
            <w:vAlign w:val="bottom"/>
          </w:tcPr>
          <w:p>
            <w:pPr>
              <w:spacing w:after="0"/>
              <w:rPr>
                <w:sz w:val="20"/>
                <w:szCs w:val="20"/>
                <w:color w:val="auto"/>
              </w:rPr>
            </w:pPr>
          </w:p>
        </w:tc>
        <w:tc>
          <w:tcPr>
            <w:tcW w:w="7200" w:type="dxa"/>
            <w:vAlign w:val="bottom"/>
          </w:tcPr>
          <w:p>
            <w:pPr>
              <w:ind w:left="6340"/>
              <w:spacing w:after="0"/>
              <w:rPr>
                <w:sz w:val="20"/>
                <w:szCs w:val="20"/>
                <w:color w:val="auto"/>
              </w:rPr>
            </w:pPr>
            <w:r>
              <w:rPr>
                <w:rFonts w:ascii="Arial" w:cs="Arial" w:eastAsia="Arial" w:hAnsi="Arial"/>
                <w:sz w:val="18"/>
                <w:szCs w:val="18"/>
                <w:b w:val="1"/>
                <w:bCs w:val="1"/>
                <w:color w:val="auto"/>
                <w:w w:val="98"/>
              </w:rPr>
              <w:t>Exhibit 21</w:t>
            </w:r>
          </w:p>
        </w:tc>
      </w:tr>
      <w:tr>
        <w:trPr>
          <w:trHeight w:val="594"/>
        </w:trPr>
        <w:tc>
          <w:tcPr>
            <w:tcW w:w="4220" w:type="dxa"/>
            <w:vAlign w:val="bottom"/>
          </w:tcPr>
          <w:p>
            <w:pPr>
              <w:spacing w:after="0"/>
              <w:rPr>
                <w:sz w:val="24"/>
                <w:szCs w:val="24"/>
                <w:color w:val="auto"/>
              </w:rPr>
            </w:pPr>
          </w:p>
        </w:tc>
        <w:tc>
          <w:tcPr>
            <w:tcW w:w="7200" w:type="dxa"/>
            <w:vAlign w:val="bottom"/>
          </w:tcPr>
          <w:p>
            <w:pPr>
              <w:jc w:val="center"/>
              <w:ind w:right="4131"/>
              <w:spacing w:after="0"/>
              <w:rPr>
                <w:sz w:val="20"/>
                <w:szCs w:val="20"/>
                <w:color w:val="auto"/>
              </w:rPr>
            </w:pPr>
            <w:r>
              <w:rPr>
                <w:rFonts w:ascii="Arial" w:cs="Arial" w:eastAsia="Arial" w:hAnsi="Arial"/>
                <w:sz w:val="18"/>
                <w:szCs w:val="18"/>
                <w:b w:val="1"/>
                <w:bCs w:val="1"/>
                <w:color w:val="auto"/>
              </w:rPr>
              <w:t>LEIDOS HOLDINGS, INC.</w:t>
            </w:r>
          </w:p>
        </w:tc>
      </w:tr>
      <w:tr>
        <w:trPr>
          <w:trHeight w:val="378"/>
        </w:trPr>
        <w:tc>
          <w:tcPr>
            <w:tcW w:w="4220" w:type="dxa"/>
            <w:vAlign w:val="bottom"/>
          </w:tcPr>
          <w:p>
            <w:pPr>
              <w:spacing w:after="0"/>
              <w:rPr>
                <w:sz w:val="24"/>
                <w:szCs w:val="24"/>
                <w:color w:val="auto"/>
              </w:rPr>
            </w:pPr>
          </w:p>
        </w:tc>
        <w:tc>
          <w:tcPr>
            <w:tcW w:w="7200" w:type="dxa"/>
            <w:vAlign w:val="bottom"/>
          </w:tcPr>
          <w:p>
            <w:pPr>
              <w:jc w:val="center"/>
              <w:ind w:right="4131"/>
              <w:spacing w:after="0"/>
              <w:rPr>
                <w:sz w:val="20"/>
                <w:szCs w:val="20"/>
                <w:color w:val="auto"/>
              </w:rPr>
            </w:pPr>
            <w:r>
              <w:rPr>
                <w:rFonts w:ascii="Arial" w:cs="Arial" w:eastAsia="Arial" w:hAnsi="Arial"/>
                <w:sz w:val="18"/>
                <w:szCs w:val="18"/>
                <w:b w:val="1"/>
                <w:bCs w:val="1"/>
                <w:color w:val="auto"/>
              </w:rPr>
              <w:t>LEIDOS, INC.</w:t>
            </w:r>
          </w:p>
        </w:tc>
      </w:tr>
      <w:tr>
        <w:trPr>
          <w:trHeight w:val="850"/>
        </w:trPr>
        <w:tc>
          <w:tcPr>
            <w:tcW w:w="4220" w:type="dxa"/>
            <w:vAlign w:val="bottom"/>
          </w:tcPr>
          <w:p>
            <w:pPr>
              <w:ind w:left="80"/>
              <w:spacing w:after="0"/>
              <w:rPr>
                <w:sz w:val="20"/>
                <w:szCs w:val="20"/>
                <w:color w:val="auto"/>
              </w:rPr>
            </w:pPr>
            <w:r>
              <w:rPr>
                <w:rFonts w:ascii="Arial" w:cs="Arial" w:eastAsia="Arial" w:hAnsi="Arial"/>
                <w:sz w:val="14"/>
                <w:szCs w:val="14"/>
                <w:b w:val="1"/>
                <w:bCs w:val="1"/>
                <w:color w:val="auto"/>
              </w:rPr>
              <w:t>Subsidiaries of Leidos Holdings, Inc.</w:t>
            </w:r>
          </w:p>
        </w:tc>
        <w:tc>
          <w:tcPr>
            <w:tcW w:w="7200" w:type="dxa"/>
            <w:vAlign w:val="bottom"/>
          </w:tcPr>
          <w:p>
            <w:pPr>
              <w:ind w:left="4960"/>
              <w:spacing w:after="0"/>
              <w:rPr>
                <w:sz w:val="20"/>
                <w:szCs w:val="20"/>
                <w:color w:val="auto"/>
              </w:rPr>
            </w:pPr>
            <w:r>
              <w:rPr>
                <w:rFonts w:ascii="Arial" w:cs="Arial" w:eastAsia="Arial" w:hAnsi="Arial"/>
                <w:sz w:val="14"/>
                <w:szCs w:val="14"/>
                <w:b w:val="1"/>
                <w:bCs w:val="1"/>
                <w:color w:val="auto"/>
              </w:rPr>
              <w:t>Jurisdiction of Incorporation</w:t>
            </w:r>
          </w:p>
        </w:tc>
      </w:tr>
      <w:tr>
        <w:trPr>
          <w:trHeight w:val="163"/>
        </w:trPr>
        <w:tc>
          <w:tcPr>
            <w:tcW w:w="422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tcPr>
          <w:p>
            <w:pPr>
              <w:spacing w:after="0"/>
              <w:rPr>
                <w:sz w:val="14"/>
                <w:szCs w:val="14"/>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Leidos,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526"/>
        </w:trPr>
        <w:tc>
          <w:tcPr>
            <w:tcW w:w="4220" w:type="dxa"/>
            <w:vAlign w:val="bottom"/>
          </w:tcPr>
          <w:p>
            <w:pPr>
              <w:ind w:left="80"/>
              <w:spacing w:after="0"/>
              <w:rPr>
                <w:sz w:val="20"/>
                <w:szCs w:val="20"/>
                <w:color w:val="auto"/>
              </w:rPr>
            </w:pPr>
            <w:r>
              <w:rPr>
                <w:rFonts w:ascii="Arial" w:cs="Arial" w:eastAsia="Arial" w:hAnsi="Arial"/>
                <w:sz w:val="14"/>
                <w:szCs w:val="14"/>
                <w:b w:val="1"/>
                <w:bCs w:val="1"/>
                <w:color w:val="auto"/>
              </w:rPr>
              <w:t>Subsidiaries of Leidos, Inc.</w:t>
            </w:r>
          </w:p>
        </w:tc>
        <w:tc>
          <w:tcPr>
            <w:tcW w:w="7200" w:type="dxa"/>
            <w:vAlign w:val="bottom"/>
          </w:tcPr>
          <w:p>
            <w:pPr>
              <w:ind w:left="4960"/>
              <w:spacing w:after="0"/>
              <w:rPr>
                <w:sz w:val="20"/>
                <w:szCs w:val="20"/>
                <w:color w:val="auto"/>
              </w:rPr>
            </w:pPr>
            <w:r>
              <w:rPr>
                <w:rFonts w:ascii="Arial" w:cs="Arial" w:eastAsia="Arial" w:hAnsi="Arial"/>
                <w:sz w:val="14"/>
                <w:szCs w:val="14"/>
                <w:b w:val="1"/>
                <w:bCs w:val="1"/>
                <w:color w:val="auto"/>
              </w:rPr>
              <w:t>Jurisdiction of Incorporation</w:t>
            </w:r>
          </w:p>
        </w:tc>
      </w:tr>
      <w:tr>
        <w:trPr>
          <w:trHeight w:val="163"/>
        </w:trPr>
        <w:tc>
          <w:tcPr>
            <w:tcW w:w="4220" w:type="dxa"/>
            <w:vAlign w:val="bottom"/>
            <w:tcBorders>
              <w:bottom w:val="single" w:sz="8" w:color="auto"/>
            </w:tcBorders>
          </w:tcPr>
          <w:p>
            <w:pPr>
              <w:spacing w:after="0"/>
              <w:rPr>
                <w:sz w:val="14"/>
                <w:szCs w:val="14"/>
                <w:color w:val="auto"/>
              </w:rPr>
            </w:pPr>
          </w:p>
        </w:tc>
        <w:tc>
          <w:tcPr>
            <w:tcW w:w="7200" w:type="dxa"/>
            <w:vAlign w:val="bottom"/>
            <w:tcBorders>
              <w:bottom w:val="single" w:sz="8" w:color="auto"/>
            </w:tcBorders>
          </w:tcPr>
          <w:p>
            <w:pPr>
              <w:spacing w:after="0"/>
              <w:rPr>
                <w:sz w:val="14"/>
                <w:szCs w:val="14"/>
                <w:color w:val="auto"/>
              </w:rPr>
            </w:pPr>
          </w:p>
        </w:tc>
      </w:tr>
      <w:tr>
        <w:trPr>
          <w:trHeight w:val="237"/>
        </w:trPr>
        <w:tc>
          <w:tcPr>
            <w:tcW w:w="4220" w:type="dxa"/>
            <w:vAlign w:val="bottom"/>
          </w:tcPr>
          <w:p>
            <w:pPr>
              <w:ind w:left="40"/>
              <w:spacing w:after="0"/>
              <w:rPr>
                <w:sz w:val="20"/>
                <w:szCs w:val="20"/>
                <w:color w:val="auto"/>
              </w:rPr>
            </w:pPr>
            <w:r>
              <w:rPr>
                <w:rFonts w:ascii="Arial" w:cs="Arial" w:eastAsia="Arial" w:hAnsi="Arial"/>
                <w:sz w:val="18"/>
                <w:szCs w:val="18"/>
                <w:color w:val="auto"/>
              </w:rPr>
              <w:t>ABI Architects,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rPr>
              <w:t>Florida</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Benham/Ellerbe Becket, LLC</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Oklahoma</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Benham Military Communities, LLC</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Oklahoma</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Calanais Pension Trustee Co. Ltd.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United Kingdom</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Cloudshield Technologies,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57"/>
        </w:trPr>
        <w:tc>
          <w:tcPr>
            <w:tcW w:w="4220" w:type="dxa"/>
            <w:vAlign w:val="bottom"/>
          </w:tcPr>
          <w:p>
            <w:pPr>
              <w:ind w:left="260"/>
              <w:spacing w:after="0"/>
              <w:rPr>
                <w:sz w:val="20"/>
                <w:szCs w:val="20"/>
                <w:color w:val="auto"/>
              </w:rPr>
            </w:pPr>
            <w:r>
              <w:rPr>
                <w:rFonts w:ascii="Arial" w:cs="Arial" w:eastAsia="Arial" w:hAnsi="Arial"/>
                <w:sz w:val="18"/>
                <w:szCs w:val="18"/>
                <w:color w:val="auto"/>
              </w:rPr>
              <w:t>Cloudshield Technologies GmbH</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Germany</w:t>
            </w:r>
          </w:p>
        </w:tc>
      </w:tr>
      <w:tr>
        <w:trPr>
          <w:trHeight w:val="257"/>
        </w:trPr>
        <w:tc>
          <w:tcPr>
            <w:tcW w:w="4220" w:type="dxa"/>
            <w:vAlign w:val="bottom"/>
          </w:tcPr>
          <w:p>
            <w:pPr>
              <w:ind w:left="260"/>
              <w:spacing w:after="0"/>
              <w:rPr>
                <w:sz w:val="20"/>
                <w:szCs w:val="20"/>
                <w:color w:val="auto"/>
              </w:rPr>
            </w:pPr>
            <w:r>
              <w:rPr>
                <w:rFonts w:ascii="Arial" w:cs="Arial" w:eastAsia="Arial" w:hAnsi="Arial"/>
                <w:sz w:val="18"/>
                <w:szCs w:val="18"/>
                <w:color w:val="auto"/>
              </w:rPr>
              <w:t>Cloudshield UK Limited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United Kingdom</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InQuirion Pty Limited</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Australia</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JMD Development Corporation</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California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Arabia Company Limited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rPr>
              <w:t>Saudi Arabia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Biomedical Research,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SAIC Calanais Limited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United Kingdom</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Canada,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rPr>
              <w:t>Canada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 CDM Solutions, LLC (95% ownership)</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Constructors, LLC</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Oklahoma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Consulting Engineers,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California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DB, Inc.</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Oklahoma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Engineering,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Engineering of North Carolina,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North Carolina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Engineering of Ohio, Inc.</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Ohio</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Europe, Limited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United Kingdom</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Germany GmbH</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Germany</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Global Technology Corporation</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Health Holdings,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70"/>
        </w:trPr>
        <w:tc>
          <w:tcPr>
            <w:tcW w:w="4220" w:type="dxa"/>
            <w:vAlign w:val="bottom"/>
          </w:tcPr>
          <w:p>
            <w:pPr>
              <w:ind w:left="240"/>
              <w:spacing w:after="0"/>
              <w:rPr>
                <w:sz w:val="20"/>
                <w:szCs w:val="20"/>
                <w:color w:val="auto"/>
              </w:rPr>
            </w:pPr>
            <w:r>
              <w:rPr>
                <w:rFonts w:ascii="Arial" w:cs="Arial" w:eastAsia="Arial" w:hAnsi="Arial"/>
                <w:sz w:val="18"/>
                <w:szCs w:val="18"/>
                <w:color w:val="auto"/>
              </w:rPr>
              <w:t>Leidos Health,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Limited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United Kingdom</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of Michigan,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Michigan</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Pty Limited</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9"/>
              </w:rPr>
              <w:t>Australia</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Realty,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California</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Leidos Supply, Limited</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United Kingdom</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Leidos Renewable Energy,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70"/>
        </w:trPr>
        <w:tc>
          <w:tcPr>
            <w:tcW w:w="4220" w:type="dxa"/>
            <w:vAlign w:val="bottom"/>
          </w:tcPr>
          <w:p>
            <w:pPr>
              <w:ind w:left="40"/>
              <w:spacing w:after="0"/>
              <w:rPr>
                <w:sz w:val="20"/>
                <w:szCs w:val="20"/>
                <w:color w:val="auto"/>
              </w:rPr>
            </w:pPr>
            <w:r>
              <w:rPr>
                <w:rFonts w:ascii="Arial" w:cs="Arial" w:eastAsia="Arial" w:hAnsi="Arial"/>
                <w:sz w:val="18"/>
                <w:szCs w:val="18"/>
                <w:color w:val="auto"/>
              </w:rPr>
              <w:t>Leidos Services, Inc.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Plainfield Renewable Energy,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Plainfield Renewable Energy Holdings, LLC</w:t>
            </w:r>
          </w:p>
        </w:tc>
        <w:tc>
          <w:tcPr>
            <w:tcW w:w="7200" w:type="dxa"/>
            <w:vAlign w:val="bottom"/>
          </w:tcPr>
          <w:p>
            <w:pPr>
              <w:jc w:val="center"/>
              <w:ind w:left="4391"/>
              <w:spacing w:after="0"/>
              <w:rPr>
                <w:sz w:val="20"/>
                <w:szCs w:val="20"/>
                <w:color w:val="auto"/>
              </w:rPr>
            </w:pPr>
            <w:r>
              <w:rPr>
                <w:rFonts w:ascii="Arial" w:cs="Arial" w:eastAsia="Arial" w:hAnsi="Arial"/>
                <w:sz w:val="18"/>
                <w:szCs w:val="18"/>
                <w:color w:val="auto"/>
                <w:w w:val="99"/>
              </w:rPr>
              <w:t>Delaware</w:t>
            </w:r>
          </w:p>
        </w:tc>
      </w:tr>
      <w:tr>
        <w:trPr>
          <w:trHeight w:val="257"/>
        </w:trPr>
        <w:tc>
          <w:tcPr>
            <w:tcW w:w="4220" w:type="dxa"/>
            <w:vAlign w:val="bottom"/>
          </w:tcPr>
          <w:p>
            <w:pPr>
              <w:ind w:left="40"/>
              <w:spacing w:after="0"/>
              <w:rPr>
                <w:sz w:val="20"/>
                <w:szCs w:val="20"/>
                <w:color w:val="auto"/>
              </w:rPr>
            </w:pPr>
            <w:r>
              <w:rPr>
                <w:rFonts w:ascii="Arial" w:cs="Arial" w:eastAsia="Arial" w:hAnsi="Arial"/>
                <w:sz w:val="18"/>
                <w:szCs w:val="18"/>
                <w:color w:val="auto"/>
              </w:rPr>
              <w:t>R.W. Beck Group, Inc.</w:t>
            </w:r>
          </w:p>
        </w:tc>
        <w:tc>
          <w:tcPr>
            <w:tcW w:w="7200" w:type="dxa"/>
            <w:vAlign w:val="bottom"/>
          </w:tcPr>
          <w:p>
            <w:pPr>
              <w:jc w:val="center"/>
              <w:ind w:left="4371"/>
              <w:spacing w:after="0"/>
              <w:rPr>
                <w:sz w:val="20"/>
                <w:szCs w:val="20"/>
                <w:color w:val="auto"/>
              </w:rPr>
            </w:pPr>
            <w:r>
              <w:rPr>
                <w:rFonts w:ascii="Arial" w:cs="Arial" w:eastAsia="Arial" w:hAnsi="Arial"/>
                <w:sz w:val="18"/>
                <w:szCs w:val="18"/>
                <w:color w:val="auto"/>
                <w:w w:val="98"/>
              </w:rPr>
              <w:t>Washington</w:t>
            </w:r>
          </w:p>
        </w:tc>
      </w:tr>
      <w:tr>
        <w:trPr>
          <w:trHeight w:val="500"/>
        </w:trPr>
        <w:tc>
          <w:tcPr>
            <w:tcW w:w="4220" w:type="dxa"/>
            <w:vAlign w:val="bottom"/>
          </w:tcPr>
          <w:p>
            <w:pPr>
              <w:spacing w:after="0"/>
              <w:rPr>
                <w:sz w:val="24"/>
                <w:szCs w:val="24"/>
                <w:color w:val="auto"/>
              </w:rPr>
            </w:pPr>
          </w:p>
        </w:tc>
        <w:tc>
          <w:tcPr>
            <w:tcW w:w="7200" w:type="dxa"/>
            <w:vAlign w:val="bottom"/>
          </w:tcPr>
          <w:p>
            <w:pPr>
              <w:jc w:val="center"/>
              <w:ind w:right="4131"/>
              <w:spacing w:after="0"/>
              <w:rPr>
                <w:sz w:val="20"/>
                <w:szCs w:val="20"/>
                <w:color w:val="auto"/>
              </w:rPr>
            </w:pPr>
            <w:r>
              <w:rPr>
                <w:rFonts w:ascii="Arial" w:cs="Arial" w:eastAsia="Arial" w:hAnsi="Arial"/>
                <w:sz w:val="18"/>
                <w:szCs w:val="18"/>
                <w:color w:val="auto"/>
                <w:w w:val="99"/>
              </w:rPr>
              <w:t>1</w:t>
            </w:r>
          </w:p>
        </w:tc>
      </w:tr>
    </w:tbl>
    <w:p>
      <w:pPr>
        <w:sectPr>
          <w:pgSz w:w="11900" w:h="16838" w:orient="portrait"/>
          <w:cols w:equalWidth="0" w:num="1">
            <w:col w:w="11420"/>
          </w:cols>
          <w:pgMar w:left="240" w:top="400"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Reveal Imaging Technologies, Inc.</w:t>
            </w:r>
          </w:p>
        </w:tc>
        <w:tc>
          <w:tcPr>
            <w:tcW w:w="5120" w:type="dxa"/>
            <w:vAlign w:val="bottom"/>
          </w:tcPr>
          <w:p>
            <w:pPr>
              <w:jc w:val="center"/>
              <w:ind w:left="4230"/>
              <w:spacing w:after="0"/>
              <w:rPr>
                <w:sz w:val="20"/>
                <w:szCs w:val="20"/>
                <w:color w:val="auto"/>
              </w:rPr>
            </w:pPr>
            <w:r>
              <w:rPr>
                <w:rFonts w:ascii="Arial" w:cs="Arial" w:eastAsia="Arial" w:hAnsi="Arial"/>
                <w:sz w:val="18"/>
                <w:szCs w:val="18"/>
                <w:color w:val="auto"/>
                <w:w w:val="99"/>
              </w:rPr>
              <w:t>Delaware</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Science, Engineering, and Technology Associates Corporation</w:t>
            </w:r>
          </w:p>
        </w:tc>
        <w:tc>
          <w:tcPr>
            <w:tcW w:w="5120" w:type="dxa"/>
            <w:vAlign w:val="bottom"/>
          </w:tcPr>
          <w:p>
            <w:pPr>
              <w:jc w:val="center"/>
              <w:ind w:left="4230"/>
              <w:spacing w:after="0"/>
              <w:rPr>
                <w:sz w:val="20"/>
                <w:szCs w:val="20"/>
                <w:color w:val="auto"/>
              </w:rPr>
            </w:pPr>
            <w:r>
              <w:rPr>
                <w:rFonts w:ascii="Arial" w:cs="Arial" w:eastAsia="Arial" w:hAnsi="Arial"/>
                <w:sz w:val="18"/>
                <w:szCs w:val="18"/>
                <w:color w:val="auto"/>
                <w:w w:val="99"/>
              </w:rPr>
              <w:t>Delaware</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Spectrum San Diego</w:t>
            </w:r>
          </w:p>
        </w:tc>
        <w:tc>
          <w:tcPr>
            <w:tcW w:w="5120" w:type="dxa"/>
            <w:vAlign w:val="bottom"/>
          </w:tcPr>
          <w:p>
            <w:pPr>
              <w:jc w:val="center"/>
              <w:ind w:left="4230"/>
              <w:spacing w:after="0"/>
              <w:rPr>
                <w:sz w:val="20"/>
                <w:szCs w:val="20"/>
                <w:color w:val="auto"/>
              </w:rPr>
            </w:pPr>
            <w:r>
              <w:rPr>
                <w:rFonts w:ascii="Arial" w:cs="Arial" w:eastAsia="Arial" w:hAnsi="Arial"/>
                <w:sz w:val="18"/>
                <w:szCs w:val="18"/>
                <w:color w:val="auto"/>
                <w:w w:val="99"/>
              </w:rPr>
              <w:t>California</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The Benham Group, Inc.</w:t>
            </w:r>
          </w:p>
        </w:tc>
        <w:tc>
          <w:tcPr>
            <w:tcW w:w="5120" w:type="dxa"/>
            <w:vAlign w:val="bottom"/>
          </w:tcPr>
          <w:p>
            <w:pPr>
              <w:jc w:val="center"/>
              <w:ind w:left="4210"/>
              <w:spacing w:after="0"/>
              <w:rPr>
                <w:sz w:val="20"/>
                <w:szCs w:val="20"/>
                <w:color w:val="auto"/>
              </w:rPr>
            </w:pPr>
            <w:r>
              <w:rPr>
                <w:rFonts w:ascii="Arial" w:cs="Arial" w:eastAsia="Arial" w:hAnsi="Arial"/>
                <w:sz w:val="18"/>
                <w:szCs w:val="18"/>
                <w:color w:val="auto"/>
                <w:w w:val="99"/>
              </w:rPr>
              <w:t>Oklahoma</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The Benham Group of Nevada, Inc.</w:t>
            </w:r>
          </w:p>
        </w:tc>
        <w:tc>
          <w:tcPr>
            <w:tcW w:w="5120" w:type="dxa"/>
            <w:vAlign w:val="bottom"/>
          </w:tcPr>
          <w:p>
            <w:pPr>
              <w:jc w:val="center"/>
              <w:ind w:left="4210"/>
              <w:spacing w:after="0"/>
              <w:rPr>
                <w:sz w:val="20"/>
                <w:szCs w:val="20"/>
                <w:color w:val="auto"/>
              </w:rPr>
            </w:pPr>
            <w:r>
              <w:rPr>
                <w:rFonts w:ascii="Arial" w:cs="Arial" w:eastAsia="Arial" w:hAnsi="Arial"/>
                <w:sz w:val="18"/>
                <w:szCs w:val="18"/>
                <w:color w:val="auto"/>
                <w:w w:val="99"/>
              </w:rPr>
              <w:t>Nevada</w:t>
            </w: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Varec Holdings, Inc.</w:t>
            </w:r>
          </w:p>
        </w:tc>
        <w:tc>
          <w:tcPr>
            <w:tcW w:w="5120" w:type="dxa"/>
            <w:vAlign w:val="bottom"/>
          </w:tcPr>
          <w:p>
            <w:pPr>
              <w:jc w:val="center"/>
              <w:ind w:left="4230"/>
              <w:spacing w:after="0"/>
              <w:rPr>
                <w:sz w:val="20"/>
                <w:szCs w:val="20"/>
                <w:color w:val="auto"/>
              </w:rPr>
            </w:pPr>
            <w:r>
              <w:rPr>
                <w:rFonts w:ascii="Arial" w:cs="Arial" w:eastAsia="Arial" w:hAnsi="Arial"/>
                <w:sz w:val="18"/>
                <w:szCs w:val="18"/>
                <w:color w:val="auto"/>
                <w:w w:val="99"/>
              </w:rPr>
              <w:t>Delaware</w:t>
            </w:r>
          </w:p>
        </w:tc>
      </w:tr>
      <w:tr>
        <w:trPr>
          <w:trHeight w:val="257"/>
        </w:trPr>
        <w:tc>
          <w:tcPr>
            <w:tcW w:w="5300" w:type="dxa"/>
            <w:vAlign w:val="bottom"/>
          </w:tcPr>
          <w:p>
            <w:pPr>
              <w:ind w:left="220"/>
              <w:spacing w:after="0"/>
              <w:rPr>
                <w:sz w:val="20"/>
                <w:szCs w:val="20"/>
                <w:color w:val="auto"/>
              </w:rPr>
            </w:pPr>
            <w:r>
              <w:rPr>
                <w:rFonts w:ascii="Arial" w:cs="Arial" w:eastAsia="Arial" w:hAnsi="Arial"/>
                <w:sz w:val="18"/>
                <w:szCs w:val="18"/>
                <w:color w:val="auto"/>
              </w:rPr>
              <w:t>Varec, Inc.</w:t>
            </w:r>
          </w:p>
        </w:tc>
        <w:tc>
          <w:tcPr>
            <w:tcW w:w="5120" w:type="dxa"/>
            <w:vAlign w:val="bottom"/>
          </w:tcPr>
          <w:p>
            <w:pPr>
              <w:jc w:val="center"/>
              <w:ind w:left="4230"/>
              <w:spacing w:after="0"/>
              <w:rPr>
                <w:sz w:val="20"/>
                <w:szCs w:val="20"/>
                <w:color w:val="auto"/>
              </w:rPr>
            </w:pPr>
            <w:r>
              <w:rPr>
                <w:rFonts w:ascii="Arial" w:cs="Arial" w:eastAsia="Arial" w:hAnsi="Arial"/>
                <w:sz w:val="18"/>
                <w:szCs w:val="18"/>
                <w:color w:val="auto"/>
                <w:w w:val="99"/>
              </w:rPr>
              <w:t>Georgia</w:t>
            </w:r>
          </w:p>
        </w:tc>
      </w:tr>
      <w:tr>
        <w:trPr>
          <w:trHeight w:val="810"/>
        </w:trPr>
        <w:tc>
          <w:tcPr>
            <w:tcW w:w="5300" w:type="dxa"/>
            <w:vAlign w:val="bottom"/>
          </w:tcPr>
          <w:p>
            <w:pPr>
              <w:spacing w:after="0"/>
              <w:rPr>
                <w:sz w:val="24"/>
                <w:szCs w:val="24"/>
                <w:color w:val="auto"/>
              </w:rPr>
            </w:pPr>
          </w:p>
        </w:tc>
        <w:tc>
          <w:tcPr>
            <w:tcW w:w="5120" w:type="dxa"/>
            <w:vAlign w:val="bottom"/>
          </w:tcPr>
          <w:p>
            <w:pPr>
              <w:jc w:val="right"/>
              <w:ind w:right="46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80"/>
          </w:cols>
          <w:pgMar w:left="280" w:top="401" w:right="239" w:bottom="1440" w:gutter="0" w:footer="0" w:header="0"/>
        </w:sectPr>
      </w:pPr>
    </w:p>
    <w:bookmarkStart w:id="189" w:name="page190"/>
    <w:bookmarkEnd w:id="189"/>
    <w:p>
      <w:pPr>
        <w:jc w:val="right"/>
        <w:ind w:right="2880"/>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002060"/>
        </w:rPr>
        <w:t>Deloitte &amp; Touche LLP</w:t>
      </w:r>
    </w:p>
    <w:p>
      <w:pPr>
        <w:spacing w:after="0" w:line="31" w:lineRule="exact"/>
        <w:rPr>
          <w:sz w:val="20"/>
          <w:szCs w:val="20"/>
          <w:color w:val="auto"/>
        </w:rPr>
      </w:pPr>
    </w:p>
    <w:p>
      <w:pPr>
        <w:ind w:left="6980"/>
        <w:spacing w:after="0"/>
        <w:rPr>
          <w:sz w:val="20"/>
          <w:szCs w:val="20"/>
          <w:color w:val="auto"/>
        </w:rPr>
      </w:pPr>
      <w:r>
        <w:rPr>
          <w:rFonts w:ascii="Arial" w:cs="Arial" w:eastAsia="Arial" w:hAnsi="Arial"/>
          <w:sz w:val="14"/>
          <w:szCs w:val="14"/>
          <w:color w:val="002060"/>
        </w:rPr>
        <w:t>Suite 800</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4"/>
          <w:szCs w:val="14"/>
          <w:color w:val="002060"/>
        </w:rPr>
        <w:t>7900 Tysons One Place</w:t>
      </w:r>
    </w:p>
    <w:p>
      <w:pPr>
        <w:spacing w:after="0" w:line="28" w:lineRule="exact"/>
        <w:rPr>
          <w:sz w:val="20"/>
          <w:szCs w:val="20"/>
          <w:color w:val="auto"/>
        </w:rPr>
      </w:pPr>
    </w:p>
    <w:p>
      <w:pPr>
        <w:ind w:left="6980"/>
        <w:spacing w:after="0"/>
        <w:rPr>
          <w:sz w:val="20"/>
          <w:szCs w:val="20"/>
          <w:color w:val="auto"/>
        </w:rPr>
      </w:pPr>
      <w:r>
        <w:rPr>
          <w:rFonts w:ascii="Arial" w:cs="Arial" w:eastAsia="Arial" w:hAnsi="Arial"/>
          <w:sz w:val="14"/>
          <w:szCs w:val="14"/>
          <w:color w:val="002060"/>
        </w:rPr>
        <w:t>McLean, VA 22102</w:t>
      </w:r>
    </w:p>
    <w:p>
      <w:pPr>
        <w:spacing w:after="0" w:line="28" w:lineRule="exact"/>
        <w:rPr>
          <w:sz w:val="20"/>
          <w:szCs w:val="20"/>
          <w:color w:val="auto"/>
        </w:rPr>
      </w:pPr>
    </w:p>
    <w:p>
      <w:pPr>
        <w:ind w:left="6980"/>
        <w:spacing w:after="0"/>
        <w:rPr>
          <w:sz w:val="20"/>
          <w:szCs w:val="20"/>
          <w:color w:val="auto"/>
        </w:rPr>
      </w:pPr>
      <w:r>
        <w:rPr>
          <w:rFonts w:ascii="Arial" w:cs="Arial" w:eastAsia="Arial" w:hAnsi="Arial"/>
          <w:sz w:val="14"/>
          <w:szCs w:val="14"/>
          <w:color w:val="002060"/>
        </w:rPr>
        <w:t>USA</w:t>
      </w:r>
    </w:p>
    <w:p>
      <w:pPr>
        <w:spacing w:after="0" w:line="163" w:lineRule="exact"/>
        <w:rPr>
          <w:sz w:val="20"/>
          <w:szCs w:val="20"/>
          <w:color w:val="auto"/>
        </w:rPr>
      </w:pPr>
    </w:p>
    <w:p>
      <w:pPr>
        <w:ind w:left="6980"/>
        <w:spacing w:after="0"/>
        <w:rPr>
          <w:sz w:val="20"/>
          <w:szCs w:val="20"/>
          <w:color w:val="auto"/>
        </w:rPr>
      </w:pPr>
      <w:r>
        <w:rPr>
          <w:rFonts w:ascii="Arial" w:cs="Arial" w:eastAsia="Arial" w:hAnsi="Arial"/>
          <w:sz w:val="14"/>
          <w:szCs w:val="14"/>
          <w:color w:val="002060"/>
        </w:rPr>
        <w:t>Tel: + 1 703 251 1000</w:t>
      </w:r>
    </w:p>
    <w:p>
      <w:pPr>
        <w:spacing w:after="0" w:line="15" w:lineRule="exact"/>
        <w:rPr>
          <w:sz w:val="20"/>
          <w:szCs w:val="20"/>
          <w:color w:val="auto"/>
        </w:rPr>
      </w:pPr>
    </w:p>
    <w:p>
      <w:pPr>
        <w:ind w:left="6980"/>
        <w:spacing w:after="0"/>
        <w:rPr>
          <w:sz w:val="20"/>
          <w:szCs w:val="20"/>
          <w:color w:val="auto"/>
        </w:rPr>
      </w:pPr>
      <w:r>
        <w:rPr>
          <w:rFonts w:ascii="Arial" w:cs="Arial" w:eastAsia="Arial" w:hAnsi="Arial"/>
          <w:sz w:val="14"/>
          <w:szCs w:val="14"/>
          <w:color w:val="002060"/>
        </w:rPr>
        <w:t>Fax: + 1 703 251 3400</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6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333-138095, 333-153360 and 333-169693 on Form S-8 and Post-Effective Amendment No. 1 to Registration Statement No. 333-138095 on Form S-8 of our reports dated March 25, 2015, relating to the consolidated financial statements of Leidos Holdings, Inc. and subsidiaries and the effectiveness of Leidos Holdings, Inc. and subsidiaries’ internal control over financial reporting, appearing in this Annual Report on Form 10-K of Leidos Holdings, Inc. for the year ended January 30, 2015.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/s/ Deloitte &amp; Touche LLP</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McLean, Virginia March 25, 2015</w:t>
      </w:r>
    </w:p>
    <w:p>
      <w:pPr>
        <w:sectPr>
          <w:pgSz w:w="11900" w:h="16838" w:orient="portrait"/>
          <w:cols w:equalWidth="0" w:num="1">
            <w:col w:w="11300"/>
          </w:cols>
          <w:pgMar w:left="320" w:top="342" w:right="279" w:bottom="1440" w:gutter="0" w:footer="0" w:header="0"/>
        </w:sectPr>
      </w:pPr>
    </w:p>
    <w:bookmarkStart w:id="190" w:name="page191"/>
    <w:bookmarkEnd w:id="190"/>
    <w:p>
      <w:pPr>
        <w:jc w:val="right"/>
        <w:spacing w:after="0"/>
        <w:rPr>
          <w:sz w:val="20"/>
          <w:szCs w:val="20"/>
          <w:color w:val="auto"/>
        </w:rPr>
      </w:pPr>
      <w:r>
        <w:rPr>
          <w:rFonts w:ascii="Arial" w:cs="Arial" w:eastAsia="Arial" w:hAnsi="Arial"/>
          <w:sz w:val="14"/>
          <w:szCs w:val="14"/>
          <w:color w:val="001F5F"/>
        </w:rPr>
        <w:t>Member of</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001F5F"/>
        </w:rPr>
        <w:t>Deloitte Touche Tohmatsu</w:t>
      </w:r>
    </w:p>
    <w:p>
      <w:pPr>
        <w:sectPr>
          <w:pgSz w:w="11900" w:h="16838" w:orient="portrait"/>
          <w:cols w:equalWidth="0" w:num="1">
            <w:col w:w="10220"/>
          </w:cols>
          <w:pgMar w:left="1440" w:top="1152"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LEIDOS HOLDINGS, INC. AND LEIDOS,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Roger A. Krone, certify that:</w:t>
      </w:r>
    </w:p>
    <w:p>
      <w:pPr>
        <w:spacing w:after="0" w:line="171"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 and Leidos, Inc.;</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300" w:hanging="652"/>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7" w:lineRule="exact"/>
        <w:rPr>
          <w:rFonts w:ascii="Arial" w:cs="Arial" w:eastAsia="Arial" w:hAnsi="Arial"/>
          <w:sz w:val="18"/>
          <w:szCs w:val="18"/>
          <w:color w:val="auto"/>
        </w:rPr>
      </w:pPr>
    </w:p>
    <w:p>
      <w:pPr>
        <w:ind w:left="660" w:right="300" w:hanging="652"/>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220" w:hanging="640"/>
        <w:spacing w:after="0" w:line="254"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each registrants’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ind w:left="1620" w:right="380" w:hanging="640"/>
        <w:spacing w:after="0" w:line="256"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160" w:hanging="640"/>
        <w:spacing w:after="0" w:line="256"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220" w:hanging="640"/>
        <w:spacing w:after="0" w:line="256"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280" w:hanging="640"/>
        <w:spacing w:after="0" w:line="256"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620" w:hanging="640"/>
        <w:spacing w:after="0" w:line="262" w:lineRule="auto"/>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36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Roger A. Krone</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38"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LEIDOS HOLDINGS, INC. AND LEIDOS, INC.</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Mark W. Sopp, certify that:</w:t>
      </w:r>
    </w:p>
    <w:p>
      <w:pPr>
        <w:spacing w:after="0" w:line="171"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Leidos Holdings, Inc. and Leidos, Inc.;</w:t>
      </w:r>
    </w:p>
    <w:p>
      <w:pPr>
        <w:spacing w:after="0" w:line="171"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30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47" w:lineRule="exact"/>
        <w:rPr>
          <w:rFonts w:ascii="Arial" w:cs="Arial" w:eastAsia="Arial" w:hAnsi="Arial"/>
          <w:sz w:val="18"/>
          <w:szCs w:val="18"/>
          <w:color w:val="auto"/>
        </w:rPr>
      </w:pPr>
    </w:p>
    <w:p>
      <w:pPr>
        <w:ind w:left="660" w:right="30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7" w:lineRule="exact"/>
        <w:rPr>
          <w:rFonts w:ascii="Arial" w:cs="Arial" w:eastAsia="Arial" w:hAnsi="Arial"/>
          <w:sz w:val="18"/>
          <w:szCs w:val="18"/>
          <w:color w:val="auto"/>
        </w:rPr>
      </w:pPr>
    </w:p>
    <w:p>
      <w:pPr>
        <w:ind w:left="1620" w:right="220" w:hanging="640"/>
        <w:spacing w:after="0" w:line="254"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registrants, including each registrants’ consolidated subsidiaries, is made known to us by others within those entities, particularly during the period in which this report is being prepared;</w:t>
      </w:r>
    </w:p>
    <w:p>
      <w:pPr>
        <w:spacing w:after="0" w:line="150" w:lineRule="exact"/>
        <w:rPr>
          <w:rFonts w:ascii="Arial" w:cs="Arial" w:eastAsia="Arial" w:hAnsi="Arial"/>
          <w:sz w:val="18"/>
          <w:szCs w:val="18"/>
          <w:color w:val="auto"/>
        </w:rPr>
      </w:pPr>
    </w:p>
    <w:p>
      <w:pPr>
        <w:ind w:left="1620" w:right="38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620" w:right="16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620" w:right="22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620" w:right="280" w:hanging="640"/>
        <w:spacing w:after="0" w:line="256"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620" w:right="620" w:hanging="640"/>
        <w:spacing w:after="0" w:line="262" w:lineRule="auto"/>
        <w:tabs>
          <w:tab w:leader="none" w:pos="1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360" w:lineRule="exact"/>
        <w:rPr>
          <w:sz w:val="20"/>
          <w:szCs w:val="20"/>
          <w:color w:val="auto"/>
        </w:rPr>
      </w:pPr>
    </w:p>
    <w:p>
      <w:pPr>
        <w:ind w:left="8240"/>
        <w:spacing w:after="0"/>
        <w:tabs>
          <w:tab w:leader="none" w:pos="8600" w:val="left"/>
        </w:tabs>
        <w:rPr>
          <w:sz w:val="20"/>
          <w:szCs w:val="20"/>
          <w:color w:val="auto"/>
        </w:rPr>
      </w:pPr>
      <w:r>
        <w:rPr>
          <w:rFonts w:ascii="Arial" w:cs="Arial" w:eastAsia="Arial" w:hAnsi="Arial"/>
          <w:sz w:val="18"/>
          <w:szCs w:val="18"/>
          <w:color w:val="auto"/>
        </w:rPr>
        <w:t>/s/</w:t>
        <w:tab/>
        <w:t>Mark W. Sopp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Mark W. Sopp</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738"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LEIDOS HOLDINGS, INC. AND LEIDOS,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Leidos Holdings, Inc. (“Leidos”) and Leidos, Inc. (together with Leidos, the “Company”) on Form 10-K for the period ended January 30, 2015, as filed with the Securities and Exchange Commission on the date hereof (the “Report”), I, Roger A. Krone, Chief Executive Officer of each of Leidos and Leidos, Inc. certify, pursuant to 18 U.S.C. §1350, as adopted pursuant to § 906 of the Sarbanes-Oxley Act of 2002, that to the best of my knowledge:</w:t>
      </w:r>
    </w:p>
    <w:p>
      <w:pPr>
        <w:spacing w:after="0" w:line="69" w:lineRule="exact"/>
        <w:rPr>
          <w:sz w:val="20"/>
          <w:szCs w:val="20"/>
          <w:color w:val="auto"/>
        </w:rPr>
      </w:pPr>
    </w:p>
    <w:p>
      <w:pPr>
        <w:ind w:left="1500" w:hanging="195"/>
        <w:spacing w:after="0"/>
        <w:tabs>
          <w:tab w:leader="none" w:pos="1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300" w:right="740" w:firstLine="5"/>
        <w:spacing w:after="0" w:line="262" w:lineRule="auto"/>
        <w:tabs>
          <w:tab w:leader="none" w:pos="1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360" w:lineRule="exact"/>
        <w:rPr>
          <w:sz w:val="20"/>
          <w:szCs w:val="20"/>
          <w:color w:val="auto"/>
        </w:rPr>
      </w:pPr>
    </w:p>
    <w:p>
      <w:pPr>
        <w:ind w:left="8180"/>
        <w:spacing w:after="0"/>
        <w:tabs>
          <w:tab w:leader="none" w:pos="8540" w:val="left"/>
        </w:tabs>
        <w:rPr>
          <w:sz w:val="20"/>
          <w:szCs w:val="20"/>
          <w:color w:val="auto"/>
        </w:rPr>
      </w:pPr>
      <w:r>
        <w:rPr>
          <w:rFonts w:ascii="Arial" w:cs="Arial" w:eastAsia="Arial" w:hAnsi="Arial"/>
          <w:sz w:val="18"/>
          <w:szCs w:val="18"/>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Roger A. Krone</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73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LEIDOS HOLDINGS, INC. AND LEIDOS, INC.</w:t>
      </w:r>
    </w:p>
    <w:p>
      <w:pPr>
        <w:spacing w:after="0" w:line="90"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connection with the Annual Report of Leidos Holdings, Inc. (“Leidos”) and Leidos, Inc. (together with Leidos, the “Company”) on Form 10-K for the period ended January 30, 2015, as filed with the Securities and Exchange Commission on the date hereof (the “Report”), I, Mark W. Sopp, Chief Financial Officer of each of Leidos and Leidos, Inc., certify, pursuant to 18 U.S.C. §1350, as adopted pursuant to § 906 of the Sarbanes-Oxley Act of 2002, that to the best of my knowledge:</w:t>
      </w:r>
    </w:p>
    <w:p>
      <w:pPr>
        <w:spacing w:after="0" w:line="69" w:lineRule="exact"/>
        <w:rPr>
          <w:sz w:val="20"/>
          <w:szCs w:val="20"/>
          <w:color w:val="auto"/>
        </w:rPr>
      </w:pPr>
    </w:p>
    <w:p>
      <w:pPr>
        <w:ind w:left="1500" w:hanging="195"/>
        <w:spacing w:after="0"/>
        <w:tabs>
          <w:tab w:leader="none" w:pos="1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300" w:right="740" w:firstLine="5"/>
        <w:spacing w:after="0" w:line="262" w:lineRule="auto"/>
        <w:tabs>
          <w:tab w:leader="none" w:pos="1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2015</w:t>
      </w:r>
    </w:p>
    <w:p>
      <w:pPr>
        <w:spacing w:after="0" w:line="360" w:lineRule="exact"/>
        <w:rPr>
          <w:sz w:val="20"/>
          <w:szCs w:val="20"/>
          <w:color w:val="auto"/>
        </w:rPr>
      </w:pPr>
    </w:p>
    <w:p>
      <w:pPr>
        <w:ind w:left="8240"/>
        <w:spacing w:after="0"/>
        <w:tabs>
          <w:tab w:leader="none" w:pos="8600" w:val="left"/>
        </w:tabs>
        <w:rPr>
          <w:sz w:val="20"/>
          <w:szCs w:val="20"/>
          <w:color w:val="auto"/>
        </w:rPr>
      </w:pPr>
      <w:r>
        <w:rPr>
          <w:rFonts w:ascii="Arial" w:cs="Arial" w:eastAsia="Arial" w:hAnsi="Arial"/>
          <w:sz w:val="18"/>
          <w:szCs w:val="18"/>
          <w:color w:val="auto"/>
        </w:rPr>
        <w:t>/s/</w:t>
        <w:tab/>
        <w:t>Mark W. Sopp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8301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Mark W. Sopp</w:t>
      </w:r>
    </w:p>
    <w:p>
      <w:pPr>
        <w:spacing w:after="0" w:line="5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o"/>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2"/>
    </w:lvl>
  </w:abstractNum>
  <w:abstractNum w:abstractNumId="30">
    <w:nsid w:val="235BA861"/>
    <w:multiLevelType w:val="hybridMultilevel"/>
    <w:lvl w:ilvl="0">
      <w:lvlJc w:val="left"/>
      <w:lvlText w:val="%1."/>
      <w:numFmt w:val="decimal"/>
      <w:start w:val="3"/>
    </w:lvl>
  </w:abstractNum>
  <w:abstractNum w:abstractNumId="31">
    <w:nsid w:val="47398C89"/>
    <w:multiLevelType w:val="hybridMultilevel"/>
    <w:lvl w:ilvl="0">
      <w:lvlJc w:val="left"/>
      <w:lvlText w:val="*"/>
      <w:numFmt w:val="bullet"/>
      <w:start w:val="1"/>
    </w:lvl>
    <w:lvl w:ilvl="1">
      <w:lvlJc w:val="left"/>
      <w:lvlText w:val="%2"/>
      <w:numFmt w:val="decimal"/>
      <w:start w:val="10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1"/>
    </w:lvl>
    <w:lvl w:ilvl="1">
      <w:lvlJc w:val="left"/>
      <w:lvlText w:val="(%2)"/>
      <w:numFmt w:val="lowerRoman"/>
      <w:start w:val="1"/>
    </w:lvl>
  </w:abstractNum>
  <w:abstractNum w:abstractNumId="40">
    <w:nsid w:val="77AE35EB"/>
    <w:multiLevelType w:val="hybridMultilevel"/>
    <w:lvl w:ilvl="0">
      <w:lvlJc w:val="left"/>
      <w:lvlText w:val="(%1)"/>
      <w:numFmt w:val="lowerLetter"/>
      <w:start w:val="1"/>
    </w:lvl>
  </w:abstractNum>
  <w:abstractNum w:abstractNumId="41">
    <w:nsid w:val="579BE4F1"/>
    <w:multiLevelType w:val="hybridMultilevel"/>
    <w:lvl w:ilvl="0">
      <w:lvlJc w:val="left"/>
      <w:lvlText w:val="(%1)"/>
      <w:numFmt w:val="lowerLetter"/>
      <w:start w:val="2"/>
    </w:lvl>
  </w:abstractNum>
  <w:abstractNum w:abstractNumId="42">
    <w:nsid w:val="310C50B3"/>
    <w:multiLevelType w:val="hybridMultilevel"/>
    <w:lvl w:ilvl="0">
      <w:lvlJc w:val="left"/>
      <w:lvlText w:val="(%1)"/>
      <w:numFmt w:val="lowerRoman"/>
      <w:start w:val="3"/>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lowerLetter"/>
      <w:start w:val="2"/>
    </w:lvl>
  </w:abstractNum>
  <w:abstractNum w:abstractNumId="47">
    <w:nsid w:val="4AD084E9"/>
    <w:multiLevelType w:val="hybridMultilevel"/>
    <w:lvl w:ilvl="0">
      <w:lvlJc w:val="left"/>
      <w:lvlText w:val="(%1)"/>
      <w:numFmt w:val="lowerLetter"/>
      <w:start w:val="1"/>
    </w:lvl>
    <w:lvl w:ilvl="1">
      <w:lvlJc w:val="left"/>
      <w:lvlText w:val="(%2)"/>
      <w:numFmt w:val="lowerRoman"/>
      <w:start w:val="1"/>
    </w:lvl>
  </w:abstractNum>
  <w:abstractNum w:abstractNumId="48">
    <w:nsid w:val="1F48EAA1"/>
    <w:multiLevelType w:val="hybridMultilevel"/>
    <w:lvl w:ilvl="0">
      <w:lvlJc w:val="left"/>
      <w:lvlText w:val="%1."/>
      <w:numFmt w:val="upperLetter"/>
      <w:start w:val="1"/>
    </w:lvl>
  </w:abstractNum>
  <w:abstractNum w:abstractNumId="49">
    <w:nsid w:val="138182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0">
    <w:nsid w:val="5DB70AE5"/>
    <w:multiLevelType w:val="hybridMultilevel"/>
    <w:lvl w:ilvl="0">
      <w:lvlJc w:val="left"/>
      <w:lvlText w:val="%1"/>
      <w:numFmt w:val="decimal"/>
      <w:start w:val="1"/>
    </w:lvl>
    <w:lvl w:ilvl="1">
      <w:lvlJc w:val="left"/>
      <w:lvlText w:val="(%2)"/>
      <w:numFmt w:val="lowerLetter"/>
      <w:start w:val="3"/>
    </w:lvl>
  </w:abstractNum>
  <w:abstractNum w:abstractNumId="51">
    <w:nsid w:val="100F8FCA"/>
    <w:multiLevelType w:val="hybridMultilevel"/>
    <w:lvl w:ilvl="0">
      <w:lvlJc w:val="left"/>
      <w:lvlText w:val="%1."/>
      <w:numFmt w:val="decimal"/>
      <w:start w:val="2"/>
    </w:lvl>
    <w:lvl w:ilvl="1">
      <w:lvlJc w:val="left"/>
      <w:lvlText w:val="(%2)"/>
      <w:numFmt w:val="lowerLetter"/>
      <w:start w:val="1"/>
    </w:lvl>
  </w:abstractNum>
  <w:abstractNum w:abstractNumId="52">
    <w:nsid w:val="6590700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decimal"/>
      <w:start w:val="1"/>
    </w:lvl>
  </w:abstractNum>
  <w:abstractNum w:abstractNumId="53">
    <w:nsid w:val="15014AC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decimal"/>
      <w:start w:val="2"/>
    </w:lvl>
  </w:abstractNum>
  <w:abstractNum w:abstractNumId="54">
    <w:nsid w:val="5F5E7FD0"/>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55">
    <w:nsid w:val="98A3148"/>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56">
    <w:nsid w:val="799D0247"/>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57">
    <w:nsid w:val="6B94764"/>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58">
    <w:nsid w:val="42C296BD"/>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59">
    <w:nsid w:val="168E121F"/>
    <w:multiLevelType w:val="hybridMultilevel"/>
    <w:lvl w:ilvl="0">
      <w:lvlJc w:val="left"/>
      <w:lvlText w:val="(%1)"/>
      <w:numFmt w:val="decimal"/>
      <w:start w:val="3"/>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1"/>
      <w:numFmt w:val="decimal"/>
      <w:start w:val="1"/>
    </w:lvl>
    <w:lvl w:ilvl="1">
      <w:lvlJc w:val="left"/>
      <w:lvlText w:val="(%2)"/>
      <w:numFmt w:val="lowerLetter"/>
      <w:start w:val="3"/>
    </w:lvl>
  </w:abstractNum>
  <w:abstractNum w:abstractNumId="62">
    <w:nsid w:val="5DC79EA8"/>
    <w:multiLevelType w:val="hybridMultilevel"/>
    <w:lvl w:ilvl="0">
      <w:lvlJc w:val="left"/>
      <w:lvlText w:val="%1."/>
      <w:numFmt w:val="decimal"/>
      <w:start w:val="10"/>
    </w:lvl>
    <w:lvl w:ilvl="1">
      <w:lvlJc w:val="left"/>
      <w:lvlText w:val="%2"/>
      <w:numFmt w:val="lowerLetter"/>
      <w:start w:val="1"/>
    </w:lvl>
  </w:abstractNum>
  <w:abstractNum w:abstractNumId="63">
    <w:nsid w:val="540A471C"/>
    <w:multiLevelType w:val="hybridMultilevel"/>
    <w:lvl w:ilvl="0">
      <w:lvlJc w:val="left"/>
      <w:lvlText w:val="%1."/>
      <w:numFmt w:val="decimal"/>
      <w:start w:val="12"/>
    </w:lvl>
    <w:lvl w:ilvl="1">
      <w:lvlJc w:val="left"/>
      <w:lvlText w:val="(%2)"/>
      <w:numFmt w:val="lowerLetter"/>
      <w:start w:val="1"/>
    </w:lvl>
  </w:abstractNum>
  <w:abstractNum w:abstractNumId="64">
    <w:nsid w:val="7BD3EE7B"/>
    <w:multiLevelType w:val="hybridMultilevel"/>
    <w:lvl w:ilvl="0">
      <w:lvlJc w:val="left"/>
      <w:lvlText w:val="%1"/>
      <w:numFmt w:val="decimal"/>
      <w:start w:val="1"/>
    </w:lvl>
    <w:lvl w:ilvl="1">
      <w:lvlJc w:val="left"/>
      <w:lvlText w:val="(%2)"/>
      <w:numFmt w:val="lowerLetter"/>
      <w:start w:val="4"/>
    </w:lvl>
  </w:abstractNum>
  <w:abstractNum w:abstractNumId="65">
    <w:nsid w:val="51D9C564"/>
    <w:multiLevelType w:val="hybridMultilevel"/>
    <w:lvl w:ilvl="0">
      <w:lvlJc w:val="left"/>
      <w:lvlText w:val="%1."/>
      <w:numFmt w:val="decimal"/>
      <w:start w:val="17"/>
    </w:lvl>
    <w:lvl w:ilvl="1">
      <w:lvlJc w:val="left"/>
      <w:lvlText w:val="%2"/>
      <w:numFmt w:val="lowerLetter"/>
      <w:start w:val="1"/>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2"/>
    </w:lvl>
    <w:lvl w:ilvl="1">
      <w:lvlJc w:val="left"/>
      <w:lvlText w:val="%2)"/>
      <w:numFmt w:val="lowerLetter"/>
      <w:start w:val="1"/>
    </w:lvl>
  </w:abstractNum>
  <w:abstractNum w:abstractNumId="68">
    <w:nsid w:val="11447B73"/>
    <w:multiLevelType w:val="hybridMultilevel"/>
    <w:lvl w:ilvl="0">
      <w:lvlJc w:val="left"/>
      <w:lvlText w:val="%1"/>
      <w:numFmt w:val="decimal"/>
      <w:start w:val="1"/>
    </w:lvl>
    <w:lvl w:ilvl="1">
      <w:lvlJc w:val="left"/>
      <w:lvlText w:val="%2)"/>
      <w:numFmt w:val="lowerLetter"/>
      <w:start w:val="2"/>
    </w:lvl>
  </w:abstractNum>
  <w:abstractNum w:abstractNumId="69">
    <w:nsid w:val="42963E5A"/>
    <w:multiLevelType w:val="hybridMultilevel"/>
    <w:lvl w:ilvl="0">
      <w:lvlJc w:val="left"/>
      <w:lvlText w:val="%1."/>
      <w:numFmt w:val="decimal"/>
      <w:start w:val="4"/>
    </w:lvl>
    <w:lvl w:ilvl="1">
      <w:lvlJc w:val="left"/>
      <w:lvlText w:val="%2)"/>
      <w:numFmt w:val="lowerLetter"/>
      <w:start w:val="1"/>
    </w:lvl>
  </w:abstractNum>
  <w:abstractNum w:abstractNumId="70">
    <w:nsid w:val="A0382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1">
    <w:nsid w:val="8F2B1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2">
    <w:nsid w:val="1A32234B"/>
    <w:multiLevelType w:val="hybridMultilevel"/>
    <w:lvl w:ilvl="0">
      <w:lvlJc w:val="left"/>
      <w:lvlText w:val="%1"/>
      <w:numFmt w:val="lowerLetter"/>
      <w:start w:val="1"/>
    </w:lvl>
    <w:lvl w:ilvl="1">
      <w:lvlJc w:val="left"/>
      <w:lvlText w:val="(%2)"/>
      <w:numFmt w:val="lowerRoman"/>
      <w:start w:val="2"/>
    </w:lvl>
  </w:abstractNum>
  <w:abstractNum w:abstractNumId="73">
    <w:nsid w:val="3B0FD379"/>
    <w:multiLevelType w:val="hybridMultilevel"/>
    <w:lvl w:ilvl="0">
      <w:lvlJc w:val="left"/>
      <w:lvlText w:val="%1)"/>
      <w:numFmt w:val="lowerLetter"/>
      <w:start w:val="2"/>
    </w:lvl>
    <w:lvl w:ilvl="1">
      <w:lvlJc w:val="left"/>
      <w:lvlText w:val="%2"/>
      <w:numFmt w:val="lowerRoman"/>
      <w:start w:val="1"/>
    </w:lvl>
  </w:abstractNum>
  <w:abstractNum w:abstractNumId="74">
    <w:nsid w:val="68EB2F63"/>
    <w:multiLevelType w:val="hybridMultilevel"/>
    <w:lvl w:ilvl="0">
      <w:lvlJc w:val="left"/>
      <w:lvlText w:val="%1)"/>
      <w:numFmt w:val="lowerLetter"/>
      <w:start w:val="3"/>
    </w:lvl>
    <w:lvl w:ilvl="1">
      <w:lvlJc w:val="left"/>
      <w:lvlText w:val="(%2)"/>
      <w:numFmt w:val="lowerRoman"/>
      <w:start w:val="1"/>
    </w:lvl>
  </w:abstractNum>
  <w:abstractNum w:abstractNumId="75">
    <w:nsid w:val="4962813B"/>
    <w:multiLevelType w:val="hybridMultilevel"/>
    <w:lvl w:ilvl="0">
      <w:lvlJc w:val="left"/>
      <w:lvlText w:val="%1."/>
      <w:numFmt w:val="decimal"/>
      <w:start w:val="6"/>
    </w:lvl>
    <w:lvl w:ilvl="1">
      <w:lvlJc w:val="left"/>
      <w:lvlText w:val="%2)"/>
      <w:numFmt w:val="lowerLetter"/>
      <w:start w:val="1"/>
    </w:lvl>
  </w:abstractNum>
  <w:abstractNum w:abstractNumId="76">
    <w:nsid w:val="60B6DF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6A5EE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8">
    <w:nsid w:val="14330624"/>
    <w:multiLevelType w:val="hybridMultilevel"/>
    <w:lvl w:ilvl="0">
      <w:lvlJc w:val="left"/>
      <w:lvlText w:val="%1."/>
      <w:numFmt w:val="decimal"/>
      <w:start w:val="9"/>
    </w:lvl>
    <w:lvl w:ilvl="1">
      <w:lvlJc w:val="left"/>
      <w:lvlText w:val="%2)"/>
      <w:numFmt w:val="lowerLetter"/>
      <w:start w:val="1"/>
    </w:lvl>
  </w:abstractNum>
  <w:abstractNum w:abstractNumId="79">
    <w:nsid w:val="7FFFCA1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80">
    <w:nsid w:val="1A27709E"/>
    <w:multiLevelType w:val="hybridMultilevel"/>
    <w:lvl w:ilvl="0">
      <w:lvlJc w:val="left"/>
      <w:lvlText w:val="%1."/>
      <w:numFmt w:val="decimal"/>
      <w:start w:val="14"/>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2020-01-23T00:19:48Z</dcterms:created>
  <dcterms:modified xsi:type="dcterms:W3CDTF">2020-01-23T00:19:48Z</dcterms:modified>
</cp:coreProperties>
</file>