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3174365</wp:posOffset>
            </wp:positionH>
            <wp:positionV relativeFrom="page">
              <wp:posOffset>740410</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UNITED STATES</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8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July 4, 2025</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67"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20"/>
          </w:cols>
          <w:pgMar w:left="320" w:top="1440" w:right="359" w:bottom="1440" w:gutter="0" w:footer="0" w:header="0"/>
        </w:sect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113" w:lineRule="exact"/>
        <w:rPr>
          <w:sz w:val="24"/>
          <w:szCs w:val="24"/>
          <w:color w:val="auto"/>
        </w:rPr>
      </w:pPr>
    </w:p>
    <w:p>
      <w:pPr>
        <w:sectPr>
          <w:pgSz w:w="11900" w:h="16838" w:orient="portrait"/>
          <w:cols w:equalWidth="0" w:num="2">
            <w:col w:w="6240" w:space="620"/>
            <w:col w:w="4360"/>
          </w:cols>
          <w:pgMar w:left="320" w:top="144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Commission file number 001-33072</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Leidos Holdings, Inc.</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20"/>
          </w:cols>
          <w:pgMar w:left="320" w:top="1440" w:right="359" w:bottom="1440" w:gutter="0" w:footer="0" w:header="0"/>
          <w:type w:val="continuous"/>
        </w:sectPr>
      </w:pPr>
    </w:p>
    <w:p>
      <w:pPr>
        <w:spacing w:after="0" w:line="302"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20-3562868</w:t>
      </w:r>
    </w:p>
    <w:p>
      <w:pPr>
        <w:spacing w:after="0" w:line="91" w:lineRule="exact"/>
        <w:rPr>
          <w:sz w:val="24"/>
          <w:szCs w:val="24"/>
          <w:color w:val="auto"/>
        </w:rPr>
      </w:pPr>
    </w:p>
    <w:p>
      <w:pPr>
        <w:sectPr>
          <w:pgSz w:w="11900" w:h="16838" w:orient="portrait"/>
          <w:cols w:equalWidth="0" w:num="2">
            <w:col w:w="7620" w:space="720"/>
            <w:col w:w="2880"/>
          </w:cols>
          <w:pgMar w:left="320" w:top="1440" w:right="359" w:bottom="1440" w:gutter="0" w:footer="0" w:header="0"/>
          <w:type w:val="continuous"/>
        </w:sect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85" w:lineRule="exact"/>
        <w:rPr>
          <w:sz w:val="24"/>
          <w:szCs w:val="24"/>
          <w:color w:val="auto"/>
        </w:rPr>
      </w:pPr>
    </w:p>
    <w:p>
      <w:pPr>
        <w:sectPr>
          <w:pgSz w:w="11900" w:h="16838" w:orient="portrait"/>
          <w:cols w:equalWidth="0" w:num="2">
            <w:col w:w="6940" w:space="720"/>
            <w:col w:w="3560"/>
          </w:cols>
          <w:pgMar w:left="320" w:top="1440" w:right="359" w:bottom="1440" w:gutter="0" w:footer="0" w:header="0"/>
          <w:type w:val="continuous"/>
        </w:sectPr>
      </w:pPr>
    </w:p>
    <w:p>
      <w:pPr>
        <w:ind w:left="880"/>
        <w:spacing w:after="0"/>
        <w:rPr>
          <w:sz w:val="20"/>
          <w:szCs w:val="20"/>
          <w:color w:val="auto"/>
        </w:rPr>
      </w:pPr>
      <w:r>
        <w:rPr>
          <w:rFonts w:ascii="Arial" w:cs="Arial" w:eastAsia="Arial" w:hAnsi="Arial"/>
          <w:sz w:val="16"/>
          <w:szCs w:val="16"/>
          <w:b w:val="1"/>
          <w:bCs w:val="1"/>
          <w:color w:val="auto"/>
        </w:rPr>
        <w:t>1750 Presidents Street,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b w:val="1"/>
          <w:bCs w:val="1"/>
          <w:color w:val="auto"/>
        </w:rPr>
        <w:t>Reston,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20190</w:t>
      </w:r>
    </w:p>
    <w:p>
      <w:pPr>
        <w:spacing w:after="0" w:line="102" w:lineRule="exact"/>
        <w:rPr>
          <w:sz w:val="24"/>
          <w:szCs w:val="24"/>
          <w:color w:val="auto"/>
        </w:rPr>
      </w:pPr>
    </w:p>
    <w:p>
      <w:pPr>
        <w:sectPr>
          <w:pgSz w:w="11900" w:h="16838" w:orient="portrait"/>
          <w:cols w:equalWidth="0" w:num="4">
            <w:col w:w="2660" w:space="220"/>
            <w:col w:w="580" w:space="220"/>
            <w:col w:w="4140" w:space="720"/>
            <w:col w:w="2680"/>
          </w:cols>
          <w:pgMar w:left="320" w:top="1440" w:right="359" w:bottom="1440" w:gutter="0" w:footer="0" w:header="0"/>
          <w:type w:val="continuous"/>
        </w:sectPr>
      </w:pPr>
    </w:p>
    <w:p>
      <w:pPr>
        <w:ind w:left="12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700" w:space="720"/>
            <w:col w:w="2800"/>
          </w:cols>
          <w:pgMar w:left="320" w:top="1440" w:right="359" w:bottom="1440" w:gutter="0" w:footer="0" w:header="0"/>
          <w:type w:val="continuous"/>
        </w:sectPr>
      </w:pP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(571) 526-6000</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20"/>
          </w:cols>
          <w:pgMar w:left="320" w:top="1440" w:right="359" w:bottom="1440" w:gutter="0" w:footer="0" w:header="0"/>
          <w:type w:val="continuous"/>
        </w:sectPr>
      </w:pPr>
    </w:p>
    <w:p>
      <w:pPr>
        <w:spacing w:after="0" w:line="64"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77" w:lineRule="exact"/>
        <w:rPr>
          <w:sz w:val="24"/>
          <w:szCs w:val="24"/>
          <w:color w:val="auto"/>
        </w:rPr>
      </w:pPr>
    </w:p>
    <w:p>
      <w:pPr>
        <w:sectPr>
          <w:pgSz w:w="11900" w:h="16838" w:orient="portrait"/>
          <w:cols w:equalWidth="0" w:num="3">
            <w:col w:w="4320" w:space="720"/>
            <w:col w:w="1760" w:space="720"/>
            <w:col w:w="3700"/>
          </w:cols>
          <w:pgMar w:left="320" w:top="1440" w:right="35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LDOS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200" w:lineRule="exact"/>
        <w:rPr>
          <w:sz w:val="24"/>
          <w:szCs w:val="24"/>
          <w:color w:val="auto"/>
        </w:rPr>
      </w:pPr>
    </w:p>
    <w:p>
      <w:pPr>
        <w:sectPr>
          <w:pgSz w:w="11900" w:h="16838" w:orient="portrait"/>
          <w:cols w:equalWidth="0" w:num="3">
            <w:col w:w="4680" w:space="720"/>
            <w:col w:w="1820" w:space="720"/>
            <w:col w:w="3280"/>
          </w:cols>
          <w:pgMar w:left="320" w:top="1440" w:right="359" w:bottom="1440" w:gutter="0" w:footer="0" w:header="0"/>
          <w:type w:val="continuous"/>
        </w:sectPr>
      </w:pPr>
    </w:p>
    <w:p>
      <w:pPr>
        <w:spacing w:after="0" w:line="62" w:lineRule="exact"/>
        <w:rPr>
          <w:sz w:val="24"/>
          <w:szCs w:val="24"/>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640" w:type="dxa"/>
        <w:tblCellMar>
          <w:top w:w="0" w:type="dxa"/>
          <w:left w:w="0" w:type="dxa"/>
          <w:bottom w:w="0" w:type="dxa"/>
          <w:right w:w="0" w:type="dxa"/>
        </w:tblCellMar>
      </w:tblPr>
      <w:tr>
        <w:trPr>
          <w:trHeight w:val="270"/>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62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5" w:lineRule="exact"/>
        <w:rPr>
          <w:sz w:val="24"/>
          <w:szCs w:val="24"/>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8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right="340"/>
        <w:spacing w:after="0" w:line="304" w:lineRule="auto"/>
        <w:rPr>
          <w:sz w:val="20"/>
          <w:szCs w:val="20"/>
          <w:color w:val="auto"/>
        </w:rPr>
      </w:pPr>
      <w:r>
        <w:rPr>
          <w:rFonts w:ascii="Arial" w:cs="Arial" w:eastAsia="Arial" w:hAnsi="Arial"/>
          <w:sz w:val="16"/>
          <w:szCs w:val="16"/>
          <w:color w:val="auto"/>
        </w:rPr>
        <w:t>The number of shares issued and outstanding of each of the issuer’s classes of common stock as of July 29, 2025, was 128,297,332 shares of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B15BAC"/>
        </w:rPr>
        <w:t>LEIDOS HOLDINGS, INC. FORM 10-Q</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89"/>
        </w:trPr>
        <w:tc>
          <w:tcPr>
            <w:tcW w:w="800" w:type="dxa"/>
            <w:vAlign w:val="bottom"/>
            <w:tcBorders>
              <w:bottom w:val="single" w:sz="8" w:color="901588"/>
            </w:tcBorders>
          </w:tcPr>
          <w:p>
            <w:pPr>
              <w:spacing w:after="0"/>
              <w:rPr>
                <w:sz w:val="7"/>
                <w:szCs w:val="7"/>
                <w:color w:val="auto"/>
              </w:rPr>
            </w:pPr>
          </w:p>
        </w:tc>
        <w:tc>
          <w:tcPr>
            <w:tcW w:w="8320" w:type="dxa"/>
            <w:vAlign w:val="bottom"/>
            <w:tcBorders>
              <w:bottom w:val="single" w:sz="8" w:color="901588"/>
            </w:tcBorders>
          </w:tcPr>
          <w:p>
            <w:pPr>
              <w:spacing w:after="0"/>
              <w:rPr>
                <w:sz w:val="7"/>
                <w:szCs w:val="7"/>
                <w:color w:val="auto"/>
              </w:rPr>
            </w:pPr>
          </w:p>
        </w:tc>
        <w:tc>
          <w:tcPr>
            <w:tcW w:w="2120" w:type="dxa"/>
            <w:vAlign w:val="bottom"/>
            <w:tcBorders>
              <w:bottom w:val="single" w:sz="8" w:color="901588"/>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20"/>
              <w:spacing w:after="0"/>
              <w:rPr>
                <w:sz w:val="20"/>
                <w:szCs w:val="20"/>
                <w:color w:val="auto"/>
              </w:rPr>
            </w:pPr>
            <w:r>
              <w:rPr>
                <w:rFonts w:ascii="Arial" w:cs="Arial" w:eastAsia="Arial" w:hAnsi="Arial"/>
                <w:sz w:val="16"/>
                <w:szCs w:val="16"/>
                <w:color w:val="auto"/>
              </w:rPr>
              <w:t>Item 1.</w:t>
            </w:r>
          </w:p>
        </w:tc>
        <w:tc>
          <w:tcPr>
            <w:tcW w:w="8320" w:type="dxa"/>
            <w:vAlign w:val="bottom"/>
          </w:tcPr>
          <w:p>
            <w:pPr>
              <w:ind w:left="180"/>
              <w:spacing w:after="0"/>
              <w:rPr>
                <w:sz w:val="20"/>
                <w:szCs w:val="20"/>
                <w:color w:val="auto"/>
              </w:rPr>
            </w:pPr>
            <w:r>
              <w:rPr>
                <w:rFonts w:ascii="Arial" w:cs="Arial" w:eastAsia="Arial" w:hAnsi="Arial"/>
                <w:sz w:val="16"/>
                <w:szCs w:val="16"/>
                <w:color w:val="auto"/>
              </w:rPr>
              <w:t>Financial Statements (Unaudited)</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Balance Sheets</w:t>
            </w:r>
          </w:p>
        </w:tc>
        <w:tc>
          <w:tcPr>
            <w:tcW w:w="2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Operations</w:t>
            </w:r>
          </w:p>
        </w:tc>
        <w:tc>
          <w:tcPr>
            <w:tcW w:w="2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Comprehensive Income</w:t>
            </w:r>
          </w:p>
        </w:tc>
        <w:tc>
          <w:tcPr>
            <w:tcW w:w="2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Equity</w:t>
            </w:r>
          </w:p>
        </w:tc>
        <w:tc>
          <w:tcPr>
            <w:tcW w:w="2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Cash Flows</w:t>
            </w:r>
          </w:p>
        </w:tc>
        <w:tc>
          <w:tcPr>
            <w:tcW w:w="2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Notes to Condensed Consolidated Financial Statements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1–Basis of Presentation and Summary of Significant Accounting Policies</w:t>
            </w:r>
          </w:p>
        </w:tc>
        <w:tc>
          <w:tcPr>
            <w:tcW w:w="21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2–Revenues</w:t>
            </w:r>
          </w:p>
        </w:tc>
        <w:tc>
          <w:tcPr>
            <w:tcW w:w="21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3–Acquisitions, Goodwill and Intangible Assets</w:t>
            </w:r>
          </w:p>
        </w:tc>
        <w:tc>
          <w:tcPr>
            <w:tcW w:w="21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4–Fair Value Measurements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5–Derivative Instruments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6–Debt</w:t>
            </w:r>
          </w:p>
        </w:tc>
        <w:tc>
          <w:tcPr>
            <w:tcW w:w="21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7–Accumulated Other Comprehensive Income (Loss)</w:t>
            </w:r>
          </w:p>
        </w:tc>
        <w:tc>
          <w:tcPr>
            <w:tcW w:w="2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8–Earnings Per Share</w:t>
            </w:r>
          </w:p>
        </w:tc>
        <w:tc>
          <w:tcPr>
            <w:tcW w:w="2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9–Income Taxes</w:t>
            </w:r>
          </w:p>
        </w:tc>
        <w:tc>
          <w:tcPr>
            <w:tcW w:w="21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10–Business Segments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11–Commitments and Contingencies</w:t>
            </w:r>
          </w:p>
        </w:tc>
        <w:tc>
          <w:tcPr>
            <w:tcW w:w="21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2.</w:t>
            </w:r>
          </w:p>
        </w:tc>
        <w:tc>
          <w:tcPr>
            <w:tcW w:w="8320" w:type="dxa"/>
            <w:vAlign w:val="bottom"/>
          </w:tcPr>
          <w:p>
            <w:pPr>
              <w:ind w:left="1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Overview</w:t>
            </w:r>
          </w:p>
        </w:tc>
        <w:tc>
          <w:tcPr>
            <w:tcW w:w="2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Business Environment and Trends</w:t>
            </w:r>
          </w:p>
        </w:tc>
        <w:tc>
          <w:tcPr>
            <w:tcW w:w="2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Results of Operations</w:t>
            </w:r>
          </w:p>
        </w:tc>
        <w:tc>
          <w:tcPr>
            <w:tcW w:w="21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Bookings and Backlog</w:t>
            </w:r>
          </w:p>
        </w:tc>
        <w:tc>
          <w:tcPr>
            <w:tcW w:w="2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Liquidity and Capital Resources</w:t>
            </w:r>
          </w:p>
        </w:tc>
        <w:tc>
          <w:tcPr>
            <w:tcW w:w="2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Off-Balance Sheet Arrangements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Guarantor and Issuer of Guaranteed Securities</w:t>
            </w:r>
          </w:p>
        </w:tc>
        <w:tc>
          <w:tcPr>
            <w:tcW w:w="2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Contractual Obligations and Commitments</w:t>
            </w:r>
          </w:p>
        </w:tc>
        <w:tc>
          <w:tcPr>
            <w:tcW w:w="21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Critical Accounting Policies and Estimates</w:t>
            </w:r>
          </w:p>
        </w:tc>
        <w:tc>
          <w:tcPr>
            <w:tcW w:w="21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Recently Adopted and Issued Accounting Standards</w:t>
            </w:r>
          </w:p>
        </w:tc>
        <w:tc>
          <w:tcPr>
            <w:tcW w:w="21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7"/>
        </w:trPr>
        <w:tc>
          <w:tcPr>
            <w:tcW w:w="800" w:type="dxa"/>
            <w:vAlign w:val="bottom"/>
          </w:tcPr>
          <w:p>
            <w:pPr>
              <w:ind w:left="20"/>
              <w:spacing w:after="0"/>
              <w:rPr>
                <w:sz w:val="20"/>
                <w:szCs w:val="20"/>
                <w:color w:val="auto"/>
              </w:rPr>
            </w:pPr>
            <w:r>
              <w:rPr>
                <w:rFonts w:ascii="Arial" w:cs="Arial" w:eastAsia="Arial" w:hAnsi="Arial"/>
                <w:sz w:val="16"/>
                <w:szCs w:val="16"/>
                <w:color w:val="auto"/>
              </w:rPr>
              <w:t>Item 3.</w:t>
            </w:r>
          </w:p>
        </w:tc>
        <w:tc>
          <w:tcPr>
            <w:tcW w:w="8320" w:type="dxa"/>
            <w:vAlign w:val="bottom"/>
          </w:tcPr>
          <w:p>
            <w:pPr>
              <w:ind w:left="180"/>
              <w:spacing w:after="0"/>
              <w:rPr>
                <w:sz w:val="20"/>
                <w:szCs w:val="20"/>
                <w:color w:val="auto"/>
              </w:rPr>
            </w:pPr>
            <w:r>
              <w:rPr>
                <w:rFonts w:ascii="Arial" w:cs="Arial" w:eastAsia="Arial" w:hAnsi="Arial"/>
                <w:sz w:val="16"/>
                <w:szCs w:val="16"/>
                <w:color w:val="auto"/>
              </w:rPr>
              <w:t>Quantitative and Qualitative Disclosures About Market Risk</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4.</w:t>
            </w:r>
          </w:p>
        </w:tc>
        <w:tc>
          <w:tcPr>
            <w:tcW w:w="8320" w:type="dxa"/>
            <w:vAlign w:val="bottom"/>
          </w:tcPr>
          <w:p>
            <w:pPr>
              <w:ind w:left="180"/>
              <w:spacing w:after="0"/>
              <w:rPr>
                <w:sz w:val="20"/>
                <w:szCs w:val="20"/>
                <w:color w:val="auto"/>
              </w:rPr>
            </w:pPr>
            <w:r>
              <w:rPr>
                <w:rFonts w:ascii="Arial" w:cs="Arial" w:eastAsia="Arial" w:hAnsi="Arial"/>
                <w:sz w:val="16"/>
                <w:szCs w:val="16"/>
                <w:color w:val="auto"/>
              </w:rPr>
              <w:t>Controls and Procedures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0"/>
        </w:trPr>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0" w:type="dxa"/>
            <w:vAlign w:val="bottom"/>
            <w:tcBorders>
              <w:bottom w:val="single" w:sz="8" w:color="901588"/>
            </w:tcBorders>
          </w:tcPr>
          <w:p>
            <w:pPr>
              <w:spacing w:after="0"/>
              <w:rPr>
                <w:sz w:val="7"/>
                <w:szCs w:val="7"/>
                <w:color w:val="auto"/>
              </w:rPr>
            </w:pPr>
          </w:p>
        </w:tc>
        <w:tc>
          <w:tcPr>
            <w:tcW w:w="8320" w:type="dxa"/>
            <w:vAlign w:val="bottom"/>
            <w:tcBorders>
              <w:bottom w:val="single" w:sz="8" w:color="901588"/>
            </w:tcBorders>
          </w:tcPr>
          <w:p>
            <w:pPr>
              <w:spacing w:after="0"/>
              <w:rPr>
                <w:sz w:val="7"/>
                <w:szCs w:val="7"/>
                <w:color w:val="auto"/>
              </w:rPr>
            </w:pPr>
          </w:p>
        </w:tc>
        <w:tc>
          <w:tcPr>
            <w:tcW w:w="2120" w:type="dxa"/>
            <w:vAlign w:val="bottom"/>
            <w:tcBorders>
              <w:bottom w:val="single" w:sz="8" w:color="901588"/>
            </w:tcBorders>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20"/>
              <w:spacing w:after="0"/>
              <w:rPr>
                <w:sz w:val="20"/>
                <w:szCs w:val="20"/>
                <w:color w:val="auto"/>
              </w:rPr>
            </w:pPr>
            <w:r>
              <w:rPr>
                <w:rFonts w:ascii="Arial" w:cs="Arial" w:eastAsia="Arial" w:hAnsi="Arial"/>
                <w:sz w:val="16"/>
                <w:szCs w:val="16"/>
                <w:color w:val="auto"/>
              </w:rPr>
              <w:t>Item 1.</w:t>
            </w:r>
          </w:p>
        </w:tc>
        <w:tc>
          <w:tcPr>
            <w:tcW w:w="8320" w:type="dxa"/>
            <w:vAlign w:val="bottom"/>
          </w:tcPr>
          <w:p>
            <w:pPr>
              <w:ind w:left="180"/>
              <w:spacing w:after="0"/>
              <w:rPr>
                <w:sz w:val="20"/>
                <w:szCs w:val="20"/>
                <w:color w:val="auto"/>
              </w:rPr>
            </w:pPr>
            <w:r>
              <w:rPr>
                <w:rFonts w:ascii="Arial" w:cs="Arial" w:eastAsia="Arial" w:hAnsi="Arial"/>
                <w:sz w:val="16"/>
                <w:szCs w:val="16"/>
                <w:color w:val="auto"/>
              </w:rPr>
              <w:t>Legal Proceedings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800" w:type="dxa"/>
            <w:vAlign w:val="bottom"/>
          </w:tcPr>
          <w:p>
            <w:pPr>
              <w:ind w:left="20"/>
              <w:spacing w:after="0"/>
              <w:rPr>
                <w:sz w:val="20"/>
                <w:szCs w:val="20"/>
                <w:color w:val="auto"/>
              </w:rPr>
            </w:pPr>
            <w:r>
              <w:rPr>
                <w:rFonts w:ascii="Arial" w:cs="Arial" w:eastAsia="Arial" w:hAnsi="Arial"/>
                <w:sz w:val="16"/>
                <w:szCs w:val="16"/>
                <w:color w:val="auto"/>
              </w:rPr>
              <w:t>Item 1A.</w:t>
            </w:r>
          </w:p>
        </w:tc>
        <w:tc>
          <w:tcPr>
            <w:tcW w:w="8320" w:type="dxa"/>
            <w:vAlign w:val="bottom"/>
          </w:tcPr>
          <w:p>
            <w:pPr>
              <w:ind w:left="180"/>
              <w:spacing w:after="0"/>
              <w:rPr>
                <w:sz w:val="20"/>
                <w:szCs w:val="20"/>
                <w:color w:val="auto"/>
              </w:rPr>
            </w:pPr>
            <w:r>
              <w:rPr>
                <w:rFonts w:ascii="Arial" w:cs="Arial" w:eastAsia="Arial" w:hAnsi="Arial"/>
                <w:sz w:val="16"/>
                <w:szCs w:val="16"/>
                <w:color w:val="auto"/>
              </w:rPr>
              <w:t>Risk Factors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2.</w:t>
            </w:r>
          </w:p>
        </w:tc>
        <w:tc>
          <w:tcPr>
            <w:tcW w:w="8320" w:type="dxa"/>
            <w:vAlign w:val="bottom"/>
          </w:tcPr>
          <w:p>
            <w:pPr>
              <w:ind w:left="180"/>
              <w:spacing w:after="0"/>
              <w:rPr>
                <w:sz w:val="20"/>
                <w:szCs w:val="20"/>
                <w:color w:val="auto"/>
              </w:rPr>
            </w:pPr>
            <w:r>
              <w:rPr>
                <w:rFonts w:ascii="Arial" w:cs="Arial" w:eastAsia="Arial" w:hAnsi="Arial"/>
                <w:sz w:val="16"/>
                <w:szCs w:val="16"/>
                <w:color w:val="auto"/>
              </w:rPr>
              <w:t>Unregistered Sales of Equity Securities and Use of Proceeds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ind w:left="20"/>
              <w:spacing w:after="0"/>
              <w:rPr>
                <w:sz w:val="20"/>
                <w:szCs w:val="20"/>
                <w:color w:val="auto"/>
              </w:rPr>
            </w:pPr>
            <w:r>
              <w:rPr>
                <w:rFonts w:ascii="Arial" w:cs="Arial" w:eastAsia="Arial" w:hAnsi="Arial"/>
                <w:sz w:val="16"/>
                <w:szCs w:val="16"/>
                <w:color w:val="auto"/>
              </w:rPr>
              <w:t>Item 3.</w:t>
            </w:r>
          </w:p>
        </w:tc>
        <w:tc>
          <w:tcPr>
            <w:tcW w:w="6240" w:type="dxa"/>
            <w:vAlign w:val="bottom"/>
          </w:tcPr>
          <w:p>
            <w:pPr>
              <w:ind w:left="60"/>
              <w:spacing w:after="0"/>
              <w:rPr>
                <w:sz w:val="20"/>
                <w:szCs w:val="20"/>
                <w:color w:val="auto"/>
              </w:rPr>
            </w:pPr>
            <w:r>
              <w:rPr>
                <w:rFonts w:ascii="Arial" w:cs="Arial" w:eastAsia="Arial" w:hAnsi="Arial"/>
                <w:sz w:val="16"/>
                <w:szCs w:val="16"/>
                <w:color w:val="auto"/>
              </w:rPr>
              <w:t>Defaults Upon Senior Securities</w:t>
            </w:r>
          </w:p>
        </w:tc>
        <w:tc>
          <w:tcPr>
            <w:tcW w:w="408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920" w:type="dxa"/>
            <w:vAlign w:val="bottom"/>
          </w:tcPr>
          <w:p>
            <w:pPr>
              <w:ind w:left="20"/>
              <w:spacing w:after="0"/>
              <w:rPr>
                <w:sz w:val="20"/>
                <w:szCs w:val="20"/>
                <w:color w:val="auto"/>
              </w:rPr>
            </w:pPr>
            <w:r>
              <w:rPr>
                <w:rFonts w:ascii="Arial" w:cs="Arial" w:eastAsia="Arial" w:hAnsi="Arial"/>
                <w:sz w:val="16"/>
                <w:szCs w:val="16"/>
                <w:color w:val="auto"/>
              </w:rPr>
              <w:t>Item 4.</w:t>
            </w:r>
          </w:p>
        </w:tc>
        <w:tc>
          <w:tcPr>
            <w:tcW w:w="6240" w:type="dxa"/>
            <w:vAlign w:val="bottom"/>
          </w:tcPr>
          <w:p>
            <w:pPr>
              <w:ind w:left="60"/>
              <w:spacing w:after="0"/>
              <w:rPr>
                <w:sz w:val="20"/>
                <w:szCs w:val="20"/>
                <w:color w:val="auto"/>
              </w:rPr>
            </w:pPr>
            <w:r>
              <w:rPr>
                <w:rFonts w:ascii="Arial" w:cs="Arial" w:eastAsia="Arial" w:hAnsi="Arial"/>
                <w:sz w:val="16"/>
                <w:szCs w:val="16"/>
                <w:color w:val="auto"/>
              </w:rPr>
              <w:t>Mine Safety Disclosures</w:t>
            </w:r>
          </w:p>
        </w:tc>
        <w:tc>
          <w:tcPr>
            <w:tcW w:w="408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920" w:type="dxa"/>
            <w:vAlign w:val="bottom"/>
          </w:tcPr>
          <w:p>
            <w:pPr>
              <w:ind w:left="20"/>
              <w:spacing w:after="0"/>
              <w:rPr>
                <w:sz w:val="20"/>
                <w:szCs w:val="20"/>
                <w:color w:val="auto"/>
              </w:rPr>
            </w:pPr>
            <w:r>
              <w:rPr>
                <w:rFonts w:ascii="Arial" w:cs="Arial" w:eastAsia="Arial" w:hAnsi="Arial"/>
                <w:sz w:val="16"/>
                <w:szCs w:val="16"/>
                <w:color w:val="auto"/>
              </w:rPr>
              <w:t>Item 5.</w:t>
            </w:r>
          </w:p>
        </w:tc>
        <w:tc>
          <w:tcPr>
            <w:tcW w:w="6240" w:type="dxa"/>
            <w:vAlign w:val="bottom"/>
          </w:tcPr>
          <w:p>
            <w:pPr>
              <w:ind w:left="60"/>
              <w:spacing w:after="0"/>
              <w:rPr>
                <w:sz w:val="20"/>
                <w:szCs w:val="20"/>
                <w:color w:val="auto"/>
              </w:rPr>
            </w:pPr>
            <w:r>
              <w:rPr>
                <w:rFonts w:ascii="Arial" w:cs="Arial" w:eastAsia="Arial" w:hAnsi="Arial"/>
                <w:sz w:val="16"/>
                <w:szCs w:val="16"/>
                <w:color w:val="auto"/>
              </w:rPr>
              <w:t>Other Information</w:t>
            </w:r>
          </w:p>
        </w:tc>
        <w:tc>
          <w:tcPr>
            <w:tcW w:w="408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920" w:type="dxa"/>
            <w:vAlign w:val="bottom"/>
          </w:tcPr>
          <w:p>
            <w:pPr>
              <w:ind w:left="20"/>
              <w:spacing w:after="0"/>
              <w:rPr>
                <w:sz w:val="20"/>
                <w:szCs w:val="20"/>
                <w:color w:val="auto"/>
              </w:rPr>
            </w:pPr>
            <w:r>
              <w:rPr>
                <w:rFonts w:ascii="Arial" w:cs="Arial" w:eastAsia="Arial" w:hAnsi="Arial"/>
                <w:sz w:val="16"/>
                <w:szCs w:val="16"/>
                <w:color w:val="auto"/>
              </w:rPr>
              <w:t>Item 6.</w:t>
            </w:r>
          </w:p>
        </w:tc>
        <w:tc>
          <w:tcPr>
            <w:tcW w:w="6240" w:type="dxa"/>
            <w:vAlign w:val="bottom"/>
          </w:tcPr>
          <w:p>
            <w:pPr>
              <w:ind w:left="60"/>
              <w:spacing w:after="0"/>
              <w:rPr>
                <w:sz w:val="20"/>
                <w:szCs w:val="20"/>
                <w:color w:val="auto"/>
              </w:rPr>
            </w:pPr>
            <w:r>
              <w:rPr>
                <w:rFonts w:ascii="Arial" w:cs="Arial" w:eastAsia="Arial" w:hAnsi="Arial"/>
                <w:sz w:val="16"/>
                <w:szCs w:val="16"/>
                <w:color w:val="auto"/>
              </w:rPr>
              <w:t>Exhibits</w:t>
            </w:r>
          </w:p>
        </w:tc>
        <w:tc>
          <w:tcPr>
            <w:tcW w:w="40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4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8"/>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6240" w:type="dxa"/>
            <w:vAlign w:val="bottom"/>
          </w:tcPr>
          <w:p>
            <w:pPr>
              <w:spacing w:after="0"/>
              <w:rPr>
                <w:sz w:val="24"/>
                <w:szCs w:val="24"/>
                <w:color w:val="auto"/>
              </w:rPr>
            </w:pPr>
          </w:p>
        </w:tc>
        <w:tc>
          <w:tcPr>
            <w:tcW w:w="40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446"/>
        </w:trPr>
        <w:tc>
          <w:tcPr>
            <w:tcW w:w="92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auto"/>
        </w:rPr>
        <w:t>Part I—Financial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540" w:type="dxa"/>
            <w:vAlign w:val="bottom"/>
            <w:shd w:val="clear" w:color="auto" w:fill="F4E8F3"/>
          </w:tcPr>
          <w:p>
            <w:pPr>
              <w:spacing w:after="0"/>
              <w:rPr>
                <w:sz w:val="17"/>
                <w:szCs w:val="17"/>
                <w:color w:val="auto"/>
              </w:rPr>
            </w:pP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January 3,</w:t>
            </w:r>
          </w:p>
        </w:tc>
      </w:tr>
      <w:tr>
        <w:trPr>
          <w:trHeight w:val="237"/>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 except share and per share data)</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Assets: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39"/>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and cash equivalents</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930</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849</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Receivables,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2,915</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2,645</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Inventory,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364</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315</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current assets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572</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525</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current assets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4,781</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4,334</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Property, plant and equipment,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973</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991</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Intangible assets,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515</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517</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Goodwill</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6,359</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6,084</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 right-of-use assets,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535</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560</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long-term assets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386</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524</w:t>
            </w:r>
          </w:p>
        </w:tc>
      </w:tr>
      <w:tr>
        <w:trPr>
          <w:trHeight w:val="236"/>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assets</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13,549</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13,010</w:t>
            </w:r>
          </w:p>
        </w:tc>
      </w:tr>
      <w:tr>
        <w:trPr>
          <w:trHeight w:val="234"/>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39"/>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2,003</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2,131</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Accrued payroll and employee benefits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826</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811</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618</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current 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2,948</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3,560</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Long-term debt, net of current portion</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4,985</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4,052</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 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598</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621</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311</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317</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8,842</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8,550</w:t>
            </w:r>
          </w:p>
        </w:tc>
      </w:tr>
      <w:tr>
        <w:trPr>
          <w:trHeight w:val="234"/>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Commitments and contingencies (Note 11)</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36"/>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Stockholders’ equity:</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02"/>
        </w:trPr>
        <w:tc>
          <w:tcPr>
            <w:tcW w:w="8120" w:type="dxa"/>
            <w:vAlign w:val="bottom"/>
          </w:tcPr>
          <w:p>
            <w:pPr>
              <w:ind w:left="20"/>
              <w:spacing w:after="0"/>
              <w:rPr>
                <w:sz w:val="20"/>
                <w:szCs w:val="20"/>
                <w:color w:val="auto"/>
              </w:rPr>
            </w:pPr>
            <w:r>
              <w:rPr>
                <w:rFonts w:ascii="Arial" w:cs="Arial" w:eastAsia="Arial" w:hAnsi="Arial"/>
                <w:sz w:val="16"/>
                <w:szCs w:val="16"/>
                <w:color w:val="auto"/>
              </w:rPr>
              <w:t>Common stock, $0.0001 par value, 500,000,000 shares authorized, 128,295,977 and 131,163,899 shares</w:t>
            </w:r>
          </w:p>
        </w:tc>
        <w:tc>
          <w:tcPr>
            <w:tcW w:w="540" w:type="dxa"/>
            <w:vAlign w:val="bottom"/>
            <w:shd w:val="clear" w:color="auto" w:fill="F4E8F3"/>
          </w:tcPr>
          <w:p>
            <w:pPr>
              <w:spacing w:after="0"/>
              <w:rPr>
                <w:sz w:val="17"/>
                <w:szCs w:val="17"/>
                <w:color w:val="auto"/>
              </w:rPr>
            </w:pPr>
          </w:p>
        </w:tc>
        <w:tc>
          <w:tcPr>
            <w:tcW w:w="1020" w:type="dxa"/>
            <w:vAlign w:val="bottom"/>
            <w:shd w:val="clear" w:color="auto" w:fill="F4E8F3"/>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4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issued and outstanding at July 4, 2025, and January 3, 2025, respectively</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Additional paid-in capital</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650</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1,112</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Retained earnings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4,061</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3,410</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Leidos stockholders’ equity</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4,662</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4,412</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Non-controlling interest</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4,707</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94"/>
              </w:rPr>
              <w:t>4,460</w:t>
            </w:r>
          </w:p>
        </w:tc>
      </w:tr>
      <w:tr>
        <w:trPr>
          <w:trHeight w:val="296"/>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901588"/>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13,549</w:t>
            </w:r>
          </w:p>
        </w:tc>
        <w:tc>
          <w:tcPr>
            <w:tcW w:w="500" w:type="dxa"/>
            <w:vAlign w:val="bottom"/>
            <w:tcBorders>
              <w:bottom w:val="single" w:sz="8" w:color="901588"/>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13,010</w:t>
            </w:r>
          </w:p>
        </w:tc>
      </w:tr>
      <w:tr>
        <w:trPr>
          <w:trHeight w:val="367"/>
        </w:trPr>
        <w:tc>
          <w:tcPr>
            <w:tcW w:w="8120" w:type="dxa"/>
            <w:vAlign w:val="bottom"/>
          </w:tcPr>
          <w:p>
            <w:pPr>
              <w:spacing w:after="0"/>
              <w:rPr>
                <w:sz w:val="20"/>
                <w:szCs w:val="20"/>
                <w:color w:val="auto"/>
              </w:rPr>
            </w:pPr>
            <w:r>
              <w:rPr>
                <w:rFonts w:ascii="Arial" w:cs="Arial" w:eastAsia="Arial" w:hAnsi="Arial"/>
                <w:sz w:val="16"/>
                <w:szCs w:val="16"/>
                <w:color w:val="auto"/>
              </w:rPr>
              <w:t>See accompanying notes to condensed consolidated financial statements.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716"/>
        </w:trPr>
        <w:tc>
          <w:tcPr>
            <w:tcW w:w="8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gridSpan w:val="4"/>
          </w:tcPr>
          <w:p>
            <w:pPr>
              <w:ind w:left="660"/>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1</w:t>
            </w:r>
          </w:p>
        </w:tc>
      </w:tr>
      <w:tr>
        <w:trPr>
          <w:trHeight w:val="333"/>
        </w:trPr>
        <w:tc>
          <w:tcPr>
            <w:tcW w:w="8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40" w:type="dxa"/>
            <w:vAlign w:val="bottom"/>
          </w:tcPr>
          <w:p>
            <w:pPr>
              <w:spacing w:after="0"/>
              <w:rPr>
                <w:sz w:val="19"/>
                <w:szCs w:val="19"/>
                <w:color w:val="auto"/>
              </w:rPr>
            </w:pPr>
          </w:p>
        </w:tc>
        <w:tc>
          <w:tcPr>
            <w:tcW w:w="400" w:type="dxa"/>
            <w:vAlign w:val="bottom"/>
            <w:tcBorders>
              <w:bottom w:val="single" w:sz="8" w:color="901588"/>
            </w:tcBorders>
          </w:tcPr>
          <w:p>
            <w:pPr>
              <w:spacing w:after="0"/>
              <w:rPr>
                <w:sz w:val="19"/>
                <w:szCs w:val="19"/>
                <w:color w:val="auto"/>
              </w:rPr>
            </w:pPr>
          </w:p>
        </w:tc>
        <w:tc>
          <w:tcPr>
            <w:tcW w:w="1920" w:type="dxa"/>
            <w:vAlign w:val="bottom"/>
            <w:tcBorders>
              <w:bottom w:val="single" w:sz="8" w:color="901588"/>
            </w:tcBorders>
            <w:gridSpan w:val="3"/>
          </w:tcPr>
          <w:p>
            <w:pPr>
              <w:jc w:val="right"/>
              <w:ind w:right="20"/>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901588"/>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1840" w:type="dxa"/>
            <w:vAlign w:val="bottom"/>
            <w:tcBorders>
              <w:bottom w:val="single" w:sz="8" w:color="901588"/>
            </w:tcBorders>
            <w:gridSpan w:val="3"/>
          </w:tcPr>
          <w:p>
            <w:pPr>
              <w:jc w:val="right"/>
              <w:ind w:right="80"/>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Borders>
              <w:bottom w:val="single" w:sz="8" w:color="901588"/>
            </w:tcBorders>
          </w:tcPr>
          <w:p>
            <w:pPr>
              <w:spacing w:after="0"/>
              <w:rPr>
                <w:sz w:val="19"/>
                <w:szCs w:val="19"/>
                <w:color w:val="auto"/>
              </w:rPr>
            </w:pPr>
          </w:p>
        </w:tc>
      </w:tr>
      <w:tr>
        <w:trPr>
          <w:trHeight w:val="213"/>
        </w:trPr>
        <w:tc>
          <w:tcPr>
            <w:tcW w:w="5140" w:type="dxa"/>
            <w:vAlign w:val="bottom"/>
          </w:tcPr>
          <w:p>
            <w:pPr>
              <w:spacing w:after="0"/>
              <w:rPr>
                <w:sz w:val="18"/>
                <w:szCs w:val="18"/>
                <w:color w:val="auto"/>
              </w:rPr>
            </w:pPr>
          </w:p>
        </w:tc>
        <w:tc>
          <w:tcPr>
            <w:tcW w:w="400" w:type="dxa"/>
            <w:vAlign w:val="bottom"/>
            <w:shd w:val="clear" w:color="auto" w:fill="F4E8F3"/>
          </w:tcPr>
          <w:p>
            <w:pPr>
              <w:spacing w:after="0"/>
              <w:rPr>
                <w:sz w:val="18"/>
                <w:szCs w:val="18"/>
                <w:color w:val="auto"/>
              </w:rPr>
            </w:pP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June 28,</w:t>
            </w:r>
          </w:p>
        </w:tc>
        <w:tc>
          <w:tcPr>
            <w:tcW w:w="460" w:type="dxa"/>
            <w:vAlign w:val="bottom"/>
            <w:shd w:val="clear" w:color="auto" w:fill="F4E8F3"/>
          </w:tcPr>
          <w:p>
            <w:pPr>
              <w:spacing w:after="0"/>
              <w:rPr>
                <w:sz w:val="18"/>
                <w:szCs w:val="18"/>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June 28,</w:t>
            </w:r>
          </w:p>
        </w:tc>
      </w:tr>
      <w:tr>
        <w:trPr>
          <w:trHeight w:val="226"/>
        </w:trPr>
        <w:tc>
          <w:tcPr>
            <w:tcW w:w="5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 except per share data)</w:t>
            </w:r>
          </w:p>
        </w:tc>
        <w:tc>
          <w:tcPr>
            <w:tcW w:w="400" w:type="dxa"/>
            <w:vAlign w:val="bottom"/>
            <w:tcBorders>
              <w:bottom w:val="single" w:sz="8" w:color="901588"/>
            </w:tcBorders>
            <w:shd w:val="clear" w:color="auto" w:fill="F4E8F3"/>
          </w:tcPr>
          <w:p>
            <w:pPr>
              <w:spacing w:after="0"/>
              <w:rPr>
                <w:sz w:val="19"/>
                <w:szCs w:val="19"/>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780" w:type="dxa"/>
            <w:vAlign w:val="bottom"/>
            <w:tcBorders>
              <w:bottom w:val="single" w:sz="8" w:color="901588"/>
            </w:tcBorders>
          </w:tcPr>
          <w:p>
            <w:pPr>
              <w:spacing w:after="0"/>
              <w:rPr>
                <w:sz w:val="19"/>
                <w:szCs w:val="19"/>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B2B2B2"/>
            </w:tcBorders>
          </w:tcPr>
          <w:p>
            <w:pPr>
              <w:spacing w:after="0"/>
              <w:rPr>
                <w:sz w:val="19"/>
                <w:szCs w:val="19"/>
                <w:color w:val="auto"/>
              </w:rPr>
            </w:pPr>
          </w:p>
        </w:tc>
        <w:tc>
          <w:tcPr>
            <w:tcW w:w="460" w:type="dxa"/>
            <w:vAlign w:val="bottom"/>
            <w:tcBorders>
              <w:bottom w:val="single" w:sz="8" w:color="901588"/>
            </w:tcBorders>
            <w:shd w:val="clear" w:color="auto" w:fill="F4E8F3"/>
          </w:tcPr>
          <w:p>
            <w:pPr>
              <w:spacing w:after="0"/>
              <w:rPr>
                <w:sz w:val="19"/>
                <w:szCs w:val="19"/>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spacing w:after="0"/>
              <w:rPr>
                <w:sz w:val="19"/>
                <w:szCs w:val="19"/>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4,253</w:t>
            </w:r>
          </w:p>
        </w:tc>
        <w:tc>
          <w:tcPr>
            <w:tcW w:w="880" w:type="dxa"/>
            <w:vAlign w:val="bottom"/>
            <w:tcBorders>
              <w:bottom w:val="single" w:sz="8" w:color="B2B2B2"/>
            </w:tcBorders>
            <w:gridSpan w:val="2"/>
          </w:tcPr>
          <w:p>
            <w:pPr>
              <w:jc w:val="right"/>
              <w:ind w:right="6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4,132</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8,498</w:t>
            </w:r>
          </w:p>
        </w:tc>
        <w:tc>
          <w:tcPr>
            <w:tcW w:w="840" w:type="dxa"/>
            <w:vAlign w:val="bottom"/>
            <w:tcBorders>
              <w:bottom w:val="single" w:sz="8" w:color="B2B2B2"/>
            </w:tcBorders>
            <w:gridSpan w:val="2"/>
          </w:tcPr>
          <w:p>
            <w:pPr>
              <w:jc w:val="right"/>
              <w:ind w:right="6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8,107</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Cost of revenues</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3,471</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3,427</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6,959</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6,764</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217</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231</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447</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457</w:t>
            </w:r>
          </w:p>
        </w:tc>
      </w:tr>
      <w:tr>
        <w:trPr>
          <w:trHeight w:val="236"/>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integration and restructuring costs</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Equity earnings of non-consolidated subsidiaries</w:t>
            </w:r>
          </w:p>
        </w:tc>
        <w:tc>
          <w:tcPr>
            <w:tcW w:w="40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571</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475</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1,101</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890</w:t>
            </w:r>
          </w:p>
        </w:tc>
      </w:tr>
      <w:tr>
        <w:trPr>
          <w:trHeight w:val="234"/>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income (expense):</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spacing w:after="0"/>
              <w:rPr>
                <w:sz w:val="20"/>
                <w:szCs w:val="20"/>
                <w:color w:val="auto"/>
              </w:rPr>
            </w:pPr>
          </w:p>
        </w:tc>
      </w:tr>
      <w:tr>
        <w:trPr>
          <w:trHeight w:val="239"/>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518</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426</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996</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794</w:t>
            </w:r>
          </w:p>
        </w:tc>
      </w:tr>
      <w:tr>
        <w:trPr>
          <w:trHeight w:val="23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(102)</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(238)</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(187)</w:t>
            </w:r>
          </w:p>
        </w:tc>
      </w:tr>
      <w:tr>
        <w:trPr>
          <w:trHeight w:val="23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324</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758</w:t>
            </w: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607</w:t>
            </w: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Less: net income attributable to</w:t>
            </w:r>
          </w:p>
        </w:tc>
        <w:tc>
          <w:tcPr>
            <w:tcW w:w="400" w:type="dxa"/>
            <w:vAlign w:val="bottom"/>
            <w:shd w:val="clear" w:color="auto" w:fill="F4E8F3"/>
          </w:tcPr>
          <w:p>
            <w:pPr>
              <w:spacing w:after="0"/>
              <w:rPr>
                <w:sz w:val="18"/>
                <w:szCs w:val="18"/>
                <w:color w:val="auto"/>
              </w:rPr>
            </w:pPr>
          </w:p>
        </w:tc>
        <w:tc>
          <w:tcPr>
            <w:tcW w:w="1040" w:type="dxa"/>
            <w:vAlign w:val="bottom"/>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shd w:val="clear" w:color="auto" w:fill="F4E8F3"/>
          </w:tcPr>
          <w:p>
            <w:pPr>
              <w:spacing w:after="0"/>
              <w:rPr>
                <w:sz w:val="18"/>
                <w:szCs w:val="18"/>
                <w:color w:val="auto"/>
              </w:rPr>
            </w:pPr>
          </w:p>
        </w:tc>
        <w:tc>
          <w:tcPr>
            <w:tcW w:w="1000" w:type="dxa"/>
            <w:vAlign w:val="bottom"/>
            <w:shd w:val="clear" w:color="auto" w:fill="F4E8F3"/>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6"/>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non-controlling interest</w:t>
            </w:r>
          </w:p>
        </w:tc>
        <w:tc>
          <w:tcPr>
            <w:tcW w:w="400" w:type="dxa"/>
            <w:vAlign w:val="bottom"/>
            <w:tcBorders>
              <w:bottom w:val="single" w:sz="8" w:color="901588"/>
            </w:tcBorders>
            <w:shd w:val="clear" w:color="auto" w:fill="F4E8F3"/>
          </w:tcPr>
          <w:p>
            <w:pPr>
              <w:spacing w:after="0"/>
              <w:rPr>
                <w:sz w:val="19"/>
                <w:szCs w:val="19"/>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tcPr>
          <w:p>
            <w:pPr>
              <w:spacing w:after="0"/>
              <w:rPr>
                <w:sz w:val="19"/>
                <w:szCs w:val="19"/>
                <w:color w:val="auto"/>
              </w:rPr>
            </w:pPr>
          </w:p>
        </w:tc>
        <w:tc>
          <w:tcPr>
            <w:tcW w:w="780" w:type="dxa"/>
            <w:vAlign w:val="bottom"/>
            <w:tcBorders>
              <w:bottom w:val="single" w:sz="8" w:color="901588"/>
            </w:tcBorders>
          </w:tcPr>
          <w:p>
            <w:pPr>
              <w:spacing w:after="0"/>
              <w:rPr>
                <w:sz w:val="19"/>
                <w:szCs w:val="19"/>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19"/>
                <w:szCs w:val="19"/>
                <w:color w:val="auto"/>
              </w:rPr>
            </w:pPr>
          </w:p>
        </w:tc>
        <w:tc>
          <w:tcPr>
            <w:tcW w:w="460" w:type="dxa"/>
            <w:vAlign w:val="bottom"/>
            <w:tcBorders>
              <w:bottom w:val="single" w:sz="8" w:color="901588"/>
            </w:tcBorders>
            <w:shd w:val="clear" w:color="auto" w:fill="F4E8F3"/>
          </w:tcPr>
          <w:p>
            <w:pPr>
              <w:spacing w:after="0"/>
              <w:rPr>
                <w:sz w:val="19"/>
                <w:szCs w:val="19"/>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B2B2B2"/>
            </w:tcBorders>
          </w:tcPr>
          <w:p>
            <w:pPr>
              <w:spacing w:after="0"/>
              <w:rPr>
                <w:sz w:val="19"/>
                <w:szCs w:val="19"/>
                <w:color w:val="auto"/>
              </w:rPr>
            </w:pPr>
          </w:p>
        </w:tc>
        <w:tc>
          <w:tcPr>
            <w:tcW w:w="740" w:type="dxa"/>
            <w:vAlign w:val="bottom"/>
            <w:tcBorders>
              <w:bottom w:val="single" w:sz="8" w:color="901588"/>
            </w:tcBorders>
          </w:tcPr>
          <w:p>
            <w:pPr>
              <w:spacing w:after="0"/>
              <w:rPr>
                <w:sz w:val="19"/>
                <w:szCs w:val="19"/>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277"/>
        </w:trPr>
        <w:tc>
          <w:tcPr>
            <w:tcW w:w="514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00" w:type="dxa"/>
            <w:vAlign w:val="bottom"/>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391</w:t>
            </w:r>
          </w:p>
        </w:tc>
        <w:tc>
          <w:tcPr>
            <w:tcW w:w="88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4"/>
                <w:szCs w:val="24"/>
                <w:color w:val="auto"/>
              </w:rPr>
            </w:pPr>
          </w:p>
        </w:tc>
        <w:tc>
          <w:tcPr>
            <w:tcW w:w="460" w:type="dxa"/>
            <w:vAlign w:val="bottom"/>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754</w:t>
            </w:r>
          </w:p>
        </w:tc>
        <w:tc>
          <w:tcPr>
            <w:tcW w:w="84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27"/>
        </w:trPr>
        <w:tc>
          <w:tcPr>
            <w:tcW w:w="5140" w:type="dxa"/>
            <w:vAlign w:val="bottom"/>
            <w:tcBorders>
              <w:top w:val="single" w:sz="8" w:color="B2B2B2"/>
              <w:bottom w:val="single" w:sz="8" w:color="B2B2B2"/>
            </w:tcBorders>
          </w:tcPr>
          <w:p>
            <w:pPr>
              <w:spacing w:after="0"/>
              <w:rPr>
                <w:sz w:val="19"/>
                <w:szCs w:val="19"/>
                <w:color w:val="auto"/>
              </w:rPr>
            </w:pPr>
          </w:p>
        </w:tc>
        <w:tc>
          <w:tcPr>
            <w:tcW w:w="400" w:type="dxa"/>
            <w:vAlign w:val="bottom"/>
            <w:tcBorders>
              <w:top w:val="single" w:sz="8" w:color="901588"/>
              <w:bottom w:val="single" w:sz="8" w:color="B2B2B2"/>
            </w:tcBorders>
            <w:shd w:val="clear" w:color="auto" w:fill="F4E8F3"/>
          </w:tcPr>
          <w:p>
            <w:pPr>
              <w:spacing w:after="0"/>
              <w:rPr>
                <w:sz w:val="19"/>
                <w:szCs w:val="19"/>
                <w:color w:val="auto"/>
              </w:rPr>
            </w:pPr>
          </w:p>
        </w:tc>
        <w:tc>
          <w:tcPr>
            <w:tcW w:w="1040" w:type="dxa"/>
            <w:vAlign w:val="bottom"/>
            <w:tcBorders>
              <w:top w:val="single" w:sz="8" w:color="901588"/>
              <w:bottom w:val="single" w:sz="8" w:color="B2B2B2"/>
            </w:tcBorders>
            <w:shd w:val="clear" w:color="auto" w:fill="F4E8F3"/>
          </w:tcPr>
          <w:p>
            <w:pPr>
              <w:spacing w:after="0"/>
              <w:rPr>
                <w:sz w:val="19"/>
                <w:szCs w:val="19"/>
                <w:color w:val="auto"/>
              </w:rPr>
            </w:pPr>
          </w:p>
        </w:tc>
        <w:tc>
          <w:tcPr>
            <w:tcW w:w="100" w:type="dxa"/>
            <w:vAlign w:val="bottom"/>
            <w:tcBorders>
              <w:top w:val="single" w:sz="8" w:color="B2B2B2"/>
              <w:bottom w:val="single" w:sz="8" w:color="B2B2B2"/>
            </w:tcBorders>
          </w:tcPr>
          <w:p>
            <w:pPr>
              <w:spacing w:after="0"/>
              <w:rPr>
                <w:sz w:val="19"/>
                <w:szCs w:val="19"/>
                <w:color w:val="auto"/>
              </w:rPr>
            </w:pPr>
          </w:p>
        </w:tc>
        <w:tc>
          <w:tcPr>
            <w:tcW w:w="780" w:type="dxa"/>
            <w:vAlign w:val="bottom"/>
            <w:tcBorders>
              <w:top w:val="single" w:sz="8" w:color="901588"/>
              <w:bottom w:val="single" w:sz="8" w:color="B2B2B2"/>
            </w:tcBorders>
          </w:tcPr>
          <w:p>
            <w:pPr>
              <w:spacing w:after="0"/>
              <w:rPr>
                <w:sz w:val="19"/>
                <w:szCs w:val="19"/>
                <w:color w:val="auto"/>
              </w:rPr>
            </w:pPr>
          </w:p>
        </w:tc>
        <w:tc>
          <w:tcPr>
            <w:tcW w:w="680" w:type="dxa"/>
            <w:vAlign w:val="bottom"/>
            <w:tcBorders>
              <w:top w:val="single" w:sz="8" w:color="901588"/>
              <w:bottom w:val="single" w:sz="8" w:color="B2B2B2"/>
            </w:tcBorders>
          </w:tcPr>
          <w:p>
            <w:pPr>
              <w:spacing w:after="0"/>
              <w:rPr>
                <w:sz w:val="19"/>
                <w:szCs w:val="19"/>
                <w:color w:val="auto"/>
              </w:rPr>
            </w:pPr>
          </w:p>
        </w:tc>
        <w:tc>
          <w:tcPr>
            <w:tcW w:w="80" w:type="dxa"/>
            <w:vAlign w:val="bottom"/>
            <w:tcBorders>
              <w:top w:val="single" w:sz="8" w:color="B2B2B2"/>
              <w:bottom w:val="single" w:sz="8" w:color="B2B2B2"/>
            </w:tcBorders>
          </w:tcPr>
          <w:p>
            <w:pPr>
              <w:spacing w:after="0"/>
              <w:rPr>
                <w:sz w:val="19"/>
                <w:szCs w:val="19"/>
                <w:color w:val="auto"/>
              </w:rPr>
            </w:pPr>
          </w:p>
        </w:tc>
        <w:tc>
          <w:tcPr>
            <w:tcW w:w="460" w:type="dxa"/>
            <w:vAlign w:val="bottom"/>
            <w:tcBorders>
              <w:top w:val="single" w:sz="8" w:color="901588"/>
              <w:bottom w:val="single" w:sz="8" w:color="B2B2B2"/>
            </w:tcBorders>
            <w:shd w:val="clear" w:color="auto" w:fill="F4E8F3"/>
          </w:tcPr>
          <w:p>
            <w:pPr>
              <w:spacing w:after="0"/>
              <w:rPr>
                <w:sz w:val="19"/>
                <w:szCs w:val="19"/>
                <w:color w:val="auto"/>
              </w:rPr>
            </w:pPr>
          </w:p>
        </w:tc>
        <w:tc>
          <w:tcPr>
            <w:tcW w:w="1000" w:type="dxa"/>
            <w:vAlign w:val="bottom"/>
            <w:tcBorders>
              <w:top w:val="single" w:sz="8" w:color="901588"/>
              <w:bottom w:val="single" w:sz="8" w:color="B2B2B2"/>
            </w:tcBorders>
            <w:shd w:val="clear" w:color="auto" w:fill="F4E8F3"/>
          </w:tcPr>
          <w:p>
            <w:pPr>
              <w:spacing w:after="0"/>
              <w:rPr>
                <w:sz w:val="19"/>
                <w:szCs w:val="19"/>
                <w:color w:val="auto"/>
              </w:rPr>
            </w:pPr>
          </w:p>
        </w:tc>
        <w:tc>
          <w:tcPr>
            <w:tcW w:w="100" w:type="dxa"/>
            <w:vAlign w:val="bottom"/>
            <w:tcBorders>
              <w:top w:val="single" w:sz="8" w:color="B2B2B2"/>
              <w:bottom w:val="single" w:sz="8" w:color="B2B2B2"/>
            </w:tcBorders>
          </w:tcPr>
          <w:p>
            <w:pPr>
              <w:spacing w:after="0"/>
              <w:rPr>
                <w:sz w:val="19"/>
                <w:szCs w:val="19"/>
                <w:color w:val="auto"/>
              </w:rPr>
            </w:pPr>
          </w:p>
        </w:tc>
        <w:tc>
          <w:tcPr>
            <w:tcW w:w="740" w:type="dxa"/>
            <w:vAlign w:val="bottom"/>
            <w:tcBorders>
              <w:top w:val="single" w:sz="8" w:color="901588"/>
              <w:bottom w:val="single" w:sz="8" w:color="B2B2B2"/>
            </w:tcBorders>
          </w:tcPr>
          <w:p>
            <w:pPr>
              <w:spacing w:after="0"/>
              <w:rPr>
                <w:sz w:val="19"/>
                <w:szCs w:val="19"/>
                <w:color w:val="auto"/>
              </w:rPr>
            </w:pPr>
          </w:p>
        </w:tc>
        <w:tc>
          <w:tcPr>
            <w:tcW w:w="720" w:type="dxa"/>
            <w:vAlign w:val="bottom"/>
            <w:tcBorders>
              <w:top w:val="single" w:sz="8" w:color="901588"/>
              <w:bottom w:val="single" w:sz="8" w:color="B2B2B2"/>
            </w:tcBorders>
          </w:tcPr>
          <w:p>
            <w:pPr>
              <w:spacing w:after="0"/>
              <w:rPr>
                <w:sz w:val="19"/>
                <w:szCs w:val="19"/>
                <w:color w:val="auto"/>
              </w:rPr>
            </w:pPr>
          </w:p>
        </w:tc>
      </w:tr>
      <w:tr>
        <w:trPr>
          <w:trHeight w:val="230"/>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Earnings per share:</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spacing w:after="0"/>
              <w:rPr>
                <w:sz w:val="20"/>
                <w:szCs w:val="20"/>
                <w:color w:val="auto"/>
              </w:rPr>
            </w:pPr>
          </w:p>
        </w:tc>
      </w:tr>
      <w:tr>
        <w:trPr>
          <w:trHeight w:val="239"/>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3.03</w:t>
            </w:r>
          </w:p>
        </w:tc>
        <w:tc>
          <w:tcPr>
            <w:tcW w:w="880" w:type="dxa"/>
            <w:vAlign w:val="bottom"/>
            <w:tcBorders>
              <w:bottom w:val="single" w:sz="8" w:color="B2B2B2"/>
            </w:tcBorders>
            <w:gridSpan w:val="2"/>
          </w:tcPr>
          <w:p>
            <w:pPr>
              <w:jc w:val="right"/>
              <w:ind w:right="6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2.39</w:t>
            </w:r>
          </w:p>
        </w:tc>
        <w:tc>
          <w:tcPr>
            <w:tcW w:w="8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5.84</w:t>
            </w:r>
          </w:p>
        </w:tc>
        <w:tc>
          <w:tcPr>
            <w:tcW w:w="840" w:type="dxa"/>
            <w:vAlign w:val="bottom"/>
            <w:tcBorders>
              <w:bottom w:val="single" w:sz="8" w:color="B2B2B2"/>
            </w:tcBorders>
            <w:gridSpan w:val="2"/>
          </w:tcPr>
          <w:p>
            <w:pPr>
              <w:jc w:val="right"/>
              <w:ind w:right="6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4.49</w:t>
            </w:r>
          </w:p>
        </w:tc>
      </w:tr>
      <w:tr>
        <w:trPr>
          <w:trHeight w:val="236"/>
        </w:trPr>
        <w:tc>
          <w:tcPr>
            <w:tcW w:w="5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3.01</w:t>
            </w:r>
          </w:p>
        </w:tc>
        <w:tc>
          <w:tcPr>
            <w:tcW w:w="10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2.37</w:t>
            </w:r>
          </w:p>
        </w:tc>
        <w:tc>
          <w:tcPr>
            <w:tcW w:w="80" w:type="dxa"/>
            <w:vAlign w:val="bottom"/>
            <w:tcBorders>
              <w:bottom w:val="single" w:sz="8" w:color="901588"/>
            </w:tcBorders>
          </w:tcPr>
          <w:p>
            <w:pPr>
              <w:spacing w:after="0"/>
              <w:rPr>
                <w:sz w:val="20"/>
                <w:szCs w:val="20"/>
                <w:color w:val="auto"/>
              </w:rPr>
            </w:pPr>
          </w:p>
        </w:tc>
        <w:tc>
          <w:tcPr>
            <w:tcW w:w="46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5.80</w:t>
            </w:r>
          </w:p>
        </w:tc>
        <w:tc>
          <w:tcPr>
            <w:tcW w:w="10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4.42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COMPREHENSIVE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6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1980" w:type="dxa"/>
            <w:vAlign w:val="bottom"/>
            <w:tcBorders>
              <w:bottom w:val="single" w:sz="8" w:color="901588"/>
            </w:tcBorders>
            <w:gridSpan w:val="3"/>
          </w:tcPr>
          <w:p>
            <w:pPr>
              <w:jc w:val="right"/>
              <w:ind w:right="6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901588"/>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188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901588"/>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420" w:type="dxa"/>
            <w:vAlign w:val="bottom"/>
            <w:shd w:val="clear" w:color="auto" w:fill="F4E8F3"/>
          </w:tcPr>
          <w:p>
            <w:pPr>
              <w:spacing w:after="0"/>
              <w:rPr>
                <w:sz w:val="18"/>
                <w:szCs w:val="18"/>
                <w:color w:val="auto"/>
              </w:rPr>
            </w:pPr>
          </w:p>
        </w:tc>
        <w:tc>
          <w:tcPr>
            <w:tcW w:w="98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June 28,</w:t>
            </w:r>
          </w:p>
        </w:tc>
        <w:tc>
          <w:tcPr>
            <w:tcW w:w="480" w:type="dxa"/>
            <w:vAlign w:val="bottom"/>
            <w:shd w:val="clear" w:color="auto" w:fill="F4E8F3"/>
          </w:tcPr>
          <w:p>
            <w:pPr>
              <w:spacing w:after="0"/>
              <w:rPr>
                <w:sz w:val="18"/>
                <w:szCs w:val="18"/>
                <w:color w:val="auto"/>
              </w:rPr>
            </w:pPr>
          </w:p>
        </w:tc>
        <w:tc>
          <w:tcPr>
            <w:tcW w:w="9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June 28,</w:t>
            </w:r>
          </w:p>
        </w:tc>
        <w:tc>
          <w:tcPr>
            <w:tcW w:w="0" w:type="dxa"/>
            <w:vAlign w:val="bottom"/>
          </w:tcPr>
          <w:p>
            <w:pPr>
              <w:spacing w:after="0"/>
              <w:rPr>
                <w:sz w:val="1"/>
                <w:szCs w:val="1"/>
                <w:color w:val="auto"/>
              </w:rPr>
            </w:pPr>
          </w:p>
        </w:tc>
      </w:tr>
      <w:tr>
        <w:trPr>
          <w:trHeight w:val="226"/>
        </w:trPr>
        <w:tc>
          <w:tcPr>
            <w:tcW w:w="49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420" w:type="dxa"/>
            <w:vAlign w:val="bottom"/>
            <w:tcBorders>
              <w:bottom w:val="single" w:sz="8" w:color="901588"/>
            </w:tcBorders>
            <w:shd w:val="clear" w:color="auto" w:fill="F4E8F3"/>
          </w:tcPr>
          <w:p>
            <w:pPr>
              <w:spacing w:after="0"/>
              <w:rPr>
                <w:sz w:val="19"/>
                <w:szCs w:val="19"/>
                <w:color w:val="auto"/>
              </w:rPr>
            </w:pPr>
          </w:p>
        </w:tc>
        <w:tc>
          <w:tcPr>
            <w:tcW w:w="980" w:type="dxa"/>
            <w:vAlign w:val="bottom"/>
            <w:tcBorders>
              <w:bottom w:val="single" w:sz="8" w:color="901588"/>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901588"/>
            </w:tcBorders>
          </w:tcPr>
          <w:p>
            <w:pPr>
              <w:spacing w:after="0"/>
              <w:rPr>
                <w:sz w:val="19"/>
                <w:szCs w:val="19"/>
                <w:color w:val="auto"/>
              </w:rPr>
            </w:pPr>
          </w:p>
        </w:tc>
        <w:tc>
          <w:tcPr>
            <w:tcW w:w="700" w:type="dxa"/>
            <w:vAlign w:val="bottom"/>
            <w:tcBorders>
              <w:bottom w:val="single" w:sz="8" w:color="901588"/>
            </w:tcBorders>
          </w:tcPr>
          <w:p>
            <w:pPr>
              <w:spacing w:after="0"/>
              <w:rPr>
                <w:sz w:val="19"/>
                <w:szCs w:val="19"/>
                <w:color w:val="auto"/>
              </w:rPr>
            </w:pPr>
          </w:p>
        </w:tc>
        <w:tc>
          <w:tcPr>
            <w:tcW w:w="7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shd w:val="clear" w:color="auto" w:fill="F4E8F3"/>
          </w:tcPr>
          <w:p>
            <w:pPr>
              <w:spacing w:after="0"/>
              <w:rPr>
                <w:sz w:val="19"/>
                <w:szCs w:val="19"/>
                <w:color w:val="auto"/>
              </w:rPr>
            </w:pP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901588"/>
            </w:tcBorders>
          </w:tcPr>
          <w:p>
            <w:pPr>
              <w:spacing w:after="0"/>
              <w:rPr>
                <w:sz w:val="19"/>
                <w:szCs w:val="19"/>
                <w:color w:val="auto"/>
              </w:rPr>
            </w:pPr>
          </w:p>
        </w:tc>
        <w:tc>
          <w:tcPr>
            <w:tcW w:w="66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B2B2B2"/>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393</w:t>
            </w:r>
          </w:p>
        </w:tc>
        <w:tc>
          <w:tcPr>
            <w:tcW w:w="1000" w:type="dxa"/>
            <w:vAlign w:val="bottom"/>
            <w:tcBorders>
              <w:bottom w:val="single" w:sz="8" w:color="B2B2B2"/>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324</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758</w:t>
            </w:r>
          </w:p>
        </w:tc>
        <w:tc>
          <w:tcPr>
            <w:tcW w:w="960" w:type="dxa"/>
            <w:vAlign w:val="bottom"/>
            <w:tcBorders>
              <w:bottom w:val="single" w:sz="8" w:color="B2B2B2"/>
            </w:tcBorders>
            <w:gridSpan w:val="2"/>
          </w:tcPr>
          <w:p>
            <w:pPr>
              <w:jc w:val="right"/>
              <w:ind w:right="5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w:t>
            </w:r>
          </w:p>
        </w:tc>
        <w:tc>
          <w:tcPr>
            <w:tcW w:w="30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shd w:val="clear" w:color="auto" w:fill="F4E8F3"/>
          </w:tcPr>
          <w:p>
            <w:pPr>
              <w:spacing w:after="0"/>
              <w:rPr>
                <w:sz w:val="20"/>
                <w:szCs w:val="20"/>
                <w:color w:val="auto"/>
              </w:rPr>
            </w:pP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64</w:t>
            </w:r>
          </w:p>
        </w:tc>
        <w:tc>
          <w:tcPr>
            <w:tcW w:w="30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Unrecognized (loss) gain on derivative instruments</w:t>
            </w:r>
          </w:p>
        </w:tc>
        <w:tc>
          <w:tcPr>
            <w:tcW w:w="4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shd w:val="clear" w:color="auto" w:fill="F4E8F3"/>
          </w:tcPr>
          <w:p>
            <w:pPr>
              <w:spacing w:after="0"/>
              <w:rPr>
                <w:sz w:val="20"/>
                <w:szCs w:val="20"/>
                <w:color w:val="auto"/>
              </w:rPr>
            </w:pP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960" w:type="dxa"/>
            <w:vAlign w:val="bottom"/>
          </w:tcPr>
          <w:p>
            <w:pPr>
              <w:ind w:left="140"/>
              <w:spacing w:after="0"/>
              <w:rPr>
                <w:sz w:val="20"/>
                <w:szCs w:val="20"/>
                <w:color w:val="auto"/>
              </w:rPr>
            </w:pPr>
            <w:r>
              <w:rPr>
                <w:rFonts w:ascii="Arial" w:cs="Arial" w:eastAsia="Arial" w:hAnsi="Arial"/>
                <w:sz w:val="16"/>
                <w:szCs w:val="16"/>
                <w:color w:val="auto"/>
              </w:rPr>
              <w:t>Pension adjustments</w:t>
            </w:r>
          </w:p>
        </w:tc>
        <w:tc>
          <w:tcPr>
            <w:tcW w:w="420" w:type="dxa"/>
            <w:vAlign w:val="bottom"/>
            <w:shd w:val="clear" w:color="auto" w:fill="F4E8F3"/>
          </w:tcPr>
          <w:p>
            <w:pPr>
              <w:spacing w:after="0"/>
              <w:rPr>
                <w:sz w:val="20"/>
                <w:szCs w:val="20"/>
                <w:color w:val="auto"/>
              </w:rPr>
            </w:pPr>
          </w:p>
        </w:tc>
        <w:tc>
          <w:tcPr>
            <w:tcW w:w="98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F4E8F3"/>
          </w:tcPr>
          <w:p>
            <w:pPr>
              <w:spacing w:after="0"/>
              <w:rPr>
                <w:sz w:val="20"/>
                <w:szCs w:val="20"/>
                <w:color w:val="auto"/>
              </w:rPr>
            </w:pPr>
          </w:p>
        </w:tc>
        <w:tc>
          <w:tcPr>
            <w:tcW w:w="9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96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Total other comprehensive income (loss), net of taxes</w:t>
            </w:r>
          </w:p>
        </w:tc>
        <w:tc>
          <w:tcPr>
            <w:tcW w:w="420" w:type="dxa"/>
            <w:vAlign w:val="bottom"/>
            <w:tcBorders>
              <w:top w:val="single" w:sz="8" w:color="901588"/>
              <w:bottom w:val="single" w:sz="8" w:color="901588"/>
            </w:tcBorders>
            <w:shd w:val="clear" w:color="auto" w:fill="F4E8F3"/>
          </w:tcPr>
          <w:p>
            <w:pPr>
              <w:spacing w:after="0"/>
              <w:rPr>
                <w:sz w:val="20"/>
                <w:szCs w:val="20"/>
                <w:color w:val="auto"/>
              </w:rPr>
            </w:pPr>
          </w:p>
        </w:tc>
        <w:tc>
          <w:tcPr>
            <w:tcW w:w="980" w:type="dxa"/>
            <w:vAlign w:val="bottom"/>
            <w:tcBorders>
              <w:top w:val="single" w:sz="8" w:color="901588"/>
              <w:bottom w:val="single" w:sz="8" w:color="901588"/>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w:t>
            </w:r>
          </w:p>
        </w:tc>
        <w:tc>
          <w:tcPr>
            <w:tcW w:w="300" w:type="dxa"/>
            <w:vAlign w:val="bottom"/>
            <w:tcBorders>
              <w:top w:val="single" w:sz="8" w:color="B2B2B2"/>
              <w:bottom w:val="single" w:sz="8" w:color="B2B2B2"/>
            </w:tcBorders>
          </w:tcPr>
          <w:p>
            <w:pPr>
              <w:spacing w:after="0"/>
              <w:rPr>
                <w:sz w:val="20"/>
                <w:szCs w:val="20"/>
                <w:color w:val="auto"/>
              </w:rPr>
            </w:pPr>
          </w:p>
        </w:tc>
        <w:tc>
          <w:tcPr>
            <w:tcW w:w="700" w:type="dxa"/>
            <w:vAlign w:val="bottom"/>
            <w:tcBorders>
              <w:top w:val="single" w:sz="8" w:color="901588"/>
              <w:bottom w:val="single" w:sz="8" w:color="901588"/>
            </w:tcBorders>
          </w:tcPr>
          <w:p>
            <w:pPr>
              <w:spacing w:after="0"/>
              <w:rPr>
                <w:sz w:val="20"/>
                <w:szCs w:val="20"/>
                <w:color w:val="auto"/>
              </w:rPr>
            </w:pPr>
          </w:p>
        </w:tc>
        <w:tc>
          <w:tcPr>
            <w:tcW w:w="70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B2B2B2"/>
              <w:bottom w:val="single" w:sz="8" w:color="B2B2B2"/>
            </w:tcBorders>
          </w:tcPr>
          <w:p>
            <w:pPr>
              <w:spacing w:after="0"/>
              <w:rPr>
                <w:sz w:val="20"/>
                <w:szCs w:val="20"/>
                <w:color w:val="auto"/>
              </w:rPr>
            </w:pPr>
          </w:p>
        </w:tc>
        <w:tc>
          <w:tcPr>
            <w:tcW w:w="480" w:type="dxa"/>
            <w:vAlign w:val="bottom"/>
            <w:tcBorders>
              <w:top w:val="single" w:sz="8" w:color="901588"/>
              <w:bottom w:val="single" w:sz="8" w:color="901588"/>
            </w:tcBorders>
            <w:shd w:val="clear" w:color="auto" w:fill="F4E8F3"/>
          </w:tcPr>
          <w:p>
            <w:pPr>
              <w:spacing w:after="0"/>
              <w:rPr>
                <w:sz w:val="20"/>
                <w:szCs w:val="20"/>
                <w:color w:val="auto"/>
              </w:rPr>
            </w:pPr>
          </w:p>
        </w:tc>
        <w:tc>
          <w:tcPr>
            <w:tcW w:w="9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61</w:t>
            </w:r>
          </w:p>
        </w:tc>
        <w:tc>
          <w:tcPr>
            <w:tcW w:w="300" w:type="dxa"/>
            <w:vAlign w:val="bottom"/>
            <w:tcBorders>
              <w:top w:val="single" w:sz="8" w:color="B2B2B2"/>
              <w:bottom w:val="single" w:sz="8" w:color="B2B2B2"/>
            </w:tcBorders>
          </w:tcPr>
          <w:p>
            <w:pPr>
              <w:spacing w:after="0"/>
              <w:rPr>
                <w:sz w:val="20"/>
                <w:szCs w:val="20"/>
                <w:color w:val="auto"/>
              </w:rPr>
            </w:pPr>
          </w:p>
        </w:tc>
        <w:tc>
          <w:tcPr>
            <w:tcW w:w="660" w:type="dxa"/>
            <w:vAlign w:val="bottom"/>
            <w:tcBorders>
              <w:top w:val="single" w:sz="8" w:color="901588"/>
              <w:bottom w:val="single" w:sz="8" w:color="901588"/>
            </w:tcBorders>
          </w:tcPr>
          <w:p>
            <w:pPr>
              <w:spacing w:after="0"/>
              <w:rPr>
                <w:sz w:val="20"/>
                <w:szCs w:val="20"/>
                <w:color w:val="auto"/>
              </w:rPr>
            </w:pPr>
          </w:p>
        </w:tc>
        <w:tc>
          <w:tcPr>
            <w:tcW w:w="740" w:type="dxa"/>
            <w:vAlign w:val="bottom"/>
            <w:tcBorders>
              <w:top w:val="single" w:sz="8" w:color="901588"/>
              <w:bottom w:val="single" w:sz="8" w:color="901588"/>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Comprehensive income</w:t>
            </w:r>
          </w:p>
        </w:tc>
        <w:tc>
          <w:tcPr>
            <w:tcW w:w="4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427</w:t>
            </w:r>
          </w:p>
        </w:tc>
        <w:tc>
          <w:tcPr>
            <w:tcW w:w="30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331</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shd w:val="clear" w:color="auto" w:fill="F4E8F3"/>
          </w:tcPr>
          <w:p>
            <w:pPr>
              <w:spacing w:after="0"/>
              <w:rPr>
                <w:sz w:val="20"/>
                <w:szCs w:val="20"/>
                <w:color w:val="auto"/>
              </w:rPr>
            </w:pPr>
          </w:p>
        </w:tc>
        <w:tc>
          <w:tcPr>
            <w:tcW w:w="9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819</w:t>
            </w:r>
          </w:p>
        </w:tc>
        <w:tc>
          <w:tcPr>
            <w:tcW w:w="30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Less: net income attributable to non-controlling interest</w:t>
            </w:r>
          </w:p>
        </w:tc>
        <w:tc>
          <w:tcPr>
            <w:tcW w:w="42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tcBorders>
              <w:bottom w:val="single" w:sz="8" w:color="B2B2B2"/>
            </w:tcBorders>
          </w:tcPr>
          <w:p>
            <w:pPr>
              <w:spacing w:after="0"/>
              <w:rPr>
                <w:sz w:val="20"/>
                <w:szCs w:val="20"/>
                <w:color w:val="auto"/>
              </w:rPr>
            </w:pPr>
          </w:p>
        </w:tc>
        <w:tc>
          <w:tcPr>
            <w:tcW w:w="70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shd w:val="clear" w:color="auto" w:fill="F4E8F3"/>
          </w:tcPr>
          <w:p>
            <w:pPr>
              <w:spacing w:after="0"/>
              <w:rPr>
                <w:sz w:val="20"/>
                <w:szCs w:val="20"/>
                <w:color w:val="auto"/>
              </w:rPr>
            </w:pP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Borders>
              <w:bottom w:val="single" w:sz="8" w:color="B2B2B2"/>
            </w:tcBorders>
          </w:tcPr>
          <w:p>
            <w:pPr>
              <w:spacing w:after="0"/>
              <w:rPr>
                <w:sz w:val="20"/>
                <w:szCs w:val="20"/>
                <w:color w:val="auto"/>
              </w:rPr>
            </w:pPr>
          </w:p>
        </w:tc>
        <w:tc>
          <w:tcPr>
            <w:tcW w:w="66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960" w:type="dxa"/>
            <w:vAlign w:val="bottom"/>
          </w:tcPr>
          <w:p>
            <w:pPr>
              <w:ind w:left="40"/>
              <w:spacing w:after="0"/>
              <w:rPr>
                <w:sz w:val="20"/>
                <w:szCs w:val="20"/>
                <w:color w:val="auto"/>
              </w:rPr>
            </w:pPr>
            <w:r>
              <w:rPr>
                <w:rFonts w:ascii="Arial" w:cs="Arial" w:eastAsia="Arial" w:hAnsi="Arial"/>
                <w:sz w:val="16"/>
                <w:szCs w:val="16"/>
                <w:color w:val="auto"/>
              </w:rPr>
              <w:t>Comprehensive income attributable to Leidos common</w:t>
            </w:r>
          </w:p>
        </w:tc>
        <w:tc>
          <w:tcPr>
            <w:tcW w:w="420" w:type="dxa"/>
            <w:vAlign w:val="bottom"/>
            <w:vMerge w:val="restart"/>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right w:val="single" w:sz="8" w:color="F4E8F3"/>
            </w:tcBorders>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425</w:t>
            </w: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8"/>
                <w:szCs w:val="18"/>
                <w:color w:val="auto"/>
              </w:rPr>
            </w:pPr>
          </w:p>
        </w:tc>
        <w:tc>
          <w:tcPr>
            <w:tcW w:w="480" w:type="dxa"/>
            <w:vAlign w:val="bottom"/>
            <w:vMerge w:val="restart"/>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shd w:val="clear" w:color="auto" w:fill="F4E8F3"/>
          </w:tcPr>
          <w:p>
            <w:pPr>
              <w:jc w:val="right"/>
              <w:spacing w:after="0"/>
              <w:rPr>
                <w:sz w:val="20"/>
                <w:szCs w:val="20"/>
                <w:color w:val="auto"/>
              </w:rPr>
            </w:pPr>
            <w:r>
              <w:rPr>
                <w:rFonts w:ascii="Arial" w:cs="Arial" w:eastAsia="Arial" w:hAnsi="Arial"/>
                <w:sz w:val="16"/>
                <w:szCs w:val="16"/>
                <w:b w:val="1"/>
                <w:bCs w:val="1"/>
                <w:color w:val="auto"/>
              </w:rPr>
              <w:t>815</w:t>
            </w: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901588"/>
            </w:tcBorders>
          </w:tcPr>
          <w:p>
            <w:pPr>
              <w:ind w:left="160"/>
              <w:spacing w:after="0"/>
              <w:rPr>
                <w:sz w:val="20"/>
                <w:szCs w:val="20"/>
                <w:color w:val="auto"/>
              </w:rPr>
            </w:pPr>
            <w:r>
              <w:rPr>
                <w:rFonts w:ascii="Arial" w:cs="Arial" w:eastAsia="Arial" w:hAnsi="Arial"/>
                <w:sz w:val="16"/>
                <w:szCs w:val="16"/>
                <w:color w:val="auto"/>
              </w:rPr>
              <w:t>stockholders</w:t>
            </w:r>
          </w:p>
        </w:tc>
        <w:tc>
          <w:tcPr>
            <w:tcW w:w="420" w:type="dxa"/>
            <w:vAlign w:val="bottom"/>
            <w:tcBorders>
              <w:bottom w:val="single" w:sz="8" w:color="901588"/>
            </w:tcBorders>
            <w:vMerge w:val="continue"/>
            <w:shd w:val="clear" w:color="auto" w:fill="F4E8F3"/>
          </w:tcPr>
          <w:p>
            <w:pPr>
              <w:spacing w:after="0"/>
              <w:rPr>
                <w:sz w:val="22"/>
                <w:szCs w:val="22"/>
                <w:color w:val="auto"/>
              </w:rPr>
            </w:pPr>
          </w:p>
        </w:tc>
        <w:tc>
          <w:tcPr>
            <w:tcW w:w="980" w:type="dxa"/>
            <w:vAlign w:val="bottom"/>
            <w:tcBorders>
              <w:bottom w:val="single" w:sz="8" w:color="901588"/>
              <w:right w:val="single" w:sz="8" w:color="F4E8F3"/>
            </w:tcBorders>
            <w:vMerge w:val="continue"/>
            <w:shd w:val="clear" w:color="auto" w:fill="F4E8F3"/>
          </w:tcPr>
          <w:p>
            <w:pPr>
              <w:spacing w:after="0"/>
              <w:rPr>
                <w:sz w:val="22"/>
                <w:szCs w:val="22"/>
                <w:color w:val="auto"/>
              </w:rPr>
            </w:pPr>
          </w:p>
        </w:tc>
        <w:tc>
          <w:tcPr>
            <w:tcW w:w="1000" w:type="dxa"/>
            <w:vAlign w:val="bottom"/>
            <w:tcBorders>
              <w:bottom w:val="single" w:sz="8" w:color="901588"/>
            </w:tcBorders>
            <w:gridSpan w:val="2"/>
            <w:vMerge w:val="continue"/>
          </w:tcPr>
          <w:p>
            <w:pPr>
              <w:spacing w:after="0"/>
              <w:rPr>
                <w:sz w:val="22"/>
                <w:szCs w:val="22"/>
                <w:color w:val="auto"/>
              </w:rPr>
            </w:pPr>
          </w:p>
        </w:tc>
        <w:tc>
          <w:tcPr>
            <w:tcW w:w="700" w:type="dxa"/>
            <w:vAlign w:val="bottom"/>
            <w:tcBorders>
              <w:bottom w:val="single" w:sz="8" w:color="901588"/>
            </w:tcBorders>
            <w:vMerge w:val="continue"/>
          </w:tcPr>
          <w:p>
            <w:pPr>
              <w:spacing w:after="0"/>
              <w:rPr>
                <w:sz w:val="22"/>
                <w:szCs w:val="22"/>
                <w:color w:val="auto"/>
              </w:rPr>
            </w:pPr>
          </w:p>
        </w:tc>
        <w:tc>
          <w:tcPr>
            <w:tcW w:w="80" w:type="dxa"/>
            <w:vAlign w:val="bottom"/>
            <w:tcBorders>
              <w:bottom w:val="single" w:sz="8" w:color="901588"/>
            </w:tcBorders>
          </w:tcPr>
          <w:p>
            <w:pPr>
              <w:spacing w:after="0"/>
              <w:rPr>
                <w:sz w:val="22"/>
                <w:szCs w:val="22"/>
                <w:color w:val="auto"/>
              </w:rPr>
            </w:pPr>
          </w:p>
        </w:tc>
        <w:tc>
          <w:tcPr>
            <w:tcW w:w="480" w:type="dxa"/>
            <w:vAlign w:val="bottom"/>
            <w:tcBorders>
              <w:bottom w:val="single" w:sz="8" w:color="901588"/>
            </w:tcBorders>
            <w:vMerge w:val="continue"/>
            <w:shd w:val="clear" w:color="auto" w:fill="F4E8F3"/>
          </w:tcPr>
          <w:p>
            <w:pPr>
              <w:spacing w:after="0"/>
              <w:rPr>
                <w:sz w:val="22"/>
                <w:szCs w:val="22"/>
                <w:color w:val="auto"/>
              </w:rPr>
            </w:pPr>
          </w:p>
        </w:tc>
        <w:tc>
          <w:tcPr>
            <w:tcW w:w="920" w:type="dxa"/>
            <w:vAlign w:val="bottom"/>
            <w:tcBorders>
              <w:bottom w:val="single" w:sz="8" w:color="901588"/>
            </w:tcBorders>
            <w:vMerge w:val="continue"/>
            <w:shd w:val="clear" w:color="auto" w:fill="F4E8F3"/>
          </w:tcPr>
          <w:p>
            <w:pPr>
              <w:spacing w:after="0"/>
              <w:rPr>
                <w:sz w:val="22"/>
                <w:szCs w:val="22"/>
                <w:color w:val="auto"/>
              </w:rPr>
            </w:pPr>
          </w:p>
        </w:tc>
        <w:tc>
          <w:tcPr>
            <w:tcW w:w="960" w:type="dxa"/>
            <w:vAlign w:val="bottom"/>
            <w:tcBorders>
              <w:bottom w:val="single" w:sz="8" w:color="901588"/>
            </w:tcBorders>
            <w:gridSpan w:val="2"/>
            <w:vMerge w:val="continue"/>
          </w:tcPr>
          <w:p>
            <w:pPr>
              <w:spacing w:after="0"/>
              <w:rPr>
                <w:sz w:val="22"/>
                <w:szCs w:val="22"/>
                <w:color w:val="auto"/>
              </w:rPr>
            </w:pPr>
          </w:p>
        </w:tc>
        <w:tc>
          <w:tcPr>
            <w:tcW w:w="740" w:type="dxa"/>
            <w:vAlign w:val="bottom"/>
            <w:tcBorders>
              <w:bottom w:val="single" w:sz="8" w:color="901588"/>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3</w:t>
            </w:r>
          </w:p>
        </w:tc>
      </w:tr>
      <w:tr>
        <w:trPr>
          <w:trHeight w:val="33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EQUITY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vMerge w:val="restart"/>
          </w:tcPr>
          <w:p>
            <w:pPr>
              <w:ind w:left="20"/>
              <w:spacing w:after="0"/>
              <w:rPr>
                <w:sz w:val="20"/>
                <w:szCs w:val="20"/>
                <w:color w:val="auto"/>
              </w:rPr>
            </w:pPr>
            <w:r>
              <w:rPr>
                <w:rFonts w:ascii="Arial" w:cs="Arial" w:eastAsia="Arial" w:hAnsi="Arial"/>
                <w:sz w:val="14"/>
                <w:szCs w:val="14"/>
                <w:color w:val="auto"/>
              </w:rPr>
              <w:t>(unaudited; in millions, except per</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Shares of</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Leidos</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60" w:type="dxa"/>
            <w:vAlign w:val="bottom"/>
            <w:vMerge w:val="continue"/>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1"/>
        </w:trPr>
        <w:tc>
          <w:tcPr>
            <w:tcW w:w="2960" w:type="dxa"/>
            <w:vAlign w:val="bottom"/>
            <w:tcBorders>
              <w:bottom w:val="single" w:sz="8" w:color="901588"/>
            </w:tcBorders>
          </w:tcPr>
          <w:p>
            <w:pPr>
              <w:ind w:left="20"/>
              <w:spacing w:after="0"/>
              <w:rPr>
                <w:sz w:val="20"/>
                <w:szCs w:val="20"/>
                <w:color w:val="auto"/>
              </w:rPr>
            </w:pPr>
            <w:r>
              <w:rPr>
                <w:rFonts w:ascii="Arial" w:cs="Arial" w:eastAsia="Arial" w:hAnsi="Arial"/>
                <w:sz w:val="14"/>
                <w:szCs w:val="14"/>
                <w:color w:val="auto"/>
              </w:rPr>
              <w:t>share data)</w:t>
            </w:r>
          </w:p>
        </w:tc>
        <w:tc>
          <w:tcPr>
            <w:tcW w:w="98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901588"/>
            </w:tcBorders>
          </w:tcPr>
          <w:p>
            <w:pPr>
              <w:spacing w:after="0"/>
              <w:rPr>
                <w:sz w:val="18"/>
                <w:szCs w:val="18"/>
                <w:color w:val="auto"/>
              </w:rPr>
            </w:pPr>
          </w:p>
        </w:tc>
        <w:tc>
          <w:tcPr>
            <w:tcW w:w="8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901588"/>
            </w:tcBorders>
          </w:tcPr>
          <w:p>
            <w:pPr>
              <w:spacing w:after="0"/>
              <w:rPr>
                <w:sz w:val="18"/>
                <w:szCs w:val="18"/>
                <w:color w:val="auto"/>
              </w:rPr>
            </w:pPr>
          </w:p>
        </w:tc>
        <w:tc>
          <w:tcPr>
            <w:tcW w:w="12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901588"/>
            </w:tcBorders>
          </w:tcPr>
          <w:p>
            <w:pPr>
              <w:spacing w:after="0"/>
              <w:rPr>
                <w:sz w:val="18"/>
                <w:szCs w:val="18"/>
                <w:color w:val="auto"/>
              </w:rPr>
            </w:pPr>
          </w:p>
        </w:tc>
        <w:tc>
          <w:tcPr>
            <w:tcW w:w="11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901588"/>
            </w:tcBorders>
          </w:tcPr>
          <w:p>
            <w:pPr>
              <w:spacing w:after="0"/>
              <w:rPr>
                <w:sz w:val="18"/>
                <w:szCs w:val="18"/>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901588"/>
            </w:tcBorders>
          </w:tcPr>
          <w:p>
            <w:pPr>
              <w:spacing w:after="0"/>
              <w:rPr>
                <w:sz w:val="18"/>
                <w:szCs w:val="18"/>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4"/>
                <w:szCs w:val="14"/>
                <w:color w:val="auto"/>
              </w:rPr>
              <w:t>Balance at January 3, 2025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3,410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4,412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4,460</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60"/>
              <w:spacing w:after="0"/>
              <w:rPr>
                <w:sz w:val="20"/>
                <w:szCs w:val="20"/>
                <w:color w:val="auto"/>
              </w:rPr>
            </w:pPr>
            <w:r>
              <w:rPr>
                <w:rFonts w:ascii="Arial" w:cs="Arial" w:eastAsia="Arial" w:hAnsi="Arial"/>
                <w:sz w:val="14"/>
                <w:szCs w:val="14"/>
                <w:color w:val="auto"/>
              </w:rPr>
              <w:t>Other comprehensive income, net of taxes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140"/>
              <w:spacing w:after="0"/>
              <w:rPr>
                <w:sz w:val="20"/>
                <w:szCs w:val="20"/>
                <w:color w:val="auto"/>
              </w:rPr>
            </w:pPr>
            <w:r>
              <w:rPr>
                <w:rFonts w:ascii="Arial" w:cs="Arial" w:eastAsia="Arial" w:hAnsi="Arial"/>
                <w:sz w:val="14"/>
                <w:szCs w:val="14"/>
                <w:color w:val="auto"/>
              </w:rPr>
              <w:t>Issuances of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40"/>
              <w:spacing w:after="0"/>
              <w:rPr>
                <w:sz w:val="20"/>
                <w:szCs w:val="20"/>
                <w:color w:val="auto"/>
              </w:rPr>
            </w:pPr>
            <w:r>
              <w:rPr>
                <w:rFonts w:ascii="Arial" w:cs="Arial" w:eastAsia="Arial" w:hAnsi="Arial"/>
                <w:sz w:val="14"/>
                <w:szCs w:val="14"/>
                <w:color w:val="auto"/>
              </w:rPr>
              <w:t>Repurchases of stock and other</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40"/>
              <w:spacing w:after="0"/>
              <w:rPr>
                <w:sz w:val="20"/>
                <w:szCs w:val="20"/>
                <w:color w:val="auto"/>
              </w:rPr>
            </w:pPr>
            <w:r>
              <w:rPr>
                <w:rFonts w:ascii="Arial" w:cs="Arial" w:eastAsia="Arial" w:hAnsi="Arial"/>
                <w:sz w:val="14"/>
                <w:szCs w:val="14"/>
                <w:color w:val="auto"/>
              </w:rPr>
              <w:t>Dividends of $0.40 per share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60" w:type="dxa"/>
            <w:vAlign w:val="bottom"/>
          </w:tcPr>
          <w:p>
            <w:pPr>
              <w:ind w:left="140"/>
              <w:spacing w:after="0"/>
              <w:rPr>
                <w:sz w:val="20"/>
                <w:szCs w:val="20"/>
                <w:color w:val="auto"/>
              </w:rPr>
            </w:pPr>
            <w:r>
              <w:rPr>
                <w:rFonts w:ascii="Arial" w:cs="Arial" w:eastAsia="Arial" w:hAnsi="Arial"/>
                <w:sz w:val="14"/>
                <w:szCs w:val="14"/>
                <w:color w:val="auto"/>
              </w:rPr>
              <w:t>Net capital distributions to non-controlling</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140"/>
              <w:spacing w:after="0"/>
              <w:rPr>
                <w:sz w:val="20"/>
                <w:szCs w:val="20"/>
                <w:color w:val="auto"/>
              </w:rPr>
            </w:pPr>
            <w:r>
              <w:rPr>
                <w:rFonts w:ascii="Arial" w:cs="Arial" w:eastAsia="Arial" w:hAnsi="Arial"/>
                <w:sz w:val="14"/>
                <w:szCs w:val="14"/>
                <w:color w:val="auto"/>
              </w:rPr>
              <w:t>interest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7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960" w:type="dxa"/>
            <w:vAlign w:val="bottom"/>
            <w:tcBorders>
              <w:bottom w:val="single" w:sz="8" w:color="B2B2B2"/>
            </w:tcBorders>
          </w:tcPr>
          <w:p>
            <w:pPr>
              <w:ind w:left="20"/>
              <w:spacing w:after="0"/>
              <w:rPr>
                <w:sz w:val="20"/>
                <w:szCs w:val="20"/>
                <w:color w:val="auto"/>
              </w:rPr>
            </w:pPr>
            <w:r>
              <w:rPr>
                <w:rFonts w:ascii="Arial" w:cs="Arial" w:eastAsia="Arial" w:hAnsi="Arial"/>
                <w:sz w:val="14"/>
                <w:szCs w:val="14"/>
                <w:color w:val="auto"/>
              </w:rPr>
              <w:t>Balance at April 4, 2025</w:t>
            </w:r>
          </w:p>
        </w:tc>
        <w:tc>
          <w:tcPr>
            <w:tcW w:w="90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b w:val="1"/>
                <w:bCs w:val="1"/>
                <w:color w:val="auto"/>
              </w:rPr>
              <w:t>129</w:t>
            </w:r>
          </w:p>
        </w:tc>
        <w:tc>
          <w:tcPr>
            <w:tcW w:w="8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619</w:t>
            </w:r>
          </w:p>
        </w:tc>
        <w:tc>
          <w:tcPr>
            <w:tcW w:w="100" w:type="dxa"/>
            <w:vAlign w:val="bottom"/>
            <w:tcBorders>
              <w:bottom w:val="single" w:sz="8" w:color="B2B2B2"/>
            </w:tcBorders>
          </w:tcPr>
          <w:p>
            <w:pPr>
              <w:spacing w:after="0"/>
              <w:rPr>
                <w:sz w:val="18"/>
                <w:szCs w:val="18"/>
                <w:color w:val="auto"/>
              </w:rPr>
            </w:pPr>
          </w:p>
        </w:tc>
        <w:tc>
          <w:tcPr>
            <w:tcW w:w="180" w:type="dxa"/>
            <w:vAlign w:val="bottom"/>
            <w:tcBorders>
              <w:bottom w:val="single" w:sz="8" w:color="B2B2B2"/>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3,721</w:t>
            </w: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4,257</w:t>
            </w: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bottom w:val="single" w:sz="8" w:color="B2B2B2"/>
            </w:tcBorders>
          </w:tcPr>
          <w:p>
            <w:pPr>
              <w:spacing w:after="0"/>
              <w:rPr>
                <w:sz w:val="18"/>
                <w:szCs w:val="18"/>
                <w:color w:val="auto"/>
              </w:rPr>
            </w:pPr>
          </w:p>
        </w:tc>
        <w:tc>
          <w:tcPr>
            <w:tcW w:w="200" w:type="dxa"/>
            <w:vAlign w:val="bottom"/>
            <w:tcBorders>
              <w:bottom w:val="single" w:sz="8" w:color="B2B2B2"/>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4,302</w:t>
            </w:r>
          </w:p>
        </w:tc>
        <w:tc>
          <w:tcPr>
            <w:tcW w:w="0" w:type="dxa"/>
            <w:vAlign w:val="bottom"/>
          </w:tcPr>
          <w:p>
            <w:pPr>
              <w:spacing w:after="0"/>
              <w:rPr>
                <w:sz w:val="1"/>
                <w:szCs w:val="1"/>
                <w:color w:val="auto"/>
              </w:rPr>
            </w:pPr>
          </w:p>
        </w:tc>
      </w:tr>
      <w:tr>
        <w:trPr>
          <w:trHeight w:val="208"/>
        </w:trPr>
        <w:tc>
          <w:tcPr>
            <w:tcW w:w="29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60"/>
              <w:spacing w:after="0"/>
              <w:rPr>
                <w:sz w:val="20"/>
                <w:szCs w:val="20"/>
                <w:color w:val="auto"/>
              </w:rPr>
            </w:pPr>
            <w:r>
              <w:rPr>
                <w:rFonts w:ascii="Arial" w:cs="Arial" w:eastAsia="Arial" w:hAnsi="Arial"/>
                <w:sz w:val="14"/>
                <w:szCs w:val="14"/>
                <w:color w:val="auto"/>
              </w:rPr>
              <w:t>Other comprehensive income, net of taxes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40"/>
              <w:spacing w:after="0"/>
              <w:rPr>
                <w:sz w:val="20"/>
                <w:szCs w:val="20"/>
                <w:color w:val="auto"/>
              </w:rPr>
            </w:pPr>
            <w:r>
              <w:rPr>
                <w:rFonts w:ascii="Arial" w:cs="Arial" w:eastAsia="Arial" w:hAnsi="Arial"/>
                <w:sz w:val="14"/>
                <w:szCs w:val="14"/>
                <w:color w:val="auto"/>
              </w:rPr>
              <w:t>Issuances of stock</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140"/>
              <w:spacing w:after="0"/>
              <w:rPr>
                <w:sz w:val="20"/>
                <w:szCs w:val="20"/>
                <w:color w:val="auto"/>
              </w:rPr>
            </w:pPr>
            <w:r>
              <w:rPr>
                <w:rFonts w:ascii="Arial" w:cs="Arial" w:eastAsia="Arial" w:hAnsi="Arial"/>
                <w:sz w:val="14"/>
                <w:szCs w:val="14"/>
                <w:color w:val="auto"/>
              </w:rPr>
              <w:t>Repurchases of stock and other</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40"/>
              <w:spacing w:after="0"/>
              <w:rPr>
                <w:sz w:val="20"/>
                <w:szCs w:val="20"/>
                <w:color w:val="auto"/>
              </w:rPr>
            </w:pPr>
            <w:r>
              <w:rPr>
                <w:rFonts w:ascii="Arial" w:cs="Arial" w:eastAsia="Arial" w:hAnsi="Arial"/>
                <w:sz w:val="14"/>
                <w:szCs w:val="14"/>
                <w:color w:val="auto"/>
              </w:rPr>
              <w:t>Dividends of $0.40 per share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60" w:type="dxa"/>
            <w:vAlign w:val="bottom"/>
          </w:tcPr>
          <w:p>
            <w:pPr>
              <w:ind w:left="160"/>
              <w:spacing w:after="0"/>
              <w:rPr>
                <w:sz w:val="20"/>
                <w:szCs w:val="20"/>
                <w:color w:val="auto"/>
              </w:rPr>
            </w:pPr>
            <w:r>
              <w:rPr>
                <w:rFonts w:ascii="Arial" w:cs="Arial" w:eastAsia="Arial" w:hAnsi="Arial"/>
                <w:sz w:val="14"/>
                <w:szCs w:val="14"/>
                <w:color w:val="auto"/>
              </w:rPr>
              <w:t>Net capital distributions to non-controlling</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260"/>
              <w:spacing w:after="0"/>
              <w:rPr>
                <w:sz w:val="20"/>
                <w:szCs w:val="20"/>
                <w:color w:val="auto"/>
              </w:rPr>
            </w:pPr>
            <w:r>
              <w:rPr>
                <w:rFonts w:ascii="Arial" w:cs="Arial" w:eastAsia="Arial" w:hAnsi="Arial"/>
                <w:sz w:val="14"/>
                <w:szCs w:val="14"/>
                <w:color w:val="auto"/>
              </w:rPr>
              <w:t>interest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7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96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4"/>
                <w:szCs w:val="14"/>
                <w:b w:val="1"/>
                <w:bCs w:val="1"/>
                <w:color w:val="auto"/>
              </w:rPr>
              <w:t>Balance at July 4, 2025</w:t>
            </w:r>
          </w:p>
        </w:tc>
        <w:tc>
          <w:tcPr>
            <w:tcW w:w="900" w:type="dxa"/>
            <w:vAlign w:val="bottom"/>
            <w:tcBorders>
              <w:bottom w:val="single" w:sz="8" w:color="901588"/>
            </w:tcBorders>
            <w:shd w:val="clear" w:color="auto" w:fill="F4E8F3"/>
          </w:tcPr>
          <w:p>
            <w:pPr>
              <w:jc w:val="right"/>
              <w:ind w:right="8"/>
              <w:spacing w:after="0"/>
              <w:rPr>
                <w:sz w:val="20"/>
                <w:szCs w:val="20"/>
                <w:color w:val="auto"/>
              </w:rPr>
            </w:pPr>
            <w:r>
              <w:rPr>
                <w:rFonts w:ascii="Arial" w:cs="Arial" w:eastAsia="Arial" w:hAnsi="Arial"/>
                <w:sz w:val="14"/>
                <w:szCs w:val="14"/>
                <w:b w:val="1"/>
                <w:bCs w:val="1"/>
                <w:color w:val="auto"/>
              </w:rPr>
              <w:t>128</w:t>
            </w:r>
          </w:p>
        </w:tc>
        <w:tc>
          <w:tcPr>
            <w:tcW w:w="80" w:type="dxa"/>
            <w:vAlign w:val="bottom"/>
            <w:tcBorders>
              <w:bottom w:val="single" w:sz="8" w:color="F4E8F3"/>
            </w:tcBorders>
            <w:shd w:val="clear" w:color="auto" w:fill="F4E8F3"/>
          </w:tcPr>
          <w:p>
            <w:pPr>
              <w:spacing w:after="0"/>
              <w:rPr>
                <w:sz w:val="22"/>
                <w:szCs w:val="22"/>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650</w:t>
            </w:r>
          </w:p>
        </w:tc>
        <w:tc>
          <w:tcPr>
            <w:tcW w:w="100" w:type="dxa"/>
            <w:vAlign w:val="bottom"/>
            <w:tcBorders>
              <w:bottom w:val="single" w:sz="8" w:color="F4E8F3"/>
            </w:tcBorders>
            <w:shd w:val="clear" w:color="auto" w:fill="F4E8F3"/>
          </w:tcPr>
          <w:p>
            <w:pPr>
              <w:spacing w:after="0"/>
              <w:rPr>
                <w:sz w:val="22"/>
                <w:szCs w:val="22"/>
                <w:color w:val="auto"/>
              </w:rPr>
            </w:pPr>
          </w:p>
        </w:tc>
        <w:tc>
          <w:tcPr>
            <w:tcW w:w="180" w:type="dxa"/>
            <w:vAlign w:val="bottom"/>
            <w:tcBorders>
              <w:bottom w:val="single" w:sz="8" w:color="901588"/>
            </w:tcBorders>
            <w:shd w:val="clear" w:color="auto" w:fill="F4E8F3"/>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4,061</w:t>
            </w:r>
          </w:p>
        </w:tc>
        <w:tc>
          <w:tcPr>
            <w:tcW w:w="100" w:type="dxa"/>
            <w:vAlign w:val="bottom"/>
            <w:tcBorders>
              <w:bottom w:val="single" w:sz="8" w:color="F4E8F3"/>
            </w:tcBorders>
            <w:shd w:val="clear" w:color="auto" w:fill="F4E8F3"/>
          </w:tcPr>
          <w:p>
            <w:pPr>
              <w:spacing w:after="0"/>
              <w:rPr>
                <w:sz w:val="22"/>
                <w:szCs w:val="22"/>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Borders>
              <w:bottom w:val="single" w:sz="8" w:color="F4E8F3"/>
            </w:tcBorders>
            <w:shd w:val="clear" w:color="auto" w:fill="F4E8F3"/>
          </w:tcPr>
          <w:p>
            <w:pPr>
              <w:spacing w:after="0"/>
              <w:rPr>
                <w:sz w:val="22"/>
                <w:szCs w:val="22"/>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4,662</w:t>
            </w:r>
          </w:p>
        </w:tc>
        <w:tc>
          <w:tcPr>
            <w:tcW w:w="100" w:type="dxa"/>
            <w:vAlign w:val="bottom"/>
            <w:tcBorders>
              <w:bottom w:val="single" w:sz="8" w:color="F4E8F3"/>
            </w:tcBorders>
            <w:shd w:val="clear" w:color="auto" w:fill="F4E8F3"/>
          </w:tcPr>
          <w:p>
            <w:pPr>
              <w:spacing w:after="0"/>
              <w:rPr>
                <w:sz w:val="22"/>
                <w:szCs w:val="22"/>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bottom w:val="single" w:sz="8" w:color="F4E8F3"/>
            </w:tcBorders>
            <w:shd w:val="clear" w:color="auto" w:fill="F4E8F3"/>
          </w:tcPr>
          <w:p>
            <w:pPr>
              <w:spacing w:after="0"/>
              <w:rPr>
                <w:sz w:val="22"/>
                <w:szCs w:val="22"/>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4,707</w:t>
            </w:r>
          </w:p>
        </w:tc>
        <w:tc>
          <w:tcPr>
            <w:tcW w:w="0" w:type="dxa"/>
            <w:vAlign w:val="bottom"/>
          </w:tcPr>
          <w:p>
            <w:pPr>
              <w:spacing w:after="0"/>
              <w:rPr>
                <w:sz w:val="1"/>
                <w:szCs w:val="1"/>
                <w:color w:val="auto"/>
              </w:rPr>
            </w:pPr>
          </w:p>
        </w:tc>
      </w:tr>
      <w:tr>
        <w:trPr>
          <w:trHeight w:val="20"/>
        </w:trPr>
        <w:tc>
          <w:tcPr>
            <w:tcW w:w="2960" w:type="dxa"/>
            <w:vAlign w:val="bottom"/>
            <w:tcBorders>
              <w:top w:val="single" w:sz="8" w:color="901588"/>
            </w:tcBorders>
          </w:tcPr>
          <w:p>
            <w:pPr>
              <w:spacing w:after="0" w:line="20" w:lineRule="exact"/>
              <w:rPr>
                <w:sz w:val="1"/>
                <w:szCs w:val="1"/>
                <w:color w:val="auto"/>
              </w:rPr>
            </w:pPr>
          </w:p>
        </w:tc>
        <w:tc>
          <w:tcPr>
            <w:tcW w:w="90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80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180" w:type="dxa"/>
            <w:vAlign w:val="bottom"/>
            <w:tcBorders>
              <w:top w:val="single" w:sz="8" w:color="F4E8F3"/>
            </w:tcBorders>
            <w:shd w:val="clear" w:color="auto" w:fill="901588"/>
          </w:tcPr>
          <w:p>
            <w:pPr>
              <w:spacing w:after="0" w:line="20" w:lineRule="exact"/>
              <w:rPr>
                <w:sz w:val="1"/>
                <w:szCs w:val="1"/>
                <w:color w:val="auto"/>
              </w:rPr>
            </w:pPr>
          </w:p>
        </w:tc>
        <w:tc>
          <w:tcPr>
            <w:tcW w:w="70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118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10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8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200" w:type="dxa"/>
            <w:vAlign w:val="bottom"/>
            <w:tcBorders>
              <w:top w:val="single" w:sz="8" w:color="F4E8F3"/>
            </w:tcBorders>
            <w:shd w:val="clear" w:color="auto" w:fill="901588"/>
          </w:tcPr>
          <w:p>
            <w:pPr>
              <w:spacing w:after="0" w:line="20" w:lineRule="exact"/>
              <w:rPr>
                <w:sz w:val="1"/>
                <w:szCs w:val="1"/>
                <w:color w:val="auto"/>
              </w:rPr>
            </w:pPr>
          </w:p>
        </w:tc>
        <w:tc>
          <w:tcPr>
            <w:tcW w:w="1060" w:type="dxa"/>
            <w:vAlign w:val="bottom"/>
            <w:tcBorders>
              <w:top w:val="single" w:sz="8" w:color="F4E8F3"/>
            </w:tcBorders>
            <w:shd w:val="clear" w:color="auto" w:fill="9015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4"/>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(unaudited; in millions, except per</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Leidos</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1"/>
        </w:trPr>
        <w:tc>
          <w:tcPr>
            <w:tcW w:w="2940" w:type="dxa"/>
            <w:vAlign w:val="bottom"/>
            <w:tcBorders>
              <w:bottom w:val="single" w:sz="8" w:color="901588"/>
            </w:tcBorders>
          </w:tcPr>
          <w:p>
            <w:pPr>
              <w:ind w:left="20"/>
              <w:spacing w:after="0"/>
              <w:rPr>
                <w:sz w:val="20"/>
                <w:szCs w:val="20"/>
                <w:color w:val="auto"/>
              </w:rPr>
            </w:pPr>
            <w:r>
              <w:rPr>
                <w:rFonts w:ascii="Arial" w:cs="Arial" w:eastAsia="Arial" w:hAnsi="Arial"/>
                <w:sz w:val="14"/>
                <w:szCs w:val="14"/>
                <w:color w:val="auto"/>
              </w:rPr>
              <w:t>share data)</w:t>
            </w:r>
          </w:p>
        </w:tc>
        <w:tc>
          <w:tcPr>
            <w:tcW w:w="10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901588"/>
            </w:tcBorders>
          </w:tcPr>
          <w:p>
            <w:pPr>
              <w:spacing w:after="0"/>
              <w:rPr>
                <w:sz w:val="18"/>
                <w:szCs w:val="18"/>
                <w:color w:val="auto"/>
              </w:rPr>
            </w:pPr>
          </w:p>
        </w:tc>
        <w:tc>
          <w:tcPr>
            <w:tcW w:w="8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901588"/>
            </w:tcBorders>
          </w:tcPr>
          <w:p>
            <w:pPr>
              <w:spacing w:after="0"/>
              <w:rPr>
                <w:sz w:val="18"/>
                <w:szCs w:val="18"/>
                <w:color w:val="auto"/>
              </w:rPr>
            </w:pPr>
          </w:p>
        </w:tc>
        <w:tc>
          <w:tcPr>
            <w:tcW w:w="128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Borders>
              <w:bottom w:val="single" w:sz="8" w:color="901588"/>
            </w:tcBorders>
          </w:tcPr>
          <w:p>
            <w:pPr>
              <w:spacing w:after="0"/>
              <w:rPr>
                <w:sz w:val="18"/>
                <w:szCs w:val="18"/>
                <w:color w:val="auto"/>
              </w:rPr>
            </w:pPr>
          </w:p>
        </w:tc>
        <w:tc>
          <w:tcPr>
            <w:tcW w:w="11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901588"/>
            </w:tcBorders>
          </w:tcPr>
          <w:p>
            <w:pPr>
              <w:spacing w:after="0"/>
              <w:rPr>
                <w:sz w:val="18"/>
                <w:szCs w:val="18"/>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901588"/>
            </w:tcBorders>
          </w:tcPr>
          <w:p>
            <w:pPr>
              <w:spacing w:after="0"/>
              <w:rPr>
                <w:sz w:val="18"/>
                <w:szCs w:val="18"/>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40" w:type="dxa"/>
            <w:vAlign w:val="bottom"/>
          </w:tcPr>
          <w:p>
            <w:pPr>
              <w:ind w:left="20"/>
              <w:spacing w:after="0"/>
              <w:rPr>
                <w:sz w:val="20"/>
                <w:szCs w:val="20"/>
                <w:color w:val="auto"/>
              </w:rPr>
            </w:pPr>
            <w:r>
              <w:rPr>
                <w:rFonts w:ascii="Arial" w:cs="Arial" w:eastAsia="Arial" w:hAnsi="Arial"/>
                <w:sz w:val="14"/>
                <w:szCs w:val="14"/>
                <w:color w:val="auto"/>
              </w:rPr>
              <w:t>Balance at December 29, 2023</w:t>
            </w:r>
          </w:p>
        </w:tc>
        <w:tc>
          <w:tcPr>
            <w:tcW w:w="9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1,885</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4,201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60"/>
              <w:spacing w:after="0"/>
              <w:rPr>
                <w:sz w:val="20"/>
                <w:szCs w:val="20"/>
                <w:color w:val="auto"/>
              </w:rPr>
            </w:pPr>
            <w:r>
              <w:rPr>
                <w:rFonts w:ascii="Arial" w:cs="Arial" w:eastAsia="Arial" w:hAnsi="Arial"/>
                <w:sz w:val="14"/>
                <w:szCs w:val="14"/>
                <w:color w:val="auto"/>
              </w:rPr>
              <w:t>Other comprehensive loss, net of taxes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40" w:type="dxa"/>
            <w:vAlign w:val="bottom"/>
          </w:tcPr>
          <w:p>
            <w:pPr>
              <w:ind w:left="140"/>
              <w:spacing w:after="0"/>
              <w:rPr>
                <w:sz w:val="20"/>
                <w:szCs w:val="20"/>
                <w:color w:val="auto"/>
              </w:rPr>
            </w:pPr>
            <w:r>
              <w:rPr>
                <w:rFonts w:ascii="Arial" w:cs="Arial" w:eastAsia="Arial" w:hAnsi="Arial"/>
                <w:sz w:val="14"/>
                <w:szCs w:val="14"/>
                <w:color w:val="auto"/>
              </w:rPr>
              <w:t>Issuances of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40"/>
              <w:spacing w:after="0"/>
              <w:rPr>
                <w:sz w:val="20"/>
                <w:szCs w:val="20"/>
                <w:color w:val="auto"/>
              </w:rPr>
            </w:pPr>
            <w:r>
              <w:rPr>
                <w:rFonts w:ascii="Arial" w:cs="Arial" w:eastAsia="Arial" w:hAnsi="Arial"/>
                <w:sz w:val="14"/>
                <w:szCs w:val="14"/>
                <w:color w:val="auto"/>
              </w:rPr>
              <w:t>Repurchases of stock and other</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40"/>
              <w:spacing w:after="0"/>
              <w:rPr>
                <w:sz w:val="20"/>
                <w:szCs w:val="20"/>
                <w:color w:val="auto"/>
              </w:rPr>
            </w:pPr>
            <w:r>
              <w:rPr>
                <w:rFonts w:ascii="Arial" w:cs="Arial" w:eastAsia="Arial" w:hAnsi="Arial"/>
                <w:sz w:val="14"/>
                <w:szCs w:val="14"/>
                <w:color w:val="auto"/>
              </w:rPr>
              <w:t>Dividends of $0.38 per share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40" w:type="dxa"/>
            <w:vAlign w:val="bottom"/>
          </w:tcPr>
          <w:p>
            <w:pPr>
              <w:ind w:left="160"/>
              <w:spacing w:after="0"/>
              <w:rPr>
                <w:sz w:val="20"/>
                <w:szCs w:val="20"/>
                <w:color w:val="auto"/>
              </w:rPr>
            </w:pPr>
            <w:r>
              <w:rPr>
                <w:rFonts w:ascii="Arial" w:cs="Arial" w:eastAsia="Arial" w:hAnsi="Arial"/>
                <w:sz w:val="14"/>
                <w:szCs w:val="14"/>
                <w:color w:val="auto"/>
              </w:rPr>
              <w:t>Net capital distributions to non-controlling</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7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rPr>
                <w:sz w:val="20"/>
                <w:szCs w:val="20"/>
                <w:color w:val="auto"/>
              </w:rPr>
            </w:pPr>
            <w:r>
              <w:rPr>
                <w:rFonts w:ascii="Arial" w:cs="Arial" w:eastAsia="Arial" w:hAnsi="Arial"/>
                <w:sz w:val="14"/>
                <w:szCs w:val="14"/>
                <w:color w:val="auto"/>
              </w:rPr>
              <w:t>Balance at March 29, 2024</w:t>
            </w: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1,735</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2,595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4,313</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20" w:type="dxa"/>
            <w:vAlign w:val="bottom"/>
            <w:tcBorders>
              <w:bottom w:val="single" w:sz="8" w:color="901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70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
        </w:trPr>
        <w:tc>
          <w:tcPr>
            <w:tcW w:w="2940" w:type="dxa"/>
            <w:vAlign w:val="bottom"/>
            <w:tcBorders>
              <w:bottom w:val="single" w:sz="8" w:color="901588"/>
            </w:tcBorders>
          </w:tcPr>
          <w:p>
            <w:pPr>
              <w:spacing w:after="0"/>
              <w:rPr>
                <w:sz w:val="3"/>
                <w:szCs w:val="3"/>
                <w:color w:val="auto"/>
              </w:rPr>
            </w:pPr>
          </w:p>
        </w:tc>
        <w:tc>
          <w:tcPr>
            <w:tcW w:w="1000" w:type="dxa"/>
            <w:vAlign w:val="bottom"/>
            <w:tcBorders>
              <w:bottom w:val="single" w:sz="8" w:color="901588"/>
            </w:tcBorders>
            <w:gridSpan w:val="2"/>
          </w:tcPr>
          <w:p>
            <w:pPr>
              <w:spacing w:after="0"/>
              <w:rPr>
                <w:sz w:val="3"/>
                <w:szCs w:val="3"/>
                <w:color w:val="auto"/>
              </w:rPr>
            </w:pPr>
          </w:p>
        </w:tc>
        <w:tc>
          <w:tcPr>
            <w:tcW w:w="180" w:type="dxa"/>
            <w:vAlign w:val="bottom"/>
            <w:tcBorders>
              <w:bottom w:val="single" w:sz="8" w:color="901588"/>
            </w:tcBorders>
          </w:tcPr>
          <w:p>
            <w:pPr>
              <w:spacing w:after="0"/>
              <w:rPr>
                <w:sz w:val="3"/>
                <w:szCs w:val="3"/>
                <w:color w:val="auto"/>
              </w:rPr>
            </w:pPr>
          </w:p>
        </w:tc>
        <w:tc>
          <w:tcPr>
            <w:tcW w:w="900" w:type="dxa"/>
            <w:vAlign w:val="bottom"/>
            <w:tcBorders>
              <w:bottom w:val="single" w:sz="8" w:color="901588"/>
            </w:tcBorders>
            <w:gridSpan w:val="2"/>
          </w:tcPr>
          <w:p>
            <w:pPr>
              <w:spacing w:after="0"/>
              <w:rPr>
                <w:sz w:val="3"/>
                <w:szCs w:val="3"/>
                <w:color w:val="auto"/>
              </w:rPr>
            </w:pPr>
          </w:p>
        </w:tc>
        <w:tc>
          <w:tcPr>
            <w:tcW w:w="180" w:type="dxa"/>
            <w:vAlign w:val="bottom"/>
            <w:tcBorders>
              <w:bottom w:val="single" w:sz="8" w:color="901588"/>
            </w:tcBorders>
          </w:tcPr>
          <w:p>
            <w:pPr>
              <w:spacing w:after="0"/>
              <w:rPr>
                <w:sz w:val="3"/>
                <w:szCs w:val="3"/>
                <w:color w:val="auto"/>
              </w:rPr>
            </w:pPr>
          </w:p>
        </w:tc>
        <w:tc>
          <w:tcPr>
            <w:tcW w:w="700" w:type="dxa"/>
            <w:vAlign w:val="bottom"/>
            <w:tcBorders>
              <w:bottom w:val="single" w:sz="8" w:color="901588"/>
            </w:tcBorders>
          </w:tcPr>
          <w:p>
            <w:pPr>
              <w:spacing w:after="0"/>
              <w:rPr>
                <w:sz w:val="3"/>
                <w:szCs w:val="3"/>
                <w:color w:val="auto"/>
              </w:rPr>
            </w:pPr>
          </w:p>
        </w:tc>
        <w:tc>
          <w:tcPr>
            <w:tcW w:w="100" w:type="dxa"/>
            <w:vAlign w:val="bottom"/>
            <w:tcBorders>
              <w:bottom w:val="single" w:sz="8" w:color="901588"/>
            </w:tcBorders>
          </w:tcPr>
          <w:p>
            <w:pPr>
              <w:spacing w:after="0"/>
              <w:rPr>
                <w:sz w:val="3"/>
                <w:szCs w:val="3"/>
                <w:color w:val="auto"/>
              </w:rPr>
            </w:pPr>
          </w:p>
        </w:tc>
        <w:tc>
          <w:tcPr>
            <w:tcW w:w="200" w:type="dxa"/>
            <w:vAlign w:val="bottom"/>
            <w:tcBorders>
              <w:bottom w:val="single" w:sz="8" w:color="901588"/>
            </w:tcBorders>
          </w:tcPr>
          <w:p>
            <w:pPr>
              <w:spacing w:after="0"/>
              <w:rPr>
                <w:sz w:val="3"/>
                <w:szCs w:val="3"/>
                <w:color w:val="auto"/>
              </w:rPr>
            </w:pPr>
          </w:p>
        </w:tc>
        <w:tc>
          <w:tcPr>
            <w:tcW w:w="1280" w:type="dxa"/>
            <w:vAlign w:val="bottom"/>
            <w:tcBorders>
              <w:bottom w:val="single" w:sz="8" w:color="901588"/>
            </w:tcBorders>
            <w:gridSpan w:val="2"/>
          </w:tcPr>
          <w:p>
            <w:pPr>
              <w:spacing w:after="0"/>
              <w:rPr>
                <w:sz w:val="3"/>
                <w:szCs w:val="3"/>
                <w:color w:val="auto"/>
              </w:rPr>
            </w:pPr>
          </w:p>
        </w:tc>
        <w:tc>
          <w:tcPr>
            <w:tcW w:w="220" w:type="dxa"/>
            <w:vAlign w:val="bottom"/>
            <w:tcBorders>
              <w:bottom w:val="single" w:sz="8" w:color="901588"/>
            </w:tcBorders>
          </w:tcPr>
          <w:p>
            <w:pPr>
              <w:spacing w:after="0"/>
              <w:rPr>
                <w:sz w:val="3"/>
                <w:szCs w:val="3"/>
                <w:color w:val="auto"/>
              </w:rPr>
            </w:pPr>
          </w:p>
        </w:tc>
        <w:tc>
          <w:tcPr>
            <w:tcW w:w="1040" w:type="dxa"/>
            <w:vAlign w:val="bottom"/>
            <w:tcBorders>
              <w:bottom w:val="single" w:sz="8" w:color="901588"/>
            </w:tcBorders>
          </w:tcPr>
          <w:p>
            <w:pPr>
              <w:spacing w:after="0"/>
              <w:rPr>
                <w:sz w:val="3"/>
                <w:szCs w:val="3"/>
                <w:color w:val="auto"/>
              </w:rPr>
            </w:pPr>
          </w:p>
        </w:tc>
        <w:tc>
          <w:tcPr>
            <w:tcW w:w="100" w:type="dxa"/>
            <w:vAlign w:val="bottom"/>
            <w:tcBorders>
              <w:bottom w:val="single" w:sz="8" w:color="901588"/>
            </w:tcBorders>
          </w:tcPr>
          <w:p>
            <w:pPr>
              <w:spacing w:after="0"/>
              <w:rPr>
                <w:sz w:val="3"/>
                <w:szCs w:val="3"/>
                <w:color w:val="auto"/>
              </w:rPr>
            </w:pPr>
          </w:p>
        </w:tc>
        <w:tc>
          <w:tcPr>
            <w:tcW w:w="200" w:type="dxa"/>
            <w:vAlign w:val="bottom"/>
            <w:tcBorders>
              <w:bottom w:val="single" w:sz="8" w:color="901588"/>
            </w:tcBorders>
          </w:tcPr>
          <w:p>
            <w:pPr>
              <w:spacing w:after="0"/>
              <w:rPr>
                <w:sz w:val="3"/>
                <w:szCs w:val="3"/>
                <w:color w:val="auto"/>
              </w:rPr>
            </w:pPr>
          </w:p>
        </w:tc>
        <w:tc>
          <w:tcPr>
            <w:tcW w:w="840" w:type="dxa"/>
            <w:vAlign w:val="bottom"/>
            <w:tcBorders>
              <w:bottom w:val="single" w:sz="8" w:color="901588"/>
            </w:tcBorders>
          </w:tcPr>
          <w:p>
            <w:pPr>
              <w:spacing w:after="0"/>
              <w:rPr>
                <w:sz w:val="3"/>
                <w:szCs w:val="3"/>
                <w:color w:val="auto"/>
              </w:rPr>
            </w:pPr>
          </w:p>
        </w:tc>
        <w:tc>
          <w:tcPr>
            <w:tcW w:w="100" w:type="dxa"/>
            <w:vAlign w:val="bottom"/>
            <w:tcBorders>
              <w:bottom w:val="single" w:sz="8" w:color="901588"/>
            </w:tcBorders>
          </w:tcPr>
          <w:p>
            <w:pPr>
              <w:spacing w:after="0"/>
              <w:rPr>
                <w:sz w:val="3"/>
                <w:szCs w:val="3"/>
                <w:color w:val="auto"/>
              </w:rPr>
            </w:pPr>
          </w:p>
        </w:tc>
        <w:tc>
          <w:tcPr>
            <w:tcW w:w="200" w:type="dxa"/>
            <w:vAlign w:val="bottom"/>
            <w:tcBorders>
              <w:bottom w:val="single" w:sz="8" w:color="901588"/>
            </w:tcBorders>
          </w:tcPr>
          <w:p>
            <w:pPr>
              <w:spacing w:after="0"/>
              <w:rPr>
                <w:sz w:val="3"/>
                <w:szCs w:val="3"/>
                <w:color w:val="auto"/>
              </w:rPr>
            </w:pPr>
          </w:p>
        </w:tc>
        <w:tc>
          <w:tcPr>
            <w:tcW w:w="1060" w:type="dxa"/>
            <w:vAlign w:val="bottom"/>
            <w:tcBorders>
              <w:bottom w:val="single" w:sz="8" w:color="901588"/>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9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60"/>
              <w:spacing w:after="0"/>
              <w:rPr>
                <w:sz w:val="20"/>
                <w:szCs w:val="20"/>
                <w:color w:val="auto"/>
              </w:rPr>
            </w:pPr>
            <w:r>
              <w:rPr>
                <w:rFonts w:ascii="Arial" w:cs="Arial" w:eastAsia="Arial" w:hAnsi="Arial"/>
                <w:sz w:val="14"/>
                <w:szCs w:val="14"/>
                <w:color w:val="auto"/>
              </w:rPr>
              <w:t>Other comprehensive income, net of taxes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40" w:type="dxa"/>
            <w:vAlign w:val="bottom"/>
          </w:tcPr>
          <w:p>
            <w:pPr>
              <w:ind w:left="140"/>
              <w:spacing w:after="0"/>
              <w:rPr>
                <w:sz w:val="20"/>
                <w:szCs w:val="20"/>
                <w:color w:val="auto"/>
              </w:rPr>
            </w:pPr>
            <w:r>
              <w:rPr>
                <w:rFonts w:ascii="Arial" w:cs="Arial" w:eastAsia="Arial" w:hAnsi="Arial"/>
                <w:sz w:val="14"/>
                <w:szCs w:val="14"/>
                <w:color w:val="auto"/>
              </w:rPr>
              <w:t>Issuances of stock</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40"/>
              <w:spacing w:after="0"/>
              <w:rPr>
                <w:sz w:val="20"/>
                <w:szCs w:val="20"/>
                <w:color w:val="auto"/>
              </w:rPr>
            </w:pPr>
            <w:r>
              <w:rPr>
                <w:rFonts w:ascii="Arial" w:cs="Arial" w:eastAsia="Arial" w:hAnsi="Arial"/>
                <w:sz w:val="14"/>
                <w:szCs w:val="14"/>
                <w:color w:val="auto"/>
              </w:rPr>
              <w:t>Repurchases of stock and other</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40" w:type="dxa"/>
            <w:vAlign w:val="bottom"/>
          </w:tcPr>
          <w:p>
            <w:pPr>
              <w:ind w:left="140"/>
              <w:spacing w:after="0"/>
              <w:rPr>
                <w:sz w:val="20"/>
                <w:szCs w:val="20"/>
                <w:color w:val="auto"/>
              </w:rPr>
            </w:pPr>
            <w:r>
              <w:rPr>
                <w:rFonts w:ascii="Arial" w:cs="Arial" w:eastAsia="Arial" w:hAnsi="Arial"/>
                <w:sz w:val="14"/>
                <w:szCs w:val="14"/>
                <w:color w:val="auto"/>
              </w:rPr>
              <w:t>Dividends of $0.38 per share</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1000" w:type="dxa"/>
            <w:vAlign w:val="bottom"/>
            <w:tcBorders>
              <w:bottom w:val="single" w:sz="8" w:color="B2B2B2"/>
            </w:tcBorders>
            <w:gridSpan w:val="2"/>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2"/>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7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40" w:type="dxa"/>
            <w:vAlign w:val="bottom"/>
          </w:tcPr>
          <w:p>
            <w:pPr>
              <w:ind w:left="160"/>
              <w:spacing w:after="0"/>
              <w:rPr>
                <w:sz w:val="20"/>
                <w:szCs w:val="20"/>
                <w:color w:val="auto"/>
              </w:rPr>
            </w:pPr>
            <w:r>
              <w:rPr>
                <w:rFonts w:ascii="Arial" w:cs="Arial" w:eastAsia="Arial" w:hAnsi="Arial"/>
                <w:sz w:val="14"/>
                <w:szCs w:val="14"/>
                <w:color w:val="auto"/>
              </w:rPr>
              <w:t>Net capital distributions to non-controlling</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7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40" w:type="dxa"/>
            <w:vAlign w:val="bottom"/>
          </w:tcPr>
          <w:p>
            <w:pPr>
              <w:ind w:left="20"/>
              <w:spacing w:after="0"/>
              <w:rPr>
                <w:sz w:val="20"/>
                <w:szCs w:val="20"/>
                <w:color w:val="auto"/>
              </w:rPr>
            </w:pPr>
            <w:r>
              <w:rPr>
                <w:rFonts w:ascii="Arial" w:cs="Arial" w:eastAsia="Arial" w:hAnsi="Arial"/>
                <w:sz w:val="14"/>
                <w:szCs w:val="14"/>
                <w:color w:val="auto"/>
              </w:rPr>
              <w:t>Balance at June 28, 2024</w:t>
            </w: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1,654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2,866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4,455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4,510</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20" w:type="dxa"/>
            <w:vAlign w:val="bottom"/>
            <w:tcBorders>
              <w:bottom w:val="single" w:sz="8" w:color="901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70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7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5</w:t>
            </w:r>
          </w:p>
        </w:tc>
      </w:tr>
      <w:tr>
        <w:trPr>
          <w:trHeight w:val="320"/>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1940" w:type="dxa"/>
            <w:vAlign w:val="bottom"/>
            <w:tcBorders>
              <w:bottom w:val="single" w:sz="8" w:color="901588"/>
            </w:tcBorders>
            <w:gridSpan w:val="3"/>
          </w:tcPr>
          <w:p>
            <w:pPr>
              <w:jc w:val="right"/>
              <w:ind w:right="140"/>
              <w:spacing w:after="0"/>
              <w:rPr>
                <w:sz w:val="20"/>
                <w:szCs w:val="20"/>
                <w:color w:val="auto"/>
              </w:rPr>
            </w:pPr>
            <w:r>
              <w:rPr>
                <w:rFonts w:ascii="Arial" w:cs="Arial" w:eastAsia="Arial" w:hAnsi="Arial"/>
                <w:sz w:val="16"/>
                <w:szCs w:val="16"/>
                <w:b w:val="1"/>
                <w:bCs w:val="1"/>
                <w:color w:val="auto"/>
              </w:rPr>
              <w:t>Six Months Ended</w:t>
            </w:r>
          </w:p>
        </w:tc>
        <w:tc>
          <w:tcPr>
            <w:tcW w:w="780" w:type="dxa"/>
            <w:vAlign w:val="bottom"/>
            <w:tcBorders>
              <w:bottom w:val="single" w:sz="8" w:color="901588"/>
            </w:tcBorders>
          </w:tcPr>
          <w:p>
            <w:pPr>
              <w:spacing w:after="0"/>
              <w:rPr>
                <w:sz w:val="19"/>
                <w:szCs w:val="19"/>
                <w:color w:val="auto"/>
              </w:rPr>
            </w:pPr>
          </w:p>
        </w:tc>
      </w:tr>
      <w:tr>
        <w:trPr>
          <w:trHeight w:val="213"/>
        </w:trPr>
        <w:tc>
          <w:tcPr>
            <w:tcW w:w="8020" w:type="dxa"/>
            <w:vAlign w:val="bottom"/>
          </w:tcPr>
          <w:p>
            <w:pPr>
              <w:spacing w:after="0"/>
              <w:rPr>
                <w:sz w:val="18"/>
                <w:szCs w:val="18"/>
                <w:color w:val="auto"/>
              </w:rPr>
            </w:pPr>
          </w:p>
        </w:tc>
        <w:tc>
          <w:tcPr>
            <w:tcW w:w="500" w:type="dxa"/>
            <w:vAlign w:val="bottom"/>
            <w:shd w:val="clear" w:color="auto" w:fill="F4E8F3"/>
          </w:tcPr>
          <w:p>
            <w:pPr>
              <w:spacing w:after="0"/>
              <w:rPr>
                <w:sz w:val="18"/>
                <w:szCs w:val="18"/>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June 28,</w:t>
            </w:r>
          </w:p>
        </w:tc>
      </w:tr>
      <w:tr>
        <w:trPr>
          <w:trHeight w:val="226"/>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50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780" w:type="dxa"/>
            <w:vAlign w:val="bottom"/>
            <w:tcBorders>
              <w:bottom w:val="single" w:sz="8" w:color="901588"/>
            </w:tcBorders>
          </w:tcPr>
          <w:p>
            <w:pPr>
              <w:spacing w:after="0"/>
              <w:rPr>
                <w:sz w:val="19"/>
                <w:szCs w:val="19"/>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operations: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758</w:t>
            </w:r>
          </w:p>
        </w:tc>
        <w:tc>
          <w:tcPr>
            <w:tcW w:w="880" w:type="dxa"/>
            <w:vAlign w:val="bottom"/>
            <w:tcBorders>
              <w:bottom w:val="single" w:sz="8" w:color="B2B2B2"/>
            </w:tcBorders>
            <w:gridSpan w:val="2"/>
          </w:tcPr>
          <w:p>
            <w:pPr>
              <w:jc w:val="right"/>
              <w:ind w:right="6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607</w:t>
            </w:r>
          </w:p>
        </w:tc>
      </w:tr>
      <w:tr>
        <w:trPr>
          <w:trHeight w:val="234"/>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Depreciation and amortization</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141</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140</w:t>
            </w:r>
          </w:p>
        </w:tc>
      </w:tr>
      <w:tr>
        <w:trPr>
          <w:trHeight w:val="237"/>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Stock-based compensation</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Deferred income taxes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w:t>
            </w:r>
          </w:p>
        </w:tc>
      </w:tr>
      <w:tr>
        <w:trPr>
          <w:trHeight w:val="236"/>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Change in assets and liabilities, net of effects of acquisition:</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Receivables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(236)</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(185)</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Other current assets and other long-term assets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36"/>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Accounts payable and accrued liabilities and other long-term liabilities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(260)</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(117)</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Accrued payroll and employee benefits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Income taxes receivable/payable</w:t>
            </w:r>
          </w:p>
        </w:tc>
        <w:tc>
          <w:tcPr>
            <w:tcW w:w="50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57</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544</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494</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of a business, net of cash acquired</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(285)</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Payments for property, equipment and software</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proceeds from sale of assets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Proceeds from debt issuance</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997</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Repayments of borrowings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(559)</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Payments for debt issuance costs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 payments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(105)</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(104)</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(537)</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(297)</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Proceeds from issuances of stock</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capital distributions to non-controlling interests</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50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(193)</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(387)</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50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70</w:t>
            </w:r>
          </w:p>
        </w:tc>
      </w:tr>
      <w:tr>
        <w:trPr>
          <w:trHeight w:val="23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50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991</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792</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1,020</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862</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restricted cash at end of period</w:t>
            </w:r>
          </w:p>
        </w:tc>
        <w:tc>
          <w:tcPr>
            <w:tcW w:w="50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118</w:t>
            </w:r>
          </w:p>
        </w:tc>
      </w:tr>
      <w:tr>
        <w:trPr>
          <w:trHeight w:val="296"/>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500" w:type="dxa"/>
            <w:vAlign w:val="bottom"/>
            <w:tcBorders>
              <w:bottom w:val="single" w:sz="8" w:color="901588"/>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930</w:t>
            </w:r>
          </w:p>
        </w:tc>
        <w:tc>
          <w:tcPr>
            <w:tcW w:w="880" w:type="dxa"/>
            <w:vAlign w:val="bottom"/>
            <w:tcBorders>
              <w:bottom w:val="single" w:sz="8" w:color="901588"/>
            </w:tcBorders>
            <w:gridSpan w:val="2"/>
          </w:tcPr>
          <w:p>
            <w:pPr>
              <w:jc w:val="right"/>
              <w:ind w:right="6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744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CASH FLOWS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1940" w:type="dxa"/>
            <w:vAlign w:val="bottom"/>
            <w:tcBorders>
              <w:bottom w:val="single" w:sz="8" w:color="901588"/>
            </w:tcBorders>
            <w:gridSpan w:val="2"/>
          </w:tcPr>
          <w:p>
            <w:pPr>
              <w:jc w:val="right"/>
              <w:ind w:right="59"/>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Borders>
              <w:bottom w:val="single" w:sz="8" w:color="901588"/>
            </w:tcBorders>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r>
      <w:tr>
        <w:trPr>
          <w:trHeight w:val="213"/>
        </w:trPr>
        <w:tc>
          <w:tcPr>
            <w:tcW w:w="8020" w:type="dxa"/>
            <w:vAlign w:val="bottom"/>
          </w:tcPr>
          <w:p>
            <w:pPr>
              <w:spacing w:after="0"/>
              <w:rPr>
                <w:sz w:val="18"/>
                <w:szCs w:val="18"/>
                <w:color w:val="auto"/>
              </w:rPr>
            </w:pPr>
          </w:p>
        </w:tc>
        <w:tc>
          <w:tcPr>
            <w:tcW w:w="500" w:type="dxa"/>
            <w:vAlign w:val="bottom"/>
            <w:shd w:val="clear" w:color="auto" w:fill="F4E8F3"/>
          </w:tcPr>
          <w:p>
            <w:pPr>
              <w:spacing w:after="0"/>
              <w:rPr>
                <w:sz w:val="18"/>
                <w:szCs w:val="18"/>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8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June 28,</w:t>
            </w:r>
          </w:p>
        </w:tc>
      </w:tr>
      <w:tr>
        <w:trPr>
          <w:trHeight w:val="226"/>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50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Supplementary cash flow information:</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paid for income taxes, net of refunds</w:t>
            </w:r>
          </w:p>
        </w:tc>
        <w:tc>
          <w:tcPr>
            <w:tcW w:w="50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162</w:t>
            </w:r>
          </w:p>
        </w:tc>
        <w:tc>
          <w:tcPr>
            <w:tcW w:w="880" w:type="dxa"/>
            <w:vAlign w:val="bottom"/>
            <w:tcBorders>
              <w:bottom w:val="single" w:sz="8" w:color="B2B2B2"/>
            </w:tcBorders>
          </w:tcPr>
          <w:p>
            <w:pPr>
              <w:jc w:val="right"/>
              <w:ind w:right="5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163</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paid for interest</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107</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Non-cash investing activity:</w:t>
            </w:r>
          </w:p>
        </w:tc>
        <w:tc>
          <w:tcPr>
            <w:tcW w:w="50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88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Property, plant and equipment additions</w:t>
            </w:r>
          </w:p>
        </w:tc>
        <w:tc>
          <w:tcPr>
            <w:tcW w:w="500" w:type="dxa"/>
            <w:vAlign w:val="bottom"/>
            <w:tcBorders>
              <w:bottom w:val="single" w:sz="8" w:color="901588"/>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80" w:type="dxa"/>
            <w:vAlign w:val="bottom"/>
            <w:tcBorders>
              <w:bottom w:val="single" w:sz="8" w:color="901588"/>
            </w:tcBorders>
          </w:tcPr>
          <w:p>
            <w:pPr>
              <w:jc w:val="right"/>
              <w:ind w:right="5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jc w:val="right"/>
              <w:ind w:right="1"/>
              <w:spacing w:after="0"/>
              <w:rPr>
                <w:sz w:val="20"/>
                <w:szCs w:val="20"/>
                <w:color w:val="auto"/>
              </w:rPr>
            </w:pPr>
            <w:r>
              <w:rPr>
                <w:rFonts w:ascii="Arial" w:cs="Arial" w:eastAsia="Arial" w:hAnsi="Arial"/>
                <w:sz w:val="16"/>
                <w:szCs w:val="16"/>
                <w:color w:val="auto"/>
              </w:rPr>
              <w:t>57</w:t>
            </w:r>
          </w:p>
        </w:tc>
      </w:tr>
      <w:tr>
        <w:trPr>
          <w:trHeight w:val="400"/>
        </w:trPr>
        <w:tc>
          <w:tcPr>
            <w:tcW w:w="8020" w:type="dxa"/>
            <w:vAlign w:val="bottom"/>
          </w:tcPr>
          <w:p>
            <w:pPr>
              <w:spacing w:after="0"/>
              <w:rPr>
                <w:sz w:val="20"/>
                <w:szCs w:val="20"/>
                <w:color w:val="auto"/>
              </w:rPr>
            </w:pPr>
            <w:r>
              <w:rPr>
                <w:rFonts w:ascii="Arial" w:cs="Arial" w:eastAsia="Arial" w:hAnsi="Arial"/>
                <w:sz w:val="16"/>
                <w:szCs w:val="16"/>
                <w:color w:val="auto"/>
              </w:rPr>
              <w:t>See accompanying notes to condensed consolidated financial statements.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16"/>
        </w:trPr>
        <w:tc>
          <w:tcPr>
            <w:tcW w:w="8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gridSpan w:val="3"/>
          </w:tcPr>
          <w:p>
            <w:pPr>
              <w:ind w:left="800"/>
              <w:spacing w:after="0"/>
              <w:rPr>
                <w:sz w:val="20"/>
                <w:szCs w:val="20"/>
                <w:color w:val="auto"/>
              </w:rPr>
            </w:pPr>
            <w:r>
              <w:rPr>
                <w:rFonts w:ascii="Arial" w:cs="Arial" w:eastAsia="Arial" w:hAnsi="Arial"/>
                <w:sz w:val="14"/>
                <w:szCs w:val="14"/>
                <w:b w:val="1"/>
                <w:bCs w:val="1"/>
                <w:color w:val="901588"/>
              </w:rPr>
              <w:t>Leidos Holdings, Inc.</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901588"/>
              </w:rPr>
              <w:t>7</w:t>
            </w:r>
          </w:p>
        </w:tc>
      </w:tr>
      <w:tr>
        <w:trPr>
          <w:trHeight w:val="333"/>
        </w:trPr>
        <w:tc>
          <w:tcPr>
            <w:tcW w:w="8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LEIDOS HOLDINGS,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1–Basis of Presentation and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NATURE OF OPERATIONS AND BASIS OF PRESENTATION</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Leidos Holdings, Inc. ("Leidos"), a Delaware corporation, is a holding company whose direct 100%-owned subsidiary and principal operating company is Leidos, Inc. Leidos, is an industry and technology leader serving government and commercial customers with smarter, more efficient digital and mission innovations. Headquartered in Reston, Virginia, with 47,000 global employees, Leidos' customers include the U.S. Department of Defense ("DoD"), the U.S. Intelligence Community, the U.S. Department of Homeland Security, the Federal Aviation Administration, the Department of Veterans Affairs and many other U.S. civilian, state and local government agencies, foreign government agencies and commercial businesses. Unless indicated otherwise, references to "we," "us" and "our" refer collectively to Leidos Holdings, Inc. and its consolidated subsidiaries.</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have a controlling interest in Hanford Mission Integration Solutions, LLC ("HMIS"), the legal entity for the follow-on contract to Mission Support Alliance, LLC's ("MSA") contract and a joint venture with Centerra Group, LLC and Parsons Government Services, Inc. During the quarter ended July 4, 2025, we dissolved our controlling interest in MSA. The financial results for HMIS are consolidated into our unaudited condensed consolidated financial statements. The unaudited condensed consolidated financial statements also include the balances of all voting interest entities in which Leidos has a controlling voting interest ("subsidiaries") and a variable interest entity ("VIE") in which Leidos is the primary beneficiary. The consolidated balances of the VIE are not material to the unaudited condensed consolidated financial statements for the periods presented. Intercompany accounts and transactions between consolidated companies have been eliminated in consolidation.</w:t>
      </w:r>
    </w:p>
    <w:p>
      <w:pPr>
        <w:spacing w:after="0" w:line="8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of the U.S. Securities and Exchange Commission and accounting principles generally accepted in the United States of America ("GAAP"). Certain disclosures normally included in financial statements prepared in accordance with GAAP have been condensed or omitted pursuant to such rules. The preparation of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assets and lease liabilities, fair value and impairment of intangible assets and goodwill, income taxes, stock-based compensation expense and contingencies. These estimates have been prepared by management on the basis of the most current and best available information; however, actual results could differ materially from those estimates.</w:t>
      </w:r>
    </w:p>
    <w:p>
      <w:pPr>
        <w:spacing w:after="0" w:line="87" w:lineRule="exact"/>
        <w:rPr>
          <w:sz w:val="20"/>
          <w:szCs w:val="20"/>
          <w:color w:val="auto"/>
        </w:rPr>
      </w:pPr>
    </w:p>
    <w:p>
      <w:pPr>
        <w:jc w:val="both"/>
        <w:ind w:right="80"/>
        <w:spacing w:after="0" w:line="289" w:lineRule="auto"/>
        <w:rPr>
          <w:sz w:val="20"/>
          <w:szCs w:val="20"/>
          <w:color w:val="auto"/>
        </w:rPr>
      </w:pPr>
      <w:r>
        <w:rPr>
          <w:rFonts w:ascii="Arial" w:cs="Arial" w:eastAsia="Arial" w:hAnsi="Arial"/>
          <w:sz w:val="16"/>
          <w:szCs w:val="16"/>
          <w:color w:val="auto"/>
        </w:rPr>
        <w:t>Certain amounts in the prior year financial statements have been reclassified to conform to the current year presentation. We changed our Cash and Cash Equivalents policy to exclude outstanding payments from “Cash and cash equivalents” on the condensed consolidated balance sheets. Prior year financial information has been updated to conform to our current presentation on the condensed consolidated balance sheet and condensed consolidated statement of cash flows. See the Cash and Cash Equivalents section below for further discussion of the change and the impact on the financial statements.</w:t>
      </w:r>
    </w:p>
    <w:p>
      <w:pPr>
        <w:spacing w:after="0" w:line="59" w:lineRule="exact"/>
        <w:rPr>
          <w:sz w:val="20"/>
          <w:szCs w:val="20"/>
          <w:color w:val="auto"/>
        </w:rPr>
      </w:pPr>
    </w:p>
    <w:p>
      <w:pPr>
        <w:jc w:val="both"/>
        <w:ind w:right="200"/>
        <w:spacing w:after="0" w:line="28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reflect all adjustments, which consist of normal recurring adjustments, necessary for a fair presentation thereof. The results reported in these unaudited condensed consolidated financial statements are not necessarily indicative of the results that may be expected for the entire year. These unaudited condensed consolidated financial statements should be read in conjunction with the consolidated financial statements and notes thereto included in the Annual Report on Form 10-K filed on February 11, 2025.</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ind w:right="5060"/>
        <w:spacing w:after="0" w:line="417" w:lineRule="auto"/>
        <w:rPr>
          <w:sz w:val="20"/>
          <w:szCs w:val="20"/>
          <w:color w:val="auto"/>
        </w:rPr>
      </w:pPr>
      <w:r>
        <w:rPr>
          <w:rFonts w:ascii="Arial" w:cs="Arial" w:eastAsia="Arial" w:hAnsi="Arial"/>
          <w:sz w:val="18"/>
          <w:szCs w:val="18"/>
          <w:b w:val="1"/>
          <w:bCs w:val="1"/>
          <w:color w:val="901588"/>
        </w:rPr>
        <w:t>ACCOUNTING STANDARDS UPDATES ISSUED BUT NOT YET ADOPTED ASU 2023-09 Income Taxes</w:t>
      </w:r>
    </w:p>
    <w:p>
      <w:pPr>
        <w:spacing w:after="0" w:line="1"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color w:val="auto"/>
        </w:rPr>
        <w:t>In December 2023, the FASB issued ASU 2023-09, to enhance the transparency and usefulness of income tax disclosures. The update requires enhancements to the annual rate reconciliation, including disclosure of specific categories and additional information for reconciling items meeting a quantitative threshold. The update also requires disclosure of income taxes paid disaggregated by federal, state and foreign taxes, and individual jurisdictions meeting a quantitative threshold.</w:t>
      </w:r>
    </w:p>
    <w:p>
      <w:pPr>
        <w:spacing w:after="0" w:line="7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amendments in this update are effective for public business entities for annual periods beginning after December 15, 2024, and may be adopted on a prospective or retrospective basis. Early adoption is permitted. We are currently evaluating the impacts of this update and plan to adopt these amendments using the prospective approach for annual disclosures in fiscal 2025.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ASU 2024-03 Disaggregation of Income Statement Expenses</w:t>
      </w:r>
    </w:p>
    <w:p>
      <w:pPr>
        <w:spacing w:after="0" w:line="12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In November 2024, the FASB issued ASU 2024-03,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w:t>
      </w:r>
    </w:p>
    <w:p>
      <w:pPr>
        <w:spacing w:after="0" w:line="71"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auto"/>
        </w:rPr>
        <w:t>The amendments in this update are effective for public entities for annual periods beginning after December 15, 2026, and interim periods beginning after December 15, 2027. The amendments may be adopted either prospectively or retrospectively. Early adoption is permitted. We are currently evaluating the impacts of this update and plan to adopt these amendments for annual disclosures in fiscal 2027 and interim disclosures in fiscal 2028.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CHANGES IN ESTIMATES ON CONTRACTS</w:t>
      </w:r>
    </w:p>
    <w:p>
      <w:pPr>
        <w:spacing w:after="0" w:line="1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20"/>
                <w:szCs w:val="20"/>
                <w:color w:val="auto"/>
              </w:rPr>
            </w:pPr>
            <w:r>
              <w:rPr>
                <w:rFonts w:ascii="Arial" w:cs="Arial" w:eastAsia="Arial" w:hAnsi="Arial"/>
                <w:sz w:val="16"/>
                <w:szCs w:val="16"/>
                <w:color w:val="auto"/>
              </w:rPr>
              <w:t>Changes in estimates on contracts were as follows:</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82"/>
        </w:trPr>
        <w:tc>
          <w:tcPr>
            <w:tcW w:w="4740" w:type="dxa"/>
            <w:vAlign w:val="bottom"/>
          </w:tcPr>
          <w:p>
            <w:pPr>
              <w:spacing w:after="0"/>
              <w:rPr>
                <w:sz w:val="24"/>
                <w:szCs w:val="24"/>
                <w:color w:val="auto"/>
              </w:rPr>
            </w:pPr>
          </w:p>
        </w:tc>
        <w:tc>
          <w:tcPr>
            <w:tcW w:w="460" w:type="dxa"/>
            <w:vAlign w:val="bottom"/>
            <w:tcBorders>
              <w:bottom w:val="single" w:sz="8" w:color="901588"/>
            </w:tcBorders>
          </w:tcPr>
          <w:p>
            <w:pPr>
              <w:spacing w:after="0"/>
              <w:rPr>
                <w:sz w:val="24"/>
                <w:szCs w:val="24"/>
                <w:color w:val="auto"/>
              </w:rPr>
            </w:pPr>
          </w:p>
        </w:tc>
        <w:tc>
          <w:tcPr>
            <w:tcW w:w="2020" w:type="dxa"/>
            <w:vAlign w:val="bottom"/>
            <w:tcBorders>
              <w:bottom w:val="single" w:sz="8" w:color="901588"/>
            </w:tcBorders>
            <w:gridSpan w:val="3"/>
          </w:tcPr>
          <w:p>
            <w:pPr>
              <w:jc w:val="right"/>
              <w:ind w:right="80"/>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901588"/>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901588"/>
            </w:tcBorders>
          </w:tcPr>
          <w:p>
            <w:pPr>
              <w:spacing w:after="0"/>
              <w:rPr>
                <w:sz w:val="24"/>
                <w:szCs w:val="24"/>
                <w:color w:val="auto"/>
              </w:rPr>
            </w:pPr>
          </w:p>
        </w:tc>
        <w:tc>
          <w:tcPr>
            <w:tcW w:w="192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6"/>
                <w:szCs w:val="16"/>
                <w:b w:val="1"/>
                <w:bCs w:val="1"/>
                <w:color w:val="auto"/>
              </w:rPr>
              <w:t>Six Months Ended</w:t>
            </w:r>
          </w:p>
        </w:tc>
        <w:tc>
          <w:tcPr>
            <w:tcW w:w="780" w:type="dxa"/>
            <w:vAlign w:val="bottom"/>
            <w:tcBorders>
              <w:bottom w:val="single" w:sz="8" w:color="901588"/>
            </w:tcBorders>
          </w:tcPr>
          <w:p>
            <w:pPr>
              <w:spacing w:after="0"/>
              <w:rPr>
                <w:sz w:val="24"/>
                <w:szCs w:val="24"/>
                <w:color w:val="auto"/>
              </w:rPr>
            </w:pPr>
          </w:p>
        </w:tc>
      </w:tr>
      <w:tr>
        <w:trPr>
          <w:trHeight w:val="199"/>
        </w:trPr>
        <w:tc>
          <w:tcPr>
            <w:tcW w:w="474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June 28,</w:t>
            </w:r>
          </w:p>
        </w:tc>
        <w:tc>
          <w:tcPr>
            <w:tcW w:w="520" w:type="dxa"/>
            <w:vAlign w:val="bottom"/>
            <w:shd w:val="clear" w:color="auto" w:fill="F4E8F3"/>
          </w:tcPr>
          <w:p>
            <w:pPr>
              <w:spacing w:after="0"/>
              <w:rPr>
                <w:sz w:val="17"/>
                <w:szCs w:val="17"/>
                <w:color w:val="auto"/>
              </w:rPr>
            </w:pP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June 28,</w:t>
            </w:r>
          </w:p>
        </w:tc>
      </w:tr>
      <w:tr>
        <w:trPr>
          <w:trHeight w:val="237"/>
        </w:trPr>
        <w:tc>
          <w:tcPr>
            <w:tcW w:w="4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 except per share data)</w:t>
            </w:r>
          </w:p>
        </w:tc>
        <w:tc>
          <w:tcPr>
            <w:tcW w:w="4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901588"/>
            </w:tcBorders>
          </w:tcPr>
          <w:p>
            <w:pPr>
              <w:spacing w:after="0"/>
              <w:rPr>
                <w:sz w:val="20"/>
                <w:szCs w:val="20"/>
                <w:color w:val="auto"/>
              </w:rPr>
            </w:pPr>
          </w:p>
        </w:tc>
        <w:tc>
          <w:tcPr>
            <w:tcW w:w="52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9"/>
        </w:trPr>
        <w:tc>
          <w:tcPr>
            <w:tcW w:w="4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Favorable impact</w:t>
            </w:r>
          </w:p>
        </w:tc>
        <w:tc>
          <w:tcPr>
            <w:tcW w:w="46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w:t>
            </w:r>
          </w:p>
        </w:tc>
        <w:tc>
          <w:tcPr>
            <w:tcW w:w="940" w:type="dxa"/>
            <w:vAlign w:val="bottom"/>
            <w:tcBorders>
              <w:bottom w:val="single" w:sz="8" w:color="B2B2B2"/>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95</w:t>
            </w:r>
          </w:p>
        </w:tc>
        <w:tc>
          <w:tcPr>
            <w:tcW w:w="880" w:type="dxa"/>
            <w:vAlign w:val="bottom"/>
            <w:tcBorders>
              <w:bottom w:val="single" w:sz="8" w:color="B2B2B2"/>
            </w:tcBorders>
            <w:gridSpan w:val="2"/>
          </w:tcPr>
          <w:p>
            <w:pPr>
              <w:jc w:val="right"/>
              <w:ind w:right="6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w:t>
            </w:r>
          </w:p>
        </w:tc>
      </w:tr>
      <w:tr>
        <w:trPr>
          <w:trHeight w:val="236"/>
        </w:trPr>
        <w:tc>
          <w:tcPr>
            <w:tcW w:w="4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Unfavorable impact</w:t>
            </w:r>
          </w:p>
        </w:tc>
        <w:tc>
          <w:tcPr>
            <w:tcW w:w="460" w:type="dxa"/>
            <w:vAlign w:val="bottom"/>
            <w:tcBorders>
              <w:bottom w:val="single" w:sz="8" w:color="901588"/>
            </w:tcBorders>
            <w:shd w:val="clear" w:color="auto" w:fill="F4E8F3"/>
          </w:tcPr>
          <w:p>
            <w:pPr>
              <w:spacing w:after="0"/>
              <w:rPr>
                <w:sz w:val="20"/>
                <w:szCs w:val="20"/>
                <w:color w:val="auto"/>
              </w:rPr>
            </w:pP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B2B2B2"/>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(79)</w:t>
            </w:r>
          </w:p>
        </w:tc>
      </w:tr>
      <w:tr>
        <w:trPr>
          <w:trHeight w:val="280"/>
        </w:trPr>
        <w:tc>
          <w:tcPr>
            <w:tcW w:w="4740" w:type="dxa"/>
            <w:vAlign w:val="bottom"/>
          </w:tcPr>
          <w:p>
            <w:pPr>
              <w:ind w:left="20"/>
              <w:spacing w:after="0"/>
              <w:rPr>
                <w:sz w:val="20"/>
                <w:szCs w:val="20"/>
                <w:color w:val="auto"/>
              </w:rPr>
            </w:pPr>
            <w:r>
              <w:rPr>
                <w:rFonts w:ascii="Arial" w:cs="Arial" w:eastAsia="Arial" w:hAnsi="Arial"/>
                <w:sz w:val="16"/>
                <w:szCs w:val="16"/>
                <w:color w:val="auto"/>
              </w:rPr>
              <w:t>Net impact to income before income taxes</w:t>
            </w:r>
          </w:p>
        </w:tc>
        <w:tc>
          <w:tcPr>
            <w:tcW w:w="460" w:type="dxa"/>
            <w:vAlign w:val="bottom"/>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8</w:t>
            </w:r>
          </w:p>
        </w:tc>
        <w:tc>
          <w:tcPr>
            <w:tcW w:w="94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4"/>
                <w:szCs w:val="24"/>
                <w:color w:val="auto"/>
              </w:rPr>
            </w:pPr>
          </w:p>
        </w:tc>
        <w:tc>
          <w:tcPr>
            <w:tcW w:w="520" w:type="dxa"/>
            <w:vAlign w:val="bottom"/>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38</w:t>
            </w:r>
          </w:p>
        </w:tc>
        <w:tc>
          <w:tcPr>
            <w:tcW w:w="88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4740" w:type="dxa"/>
            <w:vAlign w:val="bottom"/>
            <w:tcBorders>
              <w:top w:val="single" w:sz="8" w:color="B2B2B2"/>
              <w:bottom w:val="single" w:sz="8" w:color="B2B2B2"/>
            </w:tcBorders>
          </w:tcPr>
          <w:p>
            <w:pPr>
              <w:spacing w:after="0"/>
              <w:rPr>
                <w:sz w:val="20"/>
                <w:szCs w:val="20"/>
                <w:color w:val="auto"/>
              </w:rPr>
            </w:pPr>
          </w:p>
        </w:tc>
        <w:tc>
          <w:tcPr>
            <w:tcW w:w="460" w:type="dxa"/>
            <w:vAlign w:val="bottom"/>
            <w:tcBorders>
              <w:top w:val="single" w:sz="8" w:color="901588"/>
              <w:bottom w:val="single" w:sz="8" w:color="B2B2B2"/>
            </w:tcBorders>
            <w:shd w:val="clear" w:color="auto" w:fill="F4E8F3"/>
          </w:tcPr>
          <w:p>
            <w:pPr>
              <w:spacing w:after="0"/>
              <w:rPr>
                <w:sz w:val="20"/>
                <w:szCs w:val="20"/>
                <w:color w:val="auto"/>
              </w:rPr>
            </w:pPr>
          </w:p>
        </w:tc>
        <w:tc>
          <w:tcPr>
            <w:tcW w:w="1080" w:type="dxa"/>
            <w:vAlign w:val="bottom"/>
            <w:tcBorders>
              <w:top w:val="single" w:sz="8" w:color="901588"/>
              <w:bottom w:val="single" w:sz="8" w:color="B2B2B2"/>
            </w:tcBorders>
            <w:shd w:val="clear" w:color="auto" w:fill="F4E8F3"/>
          </w:tcPr>
          <w:p>
            <w:pPr>
              <w:spacing w:after="0"/>
              <w:rPr>
                <w:sz w:val="20"/>
                <w:szCs w:val="20"/>
                <w:color w:val="auto"/>
              </w:rPr>
            </w:pPr>
          </w:p>
        </w:tc>
        <w:tc>
          <w:tcPr>
            <w:tcW w:w="100" w:type="dxa"/>
            <w:vAlign w:val="bottom"/>
            <w:tcBorders>
              <w:top w:val="single" w:sz="8" w:color="B2B2B2"/>
              <w:bottom w:val="single" w:sz="8" w:color="B2B2B2"/>
            </w:tcBorders>
          </w:tcPr>
          <w:p>
            <w:pPr>
              <w:spacing w:after="0"/>
              <w:rPr>
                <w:sz w:val="20"/>
                <w:szCs w:val="20"/>
                <w:color w:val="auto"/>
              </w:rPr>
            </w:pPr>
          </w:p>
        </w:tc>
        <w:tc>
          <w:tcPr>
            <w:tcW w:w="840" w:type="dxa"/>
            <w:vAlign w:val="bottom"/>
            <w:tcBorders>
              <w:top w:val="single" w:sz="8" w:color="901588"/>
              <w:bottom w:val="single" w:sz="8" w:color="B2B2B2"/>
            </w:tcBorders>
          </w:tcPr>
          <w:p>
            <w:pPr>
              <w:spacing w:after="0"/>
              <w:rPr>
                <w:sz w:val="20"/>
                <w:szCs w:val="20"/>
                <w:color w:val="auto"/>
              </w:rPr>
            </w:pPr>
          </w:p>
        </w:tc>
        <w:tc>
          <w:tcPr>
            <w:tcW w:w="720" w:type="dxa"/>
            <w:vAlign w:val="bottom"/>
            <w:tcBorders>
              <w:top w:val="single" w:sz="8" w:color="901588"/>
              <w:bottom w:val="single" w:sz="8" w:color="B2B2B2"/>
            </w:tcBorders>
          </w:tcPr>
          <w:p>
            <w:pPr>
              <w:spacing w:after="0"/>
              <w:rPr>
                <w:sz w:val="20"/>
                <w:szCs w:val="20"/>
                <w:color w:val="auto"/>
              </w:rPr>
            </w:pPr>
          </w:p>
        </w:tc>
        <w:tc>
          <w:tcPr>
            <w:tcW w:w="80" w:type="dxa"/>
            <w:vAlign w:val="bottom"/>
            <w:tcBorders>
              <w:top w:val="single" w:sz="8" w:color="B2B2B2"/>
              <w:bottom w:val="single" w:sz="8" w:color="B2B2B2"/>
            </w:tcBorders>
          </w:tcPr>
          <w:p>
            <w:pPr>
              <w:spacing w:after="0"/>
              <w:rPr>
                <w:sz w:val="20"/>
                <w:szCs w:val="20"/>
                <w:color w:val="auto"/>
              </w:rPr>
            </w:pPr>
          </w:p>
        </w:tc>
        <w:tc>
          <w:tcPr>
            <w:tcW w:w="520" w:type="dxa"/>
            <w:vAlign w:val="bottom"/>
            <w:tcBorders>
              <w:top w:val="single" w:sz="8" w:color="901588"/>
              <w:bottom w:val="single" w:sz="8" w:color="B2B2B2"/>
            </w:tcBorders>
            <w:shd w:val="clear" w:color="auto" w:fill="F4E8F3"/>
          </w:tcPr>
          <w:p>
            <w:pPr>
              <w:spacing w:after="0"/>
              <w:rPr>
                <w:sz w:val="20"/>
                <w:szCs w:val="20"/>
                <w:color w:val="auto"/>
              </w:rPr>
            </w:pPr>
          </w:p>
        </w:tc>
        <w:tc>
          <w:tcPr>
            <w:tcW w:w="1040" w:type="dxa"/>
            <w:vAlign w:val="bottom"/>
            <w:tcBorders>
              <w:top w:val="single" w:sz="8" w:color="901588"/>
              <w:bottom w:val="single" w:sz="8" w:color="B2B2B2"/>
            </w:tcBorders>
            <w:shd w:val="clear" w:color="auto" w:fill="F4E8F3"/>
          </w:tcPr>
          <w:p>
            <w:pPr>
              <w:spacing w:after="0"/>
              <w:rPr>
                <w:sz w:val="20"/>
                <w:szCs w:val="20"/>
                <w:color w:val="auto"/>
              </w:rPr>
            </w:pPr>
          </w:p>
        </w:tc>
        <w:tc>
          <w:tcPr>
            <w:tcW w:w="100" w:type="dxa"/>
            <w:vAlign w:val="bottom"/>
            <w:tcBorders>
              <w:top w:val="single" w:sz="8" w:color="B2B2B2"/>
              <w:bottom w:val="single" w:sz="8" w:color="B2B2B2"/>
            </w:tcBorders>
          </w:tcPr>
          <w:p>
            <w:pPr>
              <w:spacing w:after="0"/>
              <w:rPr>
                <w:sz w:val="20"/>
                <w:szCs w:val="20"/>
                <w:color w:val="auto"/>
              </w:rPr>
            </w:pPr>
          </w:p>
        </w:tc>
        <w:tc>
          <w:tcPr>
            <w:tcW w:w="780" w:type="dxa"/>
            <w:vAlign w:val="bottom"/>
            <w:tcBorders>
              <w:top w:val="single" w:sz="8" w:color="901588"/>
              <w:bottom w:val="single" w:sz="8" w:color="B2B2B2"/>
            </w:tcBorders>
          </w:tcPr>
          <w:p>
            <w:pPr>
              <w:spacing w:after="0"/>
              <w:rPr>
                <w:sz w:val="20"/>
                <w:szCs w:val="20"/>
                <w:color w:val="auto"/>
              </w:rPr>
            </w:pPr>
          </w:p>
        </w:tc>
        <w:tc>
          <w:tcPr>
            <w:tcW w:w="780" w:type="dxa"/>
            <w:vAlign w:val="bottom"/>
            <w:tcBorders>
              <w:top w:val="single" w:sz="8" w:color="901588"/>
              <w:bottom w:val="single" w:sz="8" w:color="B2B2B2"/>
            </w:tcBorders>
          </w:tcPr>
          <w:p>
            <w:pPr>
              <w:spacing w:after="0"/>
              <w:rPr>
                <w:sz w:val="20"/>
                <w:szCs w:val="20"/>
                <w:color w:val="auto"/>
              </w:rPr>
            </w:pPr>
          </w:p>
        </w:tc>
      </w:tr>
      <w:tr>
        <w:trPr>
          <w:trHeight w:val="195"/>
        </w:trPr>
        <w:tc>
          <w:tcPr>
            <w:tcW w:w="4740" w:type="dxa"/>
            <w:vAlign w:val="bottom"/>
          </w:tcPr>
          <w:p>
            <w:pPr>
              <w:ind w:left="20"/>
              <w:spacing w:after="0"/>
              <w:rPr>
                <w:sz w:val="20"/>
                <w:szCs w:val="20"/>
                <w:color w:val="auto"/>
              </w:rPr>
            </w:pPr>
            <w:r>
              <w:rPr>
                <w:rFonts w:ascii="Arial" w:cs="Arial" w:eastAsia="Arial" w:hAnsi="Arial"/>
                <w:sz w:val="16"/>
                <w:szCs w:val="16"/>
                <w:color w:val="auto"/>
              </w:rPr>
              <w:t>Impact on diluted EPS attributable to Leidos common</w:t>
            </w:r>
          </w:p>
        </w:tc>
        <w:tc>
          <w:tcPr>
            <w:tcW w:w="460" w:type="dxa"/>
            <w:vAlign w:val="bottom"/>
            <w:shd w:val="clear" w:color="auto" w:fill="F4E8F3"/>
          </w:tcPr>
          <w:p>
            <w:pPr>
              <w:spacing w:after="0"/>
              <w:rPr>
                <w:sz w:val="16"/>
                <w:szCs w:val="16"/>
                <w:color w:val="auto"/>
              </w:rPr>
            </w:pPr>
          </w:p>
        </w:tc>
        <w:tc>
          <w:tcPr>
            <w:tcW w:w="1080" w:type="dxa"/>
            <w:vAlign w:val="bottom"/>
            <w:shd w:val="clear" w:color="auto" w:fill="F4E8F3"/>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shd w:val="clear" w:color="auto" w:fill="F4E8F3"/>
          </w:tcPr>
          <w:p>
            <w:pPr>
              <w:spacing w:after="0"/>
              <w:rPr>
                <w:sz w:val="16"/>
                <w:szCs w:val="16"/>
                <w:color w:val="auto"/>
              </w:rPr>
            </w:pPr>
          </w:p>
        </w:tc>
        <w:tc>
          <w:tcPr>
            <w:tcW w:w="1040" w:type="dxa"/>
            <w:vAlign w:val="bottom"/>
            <w:shd w:val="clear" w:color="auto" w:fill="F4E8F3"/>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0"/>
        </w:trPr>
        <w:tc>
          <w:tcPr>
            <w:tcW w:w="4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stockholders</w:t>
            </w:r>
          </w:p>
        </w:tc>
        <w:tc>
          <w:tcPr>
            <w:tcW w:w="460" w:type="dxa"/>
            <w:vAlign w:val="bottom"/>
            <w:tcBorders>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0.05</w:t>
            </w:r>
          </w:p>
        </w:tc>
        <w:tc>
          <w:tcPr>
            <w:tcW w:w="940" w:type="dxa"/>
            <w:vAlign w:val="bottom"/>
            <w:tcBorders>
              <w:bottom w:val="single" w:sz="8" w:color="901588"/>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(0.07)</w:t>
            </w:r>
          </w:p>
        </w:tc>
        <w:tc>
          <w:tcPr>
            <w:tcW w:w="80" w:type="dxa"/>
            <w:vAlign w:val="bottom"/>
            <w:tcBorders>
              <w:bottom w:val="single" w:sz="8" w:color="901588"/>
            </w:tcBorders>
          </w:tcPr>
          <w:p>
            <w:pPr>
              <w:spacing w:after="0"/>
              <w:rPr>
                <w:sz w:val="20"/>
                <w:szCs w:val="20"/>
                <w:color w:val="auto"/>
              </w:rPr>
            </w:pPr>
          </w:p>
        </w:tc>
        <w:tc>
          <w:tcPr>
            <w:tcW w:w="520" w:type="dxa"/>
            <w:vAlign w:val="bottom"/>
            <w:tcBorders>
              <w:bottom w:val="single" w:sz="8" w:color="901588"/>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0.22</w:t>
            </w:r>
          </w:p>
        </w:tc>
        <w:tc>
          <w:tcPr>
            <w:tcW w:w="880" w:type="dxa"/>
            <w:vAlign w:val="bottom"/>
            <w:tcBorders>
              <w:bottom w:val="single" w:sz="8" w:color="901588"/>
            </w:tcBorders>
            <w:gridSpan w:val="2"/>
          </w:tcPr>
          <w:p>
            <w:pPr>
              <w:jc w:val="right"/>
              <w:ind w:right="6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(0.06)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impact on diluted earnings per share ("EPS") attributable to Leidos common stockholders is calculated using the statutory tax 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Revenue Recognized from Prior Obligations</w:t>
      </w:r>
    </w:p>
    <w:p>
      <w:pPr>
        <w:spacing w:after="0" w:line="14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We recognized revenue of $3 million and $24 million for the three and six months ended July 4, 2025, respectively, and reduced revenue by $16 million and $21 million from performance obligations satisfied in previous periods for the three and six months ended June 28, 2024, respectively. The changes primarily relate to revisions of variable consideration including award and incentive fees, and revisions to estimates at completion resulting from changes in contract scope, mitigation of contract risks or true-ups of contract estimates at the end of contract performance.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9</w:t>
            </w:r>
          </w:p>
        </w:tc>
      </w:tr>
      <w:tr>
        <w:trPr>
          <w:trHeight w:val="33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CASH AND CASH EQUIVALENTS</w:t>
      </w:r>
    </w:p>
    <w:p>
      <w:pPr>
        <w:spacing w:after="0" w:line="122"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Our cash equivalents are primarily comprised of investments in several large institutional money market accounts, with original maturity of three months or less. Effective as of the first quarter of fiscal 2025, we changed our policy to exclude outstanding payments from “Cash and cash equivalents” on the condensed consolidated balance sheets. To reflect the change in accounting policy, we recast "Cash and cash equivalents" and "Accounts payable and accrued liabilities" on the condensed consolidated balance sheet as of January 3, 2025, reducing both balances by $94 million from the previously reported amounts. The recast of the condensed consolidated statement of cash flows for the six months ended June 28, 2024, resulted in an increase of $57 million to net cash provided by operations.</w:t>
      </w:r>
    </w:p>
    <w:p>
      <w:pPr>
        <w:spacing w:after="0" w:line="8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believe this presentation enhances the usefulness of financial reporting and enhances comparability to align with industry practice. There is no impact to our condensed consolidated statements of operations, including EPS, condensed consolidated statements of comprehensive income, or condensed consolidated statements of equity. All periods presented have been adjusted.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RESTRICTED CASH</w:t>
      </w:r>
    </w:p>
    <w:p>
      <w:pPr>
        <w:spacing w:after="0" w:line="122"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We have restricted cash balances, primarily representing advances from customers that are restricted for use on certain expenditures related to that customer's contract. Restricted cash balances are included as "Other current assets" in the condensed consolidated balance sheets. Our restricted cash balances were $90 million and $141 million at July 4, 2025, and January 3, 2025,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2–Revenues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REMAINING PERFORMANCE OBLIGATIONS</w:t>
      </w:r>
    </w:p>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Remaining performance obligations ("RPO") represent the expected value of exercised contracts, both funded and unfunded, less revenue recognized to date. RPO does not include unexercised option periods and future potential task orders expected to be awarded under indefinite delivery/indefinite quantity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61"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As of July 4, 2025, we had $16 billion of RPO and expect to recognize approximately 61% and 80% over the next 12 months and 24 months, respectively, with the remainder to be recognized thereafter.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DISAGGREGATION OF REVENUES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We disaggregate revenues by customer-type, contract-type and geographic location for each of our reportable segments.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customer-type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8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3280" w:type="dxa"/>
            <w:vAlign w:val="bottom"/>
            <w:tcBorders>
              <w:bottom w:val="single" w:sz="8" w:color="901588"/>
            </w:tcBorders>
            <w:gridSpan w:val="8"/>
          </w:tcPr>
          <w:p>
            <w:pPr>
              <w:jc w:val="right"/>
              <w:ind w:right="159"/>
              <w:spacing w:after="0"/>
              <w:rPr>
                <w:sz w:val="20"/>
                <w:szCs w:val="20"/>
                <w:color w:val="auto"/>
              </w:rPr>
            </w:pPr>
            <w:r>
              <w:rPr>
                <w:rFonts w:ascii="Arial" w:cs="Arial" w:eastAsia="Arial" w:hAnsi="Arial"/>
                <w:sz w:val="16"/>
                <w:szCs w:val="16"/>
                <w:b w:val="1"/>
                <w:bCs w:val="1"/>
                <w:color w:val="auto"/>
              </w:rPr>
              <w:t>Three Months Ended July 4, 2025</w:t>
            </w:r>
          </w:p>
        </w:tc>
        <w:tc>
          <w:tcPr>
            <w:tcW w:w="90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60" w:type="dxa"/>
            <w:vAlign w:val="bottom"/>
            <w:tcBorders>
              <w:bottom w:val="single" w:sz="8" w:color="901588"/>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4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3"/>
          </w:tcPr>
          <w:p>
            <w:pPr>
              <w:ind w:left="140"/>
              <w:spacing w:after="0"/>
              <w:rPr>
                <w:sz w:val="20"/>
                <w:szCs w:val="20"/>
                <w:color w:val="auto"/>
              </w:rPr>
            </w:pPr>
            <w:r>
              <w:rPr>
                <w:rFonts w:ascii="Arial" w:cs="Arial" w:eastAsia="Arial" w:hAnsi="Arial"/>
                <w:sz w:val="16"/>
                <w:szCs w:val="16"/>
                <w:b w:val="1"/>
                <w:bCs w:val="1"/>
                <w:color w:val="auto"/>
              </w:rPr>
              <w:t>Health &amp; Civil</w:t>
            </w: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420" w:type="dxa"/>
            <w:vAlign w:val="bottom"/>
            <w:tcBorders>
              <w:bottom w:val="single" w:sz="8" w:color="901588"/>
            </w:tcBorders>
          </w:tcPr>
          <w:p>
            <w:pPr>
              <w:spacing w:after="0"/>
              <w:rPr>
                <w:sz w:val="20"/>
                <w:szCs w:val="20"/>
                <w:color w:val="auto"/>
              </w:rPr>
            </w:pPr>
          </w:p>
        </w:tc>
        <w:tc>
          <w:tcPr>
            <w:tcW w:w="100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1,324</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253</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486</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2,065</w:t>
            </w:r>
          </w:p>
        </w:tc>
      </w:tr>
      <w:tr>
        <w:trPr>
          <w:trHeight w:val="240"/>
        </w:trPr>
        <w:tc>
          <w:tcPr>
            <w:tcW w:w="354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507</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995</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99</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1,624</w:t>
            </w:r>
          </w:p>
        </w:tc>
      </w:tr>
      <w:tr>
        <w:trPr>
          <w:trHeight w:val="23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26</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19</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465</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544</w:t>
            </w:r>
          </w:p>
        </w:tc>
      </w:tr>
      <w:tr>
        <w:trPr>
          <w:trHeight w:val="305"/>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1,857</w:t>
            </w:r>
          </w:p>
        </w:tc>
        <w:tc>
          <w:tcPr>
            <w:tcW w:w="20" w:type="dxa"/>
            <w:vAlign w:val="bottom"/>
            <w:tcBorders>
              <w:bottom w:val="single" w:sz="8" w:color="F4E8F3"/>
            </w:tcBorders>
            <w:shd w:val="clear" w:color="auto" w:fill="F4E8F3"/>
          </w:tcPr>
          <w:p>
            <w:pPr>
              <w:spacing w:after="0"/>
              <w:rPr>
                <w:sz w:val="24"/>
                <w:szCs w:val="24"/>
                <w:color w:val="auto"/>
              </w:rPr>
            </w:pPr>
          </w:p>
        </w:tc>
        <w:tc>
          <w:tcPr>
            <w:tcW w:w="60" w:type="dxa"/>
            <w:vAlign w:val="bottom"/>
            <w:tcBorders>
              <w:bottom w:val="single" w:sz="8" w:color="F4E8F3"/>
            </w:tcBorders>
            <w:shd w:val="clear" w:color="auto" w:fill="F4E8F3"/>
          </w:tcPr>
          <w:p>
            <w:pPr>
              <w:spacing w:after="0"/>
              <w:rPr>
                <w:sz w:val="24"/>
                <w:szCs w:val="24"/>
                <w:color w:val="auto"/>
              </w:rPr>
            </w:pPr>
          </w:p>
        </w:tc>
        <w:tc>
          <w:tcPr>
            <w:tcW w:w="260" w:type="dxa"/>
            <w:vAlign w:val="bottom"/>
            <w:tcBorders>
              <w:bottom w:val="single" w:sz="8" w:color="901588"/>
            </w:tcBorders>
            <w:gridSpan w:val="2"/>
            <w:shd w:val="clear" w:color="auto" w:fill="F4E8F3"/>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1,267</w:t>
            </w:r>
          </w:p>
        </w:tc>
        <w:tc>
          <w:tcPr>
            <w:tcW w:w="20" w:type="dxa"/>
            <w:vAlign w:val="bottom"/>
            <w:tcBorders>
              <w:bottom w:val="single" w:sz="8" w:color="F4E8F3"/>
            </w:tcBorders>
            <w:shd w:val="clear" w:color="auto" w:fill="F4E8F3"/>
          </w:tcPr>
          <w:p>
            <w:pPr>
              <w:spacing w:after="0"/>
              <w:rPr>
                <w:sz w:val="24"/>
                <w:szCs w:val="24"/>
                <w:color w:val="auto"/>
              </w:rPr>
            </w:pPr>
          </w:p>
        </w:tc>
        <w:tc>
          <w:tcPr>
            <w:tcW w:w="6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566</w:t>
            </w:r>
          </w:p>
        </w:tc>
        <w:tc>
          <w:tcPr>
            <w:tcW w:w="100" w:type="dxa"/>
            <w:vAlign w:val="bottom"/>
            <w:tcBorders>
              <w:bottom w:val="single" w:sz="8" w:color="F4E8F3"/>
            </w:tcBorders>
            <w:shd w:val="clear" w:color="auto" w:fill="F4E8F3"/>
          </w:tcPr>
          <w:p>
            <w:pPr>
              <w:spacing w:after="0"/>
              <w:rPr>
                <w:sz w:val="24"/>
                <w:szCs w:val="24"/>
                <w:color w:val="auto"/>
              </w:rPr>
            </w:pP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543</w:t>
            </w:r>
          </w:p>
        </w:tc>
        <w:tc>
          <w:tcPr>
            <w:tcW w:w="100" w:type="dxa"/>
            <w:vAlign w:val="bottom"/>
            <w:tcBorders>
              <w:bottom w:val="single" w:sz="8" w:color="F4E8F3"/>
            </w:tcBorders>
            <w:shd w:val="clear" w:color="auto" w:fill="F4E8F3"/>
          </w:tcPr>
          <w:p>
            <w:pPr>
              <w:spacing w:after="0"/>
              <w:rPr>
                <w:sz w:val="24"/>
                <w:szCs w:val="24"/>
                <w:color w:val="auto"/>
              </w:rPr>
            </w:pPr>
          </w:p>
        </w:tc>
        <w:tc>
          <w:tcPr>
            <w:tcW w:w="48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4,233</w:t>
            </w:r>
          </w:p>
        </w:tc>
      </w:tr>
      <w:tr>
        <w:trPr>
          <w:trHeight w:val="440"/>
        </w:trPr>
        <w:tc>
          <w:tcPr>
            <w:tcW w:w="3540" w:type="dxa"/>
            <w:vAlign w:val="bottom"/>
            <w:tcBorders>
              <w:top w:val="single" w:sz="8" w:color="901588"/>
            </w:tcBorders>
          </w:tcPr>
          <w:p>
            <w:pPr>
              <w:spacing w:after="0"/>
              <w:rPr>
                <w:sz w:val="24"/>
                <w:szCs w:val="24"/>
                <w:color w:val="auto"/>
              </w:rPr>
            </w:pPr>
          </w:p>
        </w:tc>
        <w:tc>
          <w:tcPr>
            <w:tcW w:w="180" w:type="dxa"/>
            <w:vAlign w:val="bottom"/>
            <w:tcBorders>
              <w:top w:val="single" w:sz="8" w:color="901588"/>
              <w:bottom w:val="single" w:sz="8" w:color="901588"/>
            </w:tcBorders>
          </w:tcPr>
          <w:p>
            <w:pPr>
              <w:spacing w:after="0"/>
              <w:rPr>
                <w:sz w:val="24"/>
                <w:szCs w:val="24"/>
                <w:color w:val="auto"/>
              </w:rPr>
            </w:pPr>
          </w:p>
        </w:tc>
        <w:tc>
          <w:tcPr>
            <w:tcW w:w="15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240" w:type="dxa"/>
            <w:vAlign w:val="bottom"/>
            <w:tcBorders>
              <w:top w:val="single" w:sz="8" w:color="901588"/>
              <w:bottom w:val="single" w:sz="8" w:color="901588"/>
            </w:tcBorders>
          </w:tcPr>
          <w:p>
            <w:pPr>
              <w:spacing w:after="0"/>
              <w:rPr>
                <w:sz w:val="24"/>
                <w:szCs w:val="24"/>
                <w:color w:val="auto"/>
              </w:rPr>
            </w:pPr>
          </w:p>
        </w:tc>
        <w:tc>
          <w:tcPr>
            <w:tcW w:w="3280" w:type="dxa"/>
            <w:vAlign w:val="bottom"/>
            <w:tcBorders>
              <w:top w:val="single" w:sz="8" w:color="901588"/>
              <w:bottom w:val="single" w:sz="8" w:color="901588"/>
            </w:tcBorders>
            <w:gridSpan w:val="8"/>
          </w:tcPr>
          <w:p>
            <w:pPr>
              <w:jc w:val="right"/>
              <w:ind w:right="139"/>
              <w:spacing w:after="0"/>
              <w:rPr>
                <w:sz w:val="20"/>
                <w:szCs w:val="20"/>
                <w:color w:val="auto"/>
              </w:rPr>
            </w:pPr>
            <w:r>
              <w:rPr>
                <w:rFonts w:ascii="Arial" w:cs="Arial" w:eastAsia="Arial" w:hAnsi="Arial"/>
                <w:sz w:val="16"/>
                <w:szCs w:val="16"/>
                <w:color w:val="auto"/>
              </w:rPr>
              <w:t>Three Months Ended June 28, 2024</w:t>
            </w:r>
          </w:p>
        </w:tc>
        <w:tc>
          <w:tcPr>
            <w:tcW w:w="90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480" w:type="dxa"/>
            <w:vAlign w:val="bottom"/>
            <w:tcBorders>
              <w:top w:val="single" w:sz="8" w:color="901588"/>
              <w:bottom w:val="single" w:sz="8" w:color="901588"/>
            </w:tcBorders>
          </w:tcPr>
          <w:p>
            <w:pPr>
              <w:spacing w:after="0"/>
              <w:rPr>
                <w:sz w:val="24"/>
                <w:szCs w:val="24"/>
                <w:color w:val="auto"/>
              </w:rPr>
            </w:pPr>
          </w:p>
        </w:tc>
        <w:tc>
          <w:tcPr>
            <w:tcW w:w="860" w:type="dxa"/>
            <w:vAlign w:val="bottom"/>
            <w:tcBorders>
              <w:top w:val="single" w:sz="8" w:color="901588"/>
              <w:bottom w:val="single" w:sz="8" w:color="901588"/>
            </w:tcBorders>
          </w:tcPr>
          <w:p>
            <w:pPr>
              <w:spacing w:after="0"/>
              <w:rPr>
                <w:sz w:val="24"/>
                <w:szCs w:val="24"/>
                <w:color w:val="auto"/>
              </w:rPr>
            </w:pPr>
          </w:p>
        </w:tc>
      </w:tr>
      <w:tr>
        <w:trPr>
          <w:trHeight w:val="202"/>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6"/>
                <w:szCs w:val="16"/>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Digital</w:t>
            </w: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3"/>
          </w:tcPr>
          <w:p>
            <w:pPr>
              <w:ind w:left="220"/>
              <w:spacing w:after="0"/>
              <w:rPr>
                <w:sz w:val="20"/>
                <w:szCs w:val="20"/>
                <w:color w:val="auto"/>
              </w:rPr>
            </w:pPr>
            <w:r>
              <w:rPr>
                <w:rFonts w:ascii="Arial" w:cs="Arial" w:eastAsia="Arial" w:hAnsi="Arial"/>
                <w:sz w:val="16"/>
                <w:szCs w:val="16"/>
                <w:color w:val="auto"/>
              </w:rPr>
              <w:t>Health &amp; Civil</w:t>
            </w: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Defense Systems</w:t>
            </w: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1,247</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255</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1,947</w:t>
            </w:r>
          </w:p>
        </w:tc>
      </w:tr>
      <w:tr>
        <w:trPr>
          <w:trHeight w:val="24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80" w:type="dxa"/>
            <w:vAlign w:val="bottom"/>
            <w:tcBorders>
              <w:bottom w:val="single" w:sz="8" w:color="B2B2B2"/>
            </w:tcBorders>
          </w:tcPr>
          <w:p>
            <w:pPr>
              <w:spacing w:after="0"/>
              <w:rPr>
                <w:sz w:val="21"/>
                <w:szCs w:val="21"/>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520</w:t>
            </w:r>
          </w:p>
        </w:tc>
        <w:tc>
          <w:tcPr>
            <w:tcW w:w="20" w:type="dxa"/>
            <w:vAlign w:val="bottom"/>
            <w:tcBorders>
              <w:bottom w:val="single" w:sz="8" w:color="B2B2B2"/>
            </w:tcBorders>
          </w:tcPr>
          <w:p>
            <w:pPr>
              <w:spacing w:after="0"/>
              <w:rPr>
                <w:sz w:val="21"/>
                <w:szCs w:val="21"/>
                <w:color w:val="auto"/>
              </w:rPr>
            </w:pPr>
          </w:p>
        </w:tc>
        <w:tc>
          <w:tcPr>
            <w:tcW w:w="6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986</w:t>
            </w:r>
          </w:p>
        </w:tc>
        <w:tc>
          <w:tcPr>
            <w:tcW w:w="20" w:type="dxa"/>
            <w:vAlign w:val="bottom"/>
            <w:tcBorders>
              <w:bottom w:val="single" w:sz="8" w:color="B2B2B2"/>
            </w:tcBorders>
          </w:tcPr>
          <w:p>
            <w:pPr>
              <w:spacing w:after="0"/>
              <w:rPr>
                <w:sz w:val="21"/>
                <w:szCs w:val="21"/>
                <w:color w:val="auto"/>
              </w:rPr>
            </w:pPr>
          </w:p>
        </w:tc>
        <w:tc>
          <w:tcPr>
            <w:tcW w:w="6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B2B2B2"/>
            </w:tcBorders>
          </w:tcPr>
          <w:p>
            <w:pPr>
              <w:spacing w:after="0"/>
              <w:rPr>
                <w:sz w:val="21"/>
                <w:szCs w:val="21"/>
                <w:color w:val="auto"/>
              </w:rPr>
            </w:pPr>
          </w:p>
        </w:tc>
        <w:tc>
          <w:tcPr>
            <w:tcW w:w="42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1,611</w:t>
            </w:r>
          </w:p>
        </w:tc>
      </w:tr>
      <w:tr>
        <w:trPr>
          <w:trHeight w:val="230"/>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549</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1,795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4,107</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80" w:type="dxa"/>
            <w:vAlign w:val="bottom"/>
            <w:tcBorders>
              <w:top w:val="single" w:sz="8" w:color="901588"/>
              <w:bottom w:val="single" w:sz="8" w:color="901588"/>
            </w:tcBorders>
          </w:tcPr>
          <w:p>
            <w:pPr>
              <w:spacing w:after="0" w:line="20" w:lineRule="exact"/>
              <w:rPr>
                <w:sz w:val="1"/>
                <w:szCs w:val="1"/>
                <w:color w:val="auto"/>
              </w:rPr>
            </w:pPr>
          </w:p>
        </w:tc>
        <w:tc>
          <w:tcPr>
            <w:tcW w:w="156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top w:val="single" w:sz="8" w:color="901588"/>
              <w:bottom w:val="single" w:sz="8" w:color="901588"/>
            </w:tcBorders>
          </w:tcPr>
          <w:p>
            <w:pPr>
              <w:spacing w:after="0" w:line="20" w:lineRule="exact"/>
              <w:rPr>
                <w:sz w:val="1"/>
                <w:szCs w:val="1"/>
                <w:color w:val="auto"/>
              </w:rPr>
            </w:pPr>
          </w:p>
        </w:tc>
        <w:tc>
          <w:tcPr>
            <w:tcW w:w="120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20" w:type="dxa"/>
            <w:vAlign w:val="bottom"/>
            <w:tcBorders>
              <w:top w:val="single" w:sz="8" w:color="901588"/>
              <w:bottom w:val="single" w:sz="8" w:color="901588"/>
            </w:tcBorders>
          </w:tcPr>
          <w:p>
            <w:pPr>
              <w:spacing w:after="0" w:line="20" w:lineRule="exact"/>
              <w:rPr>
                <w:sz w:val="1"/>
                <w:szCs w:val="1"/>
                <w:color w:val="auto"/>
              </w:rPr>
            </w:pPr>
          </w:p>
        </w:tc>
        <w:tc>
          <w:tcPr>
            <w:tcW w:w="124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20" w:type="dxa"/>
            <w:vAlign w:val="bottom"/>
            <w:tcBorders>
              <w:top w:val="single" w:sz="8" w:color="901588"/>
              <w:bottom w:val="single" w:sz="8" w:color="901588"/>
            </w:tcBorders>
          </w:tcPr>
          <w:p>
            <w:pPr>
              <w:spacing w:after="0" w:line="20" w:lineRule="exact"/>
              <w:rPr>
                <w:sz w:val="1"/>
                <w:szCs w:val="1"/>
                <w:color w:val="auto"/>
              </w:rPr>
            </w:pPr>
          </w:p>
        </w:tc>
        <w:tc>
          <w:tcPr>
            <w:tcW w:w="90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80" w:type="dxa"/>
            <w:vAlign w:val="bottom"/>
            <w:tcBorders>
              <w:top w:val="single" w:sz="8" w:color="901588"/>
              <w:bottom w:val="single" w:sz="8" w:color="901588"/>
            </w:tcBorders>
          </w:tcPr>
          <w:p>
            <w:pPr>
              <w:spacing w:after="0" w:line="20" w:lineRule="exact"/>
              <w:rPr>
                <w:sz w:val="1"/>
                <w:szCs w:val="1"/>
                <w:color w:val="auto"/>
              </w:rPr>
            </w:pPr>
          </w:p>
        </w:tc>
        <w:tc>
          <w:tcPr>
            <w:tcW w:w="860" w:type="dxa"/>
            <w:vAlign w:val="bottom"/>
            <w:tcBorders>
              <w:top w:val="single" w:sz="8" w:color="901588"/>
              <w:bottom w:val="single" w:sz="8" w:color="901588"/>
            </w:tcBorders>
          </w:tcPr>
          <w:p>
            <w:pPr>
              <w:spacing w:after="0" w:line="20" w:lineRule="exact"/>
              <w:rPr>
                <w:sz w:val="1"/>
                <w:szCs w:val="1"/>
                <w:color w:val="auto"/>
              </w:rPr>
            </w:pPr>
          </w:p>
        </w:tc>
      </w:tr>
    </w:tbl>
    <w:p>
      <w:pPr>
        <w:spacing w:after="0" w:line="16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Includes federal government agencies other than the DoD and U.S. Intelligence Community, as well as state and local government agencies.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hanging="454"/>
        <w:spacing w:after="0"/>
        <w:tabs>
          <w:tab w:leader="none" w:pos="480" w:val="left"/>
        </w:tabs>
        <w:numPr>
          <w:ilvl w:val="0"/>
          <w:numId w:val="8"/>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8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6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3240" w:type="dxa"/>
            <w:vAlign w:val="bottom"/>
            <w:tcBorders>
              <w:bottom w:val="single" w:sz="8" w:color="901588"/>
            </w:tcBorders>
            <w:gridSpan w:val="8"/>
          </w:tcPr>
          <w:p>
            <w:pPr>
              <w:jc w:val="right"/>
              <w:ind w:right="219"/>
              <w:spacing w:after="0"/>
              <w:rPr>
                <w:sz w:val="20"/>
                <w:szCs w:val="20"/>
                <w:color w:val="auto"/>
              </w:rPr>
            </w:pPr>
            <w:r>
              <w:rPr>
                <w:rFonts w:ascii="Arial" w:cs="Arial" w:eastAsia="Arial" w:hAnsi="Arial"/>
                <w:sz w:val="16"/>
                <w:szCs w:val="16"/>
                <w:b w:val="1"/>
                <w:bCs w:val="1"/>
                <w:color w:val="auto"/>
              </w:rPr>
              <w:t>Six Months Ended July 4, 2025</w:t>
            </w:r>
          </w:p>
        </w:tc>
        <w:tc>
          <w:tcPr>
            <w:tcW w:w="94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60" w:type="dxa"/>
            <w:vAlign w:val="bottom"/>
            <w:tcBorders>
              <w:bottom w:val="single" w:sz="8" w:color="901588"/>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3"/>
          </w:tcPr>
          <w:p>
            <w:pPr>
              <w:ind w:left="140"/>
              <w:spacing w:after="0"/>
              <w:rPr>
                <w:sz w:val="20"/>
                <w:szCs w:val="20"/>
                <w:color w:val="auto"/>
              </w:rPr>
            </w:pPr>
            <w:r>
              <w:rPr>
                <w:rFonts w:ascii="Arial" w:cs="Arial" w:eastAsia="Arial" w:hAnsi="Arial"/>
                <w:sz w:val="16"/>
                <w:szCs w:val="16"/>
                <w:b w:val="1"/>
                <w:bCs w:val="1"/>
                <w:color w:val="auto"/>
              </w:rPr>
              <w:t>Health &amp; Civil</w:t>
            </w: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2,650</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522</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940</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4,124</w:t>
            </w:r>
          </w:p>
        </w:tc>
      </w:tr>
      <w:tr>
        <w:trPr>
          <w:trHeight w:val="240"/>
        </w:trPr>
        <w:tc>
          <w:tcPr>
            <w:tcW w:w="354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1,023</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1,994</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3,260</w:t>
            </w:r>
          </w:p>
        </w:tc>
      </w:tr>
      <w:tr>
        <w:trPr>
          <w:trHeight w:val="23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51</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37</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925</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1,077</w:t>
            </w:r>
          </w:p>
        </w:tc>
      </w:tr>
      <w:tr>
        <w:trPr>
          <w:trHeight w:val="305"/>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3,724</w:t>
            </w:r>
          </w:p>
        </w:tc>
        <w:tc>
          <w:tcPr>
            <w:tcW w:w="20" w:type="dxa"/>
            <w:vAlign w:val="bottom"/>
            <w:tcBorders>
              <w:bottom w:val="single" w:sz="8" w:color="F4E8F3"/>
            </w:tcBorders>
            <w:shd w:val="clear" w:color="auto" w:fill="F4E8F3"/>
          </w:tcPr>
          <w:p>
            <w:pPr>
              <w:spacing w:after="0"/>
              <w:rPr>
                <w:sz w:val="24"/>
                <w:szCs w:val="24"/>
                <w:color w:val="auto"/>
              </w:rPr>
            </w:pPr>
          </w:p>
        </w:tc>
        <w:tc>
          <w:tcPr>
            <w:tcW w:w="60" w:type="dxa"/>
            <w:vAlign w:val="bottom"/>
            <w:tcBorders>
              <w:bottom w:val="single" w:sz="8" w:color="F4E8F3"/>
            </w:tcBorders>
            <w:shd w:val="clear" w:color="auto" w:fill="F4E8F3"/>
          </w:tcPr>
          <w:p>
            <w:pPr>
              <w:spacing w:after="0"/>
              <w:rPr>
                <w:sz w:val="24"/>
                <w:szCs w:val="24"/>
                <w:color w:val="auto"/>
              </w:rPr>
            </w:pPr>
          </w:p>
        </w:tc>
        <w:tc>
          <w:tcPr>
            <w:tcW w:w="260" w:type="dxa"/>
            <w:vAlign w:val="bottom"/>
            <w:tcBorders>
              <w:bottom w:val="single" w:sz="8" w:color="901588"/>
            </w:tcBorders>
            <w:gridSpan w:val="2"/>
            <w:shd w:val="clear" w:color="auto" w:fill="F4E8F3"/>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2,553</w:t>
            </w:r>
          </w:p>
        </w:tc>
        <w:tc>
          <w:tcPr>
            <w:tcW w:w="20" w:type="dxa"/>
            <w:vAlign w:val="bottom"/>
            <w:tcBorders>
              <w:bottom w:val="single" w:sz="8" w:color="F4E8F3"/>
            </w:tcBorders>
            <w:shd w:val="clear" w:color="auto" w:fill="F4E8F3"/>
          </w:tcPr>
          <w:p>
            <w:pPr>
              <w:spacing w:after="0"/>
              <w:rPr>
                <w:sz w:val="24"/>
                <w:szCs w:val="24"/>
                <w:color w:val="auto"/>
              </w:rPr>
            </w:pPr>
          </w:p>
        </w:tc>
        <w:tc>
          <w:tcPr>
            <w:tcW w:w="6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1,133</w:t>
            </w:r>
          </w:p>
        </w:tc>
        <w:tc>
          <w:tcPr>
            <w:tcW w:w="100" w:type="dxa"/>
            <w:vAlign w:val="bottom"/>
            <w:tcBorders>
              <w:bottom w:val="single" w:sz="8" w:color="F4E8F3"/>
            </w:tcBorders>
            <w:shd w:val="clear" w:color="auto" w:fill="F4E8F3"/>
          </w:tcPr>
          <w:p>
            <w:pPr>
              <w:spacing w:after="0"/>
              <w:rPr>
                <w:sz w:val="24"/>
                <w:szCs w:val="24"/>
                <w:color w:val="auto"/>
              </w:rPr>
            </w:pP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1,051</w:t>
            </w:r>
          </w:p>
        </w:tc>
        <w:tc>
          <w:tcPr>
            <w:tcW w:w="100" w:type="dxa"/>
            <w:vAlign w:val="bottom"/>
            <w:tcBorders>
              <w:bottom w:val="single" w:sz="8" w:color="F4E8F3"/>
            </w:tcBorders>
            <w:shd w:val="clear" w:color="auto" w:fill="F4E8F3"/>
          </w:tcPr>
          <w:p>
            <w:pPr>
              <w:spacing w:after="0"/>
              <w:rPr>
                <w:sz w:val="24"/>
                <w:szCs w:val="24"/>
                <w:color w:val="auto"/>
              </w:rPr>
            </w:pPr>
          </w:p>
        </w:tc>
        <w:tc>
          <w:tcPr>
            <w:tcW w:w="48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8,461</w:t>
            </w:r>
          </w:p>
        </w:tc>
      </w:tr>
      <w:tr>
        <w:trPr>
          <w:trHeight w:val="440"/>
        </w:trPr>
        <w:tc>
          <w:tcPr>
            <w:tcW w:w="3540" w:type="dxa"/>
            <w:vAlign w:val="bottom"/>
            <w:tcBorders>
              <w:top w:val="single" w:sz="8" w:color="901588"/>
            </w:tcBorders>
          </w:tcPr>
          <w:p>
            <w:pPr>
              <w:spacing w:after="0"/>
              <w:rPr>
                <w:sz w:val="24"/>
                <w:szCs w:val="24"/>
                <w:color w:val="auto"/>
              </w:rPr>
            </w:pPr>
          </w:p>
        </w:tc>
        <w:tc>
          <w:tcPr>
            <w:tcW w:w="180" w:type="dxa"/>
            <w:vAlign w:val="bottom"/>
            <w:tcBorders>
              <w:top w:val="single" w:sz="8" w:color="901588"/>
              <w:bottom w:val="single" w:sz="8" w:color="901588"/>
            </w:tcBorders>
          </w:tcPr>
          <w:p>
            <w:pPr>
              <w:spacing w:after="0"/>
              <w:rPr>
                <w:sz w:val="24"/>
                <w:szCs w:val="24"/>
                <w:color w:val="auto"/>
              </w:rPr>
            </w:pPr>
          </w:p>
        </w:tc>
        <w:tc>
          <w:tcPr>
            <w:tcW w:w="15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6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240" w:type="dxa"/>
            <w:vAlign w:val="bottom"/>
            <w:tcBorders>
              <w:top w:val="single" w:sz="8" w:color="901588"/>
              <w:bottom w:val="single" w:sz="8" w:color="901588"/>
            </w:tcBorders>
          </w:tcPr>
          <w:p>
            <w:pPr>
              <w:spacing w:after="0"/>
              <w:rPr>
                <w:sz w:val="24"/>
                <w:szCs w:val="24"/>
                <w:color w:val="auto"/>
              </w:rPr>
            </w:pPr>
          </w:p>
        </w:tc>
        <w:tc>
          <w:tcPr>
            <w:tcW w:w="3240" w:type="dxa"/>
            <w:vAlign w:val="bottom"/>
            <w:tcBorders>
              <w:top w:val="single" w:sz="8" w:color="901588"/>
              <w:bottom w:val="single" w:sz="8" w:color="901588"/>
            </w:tcBorders>
            <w:gridSpan w:val="8"/>
          </w:tcPr>
          <w:p>
            <w:pPr>
              <w:jc w:val="right"/>
              <w:ind w:right="199"/>
              <w:spacing w:after="0"/>
              <w:rPr>
                <w:sz w:val="20"/>
                <w:szCs w:val="20"/>
                <w:color w:val="auto"/>
              </w:rPr>
            </w:pPr>
            <w:r>
              <w:rPr>
                <w:rFonts w:ascii="Arial" w:cs="Arial" w:eastAsia="Arial" w:hAnsi="Arial"/>
                <w:sz w:val="16"/>
                <w:szCs w:val="16"/>
                <w:color w:val="auto"/>
              </w:rPr>
              <w:t>Six Months Ended June 28, 2024</w:t>
            </w:r>
          </w:p>
        </w:tc>
        <w:tc>
          <w:tcPr>
            <w:tcW w:w="94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480" w:type="dxa"/>
            <w:vAlign w:val="bottom"/>
            <w:tcBorders>
              <w:top w:val="single" w:sz="8" w:color="901588"/>
              <w:bottom w:val="single" w:sz="8" w:color="901588"/>
            </w:tcBorders>
          </w:tcPr>
          <w:p>
            <w:pPr>
              <w:spacing w:after="0"/>
              <w:rPr>
                <w:sz w:val="24"/>
                <w:szCs w:val="24"/>
                <w:color w:val="auto"/>
              </w:rPr>
            </w:pPr>
          </w:p>
        </w:tc>
        <w:tc>
          <w:tcPr>
            <w:tcW w:w="860" w:type="dxa"/>
            <w:vAlign w:val="bottom"/>
            <w:tcBorders>
              <w:top w:val="single" w:sz="8" w:color="901588"/>
              <w:bottom w:val="single" w:sz="8" w:color="901588"/>
            </w:tcBorders>
          </w:tcPr>
          <w:p>
            <w:pPr>
              <w:spacing w:after="0"/>
              <w:rPr>
                <w:sz w:val="24"/>
                <w:szCs w:val="24"/>
                <w:color w:val="auto"/>
              </w:rPr>
            </w:pPr>
          </w:p>
        </w:tc>
      </w:tr>
      <w:tr>
        <w:trPr>
          <w:trHeight w:val="202"/>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6"/>
                <w:szCs w:val="16"/>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Digital</w:t>
            </w:r>
          </w:p>
        </w:tc>
        <w:tc>
          <w:tcPr>
            <w:tcW w:w="20" w:type="dxa"/>
            <w:vAlign w:val="bottom"/>
            <w:tcBorders>
              <w:bottom w:val="single" w:sz="8" w:color="901588"/>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3"/>
          </w:tcPr>
          <w:p>
            <w:pPr>
              <w:ind w:left="220"/>
              <w:spacing w:after="0"/>
              <w:rPr>
                <w:sz w:val="20"/>
                <w:szCs w:val="20"/>
                <w:color w:val="auto"/>
              </w:rPr>
            </w:pPr>
            <w:r>
              <w:rPr>
                <w:rFonts w:ascii="Arial" w:cs="Arial" w:eastAsia="Arial" w:hAnsi="Arial"/>
                <w:sz w:val="16"/>
                <w:szCs w:val="16"/>
                <w:color w:val="auto"/>
              </w:rPr>
              <w:t>Health &amp; Civil</w:t>
            </w:r>
          </w:p>
        </w:tc>
        <w:tc>
          <w:tcPr>
            <w:tcW w:w="2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Defense Systems</w:t>
            </w: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DoD and U.S. Intelligence Community</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2,468</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512</w:t>
            </w:r>
          </w:p>
        </w:tc>
        <w:tc>
          <w:tcPr>
            <w:tcW w:w="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3,860</w:t>
            </w:r>
          </w:p>
        </w:tc>
      </w:tr>
      <w:tr>
        <w:trPr>
          <w:trHeight w:val="243"/>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180" w:type="dxa"/>
            <w:vAlign w:val="bottom"/>
            <w:tcBorders>
              <w:bottom w:val="single" w:sz="8" w:color="B2B2B2"/>
            </w:tcBorders>
          </w:tcPr>
          <w:p>
            <w:pPr>
              <w:spacing w:after="0"/>
              <w:rPr>
                <w:sz w:val="21"/>
                <w:szCs w:val="21"/>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1,045</w:t>
            </w:r>
          </w:p>
        </w:tc>
        <w:tc>
          <w:tcPr>
            <w:tcW w:w="20" w:type="dxa"/>
            <w:vAlign w:val="bottom"/>
            <w:tcBorders>
              <w:bottom w:val="single" w:sz="8" w:color="B2B2B2"/>
            </w:tcBorders>
          </w:tcPr>
          <w:p>
            <w:pPr>
              <w:spacing w:after="0"/>
              <w:rPr>
                <w:sz w:val="21"/>
                <w:szCs w:val="21"/>
                <w:color w:val="auto"/>
              </w:rPr>
            </w:pPr>
          </w:p>
        </w:tc>
        <w:tc>
          <w:tcPr>
            <w:tcW w:w="6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40" w:type="dxa"/>
            <w:vAlign w:val="bottom"/>
            <w:tcBorders>
              <w:bottom w:val="single" w:sz="8" w:color="B2B2B2"/>
            </w:tcBorders>
          </w:tcPr>
          <w:p>
            <w:pPr>
              <w:spacing w:after="0"/>
              <w:rPr>
                <w:sz w:val="21"/>
                <w:szCs w:val="21"/>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1,903</w:t>
            </w:r>
          </w:p>
        </w:tc>
        <w:tc>
          <w:tcPr>
            <w:tcW w:w="20" w:type="dxa"/>
            <w:vAlign w:val="bottom"/>
            <w:tcBorders>
              <w:bottom w:val="single" w:sz="8" w:color="B2B2B2"/>
            </w:tcBorders>
          </w:tcPr>
          <w:p>
            <w:pPr>
              <w:spacing w:after="0"/>
              <w:rPr>
                <w:sz w:val="21"/>
                <w:szCs w:val="21"/>
                <w:color w:val="auto"/>
              </w:rPr>
            </w:pPr>
          </w:p>
        </w:tc>
        <w:tc>
          <w:tcPr>
            <w:tcW w:w="6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22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B2B2B2"/>
            </w:tcBorders>
          </w:tcPr>
          <w:p>
            <w:pPr>
              <w:spacing w:after="0"/>
              <w:rPr>
                <w:sz w:val="21"/>
                <w:szCs w:val="21"/>
                <w:color w:val="auto"/>
              </w:rPr>
            </w:pPr>
          </w:p>
        </w:tc>
        <w:tc>
          <w:tcPr>
            <w:tcW w:w="380" w:type="dxa"/>
            <w:vAlign w:val="bottom"/>
            <w:tcBorders>
              <w:bottom w:val="single" w:sz="8" w:color="B2B2B2"/>
            </w:tcBorders>
          </w:tcPr>
          <w:p>
            <w:pPr>
              <w:spacing w:after="0"/>
              <w:rPr>
                <w:sz w:val="21"/>
                <w:szCs w:val="21"/>
                <w:color w:val="auto"/>
              </w:rPr>
            </w:pP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tcPr>
          <w:p>
            <w:pPr>
              <w:spacing w:after="0"/>
              <w:rPr>
                <w:sz w:val="21"/>
                <w:szCs w:val="21"/>
                <w:color w:val="auto"/>
              </w:rPr>
            </w:pP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3,148</w:t>
            </w:r>
          </w:p>
        </w:tc>
      </w:tr>
      <w:tr>
        <w:trPr>
          <w:trHeight w:val="230"/>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61</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901588"/>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1,050</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3,574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2,447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8,058</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80" w:type="dxa"/>
            <w:vAlign w:val="bottom"/>
            <w:tcBorders>
              <w:top w:val="single" w:sz="8" w:color="901588"/>
              <w:bottom w:val="single" w:sz="8" w:color="901588"/>
            </w:tcBorders>
          </w:tcPr>
          <w:p>
            <w:pPr>
              <w:spacing w:after="0" w:line="20" w:lineRule="exact"/>
              <w:rPr>
                <w:sz w:val="1"/>
                <w:szCs w:val="1"/>
                <w:color w:val="auto"/>
              </w:rPr>
            </w:pPr>
          </w:p>
        </w:tc>
        <w:tc>
          <w:tcPr>
            <w:tcW w:w="156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top w:val="single" w:sz="8" w:color="901588"/>
              <w:bottom w:val="single" w:sz="8" w:color="901588"/>
            </w:tcBorders>
          </w:tcPr>
          <w:p>
            <w:pPr>
              <w:spacing w:after="0" w:line="20" w:lineRule="exact"/>
              <w:rPr>
                <w:sz w:val="1"/>
                <w:szCs w:val="1"/>
                <w:color w:val="auto"/>
              </w:rPr>
            </w:pPr>
          </w:p>
        </w:tc>
        <w:tc>
          <w:tcPr>
            <w:tcW w:w="120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20" w:type="dxa"/>
            <w:vAlign w:val="bottom"/>
            <w:tcBorders>
              <w:top w:val="single" w:sz="8" w:color="901588"/>
              <w:bottom w:val="single" w:sz="8" w:color="901588"/>
            </w:tcBorders>
          </w:tcPr>
          <w:p>
            <w:pPr>
              <w:spacing w:after="0" w:line="20" w:lineRule="exact"/>
              <w:rPr>
                <w:sz w:val="1"/>
                <w:szCs w:val="1"/>
                <w:color w:val="auto"/>
              </w:rPr>
            </w:pPr>
          </w:p>
        </w:tc>
        <w:tc>
          <w:tcPr>
            <w:tcW w:w="124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380" w:type="dxa"/>
            <w:vAlign w:val="bottom"/>
            <w:tcBorders>
              <w:top w:val="single" w:sz="8" w:color="901588"/>
              <w:bottom w:val="single" w:sz="8" w:color="901588"/>
            </w:tcBorders>
          </w:tcPr>
          <w:p>
            <w:pPr>
              <w:spacing w:after="0" w:line="20" w:lineRule="exact"/>
              <w:rPr>
                <w:sz w:val="1"/>
                <w:szCs w:val="1"/>
                <w:color w:val="auto"/>
              </w:rPr>
            </w:pPr>
          </w:p>
        </w:tc>
        <w:tc>
          <w:tcPr>
            <w:tcW w:w="94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80" w:type="dxa"/>
            <w:vAlign w:val="bottom"/>
            <w:tcBorders>
              <w:top w:val="single" w:sz="8" w:color="901588"/>
              <w:bottom w:val="single" w:sz="8" w:color="901588"/>
            </w:tcBorders>
          </w:tcPr>
          <w:p>
            <w:pPr>
              <w:spacing w:after="0" w:line="20" w:lineRule="exact"/>
              <w:rPr>
                <w:sz w:val="1"/>
                <w:szCs w:val="1"/>
                <w:color w:val="auto"/>
              </w:rPr>
            </w:pPr>
          </w:p>
        </w:tc>
        <w:tc>
          <w:tcPr>
            <w:tcW w:w="860" w:type="dxa"/>
            <w:vAlign w:val="bottom"/>
            <w:tcBorders>
              <w:top w:val="single" w:sz="8" w:color="901588"/>
              <w:bottom w:val="single" w:sz="8" w:color="901588"/>
            </w:tcBorders>
          </w:tcPr>
          <w:p>
            <w:pPr>
              <w:spacing w:after="0" w:line="20" w:lineRule="exact"/>
              <w:rPr>
                <w:sz w:val="1"/>
                <w:szCs w:val="1"/>
                <w:color w:val="auto"/>
              </w:rPr>
            </w:pPr>
          </w:p>
        </w:tc>
      </w:tr>
    </w:tbl>
    <w:p>
      <w:pPr>
        <w:spacing w:after="0" w:line="167"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Includes federal government agencies other than the DoD and U.S. Intelligence Community, as well as state and local government agencies.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contract-type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180" w:type="dxa"/>
            <w:vAlign w:val="bottom"/>
            <w:tcBorders>
              <w:bottom w:val="single" w:sz="8" w:color="901588"/>
            </w:tcBorders>
          </w:tcPr>
          <w:p>
            <w:pPr>
              <w:spacing w:after="0"/>
              <w:rPr>
                <w:sz w:val="19"/>
                <w:szCs w:val="19"/>
                <w:color w:val="auto"/>
              </w:rPr>
            </w:pPr>
          </w:p>
        </w:tc>
        <w:tc>
          <w:tcPr>
            <w:tcW w:w="156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3280" w:type="dxa"/>
            <w:vAlign w:val="bottom"/>
            <w:tcBorders>
              <w:bottom w:val="single" w:sz="8" w:color="901588"/>
            </w:tcBorders>
            <w:gridSpan w:val="6"/>
          </w:tcPr>
          <w:p>
            <w:pPr>
              <w:jc w:val="center"/>
              <w:ind w:left="199"/>
              <w:spacing w:after="0"/>
              <w:rPr>
                <w:sz w:val="20"/>
                <w:szCs w:val="20"/>
                <w:color w:val="auto"/>
              </w:rPr>
            </w:pPr>
            <w:r>
              <w:rPr>
                <w:rFonts w:ascii="Arial" w:cs="Arial" w:eastAsia="Arial" w:hAnsi="Arial"/>
                <w:sz w:val="16"/>
                <w:szCs w:val="16"/>
                <w:b w:val="1"/>
                <w:bCs w:val="1"/>
                <w:color w:val="auto"/>
              </w:rPr>
              <w:t>Three Months Ended July 4, 2025</w:t>
            </w:r>
          </w:p>
        </w:tc>
        <w:tc>
          <w:tcPr>
            <w:tcW w:w="90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4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40"/>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420" w:type="dxa"/>
            <w:vAlign w:val="bottom"/>
            <w:tcBorders>
              <w:bottom w:val="single" w:sz="8" w:color="901588"/>
            </w:tcBorders>
          </w:tcPr>
          <w:p>
            <w:pPr>
              <w:spacing w:after="0"/>
              <w:rPr>
                <w:sz w:val="20"/>
                <w:szCs w:val="20"/>
                <w:color w:val="auto"/>
              </w:rPr>
            </w:pPr>
          </w:p>
        </w:tc>
        <w:tc>
          <w:tcPr>
            <w:tcW w:w="100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2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199"/>
        </w:trPr>
        <w:tc>
          <w:tcPr>
            <w:tcW w:w="354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40"/>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1,007</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430</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324</w:t>
            </w:r>
          </w:p>
        </w:tc>
        <w:tc>
          <w:tcPr>
            <w:tcW w:w="10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gridSpan w:val="2"/>
          </w:tcPr>
          <w:p>
            <w:pPr>
              <w:jc w:val="right"/>
              <w:ind w:right="6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94"/>
              </w:rPr>
              <w:t>1,851</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514</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787</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345</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181</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94"/>
              </w:rPr>
              <w:t>1,827</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555</w:t>
            </w:r>
          </w:p>
        </w:tc>
      </w:tr>
      <w:tr>
        <w:trPr>
          <w:trHeight w:val="305"/>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1,857</w:t>
            </w:r>
          </w:p>
        </w:tc>
        <w:tc>
          <w:tcPr>
            <w:tcW w:w="10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1,267</w:t>
            </w:r>
          </w:p>
        </w:tc>
        <w:tc>
          <w:tcPr>
            <w:tcW w:w="100" w:type="dxa"/>
            <w:vAlign w:val="bottom"/>
            <w:tcBorders>
              <w:bottom w:val="single" w:sz="8" w:color="F4E8F3"/>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566</w:t>
            </w:r>
          </w:p>
        </w:tc>
        <w:tc>
          <w:tcPr>
            <w:tcW w:w="100" w:type="dxa"/>
            <w:vAlign w:val="bottom"/>
            <w:tcBorders>
              <w:bottom w:val="single" w:sz="8" w:color="F4E8F3"/>
            </w:tcBorders>
            <w:shd w:val="clear" w:color="auto" w:fill="F4E8F3"/>
          </w:tcPr>
          <w:p>
            <w:pPr>
              <w:spacing w:after="0"/>
              <w:rPr>
                <w:sz w:val="24"/>
                <w:szCs w:val="24"/>
                <w:color w:val="auto"/>
              </w:rPr>
            </w:pP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543</w:t>
            </w:r>
          </w:p>
        </w:tc>
        <w:tc>
          <w:tcPr>
            <w:tcW w:w="100" w:type="dxa"/>
            <w:vAlign w:val="bottom"/>
            <w:tcBorders>
              <w:bottom w:val="single" w:sz="8" w:color="F4E8F3"/>
            </w:tcBorders>
            <w:shd w:val="clear" w:color="auto" w:fill="F4E8F3"/>
          </w:tcPr>
          <w:p>
            <w:pPr>
              <w:spacing w:after="0"/>
              <w:rPr>
                <w:sz w:val="24"/>
                <w:szCs w:val="24"/>
                <w:color w:val="auto"/>
              </w:rPr>
            </w:pPr>
          </w:p>
        </w:tc>
        <w:tc>
          <w:tcPr>
            <w:tcW w:w="860" w:type="dxa"/>
            <w:vAlign w:val="bottom"/>
            <w:tcBorders>
              <w:bottom w:val="single" w:sz="8" w:color="901588"/>
            </w:tcBorders>
            <w:gridSpan w:val="2"/>
            <w:shd w:val="clear" w:color="auto" w:fill="F4E8F3"/>
          </w:tcPr>
          <w:p>
            <w:pPr>
              <w:jc w:val="right"/>
              <w:ind w:right="6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4,233</w:t>
            </w:r>
          </w:p>
        </w:tc>
      </w:tr>
      <w:tr>
        <w:trPr>
          <w:trHeight w:val="440"/>
        </w:trPr>
        <w:tc>
          <w:tcPr>
            <w:tcW w:w="3540" w:type="dxa"/>
            <w:vAlign w:val="bottom"/>
            <w:tcBorders>
              <w:top w:val="single" w:sz="8" w:color="901588"/>
            </w:tcBorders>
          </w:tcPr>
          <w:p>
            <w:pPr>
              <w:spacing w:after="0"/>
              <w:rPr>
                <w:sz w:val="24"/>
                <w:szCs w:val="24"/>
                <w:color w:val="auto"/>
              </w:rPr>
            </w:pPr>
          </w:p>
        </w:tc>
        <w:tc>
          <w:tcPr>
            <w:tcW w:w="180" w:type="dxa"/>
            <w:vAlign w:val="bottom"/>
            <w:tcBorders>
              <w:top w:val="single" w:sz="8" w:color="901588"/>
              <w:bottom w:val="single" w:sz="8" w:color="901588"/>
            </w:tcBorders>
          </w:tcPr>
          <w:p>
            <w:pPr>
              <w:spacing w:after="0"/>
              <w:rPr>
                <w:sz w:val="24"/>
                <w:szCs w:val="24"/>
                <w:color w:val="auto"/>
              </w:rPr>
            </w:pPr>
          </w:p>
        </w:tc>
        <w:tc>
          <w:tcPr>
            <w:tcW w:w="156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240" w:type="dxa"/>
            <w:vAlign w:val="bottom"/>
            <w:tcBorders>
              <w:top w:val="single" w:sz="8" w:color="901588"/>
              <w:bottom w:val="single" w:sz="8" w:color="901588"/>
            </w:tcBorders>
          </w:tcPr>
          <w:p>
            <w:pPr>
              <w:spacing w:after="0"/>
              <w:rPr>
                <w:sz w:val="24"/>
                <w:szCs w:val="24"/>
                <w:color w:val="auto"/>
              </w:rPr>
            </w:pPr>
          </w:p>
        </w:tc>
        <w:tc>
          <w:tcPr>
            <w:tcW w:w="3280" w:type="dxa"/>
            <w:vAlign w:val="bottom"/>
            <w:tcBorders>
              <w:top w:val="single" w:sz="8" w:color="901588"/>
              <w:bottom w:val="single" w:sz="8" w:color="901588"/>
            </w:tcBorders>
            <w:gridSpan w:val="6"/>
          </w:tcPr>
          <w:p>
            <w:pPr>
              <w:jc w:val="center"/>
              <w:ind w:left="179"/>
              <w:spacing w:after="0"/>
              <w:rPr>
                <w:sz w:val="20"/>
                <w:szCs w:val="20"/>
                <w:color w:val="auto"/>
              </w:rPr>
            </w:pPr>
            <w:r>
              <w:rPr>
                <w:rFonts w:ascii="Arial" w:cs="Arial" w:eastAsia="Arial" w:hAnsi="Arial"/>
                <w:sz w:val="16"/>
                <w:szCs w:val="16"/>
                <w:color w:val="auto"/>
              </w:rPr>
              <w:t>Three Months Ended June 28, 2024</w:t>
            </w:r>
          </w:p>
        </w:tc>
        <w:tc>
          <w:tcPr>
            <w:tcW w:w="900" w:type="dxa"/>
            <w:vAlign w:val="bottom"/>
            <w:tcBorders>
              <w:top w:val="single" w:sz="8" w:color="901588"/>
              <w:bottom w:val="single" w:sz="8" w:color="901588"/>
            </w:tcBorders>
          </w:tcPr>
          <w:p>
            <w:pPr>
              <w:spacing w:after="0"/>
              <w:rPr>
                <w:sz w:val="24"/>
                <w:szCs w:val="24"/>
                <w:color w:val="auto"/>
              </w:rPr>
            </w:pPr>
          </w:p>
        </w:tc>
        <w:tc>
          <w:tcPr>
            <w:tcW w:w="10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40" w:type="dxa"/>
            <w:vAlign w:val="bottom"/>
            <w:tcBorders>
              <w:top w:val="single" w:sz="8" w:color="901588"/>
              <w:bottom w:val="single" w:sz="8" w:color="901588"/>
            </w:tcBorders>
          </w:tcPr>
          <w:p>
            <w:pPr>
              <w:spacing w:after="0"/>
              <w:rPr>
                <w:sz w:val="24"/>
                <w:szCs w:val="24"/>
                <w:color w:val="auto"/>
              </w:rPr>
            </w:pPr>
          </w:p>
        </w:tc>
        <w:tc>
          <w:tcPr>
            <w:tcW w:w="480" w:type="dxa"/>
            <w:vAlign w:val="bottom"/>
            <w:tcBorders>
              <w:top w:val="single" w:sz="8" w:color="901588"/>
              <w:bottom w:val="single" w:sz="8" w:color="901588"/>
            </w:tcBorders>
          </w:tcPr>
          <w:p>
            <w:pPr>
              <w:spacing w:after="0"/>
              <w:rPr>
                <w:sz w:val="24"/>
                <w:szCs w:val="24"/>
                <w:color w:val="auto"/>
              </w:rPr>
            </w:pPr>
          </w:p>
        </w:tc>
      </w:tr>
      <w:tr>
        <w:trPr>
          <w:trHeight w:val="202"/>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National Security &amp;</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7"/>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Digital</w:t>
            </w:r>
          </w:p>
        </w:tc>
        <w:tc>
          <w:tcPr>
            <w:tcW w:w="24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Health &amp; Civil</w:t>
            </w:r>
          </w:p>
        </w:tc>
        <w:tc>
          <w:tcPr>
            <w:tcW w:w="22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color w:val="auto"/>
              </w:rPr>
              <w:t>Defense Systems</w:t>
            </w:r>
          </w:p>
        </w:tc>
        <w:tc>
          <w:tcPr>
            <w:tcW w:w="2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02"/>
        </w:trPr>
        <w:tc>
          <w:tcPr>
            <w:tcW w:w="354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gridSpan w:val="2"/>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1,802</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1,738</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567</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21"/>
                <w:szCs w:val="21"/>
                <w:color w:val="auto"/>
              </w:rPr>
            </w:pPr>
          </w:p>
        </w:tc>
        <w:tc>
          <w:tcPr>
            <w:tcW w:w="24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1"/>
                <w:szCs w:val="21"/>
                <w:color w:val="auto"/>
              </w:rPr>
            </w:pPr>
          </w:p>
        </w:tc>
        <w:tc>
          <w:tcPr>
            <w:tcW w:w="2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1"/>
                <w:szCs w:val="21"/>
                <w:color w:val="auto"/>
              </w:rPr>
            </w:pPr>
          </w:p>
        </w:tc>
        <w:tc>
          <w:tcPr>
            <w:tcW w:w="42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Borders>
              <w:bottom w:val="single" w:sz="8" w:color="901588"/>
            </w:tcBorders>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94"/>
              </w:rPr>
              <w:t>4,107</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15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3280" w:type="dxa"/>
            <w:vAlign w:val="bottom"/>
            <w:tcBorders>
              <w:bottom w:val="single" w:sz="8" w:color="901588"/>
            </w:tcBorders>
            <w:gridSpan w:val="6"/>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r>
      <w:tr>
        <w:trPr>
          <w:trHeight w:val="449"/>
        </w:trPr>
        <w:tc>
          <w:tcPr>
            <w:tcW w:w="3540" w:type="dxa"/>
            <w:vAlign w:val="bottom"/>
          </w:tcPr>
          <w:p>
            <w:pPr>
              <w:spacing w:after="0"/>
              <w:rPr>
                <w:sz w:val="24"/>
                <w:szCs w:val="24"/>
                <w:color w:val="auto"/>
              </w:rPr>
            </w:pPr>
          </w:p>
        </w:tc>
        <w:tc>
          <w:tcPr>
            <w:tcW w:w="18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3280" w:type="dxa"/>
            <w:vAlign w:val="bottom"/>
            <w:tcBorders>
              <w:bottom w:val="single" w:sz="8" w:color="901588"/>
            </w:tcBorders>
            <w:gridSpan w:val="6"/>
          </w:tcPr>
          <w:p>
            <w:pPr>
              <w:jc w:val="center"/>
              <w:ind w:left="199"/>
              <w:spacing w:after="0"/>
              <w:rPr>
                <w:sz w:val="20"/>
                <w:szCs w:val="20"/>
                <w:color w:val="auto"/>
              </w:rPr>
            </w:pPr>
            <w:r>
              <w:rPr>
                <w:rFonts w:ascii="Arial" w:cs="Arial" w:eastAsia="Arial" w:hAnsi="Arial"/>
                <w:sz w:val="16"/>
                <w:szCs w:val="16"/>
                <w:b w:val="1"/>
                <w:bCs w:val="1"/>
                <w:color w:val="auto"/>
              </w:rPr>
              <w:t>Six Months Ended July 4, 2025</w:t>
            </w:r>
          </w:p>
        </w:tc>
        <w:tc>
          <w:tcPr>
            <w:tcW w:w="90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4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r>
      <w:tr>
        <w:trPr>
          <w:trHeight w:val="213"/>
        </w:trPr>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6"/>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8"/>
            </w:tcBorders>
          </w:tcPr>
          <w:p>
            <w:pPr>
              <w:spacing w:after="0"/>
              <w:rPr>
                <w:sz w:val="19"/>
                <w:szCs w:val="19"/>
                <w:color w:val="auto"/>
              </w:rPr>
            </w:pPr>
          </w:p>
        </w:tc>
        <w:tc>
          <w:tcPr>
            <w:tcW w:w="16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19"/>
                <w:szCs w:val="19"/>
                <w:color w:val="auto"/>
              </w:rPr>
            </w:pPr>
          </w:p>
        </w:tc>
        <w:tc>
          <w:tcPr>
            <w:tcW w:w="13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420" w:type="dxa"/>
            <w:vAlign w:val="bottom"/>
            <w:tcBorders>
              <w:bottom w:val="single" w:sz="8" w:color="901588"/>
            </w:tcBorders>
          </w:tcPr>
          <w:p>
            <w:pPr>
              <w:spacing w:after="0"/>
              <w:rPr>
                <w:sz w:val="19"/>
                <w:szCs w:val="19"/>
                <w:color w:val="auto"/>
              </w:rPr>
            </w:pPr>
          </w:p>
        </w:tc>
        <w:tc>
          <w:tcPr>
            <w:tcW w:w="100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2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901</w:t>
            </w:r>
          </w:p>
        </w:tc>
        <w:tc>
          <w:tcPr>
            <w:tcW w:w="10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tcBorders>
              <w:bottom w:val="single" w:sz="8" w:color="B2B2B2"/>
            </w:tcBorders>
          </w:tcPr>
          <w:p>
            <w:pPr>
              <w:spacing w:after="0"/>
              <w:rPr>
                <w:sz w:val="19"/>
                <w:szCs w:val="19"/>
                <w:color w:val="auto"/>
              </w:rPr>
            </w:pPr>
          </w:p>
        </w:tc>
        <w:tc>
          <w:tcPr>
            <w:tcW w:w="4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633</w:t>
            </w:r>
          </w:p>
        </w:tc>
        <w:tc>
          <w:tcPr>
            <w:tcW w:w="100" w:type="dxa"/>
            <w:vAlign w:val="bottom"/>
            <w:tcBorders>
              <w:bottom w:val="single" w:sz="8" w:color="B2B2B2"/>
            </w:tcBorders>
          </w:tcPr>
          <w:p>
            <w:pPr>
              <w:spacing w:after="0"/>
              <w:rPr>
                <w:sz w:val="19"/>
                <w:szCs w:val="19"/>
                <w:color w:val="auto"/>
              </w:rPr>
            </w:pPr>
          </w:p>
        </w:tc>
        <w:tc>
          <w:tcPr>
            <w:tcW w:w="860" w:type="dxa"/>
            <w:vAlign w:val="bottom"/>
            <w:tcBorders>
              <w:bottom w:val="single" w:sz="8" w:color="B2B2B2"/>
            </w:tcBorders>
            <w:gridSpan w:val="2"/>
          </w:tcPr>
          <w:p>
            <w:pPr>
              <w:jc w:val="right"/>
              <w:ind w:right="6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94"/>
              </w:rPr>
              <w:t>3,739</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180" w:type="dxa"/>
            <w:vAlign w:val="bottom"/>
            <w:tcBorders>
              <w:bottom w:val="single" w:sz="8" w:color="B2B2B2"/>
            </w:tcBorders>
          </w:tcPr>
          <w:p>
            <w:pPr>
              <w:spacing w:after="0"/>
              <w:rPr>
                <w:sz w:val="20"/>
                <w:szCs w:val="20"/>
                <w:color w:val="auto"/>
              </w:rPr>
            </w:pPr>
          </w:p>
        </w:tc>
        <w:tc>
          <w:tcPr>
            <w:tcW w:w="1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1,011</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1,546</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704</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335</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94"/>
              </w:rPr>
              <w:t>3,596</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180" w:type="dxa"/>
            <w:vAlign w:val="bottom"/>
            <w:tcBorders>
              <w:bottom w:val="single" w:sz="8" w:color="901588"/>
            </w:tcBorders>
          </w:tcPr>
          <w:p>
            <w:pPr>
              <w:spacing w:after="0"/>
              <w:rPr>
                <w:sz w:val="20"/>
                <w:szCs w:val="20"/>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693</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106</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244</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w w:val="94"/>
              </w:rPr>
              <w:t>1,126</w:t>
            </w:r>
          </w:p>
        </w:tc>
      </w:tr>
      <w:tr>
        <w:trPr>
          <w:trHeight w:val="305"/>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3,724</w:t>
            </w:r>
          </w:p>
        </w:tc>
        <w:tc>
          <w:tcPr>
            <w:tcW w:w="100" w:type="dxa"/>
            <w:vAlign w:val="bottom"/>
            <w:tcBorders>
              <w:bottom w:val="single" w:sz="8" w:color="F4E8F3"/>
            </w:tcBorders>
            <w:shd w:val="clear" w:color="auto" w:fill="F4E8F3"/>
          </w:tcPr>
          <w:p>
            <w:pPr>
              <w:spacing w:after="0"/>
              <w:rPr>
                <w:sz w:val="24"/>
                <w:szCs w:val="24"/>
                <w:color w:val="auto"/>
              </w:rPr>
            </w:pPr>
          </w:p>
        </w:tc>
        <w:tc>
          <w:tcPr>
            <w:tcW w:w="24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2,553</w:t>
            </w:r>
          </w:p>
        </w:tc>
        <w:tc>
          <w:tcPr>
            <w:tcW w:w="100" w:type="dxa"/>
            <w:vAlign w:val="bottom"/>
            <w:tcBorders>
              <w:bottom w:val="single" w:sz="8" w:color="F4E8F3"/>
            </w:tcBorders>
            <w:shd w:val="clear" w:color="auto" w:fill="F4E8F3"/>
          </w:tcPr>
          <w:p>
            <w:pPr>
              <w:spacing w:after="0"/>
              <w:rPr>
                <w:sz w:val="24"/>
                <w:szCs w:val="24"/>
                <w:color w:val="auto"/>
              </w:rPr>
            </w:pPr>
          </w:p>
        </w:tc>
        <w:tc>
          <w:tcPr>
            <w:tcW w:w="220" w:type="dxa"/>
            <w:vAlign w:val="bottom"/>
            <w:tcBorders>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1,133</w:t>
            </w:r>
          </w:p>
        </w:tc>
        <w:tc>
          <w:tcPr>
            <w:tcW w:w="100" w:type="dxa"/>
            <w:vAlign w:val="bottom"/>
            <w:tcBorders>
              <w:bottom w:val="single" w:sz="8" w:color="F4E8F3"/>
            </w:tcBorders>
            <w:shd w:val="clear" w:color="auto" w:fill="F4E8F3"/>
          </w:tcPr>
          <w:p>
            <w:pPr>
              <w:spacing w:after="0"/>
              <w:rPr>
                <w:sz w:val="24"/>
                <w:szCs w:val="24"/>
                <w:color w:val="auto"/>
              </w:rPr>
            </w:pP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1,051</w:t>
            </w:r>
          </w:p>
        </w:tc>
        <w:tc>
          <w:tcPr>
            <w:tcW w:w="100" w:type="dxa"/>
            <w:vAlign w:val="bottom"/>
            <w:tcBorders>
              <w:bottom w:val="single" w:sz="8" w:color="F4E8F3"/>
            </w:tcBorders>
            <w:shd w:val="clear" w:color="auto" w:fill="F4E8F3"/>
          </w:tcPr>
          <w:p>
            <w:pPr>
              <w:spacing w:after="0"/>
              <w:rPr>
                <w:sz w:val="24"/>
                <w:szCs w:val="24"/>
                <w:color w:val="auto"/>
              </w:rPr>
            </w:pPr>
          </w:p>
        </w:tc>
        <w:tc>
          <w:tcPr>
            <w:tcW w:w="860" w:type="dxa"/>
            <w:vAlign w:val="bottom"/>
            <w:tcBorders>
              <w:bottom w:val="single" w:sz="8" w:color="901588"/>
            </w:tcBorders>
            <w:gridSpan w:val="2"/>
            <w:shd w:val="clear" w:color="auto" w:fill="F4E8F3"/>
          </w:tcPr>
          <w:p>
            <w:pPr>
              <w:jc w:val="right"/>
              <w:ind w:right="6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8,461</w:t>
            </w:r>
          </w:p>
        </w:tc>
      </w:tr>
      <w:tr>
        <w:trPr>
          <w:trHeight w:val="769"/>
        </w:trPr>
        <w:tc>
          <w:tcPr>
            <w:tcW w:w="3540" w:type="dxa"/>
            <w:vAlign w:val="bottom"/>
            <w:tcBorders>
              <w:top w:val="single" w:sz="8" w:color="901588"/>
            </w:tcBorders>
          </w:tcPr>
          <w:p>
            <w:pPr>
              <w:spacing w:after="0"/>
              <w:rPr>
                <w:sz w:val="24"/>
                <w:szCs w:val="24"/>
                <w:color w:val="auto"/>
              </w:rPr>
            </w:pPr>
          </w:p>
        </w:tc>
        <w:tc>
          <w:tcPr>
            <w:tcW w:w="180" w:type="dxa"/>
            <w:vAlign w:val="bottom"/>
            <w:tcBorders>
              <w:top w:val="single" w:sz="8" w:color="901588"/>
            </w:tcBorders>
          </w:tcPr>
          <w:p>
            <w:pPr>
              <w:spacing w:after="0"/>
              <w:rPr>
                <w:sz w:val="24"/>
                <w:szCs w:val="24"/>
                <w:color w:val="auto"/>
              </w:rPr>
            </w:pPr>
          </w:p>
        </w:tc>
        <w:tc>
          <w:tcPr>
            <w:tcW w:w="156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240" w:type="dxa"/>
            <w:vAlign w:val="bottom"/>
            <w:tcBorders>
              <w:top w:val="single" w:sz="8" w:color="901588"/>
            </w:tcBorders>
          </w:tcPr>
          <w:p>
            <w:pPr>
              <w:spacing w:after="0"/>
              <w:rPr>
                <w:sz w:val="24"/>
                <w:szCs w:val="24"/>
                <w:color w:val="auto"/>
              </w:rPr>
            </w:pPr>
          </w:p>
        </w:tc>
        <w:tc>
          <w:tcPr>
            <w:tcW w:w="120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220" w:type="dxa"/>
            <w:vAlign w:val="bottom"/>
            <w:tcBorders>
              <w:top w:val="single" w:sz="8" w:color="901588"/>
            </w:tcBorders>
          </w:tcPr>
          <w:p>
            <w:pPr>
              <w:spacing w:after="0"/>
              <w:rPr>
                <w:sz w:val="24"/>
                <w:szCs w:val="24"/>
                <w:color w:val="auto"/>
              </w:rPr>
            </w:pPr>
          </w:p>
        </w:tc>
        <w:tc>
          <w:tcPr>
            <w:tcW w:w="124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420" w:type="dxa"/>
            <w:vAlign w:val="bottom"/>
            <w:tcBorders>
              <w:top w:val="single" w:sz="8" w:color="901588"/>
            </w:tcBorders>
          </w:tcPr>
          <w:p>
            <w:pPr>
              <w:spacing w:after="0"/>
              <w:rPr>
                <w:sz w:val="24"/>
                <w:szCs w:val="24"/>
                <w:color w:val="auto"/>
              </w:rPr>
            </w:pPr>
          </w:p>
        </w:tc>
        <w:tc>
          <w:tcPr>
            <w:tcW w:w="1860" w:type="dxa"/>
            <w:vAlign w:val="bottom"/>
            <w:tcBorders>
              <w:top w:val="single" w:sz="8" w:color="901588"/>
            </w:tcBorders>
            <w:gridSpan w:val="4"/>
          </w:tcPr>
          <w:p>
            <w:pPr>
              <w:jc w:val="right"/>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Borders>
              <w:top w:val="single" w:sz="8" w:color="901588"/>
            </w:tcBorders>
          </w:tcPr>
          <w:p>
            <w:pPr>
              <w:jc w:val="right"/>
              <w:spacing w:after="0"/>
              <w:rPr>
                <w:sz w:val="20"/>
                <w:szCs w:val="20"/>
                <w:color w:val="auto"/>
              </w:rPr>
            </w:pPr>
            <w:r>
              <w:rPr>
                <w:rFonts w:ascii="Arial" w:cs="Arial" w:eastAsia="Arial" w:hAnsi="Arial"/>
                <w:sz w:val="14"/>
                <w:szCs w:val="14"/>
                <w:b w:val="1"/>
                <w:bCs w:val="1"/>
                <w:color w:val="901588"/>
              </w:rPr>
              <w:t>11</w:t>
            </w:r>
          </w:p>
        </w:tc>
      </w:tr>
      <w:tr>
        <w:trPr>
          <w:trHeight w:val="333"/>
        </w:trPr>
        <w:tc>
          <w:tcPr>
            <w:tcW w:w="3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tcPr>
          <w:p>
            <w:pPr>
              <w:spacing w:after="0"/>
              <w:rPr>
                <w:sz w:val="19"/>
                <w:szCs w:val="19"/>
                <w:color w:val="auto"/>
              </w:rPr>
            </w:pPr>
          </w:p>
        </w:tc>
        <w:tc>
          <w:tcPr>
            <w:tcW w:w="240" w:type="dxa"/>
            <w:vAlign w:val="bottom"/>
            <w:tcBorders>
              <w:bottom w:val="single" w:sz="8" w:color="901588"/>
            </w:tcBorders>
          </w:tcPr>
          <w:p>
            <w:pPr>
              <w:spacing w:after="0"/>
              <w:rPr>
                <w:sz w:val="19"/>
                <w:szCs w:val="19"/>
                <w:color w:val="auto"/>
              </w:rPr>
            </w:pPr>
          </w:p>
        </w:tc>
        <w:tc>
          <w:tcPr>
            <w:tcW w:w="1500" w:type="dxa"/>
            <w:vAlign w:val="bottom"/>
            <w:tcBorders>
              <w:bottom w:val="single" w:sz="8" w:color="901588"/>
            </w:tcBorders>
          </w:tcPr>
          <w:p>
            <w:pPr>
              <w:spacing w:after="0"/>
              <w:rPr>
                <w:sz w:val="19"/>
                <w:szCs w:val="19"/>
                <w:color w:val="auto"/>
              </w:rPr>
            </w:pPr>
          </w:p>
        </w:tc>
        <w:tc>
          <w:tcPr>
            <w:tcW w:w="100" w:type="dxa"/>
            <w:vAlign w:val="bottom"/>
            <w:tcBorders>
              <w:bottom w:val="single" w:sz="8" w:color="901588"/>
            </w:tcBorders>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3360" w:type="dxa"/>
            <w:vAlign w:val="bottom"/>
            <w:tcBorders>
              <w:bottom w:val="single" w:sz="8" w:color="901588"/>
            </w:tcBorders>
            <w:gridSpan w:val="6"/>
          </w:tcPr>
          <w:p>
            <w:pPr>
              <w:jc w:val="right"/>
              <w:ind w:right="359"/>
              <w:spacing w:after="0"/>
              <w:rPr>
                <w:sz w:val="20"/>
                <w:szCs w:val="20"/>
                <w:color w:val="auto"/>
              </w:rPr>
            </w:pPr>
            <w:r>
              <w:rPr>
                <w:rFonts w:ascii="Arial" w:cs="Arial" w:eastAsia="Arial" w:hAnsi="Arial"/>
                <w:sz w:val="16"/>
                <w:szCs w:val="16"/>
                <w:color w:val="auto"/>
              </w:rPr>
              <w:t>Six Months Ended June 28, 2024</w:t>
            </w:r>
          </w:p>
        </w:tc>
        <w:tc>
          <w:tcPr>
            <w:tcW w:w="780" w:type="dxa"/>
            <w:vAlign w:val="bottom"/>
            <w:tcBorders>
              <w:bottom w:val="single" w:sz="8" w:color="901588"/>
            </w:tcBorders>
          </w:tcPr>
          <w:p>
            <w:pPr>
              <w:spacing w:after="0"/>
              <w:rPr>
                <w:sz w:val="19"/>
                <w:szCs w:val="19"/>
                <w:color w:val="auto"/>
              </w:rPr>
            </w:pPr>
          </w:p>
        </w:tc>
        <w:tc>
          <w:tcPr>
            <w:tcW w:w="12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spacing w:after="0"/>
              <w:rPr>
                <w:sz w:val="19"/>
                <w:szCs w:val="19"/>
                <w:color w:val="auto"/>
              </w:rPr>
            </w:pPr>
          </w:p>
        </w:tc>
      </w:tr>
      <w:tr>
        <w:trPr>
          <w:trHeight w:val="202"/>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National Security &amp;</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901588"/>
            </w:tcBorders>
          </w:tcPr>
          <w:p>
            <w:pPr>
              <w:spacing w:after="0"/>
              <w:rPr>
                <w:sz w:val="20"/>
                <w:szCs w:val="20"/>
                <w:color w:val="auto"/>
              </w:rPr>
            </w:pPr>
          </w:p>
        </w:tc>
        <w:tc>
          <w:tcPr>
            <w:tcW w:w="16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Digital</w:t>
            </w:r>
          </w:p>
        </w:tc>
        <w:tc>
          <w:tcPr>
            <w:tcW w:w="28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gridSpan w:val="2"/>
          </w:tcPr>
          <w:p>
            <w:pPr>
              <w:ind w:left="180"/>
              <w:spacing w:after="0"/>
              <w:rPr>
                <w:sz w:val="20"/>
                <w:szCs w:val="20"/>
                <w:color w:val="auto"/>
              </w:rPr>
            </w:pPr>
            <w:r>
              <w:rPr>
                <w:rFonts w:ascii="Arial" w:cs="Arial" w:eastAsia="Arial" w:hAnsi="Arial"/>
                <w:sz w:val="16"/>
                <w:szCs w:val="16"/>
                <w:color w:val="auto"/>
              </w:rPr>
              <w:t>Health &amp; Civil</w:t>
            </w:r>
          </w:p>
        </w:tc>
        <w:tc>
          <w:tcPr>
            <w:tcW w:w="26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40" w:type="dxa"/>
            <w:vAlign w:val="bottom"/>
            <w:tcBorders>
              <w:bottom w:val="single" w:sz="8" w:color="901588"/>
            </w:tcBorders>
            <w:gridSpan w:val="3"/>
          </w:tcPr>
          <w:p>
            <w:pPr>
              <w:ind w:left="40"/>
              <w:spacing w:after="0"/>
              <w:rPr>
                <w:sz w:val="20"/>
                <w:szCs w:val="20"/>
                <w:color w:val="auto"/>
              </w:rPr>
            </w:pPr>
            <w:r>
              <w:rPr>
                <w:rFonts w:ascii="Arial" w:cs="Arial" w:eastAsia="Arial" w:hAnsi="Arial"/>
                <w:sz w:val="16"/>
                <w:szCs w:val="16"/>
                <w:color w:val="auto"/>
              </w:rPr>
              <w:t>Defense Systems</w:t>
            </w:r>
          </w:p>
        </w:tc>
        <w:tc>
          <w:tcPr>
            <w:tcW w:w="4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02"/>
        </w:trPr>
        <w:tc>
          <w:tcPr>
            <w:tcW w:w="354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3,581</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240" w:type="dxa"/>
            <w:vAlign w:val="bottom"/>
            <w:tcBorders>
              <w:bottom w:val="single" w:sz="8" w:color="B2B2B2"/>
            </w:tcBorders>
          </w:tcPr>
          <w:p>
            <w:pPr>
              <w:spacing w:after="0"/>
              <w:rPr>
                <w:sz w:val="20"/>
                <w:szCs w:val="20"/>
                <w:color w:val="auto"/>
              </w:rPr>
            </w:pPr>
          </w:p>
        </w:tc>
        <w:tc>
          <w:tcPr>
            <w:tcW w:w="1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3,378</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Time-and-materials and fixed-price-level-of-effort</w:t>
            </w:r>
          </w:p>
        </w:tc>
        <w:tc>
          <w:tcPr>
            <w:tcW w:w="240" w:type="dxa"/>
            <w:vAlign w:val="bottom"/>
            <w:tcBorders>
              <w:bottom w:val="single" w:sz="8" w:color="901588"/>
            </w:tcBorders>
          </w:tcPr>
          <w:p>
            <w:pPr>
              <w:spacing w:after="0"/>
              <w:rPr>
                <w:sz w:val="20"/>
                <w:szCs w:val="20"/>
                <w:color w:val="auto"/>
              </w:rPr>
            </w:pPr>
          </w:p>
        </w:tc>
        <w:tc>
          <w:tcPr>
            <w:tcW w:w="15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B2B2B2"/>
            </w:tcBorders>
          </w:tcPr>
          <w:p>
            <w:pPr>
              <w:spacing w:after="0"/>
              <w:rPr>
                <w:sz w:val="20"/>
                <w:szCs w:val="20"/>
                <w:color w:val="auto"/>
              </w:rPr>
            </w:pPr>
          </w:p>
        </w:tc>
        <w:tc>
          <w:tcPr>
            <w:tcW w:w="54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1,099</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3,574</w:t>
            </w:r>
          </w:p>
        </w:tc>
        <w:tc>
          <w:tcPr>
            <w:tcW w:w="100" w:type="dxa"/>
            <w:vAlign w:val="bottom"/>
          </w:tcPr>
          <w:p>
            <w:pPr>
              <w:spacing w:after="0"/>
              <w:rPr>
                <w:sz w:val="21"/>
                <w:szCs w:val="21"/>
                <w:color w:val="auto"/>
              </w:rPr>
            </w:pPr>
          </w:p>
        </w:tc>
        <w:tc>
          <w:tcPr>
            <w:tcW w:w="28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Pr>
          <w:p>
            <w:pPr>
              <w:spacing w:after="0"/>
              <w:rPr>
                <w:sz w:val="21"/>
                <w:szCs w:val="21"/>
                <w:color w:val="auto"/>
              </w:rPr>
            </w:pPr>
          </w:p>
        </w:tc>
        <w:tc>
          <w:tcPr>
            <w:tcW w:w="2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1"/>
                <w:szCs w:val="21"/>
                <w:color w:val="auto"/>
              </w:rPr>
            </w:pPr>
          </w:p>
        </w:tc>
        <w:tc>
          <w:tcPr>
            <w:tcW w:w="540" w:type="dxa"/>
            <w:vAlign w:val="bottom"/>
            <w:tcBorders>
              <w:bottom w:val="single" w:sz="8" w:color="901588"/>
            </w:tcBorders>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21"/>
                <w:szCs w:val="21"/>
                <w:color w:val="auto"/>
              </w:rPr>
            </w:pPr>
          </w:p>
        </w:tc>
        <w:tc>
          <w:tcPr>
            <w:tcW w:w="480" w:type="dxa"/>
            <w:vAlign w:val="bottom"/>
            <w:tcBorders>
              <w:bottom w:val="single" w:sz="8" w:color="901588"/>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8,058</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5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80" w:type="dxa"/>
            <w:vAlign w:val="bottom"/>
            <w:tcBorders>
              <w:bottom w:val="single" w:sz="8" w:color="901588"/>
            </w:tcBorders>
          </w:tcPr>
          <w:p>
            <w:pPr>
              <w:spacing w:after="0" w:line="20" w:lineRule="exact"/>
              <w:rPr>
                <w:sz w:val="1"/>
                <w:szCs w:val="1"/>
                <w:color w:val="auto"/>
              </w:rPr>
            </w:pPr>
          </w:p>
        </w:tc>
        <w:tc>
          <w:tcPr>
            <w:tcW w:w="11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6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540" w:type="dxa"/>
            <w:vAlign w:val="bottom"/>
            <w:tcBorders>
              <w:bottom w:val="single" w:sz="8" w:color="901588"/>
            </w:tcBorders>
          </w:tcPr>
          <w:p>
            <w:pPr>
              <w:spacing w:after="0" w:line="20" w:lineRule="exact"/>
              <w:rPr>
                <w:sz w:val="1"/>
                <w:szCs w:val="1"/>
                <w:color w:val="auto"/>
              </w:rPr>
            </w:pPr>
          </w:p>
        </w:tc>
        <w:tc>
          <w:tcPr>
            <w:tcW w:w="780" w:type="dxa"/>
            <w:vAlign w:val="bottom"/>
            <w:tcBorders>
              <w:bottom w:val="single" w:sz="8" w:color="901588"/>
            </w:tcBorders>
          </w:tcPr>
          <w:p>
            <w:pPr>
              <w:spacing w:after="0" w:line="20" w:lineRule="exact"/>
              <w:rPr>
                <w:sz w:val="1"/>
                <w:szCs w:val="1"/>
                <w:color w:val="auto"/>
              </w:rPr>
            </w:pPr>
          </w:p>
        </w:tc>
        <w:tc>
          <w:tcPr>
            <w:tcW w:w="12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geographic location were as follows:</w:t>
      </w:r>
    </w:p>
    <w:p>
      <w:pPr>
        <w:spacing w:after="0" w:line="181"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Three Months Ended July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29210</wp:posOffset>
            </wp:positionV>
            <wp:extent cx="4894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millions)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United States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37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millions)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United States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459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459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millions)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United States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371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4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3"/>
        </w:trPr>
        <w:tc>
          <w:tcPr>
            <w:tcW w:w="1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4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7"/>
        </w:trPr>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1,849</w:t>
            </w:r>
          </w:p>
        </w:tc>
        <w:tc>
          <w:tcPr>
            <w:tcW w:w="80" w:type="dxa"/>
            <w:vAlign w:val="bottom"/>
          </w:tcPr>
          <w:p>
            <w:pPr>
              <w:spacing w:after="0"/>
              <w:rPr>
                <w:sz w:val="22"/>
                <w:szCs w:val="22"/>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1,265</w:t>
            </w:r>
          </w:p>
        </w:tc>
        <w:tc>
          <w:tcPr>
            <w:tcW w:w="80" w:type="dxa"/>
            <w:vAlign w:val="bottom"/>
          </w:tcPr>
          <w:p>
            <w:pPr>
              <w:spacing w:after="0"/>
              <w:rPr>
                <w:sz w:val="22"/>
                <w:szCs w:val="22"/>
                <w:color w:val="auto"/>
              </w:rPr>
            </w:pPr>
          </w:p>
        </w:tc>
        <w:tc>
          <w:tcPr>
            <w:tcW w:w="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247</w:t>
            </w:r>
          </w:p>
        </w:tc>
        <w:tc>
          <w:tcPr>
            <w:tcW w:w="100" w:type="dxa"/>
            <w:vAlign w:val="bottom"/>
          </w:tcPr>
          <w:p>
            <w:pPr>
              <w:spacing w:after="0"/>
              <w:rPr>
                <w:sz w:val="22"/>
                <w:szCs w:val="22"/>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532</w:t>
            </w:r>
          </w:p>
        </w:tc>
        <w:tc>
          <w:tcPr>
            <w:tcW w:w="10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3,893</w:t>
            </w:r>
          </w:p>
        </w:tc>
      </w:tr>
      <w:tr>
        <w:trPr>
          <w:trHeight w:val="260"/>
        </w:trPr>
        <w:tc>
          <w:tcPr>
            <w:tcW w:w="180" w:type="dxa"/>
            <w:vAlign w:val="bottom"/>
            <w:tcBorders>
              <w:bottom w:val="single" w:sz="8" w:color="901588"/>
            </w:tcBorders>
          </w:tcPr>
          <w:p>
            <w:pPr>
              <w:spacing w:after="0"/>
              <w:rPr>
                <w:sz w:val="22"/>
                <w:szCs w:val="22"/>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901588"/>
            </w:tcBorders>
          </w:tcPr>
          <w:p>
            <w:pPr>
              <w:spacing w:after="0"/>
              <w:rPr>
                <w:sz w:val="22"/>
                <w:szCs w:val="22"/>
                <w:color w:val="auto"/>
              </w:rPr>
            </w:pPr>
          </w:p>
        </w:tc>
        <w:tc>
          <w:tcPr>
            <w:tcW w:w="24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901588"/>
            </w:tcBorders>
          </w:tcPr>
          <w:p>
            <w:pPr>
              <w:spacing w:after="0"/>
              <w:rPr>
                <w:sz w:val="22"/>
                <w:szCs w:val="22"/>
                <w:color w:val="auto"/>
              </w:rPr>
            </w:pPr>
          </w:p>
        </w:tc>
        <w:tc>
          <w:tcPr>
            <w:tcW w:w="220" w:type="dxa"/>
            <w:vAlign w:val="bottom"/>
            <w:tcBorders>
              <w:bottom w:val="single" w:sz="8" w:color="901588"/>
            </w:tcBorders>
          </w:tcPr>
          <w:p>
            <w:pPr>
              <w:spacing w:after="0"/>
              <w:rPr>
                <w:sz w:val="22"/>
                <w:szCs w:val="22"/>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319</w:t>
            </w:r>
          </w:p>
        </w:tc>
        <w:tc>
          <w:tcPr>
            <w:tcW w:w="100" w:type="dxa"/>
            <w:vAlign w:val="bottom"/>
            <w:tcBorders>
              <w:bottom w:val="single" w:sz="8" w:color="B2B2B2"/>
            </w:tcBorders>
          </w:tcPr>
          <w:p>
            <w:pPr>
              <w:spacing w:after="0"/>
              <w:rPr>
                <w:sz w:val="22"/>
                <w:szCs w:val="22"/>
                <w:color w:val="auto"/>
              </w:rPr>
            </w:pPr>
          </w:p>
        </w:tc>
        <w:tc>
          <w:tcPr>
            <w:tcW w:w="420" w:type="dxa"/>
            <w:vAlign w:val="bottom"/>
            <w:tcBorders>
              <w:bottom w:val="single" w:sz="8" w:color="901588"/>
            </w:tcBorders>
          </w:tcPr>
          <w:p>
            <w:pPr>
              <w:spacing w:after="0"/>
              <w:rPr>
                <w:sz w:val="22"/>
                <w:szCs w:val="22"/>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bottom w:val="single" w:sz="8" w:color="B2B2B2"/>
            </w:tcBorders>
          </w:tcPr>
          <w:p>
            <w:pPr>
              <w:spacing w:after="0"/>
              <w:rPr>
                <w:sz w:val="22"/>
                <w:szCs w:val="22"/>
                <w:color w:val="auto"/>
              </w:rPr>
            </w:pPr>
          </w:p>
        </w:tc>
        <w:tc>
          <w:tcPr>
            <w:tcW w:w="480" w:type="dxa"/>
            <w:vAlign w:val="bottom"/>
            <w:tcBorders>
              <w:bottom w:val="single" w:sz="8" w:color="901588"/>
            </w:tcBorders>
          </w:tcPr>
          <w:p>
            <w:pPr>
              <w:spacing w:after="0"/>
              <w:rPr>
                <w:sz w:val="22"/>
                <w:szCs w:val="22"/>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340</w:t>
            </w:r>
          </w:p>
        </w:tc>
      </w:tr>
      <w:tr>
        <w:trPr>
          <w:trHeight w:val="236"/>
        </w:trPr>
        <w:tc>
          <w:tcPr>
            <w:tcW w:w="180" w:type="dxa"/>
            <w:vAlign w:val="bottom"/>
            <w:tcBorders>
              <w:bottom w:val="single" w:sz="8" w:color="901588"/>
            </w:tcBorders>
          </w:tcPr>
          <w:p>
            <w:pPr>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1,857</w:t>
            </w:r>
          </w:p>
        </w:tc>
        <w:tc>
          <w:tcPr>
            <w:tcW w:w="80" w:type="dxa"/>
            <w:vAlign w:val="bottom"/>
          </w:tcPr>
          <w:p>
            <w:pPr>
              <w:spacing w:after="0"/>
              <w:rPr>
                <w:sz w:val="20"/>
                <w:szCs w:val="20"/>
                <w:color w:val="auto"/>
              </w:rPr>
            </w:pPr>
          </w:p>
        </w:tc>
        <w:tc>
          <w:tcPr>
            <w:tcW w:w="260" w:type="dxa"/>
            <w:vAlign w:val="bottom"/>
            <w:tcBorders>
              <w:bottom w:val="single" w:sz="8" w:color="901588"/>
            </w:tcBorders>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1,267</w:t>
            </w:r>
          </w:p>
        </w:tc>
        <w:tc>
          <w:tcPr>
            <w:tcW w:w="80" w:type="dxa"/>
            <w:vAlign w:val="bottom"/>
          </w:tcPr>
          <w:p>
            <w:pPr>
              <w:spacing w:after="0"/>
              <w:rPr>
                <w:sz w:val="20"/>
                <w:szCs w:val="20"/>
                <w:color w:val="auto"/>
              </w:rPr>
            </w:pPr>
          </w:p>
        </w:tc>
        <w:tc>
          <w:tcPr>
            <w:tcW w:w="240" w:type="dxa"/>
            <w:vAlign w:val="bottom"/>
            <w:tcBorders>
              <w:bottom w:val="single" w:sz="8" w:color="901588"/>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566</w:t>
            </w:r>
          </w:p>
        </w:tc>
        <w:tc>
          <w:tcPr>
            <w:tcW w:w="100" w:type="dxa"/>
            <w:vAlign w:val="bottom"/>
          </w:tcPr>
          <w:p>
            <w:pPr>
              <w:spacing w:after="0"/>
              <w:rPr>
                <w:sz w:val="20"/>
                <w:szCs w:val="20"/>
                <w:color w:val="auto"/>
              </w:rPr>
            </w:pPr>
          </w:p>
        </w:tc>
        <w:tc>
          <w:tcPr>
            <w:tcW w:w="42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543</w:t>
            </w:r>
          </w:p>
        </w:tc>
        <w:tc>
          <w:tcPr>
            <w:tcW w:w="100" w:type="dxa"/>
            <w:vAlign w:val="bottom"/>
          </w:tcPr>
          <w:p>
            <w:pPr>
              <w:spacing w:after="0"/>
              <w:rPr>
                <w:sz w:val="20"/>
                <w:szCs w:val="20"/>
                <w:color w:val="auto"/>
              </w:rPr>
            </w:pPr>
          </w:p>
        </w:tc>
        <w:tc>
          <w:tcPr>
            <w:tcW w:w="48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4,233</w:t>
            </w:r>
          </w:p>
        </w:tc>
      </w:tr>
      <w:tr>
        <w:trPr>
          <w:trHeight w:val="20"/>
        </w:trPr>
        <w:tc>
          <w:tcPr>
            <w:tcW w:w="180" w:type="dxa"/>
            <w:vAlign w:val="bottom"/>
            <w:tcBorders>
              <w:bottom w:val="single" w:sz="8" w:color="901588"/>
            </w:tcBorders>
          </w:tcPr>
          <w:p>
            <w:pPr>
              <w:spacing w:after="0" w:line="20" w:lineRule="exact"/>
              <w:rPr>
                <w:sz w:val="1"/>
                <w:szCs w:val="1"/>
                <w:color w:val="auto"/>
              </w:rPr>
            </w:pPr>
          </w:p>
        </w:tc>
        <w:tc>
          <w:tcPr>
            <w:tcW w:w="156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gridSpan w:val="2"/>
          </w:tcPr>
          <w:p>
            <w:pPr>
              <w:spacing w:after="0" w:line="20" w:lineRule="exact"/>
              <w:rPr>
                <w:sz w:val="1"/>
                <w:szCs w:val="1"/>
                <w:color w:val="auto"/>
              </w:rPr>
            </w:pPr>
          </w:p>
        </w:tc>
        <w:tc>
          <w:tcPr>
            <w:tcW w:w="1460" w:type="dxa"/>
            <w:vAlign w:val="bottom"/>
            <w:tcBorders>
              <w:bottom w:val="single" w:sz="8" w:color="901588"/>
            </w:tcBorders>
            <w:gridSpan w:val="2"/>
          </w:tcPr>
          <w:p>
            <w:pPr>
              <w:spacing w:after="0" w:line="20" w:lineRule="exact"/>
              <w:rPr>
                <w:sz w:val="1"/>
                <w:szCs w:val="1"/>
                <w:color w:val="auto"/>
              </w:rPr>
            </w:pPr>
          </w:p>
        </w:tc>
        <w:tc>
          <w:tcPr>
            <w:tcW w:w="520" w:type="dxa"/>
            <w:vAlign w:val="bottom"/>
            <w:tcBorders>
              <w:bottom w:val="single" w:sz="8" w:color="901588"/>
            </w:tcBorders>
            <w:gridSpan w:val="2"/>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860" w:type="dxa"/>
            <w:vAlign w:val="bottom"/>
            <w:tcBorders>
              <w:bottom w:val="single" w:sz="8" w:color="901588"/>
            </w:tcBorders>
          </w:tcPr>
          <w:p>
            <w:pPr>
              <w:spacing w:after="0" w:line="20" w:lineRule="exact"/>
              <w:rPr>
                <w:sz w:val="1"/>
                <w:szCs w:val="1"/>
                <w:color w:val="auto"/>
              </w:rPr>
            </w:pPr>
          </w:p>
        </w:tc>
      </w:tr>
      <w:tr>
        <w:trPr>
          <w:trHeight w:val="464"/>
        </w:trPr>
        <w:tc>
          <w:tcPr>
            <w:tcW w:w="18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3280" w:type="dxa"/>
            <w:vAlign w:val="bottom"/>
            <w:tcBorders>
              <w:bottom w:val="single" w:sz="8" w:color="901588"/>
            </w:tcBorders>
            <w:gridSpan w:val="7"/>
          </w:tcPr>
          <w:p>
            <w:pPr>
              <w:jc w:val="right"/>
              <w:ind w:right="139"/>
              <w:spacing w:after="0"/>
              <w:rPr>
                <w:sz w:val="20"/>
                <w:szCs w:val="20"/>
                <w:color w:val="auto"/>
              </w:rPr>
            </w:pPr>
            <w:r>
              <w:rPr>
                <w:rFonts w:ascii="Arial" w:cs="Arial" w:eastAsia="Arial" w:hAnsi="Arial"/>
                <w:sz w:val="16"/>
                <w:szCs w:val="16"/>
                <w:color w:val="auto"/>
              </w:rPr>
              <w:t>Three Months Ended June 28, 2024</w:t>
            </w:r>
          </w:p>
        </w:tc>
        <w:tc>
          <w:tcPr>
            <w:tcW w:w="90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c>
          <w:tcPr>
            <w:tcW w:w="860" w:type="dxa"/>
            <w:vAlign w:val="bottom"/>
            <w:tcBorders>
              <w:bottom w:val="single" w:sz="8" w:color="901588"/>
            </w:tcBorders>
          </w:tcPr>
          <w:p>
            <w:pPr>
              <w:spacing w:after="0"/>
              <w:rPr>
                <w:sz w:val="24"/>
                <w:szCs w:val="24"/>
                <w:color w:val="auto"/>
              </w:rPr>
            </w:pPr>
          </w:p>
        </w:tc>
      </w:tr>
      <w:tr>
        <w:trPr>
          <w:trHeight w:val="202"/>
        </w:trPr>
        <w:tc>
          <w:tcPr>
            <w:tcW w:w="1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8"/>
        </w:trPr>
        <w:tc>
          <w:tcPr>
            <w:tcW w:w="1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auto"/>
              </w:rPr>
              <w:t>Digital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6"/>
                <w:szCs w:val="16"/>
                <w:color w:val="auto"/>
              </w:rPr>
              <w:t>Health &amp; Civil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20" w:type="dxa"/>
            <w:vAlign w:val="bottom"/>
            <w:gridSpan w:val="3"/>
          </w:tcPr>
          <w:p>
            <w:pPr>
              <w:jc w:val="right"/>
              <w:ind w:right="100"/>
              <w:spacing w:after="0"/>
              <w:rPr>
                <w:sz w:val="20"/>
                <w:szCs w:val="20"/>
                <w:color w:val="auto"/>
              </w:rPr>
            </w:pPr>
            <w:r>
              <w:rPr>
                <w:rFonts w:ascii="Arial" w:cs="Arial" w:eastAsia="Arial" w:hAnsi="Arial"/>
                <w:sz w:val="16"/>
                <w:szCs w:val="16"/>
                <w:color w:val="auto"/>
              </w:rPr>
              <w:t>Defense Systems</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257"/>
        </w:trPr>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1,788</w:t>
            </w:r>
          </w:p>
        </w:tc>
        <w:tc>
          <w:tcPr>
            <w:tcW w:w="80" w:type="dxa"/>
            <w:vAlign w:val="bottom"/>
          </w:tcPr>
          <w:p>
            <w:pPr>
              <w:spacing w:after="0"/>
              <w:rPr>
                <w:sz w:val="22"/>
                <w:szCs w:val="22"/>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1,255</w:t>
            </w:r>
          </w:p>
        </w:tc>
        <w:tc>
          <w:tcPr>
            <w:tcW w:w="80" w:type="dxa"/>
            <w:vAlign w:val="bottom"/>
          </w:tcPr>
          <w:p>
            <w:pPr>
              <w:spacing w:after="0"/>
              <w:rPr>
                <w:sz w:val="22"/>
                <w:szCs w:val="22"/>
                <w:color w:val="auto"/>
              </w:rPr>
            </w:pPr>
          </w:p>
        </w:tc>
        <w:tc>
          <w:tcPr>
            <w:tcW w:w="2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2"/>
                <w:szCs w:val="22"/>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3,749</w:t>
            </w:r>
          </w:p>
        </w:tc>
      </w:tr>
      <w:tr>
        <w:trPr>
          <w:trHeight w:val="265"/>
        </w:trPr>
        <w:tc>
          <w:tcPr>
            <w:tcW w:w="180" w:type="dxa"/>
            <w:vAlign w:val="bottom"/>
            <w:tcBorders>
              <w:bottom w:val="single" w:sz="8" w:color="901588"/>
            </w:tcBorders>
          </w:tcPr>
          <w:p>
            <w:pPr>
              <w:spacing w:after="0"/>
              <w:rPr>
                <w:sz w:val="23"/>
                <w:szCs w:val="23"/>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B2B2B2"/>
            </w:tcBorders>
          </w:tcPr>
          <w:p>
            <w:pPr>
              <w:spacing w:after="0"/>
              <w:rPr>
                <w:sz w:val="23"/>
                <w:szCs w:val="23"/>
                <w:color w:val="auto"/>
              </w:rPr>
            </w:pPr>
          </w:p>
        </w:tc>
        <w:tc>
          <w:tcPr>
            <w:tcW w:w="20" w:type="dxa"/>
            <w:vAlign w:val="bottom"/>
            <w:tcBorders>
              <w:bottom w:val="single" w:sz="8" w:color="B2B2B2"/>
            </w:tcBorders>
          </w:tcPr>
          <w:p>
            <w:pPr>
              <w:spacing w:after="0"/>
              <w:rPr>
                <w:sz w:val="23"/>
                <w:szCs w:val="23"/>
                <w:color w:val="auto"/>
              </w:rPr>
            </w:pPr>
          </w:p>
        </w:tc>
        <w:tc>
          <w:tcPr>
            <w:tcW w:w="240" w:type="dxa"/>
            <w:vAlign w:val="bottom"/>
            <w:tcBorders>
              <w:bottom w:val="single" w:sz="8" w:color="901588"/>
            </w:tcBorders>
          </w:tcPr>
          <w:p>
            <w:pPr>
              <w:spacing w:after="0"/>
              <w:rPr>
                <w:sz w:val="23"/>
                <w:szCs w:val="23"/>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23"/>
                <w:szCs w:val="23"/>
                <w:color w:val="auto"/>
              </w:rPr>
            </w:pPr>
          </w:p>
        </w:tc>
        <w:tc>
          <w:tcPr>
            <w:tcW w:w="20" w:type="dxa"/>
            <w:vAlign w:val="bottom"/>
            <w:tcBorders>
              <w:bottom w:val="single" w:sz="8" w:color="B2B2B2"/>
            </w:tcBorders>
          </w:tcPr>
          <w:p>
            <w:pPr>
              <w:spacing w:after="0"/>
              <w:rPr>
                <w:sz w:val="23"/>
                <w:szCs w:val="23"/>
                <w:color w:val="auto"/>
              </w:rPr>
            </w:pPr>
          </w:p>
        </w:tc>
        <w:tc>
          <w:tcPr>
            <w:tcW w:w="220" w:type="dxa"/>
            <w:vAlign w:val="bottom"/>
            <w:tcBorders>
              <w:bottom w:val="single" w:sz="8" w:color="901588"/>
            </w:tcBorders>
          </w:tcPr>
          <w:p>
            <w:pPr>
              <w:spacing w:after="0"/>
              <w:rPr>
                <w:sz w:val="23"/>
                <w:szCs w:val="23"/>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B2B2B2"/>
            </w:tcBorders>
          </w:tcPr>
          <w:p>
            <w:pPr>
              <w:spacing w:after="0"/>
              <w:rPr>
                <w:sz w:val="23"/>
                <w:szCs w:val="23"/>
                <w:color w:val="auto"/>
              </w:rPr>
            </w:pPr>
          </w:p>
        </w:tc>
        <w:tc>
          <w:tcPr>
            <w:tcW w:w="420" w:type="dxa"/>
            <w:vAlign w:val="bottom"/>
            <w:tcBorders>
              <w:bottom w:val="single" w:sz="8" w:color="901588"/>
            </w:tcBorders>
          </w:tcPr>
          <w:p>
            <w:pPr>
              <w:spacing w:after="0"/>
              <w:rPr>
                <w:sz w:val="23"/>
                <w:szCs w:val="23"/>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B2B2B2"/>
            </w:tcBorders>
          </w:tcPr>
          <w:p>
            <w:pPr>
              <w:spacing w:after="0"/>
              <w:rPr>
                <w:sz w:val="23"/>
                <w:szCs w:val="23"/>
                <w:color w:val="auto"/>
              </w:rPr>
            </w:pPr>
          </w:p>
        </w:tc>
        <w:tc>
          <w:tcPr>
            <w:tcW w:w="480" w:type="dxa"/>
            <w:vAlign w:val="bottom"/>
            <w:tcBorders>
              <w:bottom w:val="single" w:sz="8" w:color="901588"/>
            </w:tcBorders>
          </w:tcPr>
          <w:p>
            <w:pPr>
              <w:spacing w:after="0"/>
              <w:rPr>
                <w:sz w:val="23"/>
                <w:szCs w:val="23"/>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358</w:t>
            </w:r>
          </w:p>
        </w:tc>
      </w:tr>
      <w:tr>
        <w:trPr>
          <w:trHeight w:val="237"/>
        </w:trPr>
        <w:tc>
          <w:tcPr>
            <w:tcW w:w="1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1,795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42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48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4,107</w:t>
            </w:r>
          </w:p>
        </w:tc>
      </w:tr>
      <w:tr>
        <w:trPr>
          <w:trHeight w:val="20"/>
        </w:trPr>
        <w:tc>
          <w:tcPr>
            <w:tcW w:w="180" w:type="dxa"/>
            <w:vAlign w:val="bottom"/>
            <w:tcBorders>
              <w:bottom w:val="single" w:sz="8" w:color="901588"/>
            </w:tcBorders>
          </w:tcPr>
          <w:p>
            <w:pPr>
              <w:spacing w:after="0" w:line="20" w:lineRule="exact"/>
              <w:rPr>
                <w:sz w:val="1"/>
                <w:szCs w:val="1"/>
                <w:color w:val="auto"/>
              </w:rPr>
            </w:pPr>
          </w:p>
        </w:tc>
        <w:tc>
          <w:tcPr>
            <w:tcW w:w="156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gridSpan w:val="2"/>
          </w:tcPr>
          <w:p>
            <w:pPr>
              <w:spacing w:after="0" w:line="20" w:lineRule="exact"/>
              <w:rPr>
                <w:sz w:val="1"/>
                <w:szCs w:val="1"/>
                <w:color w:val="auto"/>
              </w:rPr>
            </w:pPr>
          </w:p>
        </w:tc>
        <w:tc>
          <w:tcPr>
            <w:tcW w:w="1980" w:type="dxa"/>
            <w:vAlign w:val="bottom"/>
            <w:tcBorders>
              <w:bottom w:val="single" w:sz="8" w:color="901588"/>
            </w:tcBorders>
            <w:gridSpan w:val="4"/>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860" w:type="dxa"/>
            <w:vAlign w:val="bottom"/>
            <w:tcBorders>
              <w:bottom w:val="single" w:sz="8" w:color="901588"/>
            </w:tcBorders>
          </w:tcPr>
          <w:p>
            <w:pPr>
              <w:spacing w:after="0" w:line="20" w:lineRule="exact"/>
              <w:rPr>
                <w:sz w:val="1"/>
                <w:szCs w:val="1"/>
                <w:color w:val="auto"/>
              </w:rPr>
            </w:pPr>
          </w:p>
        </w:tc>
      </w:tr>
      <w:tr>
        <w:trPr>
          <w:trHeight w:val="469"/>
        </w:trPr>
        <w:tc>
          <w:tcPr>
            <w:tcW w:w="180" w:type="dxa"/>
            <w:vAlign w:val="bottom"/>
            <w:tcBorders>
              <w:bottom w:val="single" w:sz="8" w:color="901588"/>
            </w:tcBorders>
          </w:tcPr>
          <w:p>
            <w:pPr>
              <w:spacing w:after="0"/>
              <w:rPr>
                <w:sz w:val="24"/>
                <w:szCs w:val="24"/>
                <w:color w:val="auto"/>
              </w:rPr>
            </w:pPr>
          </w:p>
        </w:tc>
        <w:tc>
          <w:tcPr>
            <w:tcW w:w="156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3280" w:type="dxa"/>
            <w:vAlign w:val="bottom"/>
            <w:tcBorders>
              <w:bottom w:val="single" w:sz="8" w:color="901588"/>
            </w:tcBorders>
            <w:gridSpan w:val="7"/>
          </w:tcPr>
          <w:p>
            <w:pPr>
              <w:jc w:val="right"/>
              <w:ind w:right="259"/>
              <w:spacing w:after="0"/>
              <w:rPr>
                <w:sz w:val="20"/>
                <w:szCs w:val="20"/>
                <w:color w:val="auto"/>
              </w:rPr>
            </w:pPr>
            <w:r>
              <w:rPr>
                <w:rFonts w:ascii="Arial" w:cs="Arial" w:eastAsia="Arial" w:hAnsi="Arial"/>
                <w:sz w:val="16"/>
                <w:szCs w:val="16"/>
                <w:b w:val="1"/>
                <w:bCs w:val="1"/>
                <w:color w:val="auto"/>
              </w:rPr>
              <w:t>Six Months Ended July 4, 2025</w:t>
            </w:r>
          </w:p>
        </w:tc>
        <w:tc>
          <w:tcPr>
            <w:tcW w:w="90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480" w:type="dxa"/>
            <w:vAlign w:val="bottom"/>
            <w:tcBorders>
              <w:bottom w:val="single" w:sz="8" w:color="901588"/>
            </w:tcBorders>
          </w:tcPr>
          <w:p>
            <w:pPr>
              <w:spacing w:after="0"/>
              <w:rPr>
                <w:sz w:val="24"/>
                <w:szCs w:val="24"/>
                <w:color w:val="auto"/>
              </w:rPr>
            </w:pPr>
          </w:p>
        </w:tc>
        <w:tc>
          <w:tcPr>
            <w:tcW w:w="860" w:type="dxa"/>
            <w:vAlign w:val="bottom"/>
            <w:tcBorders>
              <w:bottom w:val="single" w:sz="8" w:color="901588"/>
            </w:tcBorders>
          </w:tcPr>
          <w:p>
            <w:pPr>
              <w:spacing w:after="0"/>
              <w:rPr>
                <w:sz w:val="24"/>
                <w:szCs w:val="24"/>
                <w:color w:val="auto"/>
              </w:rPr>
            </w:pPr>
          </w:p>
        </w:tc>
      </w:tr>
      <w:tr>
        <w:trPr>
          <w:trHeight w:val="199"/>
        </w:trPr>
        <w:tc>
          <w:tcPr>
            <w:tcW w:w="1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Commercial &amp;</w:t>
            </w:r>
          </w:p>
        </w:tc>
        <w:tc>
          <w:tcPr>
            <w:tcW w:w="4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1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Health &amp; Civil</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International</w:t>
            </w:r>
          </w:p>
        </w:tc>
        <w:tc>
          <w:tcPr>
            <w:tcW w:w="4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56"/>
        </w:trPr>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3,708</w:t>
            </w:r>
          </w:p>
        </w:tc>
        <w:tc>
          <w:tcPr>
            <w:tcW w:w="80" w:type="dxa"/>
            <w:vAlign w:val="bottom"/>
          </w:tcPr>
          <w:p>
            <w:pPr>
              <w:spacing w:after="0"/>
              <w:rPr>
                <w:sz w:val="22"/>
                <w:szCs w:val="22"/>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2,550</w:t>
            </w:r>
          </w:p>
        </w:tc>
        <w:tc>
          <w:tcPr>
            <w:tcW w:w="80" w:type="dxa"/>
            <w:vAlign w:val="bottom"/>
          </w:tcPr>
          <w:p>
            <w:pPr>
              <w:spacing w:after="0"/>
              <w:rPr>
                <w:sz w:val="22"/>
                <w:szCs w:val="22"/>
                <w:color w:val="auto"/>
              </w:rPr>
            </w:pPr>
          </w:p>
        </w:tc>
        <w:tc>
          <w:tcPr>
            <w:tcW w:w="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485</w:t>
            </w:r>
          </w:p>
        </w:tc>
        <w:tc>
          <w:tcPr>
            <w:tcW w:w="100" w:type="dxa"/>
            <w:vAlign w:val="bottom"/>
          </w:tcPr>
          <w:p>
            <w:pPr>
              <w:spacing w:after="0"/>
              <w:rPr>
                <w:sz w:val="22"/>
                <w:szCs w:val="22"/>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1,031</w:t>
            </w:r>
          </w:p>
        </w:tc>
        <w:tc>
          <w:tcPr>
            <w:tcW w:w="10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7,774</w:t>
            </w:r>
          </w:p>
        </w:tc>
      </w:tr>
      <w:tr>
        <w:trPr>
          <w:trHeight w:val="260"/>
        </w:trPr>
        <w:tc>
          <w:tcPr>
            <w:tcW w:w="180" w:type="dxa"/>
            <w:vAlign w:val="bottom"/>
            <w:tcBorders>
              <w:bottom w:val="single" w:sz="8" w:color="901588"/>
            </w:tcBorders>
          </w:tcPr>
          <w:p>
            <w:pPr>
              <w:spacing w:after="0"/>
              <w:rPr>
                <w:sz w:val="22"/>
                <w:szCs w:val="22"/>
                <w:color w:val="auto"/>
              </w:rPr>
            </w:pP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901588"/>
            </w:tcBorders>
          </w:tcPr>
          <w:p>
            <w:pPr>
              <w:spacing w:after="0"/>
              <w:rPr>
                <w:sz w:val="22"/>
                <w:szCs w:val="22"/>
                <w:color w:val="auto"/>
              </w:rPr>
            </w:pPr>
          </w:p>
        </w:tc>
        <w:tc>
          <w:tcPr>
            <w:tcW w:w="240" w:type="dxa"/>
            <w:vAlign w:val="bottom"/>
            <w:tcBorders>
              <w:bottom w:val="single" w:sz="8" w:color="901588"/>
            </w:tcBorders>
          </w:tcPr>
          <w:p>
            <w:pPr>
              <w:spacing w:after="0"/>
              <w:rPr>
                <w:sz w:val="22"/>
                <w:szCs w:val="22"/>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B2B2B2"/>
            </w:tcBorders>
          </w:tcPr>
          <w:p>
            <w:pPr>
              <w:spacing w:after="0"/>
              <w:rPr>
                <w:sz w:val="22"/>
                <w:szCs w:val="22"/>
                <w:color w:val="auto"/>
              </w:rPr>
            </w:pPr>
          </w:p>
        </w:tc>
        <w:tc>
          <w:tcPr>
            <w:tcW w:w="20" w:type="dxa"/>
            <w:vAlign w:val="bottom"/>
            <w:tcBorders>
              <w:bottom w:val="single" w:sz="8" w:color="901588"/>
            </w:tcBorders>
          </w:tcPr>
          <w:p>
            <w:pPr>
              <w:spacing w:after="0"/>
              <w:rPr>
                <w:sz w:val="22"/>
                <w:szCs w:val="22"/>
                <w:color w:val="auto"/>
              </w:rPr>
            </w:pPr>
          </w:p>
        </w:tc>
        <w:tc>
          <w:tcPr>
            <w:tcW w:w="220" w:type="dxa"/>
            <w:vAlign w:val="bottom"/>
            <w:tcBorders>
              <w:bottom w:val="single" w:sz="8" w:color="901588"/>
            </w:tcBorders>
          </w:tcPr>
          <w:p>
            <w:pPr>
              <w:spacing w:after="0"/>
              <w:rPr>
                <w:sz w:val="22"/>
                <w:szCs w:val="22"/>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648</w:t>
            </w:r>
          </w:p>
        </w:tc>
        <w:tc>
          <w:tcPr>
            <w:tcW w:w="100" w:type="dxa"/>
            <w:vAlign w:val="bottom"/>
            <w:tcBorders>
              <w:bottom w:val="single" w:sz="8" w:color="B2B2B2"/>
            </w:tcBorders>
          </w:tcPr>
          <w:p>
            <w:pPr>
              <w:spacing w:after="0"/>
              <w:rPr>
                <w:sz w:val="22"/>
                <w:szCs w:val="22"/>
                <w:color w:val="auto"/>
              </w:rPr>
            </w:pPr>
          </w:p>
        </w:tc>
        <w:tc>
          <w:tcPr>
            <w:tcW w:w="420" w:type="dxa"/>
            <w:vAlign w:val="bottom"/>
            <w:tcBorders>
              <w:bottom w:val="single" w:sz="8" w:color="901588"/>
            </w:tcBorders>
          </w:tcPr>
          <w:p>
            <w:pPr>
              <w:spacing w:after="0"/>
              <w:rPr>
                <w:sz w:val="22"/>
                <w:szCs w:val="22"/>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B2B2B2"/>
            </w:tcBorders>
          </w:tcPr>
          <w:p>
            <w:pPr>
              <w:spacing w:after="0"/>
              <w:rPr>
                <w:sz w:val="22"/>
                <w:szCs w:val="22"/>
                <w:color w:val="auto"/>
              </w:rPr>
            </w:pPr>
          </w:p>
        </w:tc>
        <w:tc>
          <w:tcPr>
            <w:tcW w:w="480" w:type="dxa"/>
            <w:vAlign w:val="bottom"/>
            <w:tcBorders>
              <w:bottom w:val="single" w:sz="8" w:color="901588"/>
            </w:tcBorders>
          </w:tcPr>
          <w:p>
            <w:pPr>
              <w:spacing w:after="0"/>
              <w:rPr>
                <w:sz w:val="22"/>
                <w:szCs w:val="22"/>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687</w:t>
            </w:r>
          </w:p>
        </w:tc>
      </w:tr>
      <w:tr>
        <w:trPr>
          <w:trHeight w:val="236"/>
        </w:trPr>
        <w:tc>
          <w:tcPr>
            <w:tcW w:w="180" w:type="dxa"/>
            <w:vAlign w:val="bottom"/>
            <w:tcBorders>
              <w:bottom w:val="single" w:sz="8" w:color="901588"/>
            </w:tcBorders>
          </w:tcPr>
          <w:p>
            <w:pPr>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3,724</w:t>
            </w:r>
          </w:p>
        </w:tc>
        <w:tc>
          <w:tcPr>
            <w:tcW w:w="80" w:type="dxa"/>
            <w:vAlign w:val="bottom"/>
          </w:tcPr>
          <w:p>
            <w:pPr>
              <w:spacing w:after="0"/>
              <w:rPr>
                <w:sz w:val="20"/>
                <w:szCs w:val="20"/>
                <w:color w:val="auto"/>
              </w:rPr>
            </w:pPr>
          </w:p>
        </w:tc>
        <w:tc>
          <w:tcPr>
            <w:tcW w:w="260" w:type="dxa"/>
            <w:vAlign w:val="bottom"/>
            <w:tcBorders>
              <w:bottom w:val="single" w:sz="8" w:color="901588"/>
            </w:tcBorders>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2,553</w:t>
            </w:r>
          </w:p>
        </w:tc>
        <w:tc>
          <w:tcPr>
            <w:tcW w:w="80" w:type="dxa"/>
            <w:vAlign w:val="bottom"/>
          </w:tcPr>
          <w:p>
            <w:pPr>
              <w:spacing w:after="0"/>
              <w:rPr>
                <w:sz w:val="20"/>
                <w:szCs w:val="20"/>
                <w:color w:val="auto"/>
              </w:rPr>
            </w:pPr>
          </w:p>
        </w:tc>
        <w:tc>
          <w:tcPr>
            <w:tcW w:w="240" w:type="dxa"/>
            <w:vAlign w:val="bottom"/>
            <w:tcBorders>
              <w:bottom w:val="single" w:sz="8" w:color="901588"/>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1,133</w:t>
            </w:r>
          </w:p>
        </w:tc>
        <w:tc>
          <w:tcPr>
            <w:tcW w:w="100" w:type="dxa"/>
            <w:vAlign w:val="bottom"/>
          </w:tcPr>
          <w:p>
            <w:pPr>
              <w:spacing w:after="0"/>
              <w:rPr>
                <w:sz w:val="20"/>
                <w:szCs w:val="20"/>
                <w:color w:val="auto"/>
              </w:rPr>
            </w:pPr>
          </w:p>
        </w:tc>
        <w:tc>
          <w:tcPr>
            <w:tcW w:w="42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1,051</w:t>
            </w:r>
          </w:p>
        </w:tc>
        <w:tc>
          <w:tcPr>
            <w:tcW w:w="100" w:type="dxa"/>
            <w:vAlign w:val="bottom"/>
          </w:tcPr>
          <w:p>
            <w:pPr>
              <w:spacing w:after="0"/>
              <w:rPr>
                <w:sz w:val="20"/>
                <w:szCs w:val="20"/>
                <w:color w:val="auto"/>
              </w:rPr>
            </w:pPr>
          </w:p>
        </w:tc>
        <w:tc>
          <w:tcPr>
            <w:tcW w:w="48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8,461</w:t>
            </w:r>
          </w:p>
        </w:tc>
      </w:tr>
      <w:tr>
        <w:trPr>
          <w:trHeight w:val="20"/>
        </w:trPr>
        <w:tc>
          <w:tcPr>
            <w:tcW w:w="180" w:type="dxa"/>
            <w:vAlign w:val="bottom"/>
            <w:tcBorders>
              <w:bottom w:val="single" w:sz="8" w:color="901588"/>
            </w:tcBorders>
          </w:tcPr>
          <w:p>
            <w:pPr>
              <w:spacing w:after="0" w:line="20" w:lineRule="exact"/>
              <w:rPr>
                <w:sz w:val="1"/>
                <w:szCs w:val="1"/>
                <w:color w:val="auto"/>
              </w:rPr>
            </w:pPr>
          </w:p>
        </w:tc>
        <w:tc>
          <w:tcPr>
            <w:tcW w:w="156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20" w:type="dxa"/>
            <w:vAlign w:val="bottom"/>
            <w:tcBorders>
              <w:bottom w:val="single" w:sz="8" w:color="901588"/>
            </w:tcBorders>
          </w:tcPr>
          <w:p>
            <w:pPr>
              <w:spacing w:after="0" w:line="20" w:lineRule="exact"/>
              <w:rPr>
                <w:sz w:val="1"/>
                <w:szCs w:val="1"/>
                <w:color w:val="auto"/>
              </w:rPr>
            </w:pPr>
          </w:p>
        </w:tc>
        <w:tc>
          <w:tcPr>
            <w:tcW w:w="12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2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860" w:type="dxa"/>
            <w:vAlign w:val="bottom"/>
            <w:tcBorders>
              <w:bottom w:val="single" w:sz="8" w:color="901588"/>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-2425065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-2588260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-2750820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-1473835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-1636395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-196215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-521970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Six Months Ended June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4886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2820" w:space="720"/>
            <w:col w:w="770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National Security &amp;</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Commercial &amp;</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4"/>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901588"/>
            </w:tcBorders>
          </w:tcPr>
          <w:p>
            <w:pPr>
              <w:spacing w:after="0"/>
              <w:rPr>
                <w:sz w:val="19"/>
                <w:szCs w:val="19"/>
                <w:color w:val="auto"/>
              </w:rPr>
            </w:pPr>
          </w:p>
        </w:tc>
        <w:tc>
          <w:tcPr>
            <w:tcW w:w="16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Digital</w:t>
            </w:r>
          </w:p>
        </w:tc>
        <w:tc>
          <w:tcPr>
            <w:tcW w:w="28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gridSpan w:val="2"/>
          </w:tcPr>
          <w:p>
            <w:pPr>
              <w:ind w:left="180"/>
              <w:spacing w:after="0"/>
              <w:rPr>
                <w:sz w:val="20"/>
                <w:szCs w:val="20"/>
                <w:color w:val="auto"/>
              </w:rPr>
            </w:pPr>
            <w:r>
              <w:rPr>
                <w:rFonts w:ascii="Arial" w:cs="Arial" w:eastAsia="Arial" w:hAnsi="Arial"/>
                <w:sz w:val="16"/>
                <w:szCs w:val="16"/>
                <w:color w:val="auto"/>
              </w:rPr>
              <w:t>Health &amp; Civil</w:t>
            </w:r>
          </w:p>
        </w:tc>
        <w:tc>
          <w:tcPr>
            <w:tcW w:w="260" w:type="dxa"/>
            <w:vAlign w:val="bottom"/>
            <w:tcBorders>
              <w:bottom w:val="single" w:sz="8" w:color="901588"/>
            </w:tcBorders>
          </w:tcPr>
          <w:p>
            <w:pPr>
              <w:spacing w:after="0"/>
              <w:rPr>
                <w:sz w:val="19"/>
                <w:szCs w:val="19"/>
                <w:color w:val="auto"/>
              </w:rPr>
            </w:pPr>
          </w:p>
        </w:tc>
        <w:tc>
          <w:tcPr>
            <w:tcW w:w="13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901588"/>
            </w:tcBorders>
            <w:gridSpan w:val="3"/>
          </w:tcPr>
          <w:p>
            <w:pPr>
              <w:ind w:left="40"/>
              <w:spacing w:after="0"/>
              <w:rPr>
                <w:sz w:val="20"/>
                <w:szCs w:val="20"/>
                <w:color w:val="auto"/>
              </w:rPr>
            </w:pPr>
            <w:r>
              <w:rPr>
                <w:rFonts w:ascii="Arial" w:cs="Arial" w:eastAsia="Arial" w:hAnsi="Arial"/>
                <w:sz w:val="16"/>
                <w:szCs w:val="16"/>
                <w:color w:val="auto"/>
              </w:rPr>
              <w:t>Defense Systems</w:t>
            </w:r>
          </w:p>
        </w:tc>
        <w:tc>
          <w:tcPr>
            <w:tcW w:w="480" w:type="dxa"/>
            <w:vAlign w:val="bottom"/>
            <w:tcBorders>
              <w:bottom w:val="single" w:sz="8" w:color="901588"/>
            </w:tcBorders>
          </w:tcPr>
          <w:p>
            <w:pPr>
              <w:spacing w:after="0"/>
              <w:rPr>
                <w:sz w:val="19"/>
                <w:szCs w:val="19"/>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3,558</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2,444</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7,384</w:t>
            </w:r>
          </w:p>
        </w:tc>
      </w:tr>
      <w:tr>
        <w:trPr>
          <w:trHeight w:val="23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901588"/>
            </w:tcBorders>
          </w:tcPr>
          <w:p>
            <w:pPr>
              <w:spacing w:after="0"/>
              <w:rPr>
                <w:sz w:val="20"/>
                <w:szCs w:val="20"/>
                <w:color w:val="auto"/>
              </w:rPr>
            </w:pPr>
          </w:p>
        </w:tc>
        <w:tc>
          <w:tcPr>
            <w:tcW w:w="15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B2B2B2"/>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B2B2B2"/>
            </w:tcBorders>
          </w:tcPr>
          <w:p>
            <w:pPr>
              <w:spacing w:after="0"/>
              <w:rPr>
                <w:sz w:val="20"/>
                <w:szCs w:val="20"/>
                <w:color w:val="auto"/>
              </w:rPr>
            </w:pPr>
          </w:p>
        </w:tc>
        <w:tc>
          <w:tcPr>
            <w:tcW w:w="54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B2B2B2"/>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674</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3,574</w:t>
            </w:r>
          </w:p>
        </w:tc>
        <w:tc>
          <w:tcPr>
            <w:tcW w:w="100" w:type="dxa"/>
            <w:vAlign w:val="bottom"/>
          </w:tcPr>
          <w:p>
            <w:pPr>
              <w:spacing w:after="0"/>
              <w:rPr>
                <w:sz w:val="21"/>
                <w:szCs w:val="21"/>
                <w:color w:val="auto"/>
              </w:rPr>
            </w:pPr>
          </w:p>
        </w:tc>
        <w:tc>
          <w:tcPr>
            <w:tcW w:w="280" w:type="dxa"/>
            <w:vAlign w:val="bottom"/>
            <w:tcBorders>
              <w:bottom w:val="single" w:sz="8" w:color="901588"/>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Pr>
          <w:p>
            <w:pPr>
              <w:spacing w:after="0"/>
              <w:rPr>
                <w:sz w:val="21"/>
                <w:szCs w:val="21"/>
                <w:color w:val="auto"/>
              </w:rPr>
            </w:pPr>
          </w:p>
        </w:tc>
        <w:tc>
          <w:tcPr>
            <w:tcW w:w="2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1"/>
                <w:szCs w:val="21"/>
                <w:color w:val="auto"/>
              </w:rPr>
            </w:pPr>
          </w:p>
        </w:tc>
        <w:tc>
          <w:tcPr>
            <w:tcW w:w="540" w:type="dxa"/>
            <w:vAlign w:val="bottom"/>
            <w:tcBorders>
              <w:bottom w:val="single" w:sz="8" w:color="901588"/>
            </w:tcBorders>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21"/>
                <w:szCs w:val="21"/>
                <w:color w:val="auto"/>
              </w:rPr>
            </w:pPr>
          </w:p>
        </w:tc>
        <w:tc>
          <w:tcPr>
            <w:tcW w:w="48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8,058</w:t>
            </w:r>
          </w:p>
        </w:tc>
      </w:tr>
      <w:tr>
        <w:trPr>
          <w:trHeight w:val="20"/>
        </w:trPr>
        <w:tc>
          <w:tcPr>
            <w:tcW w:w="354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5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80" w:type="dxa"/>
            <w:vAlign w:val="bottom"/>
            <w:tcBorders>
              <w:bottom w:val="single" w:sz="8" w:color="901588"/>
            </w:tcBorders>
          </w:tcPr>
          <w:p>
            <w:pPr>
              <w:spacing w:after="0" w:line="20" w:lineRule="exact"/>
              <w:rPr>
                <w:sz w:val="1"/>
                <w:szCs w:val="1"/>
                <w:color w:val="auto"/>
              </w:rPr>
            </w:pPr>
          </w:p>
        </w:tc>
        <w:tc>
          <w:tcPr>
            <w:tcW w:w="11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60" w:type="dxa"/>
            <w:vAlign w:val="bottom"/>
            <w:tcBorders>
              <w:bottom w:val="single" w:sz="8" w:color="901588"/>
            </w:tcBorders>
          </w:tcPr>
          <w:p>
            <w:pPr>
              <w:spacing w:after="0" w:line="20" w:lineRule="exact"/>
              <w:rPr>
                <w:sz w:val="1"/>
                <w:szCs w:val="1"/>
                <w:color w:val="auto"/>
              </w:rPr>
            </w:pPr>
          </w:p>
        </w:tc>
        <w:tc>
          <w:tcPr>
            <w:tcW w:w="120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540" w:type="dxa"/>
            <w:vAlign w:val="bottom"/>
            <w:tcBorders>
              <w:bottom w:val="single" w:sz="8" w:color="901588"/>
            </w:tcBorders>
          </w:tcPr>
          <w:p>
            <w:pPr>
              <w:spacing w:after="0" w:line="20" w:lineRule="exact"/>
              <w:rPr>
                <w:sz w:val="1"/>
                <w:szCs w:val="1"/>
                <w:color w:val="auto"/>
              </w:rPr>
            </w:pPr>
          </w:p>
        </w:tc>
        <w:tc>
          <w:tcPr>
            <w:tcW w:w="7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480" w:type="dxa"/>
            <w:vAlign w:val="bottom"/>
            <w:tcBorders>
              <w:bottom w:val="single" w:sz="8" w:color="901588"/>
            </w:tcBorders>
          </w:tcPr>
          <w:p>
            <w:pPr>
              <w:spacing w:after="0" w:line="20" w:lineRule="exact"/>
              <w:rPr>
                <w:sz w:val="1"/>
                <w:szCs w:val="1"/>
                <w:color w:val="auto"/>
              </w:rPr>
            </w:pPr>
          </w:p>
        </w:tc>
        <w:tc>
          <w:tcPr>
            <w:tcW w:w="860" w:type="dxa"/>
            <w:vAlign w:val="bottom"/>
            <w:tcBorders>
              <w:bottom w:val="single" w:sz="8" w:color="901588"/>
            </w:tcBorders>
          </w:tcPr>
          <w:p>
            <w:pPr>
              <w:spacing w:after="0" w:line="20" w:lineRule="exact"/>
              <w:rPr>
                <w:sz w:val="1"/>
                <w:szCs w:val="1"/>
                <w:color w:val="auto"/>
              </w:rPr>
            </w:pPr>
          </w:p>
        </w:tc>
      </w:tr>
    </w:tbl>
    <w:p>
      <w:pPr>
        <w:spacing w:after="0" w:line="188"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Revenues by customer-type, contract-type and geographic location exclude lease income of $20 million and $37 million for the three and six months ended July 4, 2025, respectively, and $25 million and $49 million for the three and six months ended June 28, 2024, respectively.</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CONTRACT ASSETS AND LIABILITIES</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Performance obligations are satisfied either over time as work progresses or at a point in time. Firm-fixed-price contracts are typically billed to the customer using milestone payments while cost-reimbursable and time and materials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spacing w:after="0" w:line="7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Contract assets consist of unbilled receivables, which is the amount of revenue recognized that exceeds the amount billed to the customer. Unbilled receivables exclude amounts billable where the right to consideration is solely subject to the passage of time. Contract liabilities consist of deferred revenue, which represents cash advances received prior to performance for programs and billings in excess of revenue recognized.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contract assets and contract liabilities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0" w:type="dxa"/>
            <w:vAlign w:val="bottom"/>
            <w:shd w:val="clear" w:color="auto" w:fill="F4E8F3"/>
          </w:tcPr>
          <w:p>
            <w:pPr>
              <w:spacing w:after="0"/>
              <w:rPr>
                <w:sz w:val="17"/>
                <w:szCs w:val="17"/>
                <w:color w:val="auto"/>
              </w:rPr>
            </w:pP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January 3,</w:t>
            </w:r>
          </w:p>
        </w:tc>
      </w:tr>
      <w:tr>
        <w:trPr>
          <w:trHeight w:val="240"/>
        </w:trPr>
        <w:tc>
          <w:tcPr>
            <w:tcW w:w="3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880" w:type="dxa"/>
            <w:vAlign w:val="bottom"/>
            <w:tcBorders>
              <w:bottom w:val="single" w:sz="8" w:color="901588"/>
            </w:tcBorders>
          </w:tcPr>
          <w:p>
            <w:pPr>
              <w:ind w:left="840"/>
              <w:spacing w:after="0"/>
              <w:rPr>
                <w:sz w:val="20"/>
                <w:szCs w:val="20"/>
                <w:color w:val="auto"/>
              </w:rPr>
            </w:pPr>
            <w:r>
              <w:rPr>
                <w:rFonts w:ascii="Arial" w:cs="Arial" w:eastAsia="Arial" w:hAnsi="Arial"/>
                <w:sz w:val="16"/>
                <w:szCs w:val="16"/>
                <w:b w:val="1"/>
                <w:bCs w:val="1"/>
                <w:color w:val="auto"/>
              </w:rPr>
              <w:t>Balance sheet line item</w:t>
            </w:r>
          </w:p>
        </w:tc>
        <w:tc>
          <w:tcPr>
            <w:tcW w:w="56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4"/>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assets - current:</w:t>
            </w:r>
          </w:p>
        </w:tc>
        <w:tc>
          <w:tcPr>
            <w:tcW w:w="488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39"/>
        </w:trPr>
        <w:tc>
          <w:tcPr>
            <w:tcW w:w="3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Unbilled receivables</w:t>
            </w:r>
          </w:p>
        </w:tc>
        <w:tc>
          <w:tcPr>
            <w:tcW w:w="4880" w:type="dxa"/>
            <w:vAlign w:val="bottom"/>
            <w:tcBorders>
              <w:bottom w:val="single" w:sz="8" w:color="B2B2B2"/>
            </w:tcBorders>
          </w:tcPr>
          <w:p>
            <w:pPr>
              <w:ind w:left="840"/>
              <w:spacing w:after="0"/>
              <w:rPr>
                <w:sz w:val="20"/>
                <w:szCs w:val="20"/>
                <w:color w:val="auto"/>
              </w:rPr>
            </w:pPr>
            <w:r>
              <w:rPr>
                <w:rFonts w:ascii="Arial" w:cs="Arial" w:eastAsia="Arial" w:hAnsi="Arial"/>
                <w:sz w:val="16"/>
                <w:szCs w:val="16"/>
                <w:color w:val="auto"/>
              </w:rPr>
              <w:t>Receivables, net</w:t>
            </w:r>
          </w:p>
        </w:tc>
        <w:tc>
          <w:tcPr>
            <w:tcW w:w="560" w:type="dxa"/>
            <w:vAlign w:val="bottom"/>
            <w:tcBorders>
              <w:bottom w:val="single" w:sz="8" w:color="B2B2B2"/>
            </w:tcBorders>
            <w:shd w:val="clear" w:color="auto" w:fill="F4E8F3"/>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838</w:t>
            </w:r>
          </w:p>
        </w:tc>
        <w:tc>
          <w:tcPr>
            <w:tcW w:w="56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842</w:t>
            </w:r>
          </w:p>
        </w:tc>
      </w:tr>
      <w:tr>
        <w:trPr>
          <w:trHeight w:val="234"/>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liabilities - current:</w:t>
            </w:r>
          </w:p>
        </w:tc>
        <w:tc>
          <w:tcPr>
            <w:tcW w:w="488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83"/>
        </w:trPr>
        <w:tc>
          <w:tcPr>
            <w:tcW w:w="3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4880" w:type="dxa"/>
            <w:vAlign w:val="bottom"/>
            <w:tcBorders>
              <w:bottom w:val="single" w:sz="8" w:color="B2B2B2"/>
            </w:tcBorders>
          </w:tcPr>
          <w:p>
            <w:pPr>
              <w:ind w:left="840"/>
              <w:spacing w:after="0"/>
              <w:rPr>
                <w:sz w:val="20"/>
                <w:szCs w:val="20"/>
                <w:color w:val="auto"/>
              </w:rPr>
            </w:pPr>
            <w:r>
              <w:rPr>
                <w:rFonts w:ascii="Arial" w:cs="Arial" w:eastAsia="Arial" w:hAnsi="Arial"/>
                <w:sz w:val="16"/>
                <w:szCs w:val="16"/>
                <w:color w:val="auto"/>
              </w:rPr>
              <w:t>Accounts payable and accrued liabilities</w:t>
            </w:r>
          </w:p>
        </w:tc>
        <w:tc>
          <w:tcPr>
            <w:tcW w:w="560" w:type="dxa"/>
            <w:vAlign w:val="bottom"/>
            <w:tcBorders>
              <w:bottom w:val="single" w:sz="8" w:color="B2B2B2"/>
            </w:tcBorders>
            <w:shd w:val="clear" w:color="auto" w:fill="F4E8F3"/>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274</w:t>
            </w:r>
          </w:p>
        </w:tc>
        <w:tc>
          <w:tcPr>
            <w:tcW w:w="56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333</w:t>
            </w:r>
          </w:p>
        </w:tc>
      </w:tr>
      <w:tr>
        <w:trPr>
          <w:trHeight w:val="230"/>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liabilities - non-current:</w:t>
            </w:r>
          </w:p>
        </w:tc>
        <w:tc>
          <w:tcPr>
            <w:tcW w:w="488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83"/>
        </w:trPr>
        <w:tc>
          <w:tcPr>
            <w:tcW w:w="314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4880" w:type="dxa"/>
            <w:vAlign w:val="bottom"/>
            <w:tcBorders>
              <w:bottom w:val="single" w:sz="8" w:color="901588"/>
            </w:tcBorders>
          </w:tcPr>
          <w:p>
            <w:pPr>
              <w:ind w:left="840"/>
              <w:spacing w:after="0"/>
              <w:rPr>
                <w:sz w:val="20"/>
                <w:szCs w:val="20"/>
                <w:color w:val="auto"/>
              </w:rPr>
            </w:pPr>
            <w:r>
              <w:rPr>
                <w:rFonts w:ascii="Arial" w:cs="Arial" w:eastAsia="Arial" w:hAnsi="Arial"/>
                <w:sz w:val="16"/>
                <w:szCs w:val="16"/>
                <w:color w:val="auto"/>
              </w:rPr>
              <w:t>Other long-term liabilities</w:t>
            </w:r>
          </w:p>
        </w:tc>
        <w:tc>
          <w:tcPr>
            <w:tcW w:w="560" w:type="dxa"/>
            <w:vAlign w:val="bottom"/>
            <w:tcBorders>
              <w:bottom w:val="single" w:sz="8" w:color="901588"/>
            </w:tcBorders>
            <w:shd w:val="clear" w:color="auto" w:fill="F4E8F3"/>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w:t>
            </w:r>
          </w:p>
        </w:tc>
        <w:tc>
          <w:tcPr>
            <w:tcW w:w="56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w:t>
            </w:r>
          </w:p>
        </w:tc>
      </w:tr>
    </w:tbl>
    <w:p>
      <w:pPr>
        <w:spacing w:after="0" w:line="180"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Certain contracts record revenue net of cost of revenues, and therefore, the respective deferred revenue balance will not fully convert to revenue.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deferred revenue was primarily due to revenue recognized during the period offset by the timing of advanced payments from customers.</w:t>
      </w:r>
    </w:p>
    <w:p>
      <w:pPr>
        <w:spacing w:after="0" w:line="127"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color w:val="auto"/>
        </w:rPr>
        <w:t>For the three and six months ended July 4, 2025, $62 million and $199 million, respectively, of revenue recognized was included as a contract liability at January 3, 2025. For the three and six months ended June 28, 2024, $54 million and $211 million, respectively, of revenue recognized was included as a contract liability at December 29, 2023.</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3–Acquisitions,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KUDU DYNAMICS ACQUISITION</w:t>
      </w:r>
    </w:p>
    <w:p>
      <w:pPr>
        <w:spacing w:after="0" w:line="122"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On May 23, 2025 (the "Purchase Date"), we completed the acquisition of Savanna Industries, Inc. ("Kudu Dynamics") for preliminary purchase consideration of approximately $291 million, net of $29 million of cash acquired. The Kudu Dynamics business provides artificial intelligence enabled cyber capabilities for defense, intelligence and homeland security customers.</w:t>
      </w:r>
    </w:p>
    <w:p>
      <w:pPr>
        <w:spacing w:after="0" w:line="71"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auto"/>
        </w:rPr>
        <w:t>The preliminary goodwill recognized of $244 million represents intellectual capital and the acquired assembled workforce, neither of which qualify for recognition as a separate intangible asset. All of the goodwill recognized is tax deductible.</w:t>
      </w:r>
    </w:p>
    <w:p>
      <w:pPr>
        <w:spacing w:after="0" w:line="34"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following table summarizes the preliminary fair value of intangible assets acquired at the Purchase Date and the related weighted average amortization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5500" w:type="dxa"/>
            <w:vAlign w:val="bottom"/>
          </w:tcPr>
          <w:p>
            <w:pPr>
              <w:jc w:val="right"/>
              <w:ind w:right="39"/>
              <w:spacing w:after="0"/>
              <w:rPr>
                <w:sz w:val="20"/>
                <w:szCs w:val="20"/>
                <w:color w:val="auto"/>
              </w:rPr>
            </w:pPr>
            <w:r>
              <w:rPr>
                <w:rFonts w:ascii="Arial" w:cs="Arial" w:eastAsia="Arial" w:hAnsi="Arial"/>
                <w:sz w:val="16"/>
                <w:szCs w:val="16"/>
                <w:b w:val="1"/>
                <w:bCs w:val="1"/>
                <w:color w:val="auto"/>
              </w:rPr>
              <w:t>Weighted Amortization</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4340" w:type="dxa"/>
            <w:vAlign w:val="bottom"/>
          </w:tcPr>
          <w:p>
            <w:pPr>
              <w:spacing w:after="0"/>
              <w:rPr>
                <w:sz w:val="19"/>
                <w:szCs w:val="19"/>
                <w:color w:val="auto"/>
              </w:rPr>
            </w:pPr>
          </w:p>
        </w:tc>
        <w:tc>
          <w:tcPr>
            <w:tcW w:w="5500" w:type="dxa"/>
            <w:vAlign w:val="bottom"/>
          </w:tcPr>
          <w:p>
            <w:pPr>
              <w:jc w:val="right"/>
              <w:ind w:right="39"/>
              <w:spacing w:after="0"/>
              <w:rPr>
                <w:sz w:val="20"/>
                <w:szCs w:val="20"/>
                <w:color w:val="auto"/>
              </w:rPr>
            </w:pPr>
            <w:r>
              <w:rPr>
                <w:rFonts w:ascii="Arial" w:cs="Arial" w:eastAsia="Arial" w:hAnsi="Arial"/>
                <w:sz w:val="16"/>
                <w:szCs w:val="16"/>
                <w:b w:val="1"/>
                <w:bCs w:val="1"/>
                <w:color w:val="auto"/>
              </w:rPr>
              <w:t>Period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44"/>
        </w:trPr>
        <w:tc>
          <w:tcPr>
            <w:tcW w:w="4340" w:type="dxa"/>
            <w:vAlign w:val="bottom"/>
            <w:tcBorders>
              <w:bottom w:val="single" w:sz="8" w:color="901588"/>
            </w:tcBorders>
          </w:tcPr>
          <w:p>
            <w:pPr>
              <w:spacing w:after="0"/>
              <w:rPr>
                <w:sz w:val="21"/>
                <w:szCs w:val="21"/>
                <w:color w:val="auto"/>
              </w:rPr>
            </w:pPr>
          </w:p>
        </w:tc>
        <w:tc>
          <w:tcPr>
            <w:tcW w:w="550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(in years)</w:t>
            </w: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(in millions)</w:t>
            </w:r>
          </w:p>
        </w:tc>
      </w:tr>
      <w:tr>
        <w:trPr>
          <w:trHeight w:val="236"/>
        </w:trPr>
        <w:tc>
          <w:tcPr>
            <w:tcW w:w="43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Programs</w:t>
            </w:r>
          </w:p>
        </w:tc>
        <w:tc>
          <w:tcPr>
            <w:tcW w:w="550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w:t>
            </w:r>
          </w:p>
        </w:tc>
      </w:tr>
      <w:tr>
        <w:trPr>
          <w:trHeight w:val="237"/>
        </w:trPr>
        <w:tc>
          <w:tcPr>
            <w:tcW w:w="43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Backlog</w:t>
            </w:r>
          </w:p>
        </w:tc>
        <w:tc>
          <w:tcPr>
            <w:tcW w:w="550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90158B"/>
            </w:tcBorders>
          </w:tcPr>
          <w:p>
            <w:pPr>
              <w:spacing w:after="0"/>
              <w:rPr>
                <w:sz w:val="20"/>
                <w:szCs w:val="20"/>
                <w:color w:val="auto"/>
              </w:rPr>
            </w:pPr>
          </w:p>
        </w:tc>
        <w:tc>
          <w:tcPr>
            <w:tcW w:w="10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13</w:t>
            </w:r>
          </w:p>
        </w:tc>
      </w:tr>
      <w:tr>
        <w:trPr>
          <w:trHeight w:val="239"/>
        </w:trPr>
        <w:tc>
          <w:tcPr>
            <w:tcW w:w="434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Total</w:t>
            </w:r>
          </w:p>
        </w:tc>
        <w:tc>
          <w:tcPr>
            <w:tcW w:w="5500" w:type="dxa"/>
            <w:vAlign w:val="bottom"/>
            <w:tcBorders>
              <w:bottom w:val="single" w:sz="8" w:color="901588"/>
            </w:tcBorders>
            <w:shd w:val="clear" w:color="auto" w:fill="F4E8F3"/>
          </w:tcPr>
          <w:p>
            <w:pPr>
              <w:spacing w:after="0"/>
              <w:rPr>
                <w:sz w:val="20"/>
                <w:szCs w:val="20"/>
                <w:color w:val="auto"/>
              </w:rPr>
            </w:pPr>
          </w:p>
        </w:tc>
        <w:tc>
          <w:tcPr>
            <w:tcW w:w="34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w:t>
            </w:r>
          </w:p>
        </w:tc>
      </w:tr>
    </w:tbl>
    <w:p>
      <w:pPr>
        <w:spacing w:after="0" w:line="188"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For the three and six months ended July 4, 2025, $12 million of revenues related to Kudu Dynamics were recognized within the National Security &amp; Digital reportable segment.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13</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GOODWILL</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gridSpan w:val="7"/>
          </w:tcPr>
          <w:p>
            <w:pPr>
              <w:spacing w:after="0"/>
              <w:rPr>
                <w:sz w:val="20"/>
                <w:szCs w:val="20"/>
                <w:color w:val="auto"/>
              </w:rPr>
            </w:pPr>
            <w:r>
              <w:rPr>
                <w:rFonts w:ascii="Arial" w:cs="Arial" w:eastAsia="Arial" w:hAnsi="Arial"/>
                <w:sz w:val="16"/>
                <w:szCs w:val="16"/>
                <w:color w:val="auto"/>
              </w:rPr>
              <w:t>The following table presents changes in the carrying amount of goodwill by reportable segment: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4"/>
        </w:trPr>
        <w:tc>
          <w:tcPr>
            <w:tcW w:w="4080" w:type="dxa"/>
            <w:vAlign w:val="bottom"/>
          </w:tcPr>
          <w:p>
            <w:pPr>
              <w:spacing w:after="0"/>
              <w:rPr>
                <w:sz w:val="21"/>
                <w:szCs w:val="21"/>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National Security</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Commercial &amp;</w:t>
            </w:r>
          </w:p>
        </w:tc>
        <w:tc>
          <w:tcPr>
            <w:tcW w:w="3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Defense</w:t>
            </w: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0"/>
        </w:trPr>
        <w:tc>
          <w:tcPr>
            <w:tcW w:w="408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gridSpan w:val="2"/>
          </w:tcPr>
          <w:p>
            <w:pPr>
              <w:ind w:left="280"/>
              <w:spacing w:after="0"/>
              <w:rPr>
                <w:sz w:val="20"/>
                <w:szCs w:val="20"/>
                <w:color w:val="auto"/>
              </w:rPr>
            </w:pPr>
            <w:r>
              <w:rPr>
                <w:rFonts w:ascii="Arial" w:cs="Arial" w:eastAsia="Arial" w:hAnsi="Arial"/>
                <w:sz w:val="16"/>
                <w:szCs w:val="16"/>
                <w:b w:val="1"/>
                <w:bCs w:val="1"/>
                <w:color w:val="auto"/>
              </w:rPr>
              <w:t>&amp; Digital</w:t>
            </w:r>
          </w:p>
        </w:tc>
        <w:tc>
          <w:tcPr>
            <w:tcW w:w="140" w:type="dxa"/>
            <w:vAlign w:val="bottom"/>
            <w:tcBorders>
              <w:bottom w:val="single" w:sz="8" w:color="901588"/>
            </w:tcBorders>
          </w:tcPr>
          <w:p>
            <w:pPr>
              <w:spacing w:after="0"/>
              <w:rPr>
                <w:sz w:val="20"/>
                <w:szCs w:val="20"/>
                <w:color w:val="auto"/>
              </w:rPr>
            </w:pPr>
          </w:p>
        </w:tc>
        <w:tc>
          <w:tcPr>
            <w:tcW w:w="1200" w:type="dxa"/>
            <w:vAlign w:val="bottom"/>
            <w:tcBorders>
              <w:bottom w:val="single" w:sz="8" w:color="901588"/>
            </w:tcBorders>
            <w:gridSpan w:val="2"/>
          </w:tcPr>
          <w:p>
            <w:pPr>
              <w:ind w:left="40"/>
              <w:spacing w:after="0"/>
              <w:rPr>
                <w:sz w:val="20"/>
                <w:szCs w:val="20"/>
                <w:color w:val="auto"/>
              </w:rPr>
            </w:pPr>
            <w:r>
              <w:rPr>
                <w:rFonts w:ascii="Arial" w:cs="Arial" w:eastAsia="Arial" w:hAnsi="Arial"/>
                <w:sz w:val="16"/>
                <w:szCs w:val="16"/>
                <w:b w:val="1"/>
                <w:bCs w:val="1"/>
                <w:color w:val="auto"/>
              </w:rPr>
              <w:t>Health &amp; Civil</w:t>
            </w:r>
          </w:p>
        </w:tc>
        <w:tc>
          <w:tcPr>
            <w:tcW w:w="220" w:type="dxa"/>
            <w:vAlign w:val="bottom"/>
            <w:tcBorders>
              <w:bottom w:val="single" w:sz="8" w:color="901588"/>
            </w:tcBorders>
          </w:tcPr>
          <w:p>
            <w:pPr>
              <w:spacing w:after="0"/>
              <w:rPr>
                <w:sz w:val="20"/>
                <w:szCs w:val="20"/>
                <w:color w:val="auto"/>
              </w:rPr>
            </w:pPr>
          </w:p>
        </w:tc>
        <w:tc>
          <w:tcPr>
            <w:tcW w:w="132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Systems</w:t>
            </w:r>
          </w:p>
        </w:tc>
        <w:tc>
          <w:tcPr>
            <w:tcW w:w="480" w:type="dxa"/>
            <w:vAlign w:val="bottom"/>
            <w:tcBorders>
              <w:bottom w:val="single" w:sz="8" w:color="901588"/>
            </w:tcBorders>
          </w:tcPr>
          <w:p>
            <w:pPr>
              <w:spacing w:after="0"/>
              <w:rPr>
                <w:sz w:val="20"/>
                <w:szCs w:val="20"/>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40"/>
        </w:trPr>
        <w:tc>
          <w:tcPr>
            <w:tcW w:w="408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Goodwill at December 29, 2023</w:t>
            </w:r>
            <w:r>
              <w:rPr>
                <w:rFonts w:ascii="Arial" w:cs="Arial" w:eastAsia="Arial" w:hAnsi="Arial"/>
                <w:sz w:val="21"/>
                <w:szCs w:val="21"/>
                <w:color w:val="auto"/>
                <w:vertAlign w:val="superscript"/>
              </w:rPr>
              <w:t>(1)</w:t>
            </w:r>
          </w:p>
        </w:tc>
        <w:tc>
          <w:tcPr>
            <w:tcW w:w="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2,758</w:t>
            </w:r>
          </w:p>
        </w:tc>
        <w:tc>
          <w:tcPr>
            <w:tcW w:w="10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800</w:t>
            </w: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6,112</w:t>
            </w:r>
          </w:p>
        </w:tc>
      </w:tr>
      <w:tr>
        <w:trPr>
          <w:trHeight w:val="230"/>
        </w:trPr>
        <w:tc>
          <w:tcPr>
            <w:tcW w:w="40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408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Goodwill at January 3, 2025</w:t>
            </w:r>
            <w:r>
              <w:rPr>
                <w:rFonts w:ascii="Arial" w:cs="Arial" w:eastAsia="Arial" w:hAnsi="Arial"/>
                <w:sz w:val="21"/>
                <w:szCs w:val="21"/>
                <w:color w:val="auto"/>
                <w:vertAlign w:val="superscript"/>
              </w:rPr>
              <w:t>(1)</w:t>
            </w:r>
          </w:p>
        </w:tc>
        <w:tc>
          <w:tcPr>
            <w:tcW w:w="420" w:type="dxa"/>
            <w:vAlign w:val="bottom"/>
            <w:tcBorders>
              <w:top w:val="single" w:sz="8" w:color="901588"/>
              <w:bottom w:val="single" w:sz="8" w:color="B2B2B2"/>
            </w:tcBorders>
          </w:tcPr>
          <w:p>
            <w:pPr>
              <w:spacing w:after="0"/>
              <w:rPr>
                <w:sz w:val="21"/>
                <w:szCs w:val="21"/>
                <w:color w:val="auto"/>
              </w:rPr>
            </w:pPr>
          </w:p>
        </w:tc>
        <w:tc>
          <w:tcPr>
            <w:tcW w:w="9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2,758</w:t>
            </w:r>
          </w:p>
        </w:tc>
        <w:tc>
          <w:tcPr>
            <w:tcW w:w="100" w:type="dxa"/>
            <w:vAlign w:val="bottom"/>
            <w:tcBorders>
              <w:top w:val="single" w:sz="8" w:color="B2B2B2"/>
              <w:bottom w:val="single" w:sz="8" w:color="B2B2B2"/>
            </w:tcBorders>
          </w:tcPr>
          <w:p>
            <w:pPr>
              <w:spacing w:after="0"/>
              <w:rPr>
                <w:sz w:val="21"/>
                <w:szCs w:val="21"/>
                <w:color w:val="auto"/>
              </w:rPr>
            </w:pPr>
          </w:p>
        </w:tc>
        <w:tc>
          <w:tcPr>
            <w:tcW w:w="140" w:type="dxa"/>
            <w:vAlign w:val="bottom"/>
            <w:tcBorders>
              <w:top w:val="single" w:sz="8" w:color="901588"/>
              <w:bottom w:val="single" w:sz="8" w:color="B2B2B2"/>
            </w:tcBorders>
          </w:tcPr>
          <w:p>
            <w:pPr>
              <w:spacing w:after="0"/>
              <w:rPr>
                <w:sz w:val="21"/>
                <w:szCs w:val="21"/>
                <w:color w:val="auto"/>
              </w:rPr>
            </w:pPr>
          </w:p>
        </w:tc>
        <w:tc>
          <w:tcPr>
            <w:tcW w:w="11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top w:val="single" w:sz="8" w:color="B2B2B2"/>
              <w:bottom w:val="single" w:sz="8" w:color="B2B2B2"/>
            </w:tcBorders>
          </w:tcPr>
          <w:p>
            <w:pPr>
              <w:spacing w:after="0"/>
              <w:rPr>
                <w:sz w:val="21"/>
                <w:szCs w:val="21"/>
                <w:color w:val="auto"/>
              </w:rPr>
            </w:pPr>
          </w:p>
        </w:tc>
        <w:tc>
          <w:tcPr>
            <w:tcW w:w="220" w:type="dxa"/>
            <w:vAlign w:val="bottom"/>
            <w:tcBorders>
              <w:top w:val="single" w:sz="8" w:color="901588"/>
              <w:bottom w:val="single" w:sz="8" w:color="B2B2B2"/>
            </w:tcBorders>
          </w:tcPr>
          <w:p>
            <w:pPr>
              <w:spacing w:after="0"/>
              <w:rPr>
                <w:sz w:val="21"/>
                <w:szCs w:val="21"/>
                <w:color w:val="auto"/>
              </w:rPr>
            </w:pPr>
          </w:p>
        </w:tc>
        <w:tc>
          <w:tcPr>
            <w:tcW w:w="12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772</w:t>
            </w:r>
          </w:p>
        </w:tc>
        <w:tc>
          <w:tcPr>
            <w:tcW w:w="80" w:type="dxa"/>
            <w:vAlign w:val="bottom"/>
            <w:tcBorders>
              <w:top w:val="single" w:sz="8" w:color="B2B2B2"/>
              <w:bottom w:val="single" w:sz="8" w:color="B2B2B2"/>
            </w:tcBorders>
          </w:tcPr>
          <w:p>
            <w:pPr>
              <w:spacing w:after="0"/>
              <w:rPr>
                <w:sz w:val="21"/>
                <w:szCs w:val="21"/>
                <w:color w:val="auto"/>
              </w:rPr>
            </w:pPr>
          </w:p>
        </w:tc>
        <w:tc>
          <w:tcPr>
            <w:tcW w:w="300" w:type="dxa"/>
            <w:vAlign w:val="bottom"/>
            <w:tcBorders>
              <w:top w:val="single" w:sz="8" w:color="901588"/>
              <w:bottom w:val="single" w:sz="8" w:color="B2B2B2"/>
            </w:tcBorders>
          </w:tcPr>
          <w:p>
            <w:pPr>
              <w:spacing w:after="0"/>
              <w:rPr>
                <w:sz w:val="21"/>
                <w:szCs w:val="21"/>
                <w:color w:val="auto"/>
              </w:rPr>
            </w:pPr>
          </w:p>
        </w:tc>
        <w:tc>
          <w:tcPr>
            <w:tcW w:w="8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Borders>
              <w:top w:val="single" w:sz="8" w:color="B2B2B2"/>
              <w:bottom w:val="single" w:sz="8" w:color="B2B2B2"/>
            </w:tcBorders>
          </w:tcPr>
          <w:p>
            <w:pPr>
              <w:spacing w:after="0"/>
              <w:rPr>
                <w:sz w:val="21"/>
                <w:szCs w:val="21"/>
                <w:color w:val="auto"/>
              </w:rPr>
            </w:pPr>
          </w:p>
        </w:tc>
        <w:tc>
          <w:tcPr>
            <w:tcW w:w="480" w:type="dxa"/>
            <w:vAlign w:val="bottom"/>
            <w:tcBorders>
              <w:top w:val="single" w:sz="8" w:color="901588"/>
              <w:bottom w:val="single" w:sz="8" w:color="B2B2B2"/>
            </w:tcBorders>
          </w:tcPr>
          <w:p>
            <w:pPr>
              <w:spacing w:after="0"/>
              <w:rPr>
                <w:sz w:val="21"/>
                <w:szCs w:val="21"/>
                <w:color w:val="auto"/>
              </w:rPr>
            </w:pPr>
          </w:p>
        </w:tc>
        <w:tc>
          <w:tcPr>
            <w:tcW w:w="8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6,084</w:t>
            </w:r>
          </w:p>
        </w:tc>
      </w:tr>
      <w:tr>
        <w:trPr>
          <w:trHeight w:val="230"/>
        </w:trPr>
        <w:tc>
          <w:tcPr>
            <w:tcW w:w="40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of a business</w:t>
            </w:r>
          </w:p>
        </w:tc>
        <w:tc>
          <w:tcPr>
            <w:tcW w:w="42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120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0"/>
                <w:szCs w:val="20"/>
                <w:color w:val="auto"/>
              </w:rPr>
            </w:pPr>
          </w:p>
        </w:tc>
        <w:tc>
          <w:tcPr>
            <w:tcW w:w="13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B2B2B2"/>
            </w:tcBorders>
          </w:tcPr>
          <w:p>
            <w:pPr>
              <w:spacing w:after="0"/>
              <w:rPr>
                <w:sz w:val="20"/>
                <w:szCs w:val="20"/>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244</w:t>
            </w:r>
          </w:p>
        </w:tc>
      </w:tr>
      <w:tr>
        <w:trPr>
          <w:trHeight w:val="236"/>
        </w:trPr>
        <w:tc>
          <w:tcPr>
            <w:tcW w:w="40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88"/>
        </w:trPr>
        <w:tc>
          <w:tcPr>
            <w:tcW w:w="408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Goodwill at July 4, 2025</w:t>
            </w:r>
            <w:r>
              <w:rPr>
                <w:rFonts w:ascii="Arial" w:cs="Arial" w:eastAsia="Arial" w:hAnsi="Arial"/>
                <w:sz w:val="21"/>
                <w:szCs w:val="21"/>
                <w:b w:val="1"/>
                <w:bCs w:val="1"/>
                <w:color w:val="auto"/>
                <w:vertAlign w:val="superscript"/>
              </w:rPr>
              <w:t>(1)</w:t>
            </w:r>
          </w:p>
        </w:tc>
        <w:tc>
          <w:tcPr>
            <w:tcW w:w="420" w:type="dxa"/>
            <w:vAlign w:val="bottom"/>
            <w:tcBorders>
              <w:top w:val="single" w:sz="8" w:color="901588"/>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3,002</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1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1,366</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220" w:type="dxa"/>
            <w:vAlign w:val="bottom"/>
            <w:tcBorders>
              <w:top w:val="single" w:sz="8" w:color="901588"/>
              <w:bottom w:val="single" w:sz="8" w:color="901588"/>
            </w:tcBorders>
            <w:shd w:val="clear" w:color="auto" w:fill="F4E8F3"/>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803</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300" w:type="dxa"/>
            <w:vAlign w:val="bottom"/>
            <w:tcBorders>
              <w:top w:val="single" w:sz="8" w:color="901588"/>
              <w:bottom w:val="single" w:sz="8" w:color="901588"/>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480" w:type="dxa"/>
            <w:vAlign w:val="bottom"/>
            <w:tcBorders>
              <w:top w:val="single" w:sz="8" w:color="901588"/>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6,359</w:t>
            </w:r>
          </w:p>
        </w:tc>
      </w:tr>
      <w:tr>
        <w:trPr>
          <w:trHeight w:val="20"/>
        </w:trPr>
        <w:tc>
          <w:tcPr>
            <w:tcW w:w="4080" w:type="dxa"/>
            <w:vAlign w:val="bottom"/>
            <w:tcBorders>
              <w:top w:val="single" w:sz="8" w:color="901588"/>
            </w:tcBorders>
          </w:tcPr>
          <w:p>
            <w:pPr>
              <w:spacing w:after="0" w:line="20" w:lineRule="exact"/>
              <w:rPr>
                <w:sz w:val="1"/>
                <w:szCs w:val="1"/>
                <w:color w:val="auto"/>
              </w:rPr>
            </w:pPr>
          </w:p>
        </w:tc>
        <w:tc>
          <w:tcPr>
            <w:tcW w:w="420" w:type="dxa"/>
            <w:vAlign w:val="bottom"/>
            <w:tcBorders>
              <w:top w:val="single" w:sz="8" w:color="F4E8F3"/>
            </w:tcBorders>
            <w:shd w:val="clear" w:color="auto" w:fill="901588"/>
          </w:tcPr>
          <w:p>
            <w:pPr>
              <w:spacing w:after="0" w:line="20" w:lineRule="exact"/>
              <w:rPr>
                <w:sz w:val="1"/>
                <w:szCs w:val="1"/>
                <w:color w:val="auto"/>
              </w:rPr>
            </w:pPr>
          </w:p>
        </w:tc>
        <w:tc>
          <w:tcPr>
            <w:tcW w:w="96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140" w:type="dxa"/>
            <w:vAlign w:val="bottom"/>
            <w:tcBorders>
              <w:top w:val="single" w:sz="8" w:color="F4E8F3"/>
            </w:tcBorders>
            <w:shd w:val="clear" w:color="auto" w:fill="901588"/>
          </w:tcPr>
          <w:p>
            <w:pPr>
              <w:spacing w:after="0" w:line="20" w:lineRule="exact"/>
              <w:rPr>
                <w:sz w:val="1"/>
                <w:szCs w:val="1"/>
                <w:color w:val="auto"/>
              </w:rPr>
            </w:pPr>
          </w:p>
        </w:tc>
        <w:tc>
          <w:tcPr>
            <w:tcW w:w="110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220" w:type="dxa"/>
            <w:vAlign w:val="bottom"/>
            <w:tcBorders>
              <w:top w:val="single" w:sz="8" w:color="F4E8F3"/>
            </w:tcBorders>
            <w:shd w:val="clear" w:color="auto" w:fill="901588"/>
          </w:tcPr>
          <w:p>
            <w:pPr>
              <w:spacing w:after="0" w:line="20" w:lineRule="exact"/>
              <w:rPr>
                <w:sz w:val="1"/>
                <w:szCs w:val="1"/>
                <w:color w:val="auto"/>
              </w:rPr>
            </w:pPr>
          </w:p>
        </w:tc>
        <w:tc>
          <w:tcPr>
            <w:tcW w:w="124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300" w:type="dxa"/>
            <w:vAlign w:val="bottom"/>
            <w:tcBorders>
              <w:top w:val="single" w:sz="8" w:color="F4E8F3"/>
            </w:tcBorders>
            <w:shd w:val="clear" w:color="auto" w:fill="901588"/>
          </w:tcPr>
          <w:p>
            <w:pPr>
              <w:spacing w:after="0" w:line="20" w:lineRule="exact"/>
              <w:rPr>
                <w:sz w:val="1"/>
                <w:szCs w:val="1"/>
                <w:color w:val="auto"/>
              </w:rPr>
            </w:pPr>
          </w:p>
        </w:tc>
        <w:tc>
          <w:tcPr>
            <w:tcW w:w="86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480" w:type="dxa"/>
            <w:vAlign w:val="bottom"/>
            <w:tcBorders>
              <w:top w:val="single" w:sz="8" w:color="F4E8F3"/>
            </w:tcBorders>
            <w:shd w:val="clear" w:color="auto" w:fill="901588"/>
          </w:tcPr>
          <w:p>
            <w:pPr>
              <w:spacing w:after="0" w:line="20" w:lineRule="exact"/>
              <w:rPr>
                <w:sz w:val="1"/>
                <w:szCs w:val="1"/>
                <w:color w:val="auto"/>
              </w:rPr>
            </w:pPr>
          </w:p>
        </w:tc>
        <w:tc>
          <w:tcPr>
            <w:tcW w:w="820" w:type="dxa"/>
            <w:vAlign w:val="bottom"/>
            <w:tcBorders>
              <w:top w:val="single" w:sz="8" w:color="F4E8F3"/>
            </w:tcBorders>
            <w:shd w:val="clear" w:color="auto" w:fill="901588"/>
          </w:tcPr>
          <w:p>
            <w:pPr>
              <w:spacing w:after="0" w:line="20" w:lineRule="exact"/>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Carrying amount includes accumulated impairment loss of $596 million within the Commercial &amp; International segment.</w:t>
      </w:r>
    </w:p>
    <w:p>
      <w:pPr>
        <w:spacing w:after="0" w:line="94"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We evaluate qualitative factors that could cause us to consider whether the estimated fair value of each of our reporting units may be lower than the carrying value and trigger a quantitative assessment, including, but not limited to (i) macroeconomic conditions, (ii) industry and market considerations, (iii) our overall financial performance, including an analysis of our current and projected cash flows, revenues and earnings, (iv) a sustained decrease in share price and (v) other relevant entity-specific events including changes in management, strategy, partners or litigation.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July 4, 2025, and June 28, 2024, there were no impairments to goodwill.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INTANGIBLE ASSETS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Pr>
          <w:p>
            <w:pPr>
              <w:spacing w:after="0"/>
              <w:rPr>
                <w:sz w:val="21"/>
                <w:szCs w:val="21"/>
                <w:color w:val="auto"/>
              </w:rPr>
            </w:pPr>
          </w:p>
        </w:tc>
        <w:tc>
          <w:tcPr>
            <w:tcW w:w="380" w:type="dxa"/>
            <w:vAlign w:val="bottom"/>
            <w:tcBorders>
              <w:bottom w:val="single" w:sz="8" w:color="901588"/>
            </w:tcBorders>
            <w:shd w:val="clear" w:color="auto" w:fill="F4E8F3"/>
          </w:tcPr>
          <w:p>
            <w:pPr>
              <w:spacing w:after="0"/>
              <w:rPr>
                <w:sz w:val="21"/>
                <w:szCs w:val="21"/>
                <w:color w:val="auto"/>
              </w:rPr>
            </w:pPr>
          </w:p>
        </w:tc>
        <w:tc>
          <w:tcPr>
            <w:tcW w:w="780" w:type="dxa"/>
            <w:vAlign w:val="bottom"/>
            <w:tcBorders>
              <w:bottom w:val="single" w:sz="8" w:color="901588"/>
            </w:tcBorders>
            <w:shd w:val="clear" w:color="auto" w:fill="F4E8F3"/>
          </w:tcPr>
          <w:p>
            <w:pPr>
              <w:spacing w:after="0"/>
              <w:rPr>
                <w:sz w:val="21"/>
                <w:szCs w:val="21"/>
                <w:color w:val="auto"/>
              </w:rPr>
            </w:pPr>
          </w:p>
        </w:tc>
        <w:tc>
          <w:tcPr>
            <w:tcW w:w="80" w:type="dxa"/>
            <w:vAlign w:val="bottom"/>
            <w:tcBorders>
              <w:bottom w:val="single" w:sz="8" w:color="901588"/>
            </w:tcBorders>
            <w:shd w:val="clear" w:color="auto" w:fill="F4E8F3"/>
          </w:tcPr>
          <w:p>
            <w:pPr>
              <w:spacing w:after="0"/>
              <w:rPr>
                <w:sz w:val="21"/>
                <w:szCs w:val="21"/>
                <w:color w:val="auto"/>
              </w:rPr>
            </w:pPr>
          </w:p>
        </w:tc>
        <w:tc>
          <w:tcPr>
            <w:tcW w:w="180" w:type="dxa"/>
            <w:vAlign w:val="bottom"/>
            <w:tcBorders>
              <w:bottom w:val="single" w:sz="8" w:color="901588"/>
            </w:tcBorders>
            <w:shd w:val="clear" w:color="auto" w:fill="F4E8F3"/>
          </w:tcPr>
          <w:p>
            <w:pPr>
              <w:spacing w:after="0"/>
              <w:rPr>
                <w:sz w:val="21"/>
                <w:szCs w:val="21"/>
                <w:color w:val="auto"/>
              </w:rPr>
            </w:pPr>
          </w:p>
        </w:tc>
        <w:tc>
          <w:tcPr>
            <w:tcW w:w="126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July 4, 2025</w:t>
            </w:r>
          </w:p>
        </w:tc>
        <w:tc>
          <w:tcPr>
            <w:tcW w:w="100" w:type="dxa"/>
            <w:vAlign w:val="bottom"/>
            <w:tcBorders>
              <w:bottom w:val="single" w:sz="8" w:color="901588"/>
            </w:tcBorders>
            <w:shd w:val="clear" w:color="auto" w:fill="F4E8F3"/>
          </w:tcPr>
          <w:p>
            <w:pPr>
              <w:spacing w:after="0"/>
              <w:rPr>
                <w:sz w:val="21"/>
                <w:szCs w:val="21"/>
                <w:color w:val="auto"/>
              </w:rPr>
            </w:pPr>
          </w:p>
        </w:tc>
        <w:tc>
          <w:tcPr>
            <w:tcW w:w="120" w:type="dxa"/>
            <w:vAlign w:val="bottom"/>
            <w:tcBorders>
              <w:bottom w:val="single" w:sz="8" w:color="901588"/>
            </w:tcBorders>
            <w:shd w:val="clear" w:color="auto" w:fill="F4E8F3"/>
          </w:tcPr>
          <w:p>
            <w:pPr>
              <w:spacing w:after="0"/>
              <w:rPr>
                <w:sz w:val="21"/>
                <w:szCs w:val="21"/>
                <w:color w:val="auto"/>
              </w:rPr>
            </w:pPr>
          </w:p>
        </w:tc>
        <w:tc>
          <w:tcPr>
            <w:tcW w:w="1000" w:type="dxa"/>
            <w:vAlign w:val="bottom"/>
            <w:tcBorders>
              <w:bottom w:val="single" w:sz="8" w:color="901588"/>
            </w:tcBorders>
            <w:shd w:val="clear" w:color="auto" w:fill="F4E8F3"/>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901588"/>
            </w:tcBorders>
          </w:tcPr>
          <w:p>
            <w:pPr>
              <w:spacing w:after="0"/>
              <w:rPr>
                <w:sz w:val="21"/>
                <w:szCs w:val="21"/>
                <w:color w:val="auto"/>
              </w:rPr>
            </w:pPr>
          </w:p>
        </w:tc>
        <w:tc>
          <w:tcPr>
            <w:tcW w:w="76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1420" w:type="dxa"/>
            <w:vAlign w:val="bottom"/>
            <w:tcBorders>
              <w:bottom w:val="single" w:sz="8" w:color="901588"/>
            </w:tcBorders>
            <w:gridSpan w:val="3"/>
          </w:tcPr>
          <w:p>
            <w:pPr>
              <w:ind w:left="60"/>
              <w:spacing w:after="0"/>
              <w:rPr>
                <w:sz w:val="20"/>
                <w:szCs w:val="20"/>
                <w:color w:val="auto"/>
              </w:rPr>
            </w:pPr>
            <w:r>
              <w:rPr>
                <w:rFonts w:ascii="Arial" w:cs="Arial" w:eastAsia="Arial" w:hAnsi="Arial"/>
                <w:sz w:val="16"/>
                <w:szCs w:val="16"/>
                <w:color w:val="auto"/>
              </w:rPr>
              <w:t>January 3, 2025</w:t>
            </w:r>
          </w:p>
        </w:tc>
        <w:tc>
          <w:tcPr>
            <w:tcW w:w="160" w:type="dxa"/>
            <w:vAlign w:val="bottom"/>
            <w:tcBorders>
              <w:bottom w:val="single" w:sz="8" w:color="901588"/>
            </w:tcBorders>
          </w:tcPr>
          <w:p>
            <w:pPr>
              <w:spacing w:after="0"/>
              <w:rPr>
                <w:sz w:val="21"/>
                <w:szCs w:val="21"/>
                <w:color w:val="auto"/>
              </w:rPr>
            </w:pPr>
          </w:p>
        </w:tc>
        <w:tc>
          <w:tcPr>
            <w:tcW w:w="960" w:type="dxa"/>
            <w:vAlign w:val="bottom"/>
            <w:tcBorders>
              <w:bottom w:val="single" w:sz="8" w:color="901588"/>
            </w:tcBorders>
          </w:tcPr>
          <w:p>
            <w:pPr>
              <w:spacing w:after="0"/>
              <w:rPr>
                <w:sz w:val="21"/>
                <w:szCs w:val="21"/>
                <w:color w:val="auto"/>
              </w:rPr>
            </w:pPr>
          </w:p>
        </w:tc>
      </w:tr>
      <w:tr>
        <w:trPr>
          <w:trHeight w:val="196"/>
        </w:trPr>
        <w:tc>
          <w:tcPr>
            <w:tcW w:w="3460" w:type="dxa"/>
            <w:vAlign w:val="bottom"/>
          </w:tcPr>
          <w:p>
            <w:pPr>
              <w:spacing w:after="0"/>
              <w:rPr>
                <w:sz w:val="17"/>
                <w:szCs w:val="17"/>
                <w:color w:val="auto"/>
              </w:rPr>
            </w:pPr>
          </w:p>
        </w:tc>
        <w:tc>
          <w:tcPr>
            <w:tcW w:w="380" w:type="dxa"/>
            <w:vAlign w:val="bottom"/>
            <w:shd w:val="clear" w:color="auto" w:fill="F4E8F3"/>
          </w:tcPr>
          <w:p>
            <w:pPr>
              <w:spacing w:after="0"/>
              <w:rPr>
                <w:sz w:val="17"/>
                <w:szCs w:val="17"/>
                <w:color w:val="auto"/>
              </w:rPr>
            </w:pPr>
          </w:p>
        </w:tc>
        <w:tc>
          <w:tcPr>
            <w:tcW w:w="7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Gross</w:t>
            </w:r>
          </w:p>
        </w:tc>
        <w:tc>
          <w:tcPr>
            <w:tcW w:w="80" w:type="dxa"/>
            <w:vAlign w:val="bottom"/>
            <w:shd w:val="clear" w:color="auto" w:fill="F4E8F3"/>
          </w:tcPr>
          <w:p>
            <w:pPr>
              <w:spacing w:after="0"/>
              <w:rPr>
                <w:sz w:val="17"/>
                <w:szCs w:val="17"/>
                <w:color w:val="auto"/>
              </w:rPr>
            </w:pPr>
          </w:p>
        </w:tc>
        <w:tc>
          <w:tcPr>
            <w:tcW w:w="180" w:type="dxa"/>
            <w:vAlign w:val="bottom"/>
            <w:shd w:val="clear" w:color="auto" w:fill="F4E8F3"/>
          </w:tcPr>
          <w:p>
            <w:pPr>
              <w:spacing w:after="0"/>
              <w:rPr>
                <w:sz w:val="17"/>
                <w:szCs w:val="17"/>
                <w:color w:val="auto"/>
              </w:rPr>
            </w:pPr>
          </w:p>
        </w:tc>
        <w:tc>
          <w:tcPr>
            <w:tcW w:w="12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Accumulated</w:t>
            </w:r>
          </w:p>
        </w:tc>
        <w:tc>
          <w:tcPr>
            <w:tcW w:w="100" w:type="dxa"/>
            <w:vAlign w:val="bottom"/>
            <w:shd w:val="clear" w:color="auto" w:fill="F4E8F3"/>
          </w:tcPr>
          <w:p>
            <w:pPr>
              <w:spacing w:after="0"/>
              <w:rPr>
                <w:sz w:val="17"/>
                <w:szCs w:val="17"/>
                <w:color w:val="auto"/>
              </w:rPr>
            </w:pPr>
          </w:p>
        </w:tc>
        <w:tc>
          <w:tcPr>
            <w:tcW w:w="120" w:type="dxa"/>
            <w:vAlign w:val="bottom"/>
            <w:shd w:val="clear" w:color="auto" w:fill="F4E8F3"/>
          </w:tcPr>
          <w:p>
            <w:pPr>
              <w:spacing w:after="0"/>
              <w:rPr>
                <w:sz w:val="17"/>
                <w:szCs w:val="17"/>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Net carrying</w:t>
            </w:r>
          </w:p>
        </w:tc>
        <w:tc>
          <w:tcPr>
            <w:tcW w:w="8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Gross carrying</w:t>
            </w:r>
          </w:p>
        </w:tc>
        <w:tc>
          <w:tcPr>
            <w:tcW w:w="24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Net carrying</w:t>
            </w:r>
          </w:p>
        </w:tc>
      </w:tr>
      <w:tr>
        <w:trPr>
          <w:trHeight w:val="237"/>
        </w:trPr>
        <w:tc>
          <w:tcPr>
            <w:tcW w:w="34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carrying value</w:t>
            </w:r>
          </w:p>
        </w:tc>
        <w:tc>
          <w:tcPr>
            <w:tcW w:w="80" w:type="dxa"/>
            <w:vAlign w:val="bottom"/>
            <w:tcBorders>
              <w:bottom w:val="single" w:sz="8" w:color="901588"/>
            </w:tcBorders>
            <w:shd w:val="clear" w:color="auto" w:fill="F4E8F3"/>
          </w:tcPr>
          <w:p>
            <w:pPr>
              <w:spacing w:after="0"/>
              <w:rPr>
                <w:sz w:val="20"/>
                <w:szCs w:val="20"/>
                <w:color w:val="auto"/>
              </w:rPr>
            </w:pPr>
          </w:p>
        </w:tc>
        <w:tc>
          <w:tcPr>
            <w:tcW w:w="180" w:type="dxa"/>
            <w:vAlign w:val="bottom"/>
            <w:tcBorders>
              <w:bottom w:val="single" w:sz="8" w:color="901588"/>
            </w:tcBorders>
            <w:shd w:val="clear" w:color="auto" w:fill="F4E8F3"/>
          </w:tcPr>
          <w:p>
            <w:pPr>
              <w:spacing w:after="0"/>
              <w:rPr>
                <w:sz w:val="20"/>
                <w:szCs w:val="20"/>
                <w:color w:val="auto"/>
              </w:rPr>
            </w:pPr>
          </w:p>
        </w:tc>
        <w:tc>
          <w:tcPr>
            <w:tcW w:w="12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901588"/>
            </w:tcBorders>
            <w:shd w:val="clear" w:color="auto" w:fill="F4E8F3"/>
          </w:tcPr>
          <w:p>
            <w:pPr>
              <w:spacing w:after="0"/>
              <w:rPr>
                <w:sz w:val="20"/>
                <w:szCs w:val="20"/>
                <w:color w:val="auto"/>
              </w:rPr>
            </w:pP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value</w:t>
            </w:r>
          </w:p>
        </w:tc>
        <w:tc>
          <w:tcPr>
            <w:tcW w:w="80" w:type="dxa"/>
            <w:vAlign w:val="bottom"/>
            <w:tcBorders>
              <w:bottom w:val="single" w:sz="8" w:color="901588"/>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value</w:t>
            </w:r>
          </w:p>
        </w:tc>
        <w:tc>
          <w:tcPr>
            <w:tcW w:w="24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value</w:t>
            </w:r>
          </w:p>
        </w:tc>
      </w:tr>
      <w:tr>
        <w:trPr>
          <w:trHeight w:val="236"/>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Finite-lived intangible assets:</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B2B2B2"/>
            </w:tcBorders>
            <w:shd w:val="clear" w:color="auto" w:fill="F4E8F3"/>
          </w:tcPr>
          <w:p>
            <w:pPr>
              <w:spacing w:after="0"/>
              <w:rPr>
                <w:sz w:val="20"/>
                <w:szCs w:val="20"/>
                <w:color w:val="auto"/>
              </w:rPr>
            </w:pPr>
          </w:p>
        </w:tc>
        <w:tc>
          <w:tcPr>
            <w:tcW w:w="12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r>
      <w:tr>
        <w:trPr>
          <w:trHeight w:val="239"/>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Programs</w:t>
            </w:r>
          </w:p>
        </w:tc>
        <w:tc>
          <w:tcPr>
            <w:tcW w:w="380" w:type="dxa"/>
            <w:vAlign w:val="bottom"/>
            <w:tcBorders>
              <w:bottom w:val="single" w:sz="8" w:color="B2B2B2"/>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1,732</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(1,342)</w:t>
            </w:r>
          </w:p>
        </w:tc>
        <w:tc>
          <w:tcPr>
            <w:tcW w:w="22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390</w:t>
            </w:r>
          </w:p>
        </w:tc>
        <w:tc>
          <w:tcPr>
            <w:tcW w:w="480" w:type="dxa"/>
            <w:vAlign w:val="bottom"/>
            <w:tcBorders>
              <w:bottom w:val="single" w:sz="8" w:color="B2B2B2"/>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393</w:t>
            </w:r>
          </w:p>
        </w:tc>
      </w:tr>
      <w:tr>
        <w:trPr>
          <w:trHeight w:val="237"/>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Software and technology</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264</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B2B2B2"/>
            </w:tcBorders>
            <w:shd w:val="clear" w:color="auto" w:fill="F4E8F3"/>
          </w:tcPr>
          <w:p>
            <w:pPr>
              <w:spacing w:after="0"/>
              <w:rPr>
                <w:sz w:val="20"/>
                <w:szCs w:val="20"/>
                <w:color w:val="auto"/>
              </w:rPr>
            </w:pPr>
          </w:p>
        </w:tc>
        <w:tc>
          <w:tcPr>
            <w:tcW w:w="12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(177)</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87</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96</w:t>
            </w:r>
          </w:p>
        </w:tc>
      </w:tr>
      <w:tr>
        <w:trPr>
          <w:trHeight w:val="236"/>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Backlog</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B2B2B2"/>
            </w:tcBorders>
            <w:shd w:val="clear" w:color="auto" w:fill="F4E8F3"/>
          </w:tcPr>
          <w:p>
            <w:pPr>
              <w:spacing w:after="0"/>
              <w:rPr>
                <w:sz w:val="20"/>
                <w:szCs w:val="20"/>
                <w:color w:val="auto"/>
              </w:rPr>
            </w:pPr>
          </w:p>
        </w:tc>
        <w:tc>
          <w:tcPr>
            <w:tcW w:w="12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gridSpan w:val="2"/>
          </w:tcPr>
          <w:p>
            <w:pPr>
              <w:ind w:left="8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Customer relationships</w:t>
            </w:r>
          </w:p>
        </w:tc>
        <w:tc>
          <w:tcPr>
            <w:tcW w:w="380" w:type="dxa"/>
            <w:vAlign w:val="bottom"/>
            <w:tcBorders>
              <w:bottom w:val="single" w:sz="8" w:color="901588"/>
            </w:tcBorders>
            <w:shd w:val="clear" w:color="auto" w:fill="F4E8F3"/>
          </w:tcPr>
          <w:p>
            <w:pPr>
              <w:spacing w:after="0"/>
              <w:rPr>
                <w:sz w:val="20"/>
                <w:szCs w:val="20"/>
                <w:color w:val="auto"/>
              </w:rPr>
            </w:pP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901588"/>
            </w:tcBorders>
            <w:shd w:val="clear" w:color="auto" w:fill="F4E8F3"/>
          </w:tcPr>
          <w:p>
            <w:pPr>
              <w:spacing w:after="0"/>
              <w:rPr>
                <w:sz w:val="20"/>
                <w:szCs w:val="20"/>
                <w:color w:val="auto"/>
              </w:rPr>
            </w:pPr>
          </w:p>
        </w:tc>
        <w:tc>
          <w:tcPr>
            <w:tcW w:w="12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finite-lived intangible assets</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2,063</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B2B2B2"/>
            </w:tcBorders>
            <w:shd w:val="clear" w:color="auto" w:fill="F4E8F3"/>
          </w:tcPr>
          <w:p>
            <w:pPr>
              <w:spacing w:after="0"/>
              <w:rPr>
                <w:sz w:val="20"/>
                <w:szCs w:val="20"/>
                <w:color w:val="auto"/>
              </w:rPr>
            </w:pPr>
          </w:p>
        </w:tc>
        <w:tc>
          <w:tcPr>
            <w:tcW w:w="12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(1,552)</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511</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(1,486)</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513</w:t>
            </w:r>
          </w:p>
        </w:tc>
      </w:tr>
      <w:tr>
        <w:trPr>
          <w:trHeight w:val="234"/>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Indefinite-lived intangible assets:</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B2B2B2"/>
            </w:tcBorders>
            <w:shd w:val="clear" w:color="auto" w:fill="F4E8F3"/>
          </w:tcPr>
          <w:p>
            <w:pPr>
              <w:spacing w:after="0"/>
              <w:rPr>
                <w:sz w:val="20"/>
                <w:szCs w:val="20"/>
                <w:color w:val="auto"/>
              </w:rPr>
            </w:pPr>
          </w:p>
        </w:tc>
        <w:tc>
          <w:tcPr>
            <w:tcW w:w="126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r>
      <w:tr>
        <w:trPr>
          <w:trHeight w:val="239"/>
        </w:trPr>
        <w:tc>
          <w:tcPr>
            <w:tcW w:w="34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Trade names</w:t>
            </w:r>
          </w:p>
        </w:tc>
        <w:tc>
          <w:tcPr>
            <w:tcW w:w="380" w:type="dxa"/>
            <w:vAlign w:val="bottom"/>
            <w:tcBorders>
              <w:bottom w:val="single" w:sz="8" w:color="901588"/>
            </w:tcBorders>
            <w:shd w:val="clear" w:color="auto" w:fill="F4E8F3"/>
          </w:tcPr>
          <w:p>
            <w:pPr>
              <w:spacing w:after="0"/>
              <w:rPr>
                <w:sz w:val="20"/>
                <w:szCs w:val="20"/>
                <w:color w:val="auto"/>
              </w:rPr>
            </w:pP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901588"/>
            </w:tcBorders>
            <w:shd w:val="clear" w:color="auto" w:fill="F4E8F3"/>
          </w:tcPr>
          <w:p>
            <w:pPr>
              <w:spacing w:after="0"/>
              <w:rPr>
                <w:sz w:val="20"/>
                <w:szCs w:val="20"/>
                <w:color w:val="auto"/>
              </w:rPr>
            </w:pPr>
          </w:p>
        </w:tc>
        <w:tc>
          <w:tcPr>
            <w:tcW w:w="12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r>
        <w:trPr>
          <w:trHeight w:val="300"/>
        </w:trPr>
        <w:tc>
          <w:tcPr>
            <w:tcW w:w="34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intangible assets</w:t>
            </w: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2,067</w:t>
            </w:r>
          </w:p>
        </w:tc>
        <w:tc>
          <w:tcPr>
            <w:tcW w:w="80" w:type="dxa"/>
            <w:vAlign w:val="bottom"/>
            <w:tcBorders>
              <w:bottom w:val="single" w:sz="8" w:color="901588"/>
            </w:tcBorders>
            <w:shd w:val="clear" w:color="auto" w:fill="F4E8F3"/>
          </w:tcPr>
          <w:p>
            <w:pPr>
              <w:spacing w:after="0"/>
              <w:rPr>
                <w:sz w:val="24"/>
                <w:szCs w:val="24"/>
                <w:color w:val="auto"/>
              </w:rPr>
            </w:pP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(1,552)</w:t>
            </w:r>
          </w:p>
        </w:tc>
        <w:tc>
          <w:tcPr>
            <w:tcW w:w="100" w:type="dxa"/>
            <w:vAlign w:val="bottom"/>
            <w:tcBorders>
              <w:bottom w:val="single" w:sz="8" w:color="901588"/>
            </w:tcBorders>
            <w:shd w:val="clear" w:color="auto" w:fill="F4E8F3"/>
          </w:tcPr>
          <w:p>
            <w:pPr>
              <w:spacing w:after="0"/>
              <w:rPr>
                <w:sz w:val="24"/>
                <w:szCs w:val="24"/>
                <w:color w:val="auto"/>
              </w:rPr>
            </w:pPr>
          </w:p>
        </w:tc>
        <w:tc>
          <w:tcPr>
            <w:tcW w:w="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515</w:t>
            </w:r>
          </w:p>
        </w:tc>
        <w:tc>
          <w:tcPr>
            <w:tcW w:w="480" w:type="dxa"/>
            <w:vAlign w:val="bottom"/>
            <w:tcBorders>
              <w:bottom w:val="single" w:sz="8" w:color="901588"/>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2,003</w:t>
            </w:r>
          </w:p>
        </w:tc>
        <w:tc>
          <w:tcPr>
            <w:tcW w:w="10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(1,486)</w:t>
            </w:r>
          </w:p>
        </w:tc>
        <w:tc>
          <w:tcPr>
            <w:tcW w:w="10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517</w:t>
            </w:r>
          </w:p>
        </w:tc>
      </w:tr>
    </w:tbl>
    <w:p>
      <w:pPr>
        <w:spacing w:after="0" w:line="175"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Amortization expense was $32 million and $62 million for the three and six months ended July 4, 2025, respectively, and $36 million and $73 million for the three and six months ended June 28, 2024, respectively.</w:t>
      </w:r>
    </w:p>
    <w:p>
      <w:pPr>
        <w:spacing w:after="0" w:line="34"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Program intangible assets are amortized over their respective estimated useful lives in proportion to the pattern of economic benefit based on expected future discounted cash flows. Backlog intangible assets are amortized on a straight-line basis over their estimated useful lives. Customer relationships and software and technology intangible assets are amortized either on a straight-line basis over their estimated useful lives or over their respective estimated useful lives in proportion to the pattern of economic benefit based on expected future discounted cash flows, as deemed appropriate.</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1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annual amortization expense as of July 4, 2025, was as follows: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2025 (remainder of year)</w:t>
            </w: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79</w:t>
            </w:r>
          </w:p>
        </w:tc>
      </w:tr>
      <w:tr>
        <w:trPr>
          <w:trHeight w:val="236"/>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68</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59</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 and thereafter</w:t>
            </w:r>
          </w:p>
        </w:tc>
        <w:tc>
          <w:tcPr>
            <w:tcW w:w="46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10100" w:type="dxa"/>
            <w:vAlign w:val="bottom"/>
          </w:tcPr>
          <w:p>
            <w:pPr>
              <w:spacing w:after="0"/>
              <w:rPr>
                <w:sz w:val="20"/>
                <w:szCs w:val="20"/>
                <w:color w:val="auto"/>
              </w:rPr>
            </w:pPr>
          </w:p>
        </w:tc>
        <w:tc>
          <w:tcPr>
            <w:tcW w:w="46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511</w:t>
            </w:r>
          </w:p>
        </w:tc>
      </w:tr>
      <w:tr>
        <w:trPr>
          <w:trHeight w:val="20"/>
        </w:trPr>
        <w:tc>
          <w:tcPr>
            <w:tcW w:w="10100" w:type="dxa"/>
            <w:vAlign w:val="bottom"/>
            <w:tcBorders>
              <w:bottom w:val="single" w:sz="8" w:color="901588"/>
            </w:tcBorders>
          </w:tcPr>
          <w:p>
            <w:pPr>
              <w:spacing w:after="0" w:line="20" w:lineRule="exact"/>
              <w:rPr>
                <w:sz w:val="1"/>
                <w:szCs w:val="1"/>
                <w:color w:val="auto"/>
              </w:rPr>
            </w:pPr>
          </w:p>
        </w:tc>
        <w:tc>
          <w:tcPr>
            <w:tcW w:w="46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4–Fair Value Measurements</w:t>
      </w:r>
    </w:p>
    <w:p>
      <w:pPr>
        <w:spacing w:after="0" w:line="13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that are observable, either directly or indirectly, or quoted prices that are not active (Level 2); and unobservable inputs in which there is little or no market data (e.g., discounted cash flow and other similar pricing models), which requires us to develop our own market participant assumptions used in pricing the asset or liability (Level 3).</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financial instruments measured at fair value on a recurring basis primarily consisted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tcPr>
          <w:p>
            <w:pPr>
              <w:spacing w:after="0"/>
              <w:rPr>
                <w:sz w:val="21"/>
                <w:szCs w:val="21"/>
                <w:color w:val="auto"/>
              </w:rPr>
            </w:pPr>
          </w:p>
        </w:tc>
        <w:tc>
          <w:tcPr>
            <w:tcW w:w="240" w:type="dxa"/>
            <w:vAlign w:val="bottom"/>
            <w:tcBorders>
              <w:bottom w:val="single" w:sz="8" w:color="901588"/>
            </w:tcBorders>
            <w:shd w:val="clear" w:color="auto" w:fill="F4E8F3"/>
          </w:tcPr>
          <w:p>
            <w:pPr>
              <w:spacing w:after="0"/>
              <w:rPr>
                <w:sz w:val="21"/>
                <w:szCs w:val="21"/>
                <w:color w:val="auto"/>
              </w:rPr>
            </w:pPr>
          </w:p>
        </w:tc>
        <w:tc>
          <w:tcPr>
            <w:tcW w:w="162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 2025</w:t>
            </w:r>
          </w:p>
        </w:tc>
        <w:tc>
          <w:tcPr>
            <w:tcW w:w="840" w:type="dxa"/>
            <w:vAlign w:val="bottom"/>
            <w:tcBorders>
              <w:bottom w:val="single" w:sz="8" w:color="901588"/>
            </w:tcBorders>
            <w:shd w:val="clear" w:color="auto" w:fill="F4E8F3"/>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901588"/>
            </w:tcBorders>
          </w:tcPr>
          <w:p>
            <w:pPr>
              <w:spacing w:after="0"/>
              <w:rPr>
                <w:sz w:val="21"/>
                <w:szCs w:val="21"/>
                <w:color w:val="auto"/>
              </w:rPr>
            </w:pPr>
          </w:p>
        </w:tc>
        <w:tc>
          <w:tcPr>
            <w:tcW w:w="16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January 3, 2025</w:t>
            </w:r>
          </w:p>
        </w:tc>
        <w:tc>
          <w:tcPr>
            <w:tcW w:w="760" w:type="dxa"/>
            <w:vAlign w:val="bottom"/>
            <w:tcBorders>
              <w:bottom w:val="single" w:sz="8" w:color="901588"/>
            </w:tcBorders>
          </w:tcPr>
          <w:p>
            <w:pPr>
              <w:spacing w:after="0"/>
              <w:rPr>
                <w:sz w:val="21"/>
                <w:szCs w:val="21"/>
                <w:color w:val="auto"/>
              </w:rPr>
            </w:pPr>
          </w:p>
        </w:tc>
      </w:tr>
      <w:tr>
        <w:trPr>
          <w:trHeight w:val="233"/>
        </w:trPr>
        <w:tc>
          <w:tcPr>
            <w:tcW w:w="5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901588"/>
            </w:tcBorders>
            <w:shd w:val="clear" w:color="auto" w:fill="F4E8F3"/>
          </w:tcPr>
          <w:p>
            <w:pPr>
              <w:spacing w:after="0"/>
              <w:rPr>
                <w:sz w:val="20"/>
                <w:szCs w:val="20"/>
                <w:color w:val="auto"/>
              </w:rPr>
            </w:pPr>
          </w:p>
        </w:tc>
        <w:tc>
          <w:tcPr>
            <w:tcW w:w="133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Carrying value</w:t>
            </w:r>
          </w:p>
        </w:tc>
        <w:tc>
          <w:tcPr>
            <w:tcW w:w="290" w:type="dxa"/>
            <w:vAlign w:val="bottom"/>
            <w:tcBorders>
              <w:bottom w:val="single" w:sz="8" w:color="901588"/>
            </w:tcBorders>
            <w:shd w:val="clear" w:color="auto" w:fill="F4E8F3"/>
          </w:tcPr>
          <w:p>
            <w:pPr>
              <w:spacing w:after="0"/>
              <w:rPr>
                <w:sz w:val="20"/>
                <w:szCs w:val="20"/>
                <w:color w:val="auto"/>
              </w:rPr>
            </w:pP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901588"/>
            </w:tcBorders>
          </w:tcPr>
          <w:p>
            <w:pPr>
              <w:spacing w:after="0"/>
              <w:rPr>
                <w:sz w:val="20"/>
                <w:szCs w:val="20"/>
                <w:color w:val="auto"/>
              </w:rPr>
            </w:pPr>
          </w:p>
        </w:tc>
        <w:tc>
          <w:tcPr>
            <w:tcW w:w="30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Carrying value</w:t>
            </w:r>
          </w:p>
        </w:tc>
        <w:tc>
          <w:tcPr>
            <w:tcW w:w="38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Fair value</w:t>
            </w:r>
          </w:p>
        </w:tc>
      </w:tr>
      <w:tr>
        <w:trPr>
          <w:trHeight w:val="234"/>
        </w:trPr>
        <w:tc>
          <w:tcPr>
            <w:tcW w:w="5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Financial assets:</w:t>
            </w:r>
          </w:p>
        </w:tc>
        <w:tc>
          <w:tcPr>
            <w:tcW w:w="240" w:type="dxa"/>
            <w:vAlign w:val="bottom"/>
            <w:tcBorders>
              <w:bottom w:val="single" w:sz="8" w:color="B2B2B2"/>
            </w:tcBorders>
            <w:shd w:val="clear" w:color="auto" w:fill="F4E8F3"/>
          </w:tcPr>
          <w:p>
            <w:pPr>
              <w:spacing w:after="0"/>
              <w:rPr>
                <w:sz w:val="20"/>
                <w:szCs w:val="20"/>
                <w:color w:val="auto"/>
              </w:rPr>
            </w:pPr>
          </w:p>
        </w:tc>
        <w:tc>
          <w:tcPr>
            <w:tcW w:w="1330" w:type="dxa"/>
            <w:vAlign w:val="bottom"/>
            <w:tcBorders>
              <w:bottom w:val="single" w:sz="8" w:color="B2B2B2"/>
            </w:tcBorders>
            <w:shd w:val="clear" w:color="auto" w:fill="F4E8F3"/>
          </w:tcPr>
          <w:p>
            <w:pPr>
              <w:spacing w:after="0"/>
              <w:rPr>
                <w:sz w:val="20"/>
                <w:szCs w:val="20"/>
                <w:color w:val="auto"/>
              </w:rPr>
            </w:pPr>
          </w:p>
        </w:tc>
        <w:tc>
          <w:tcPr>
            <w:tcW w:w="290" w:type="dxa"/>
            <w:vAlign w:val="bottom"/>
            <w:tcBorders>
              <w:bottom w:val="single" w:sz="8" w:color="B2B2B2"/>
            </w:tcBorders>
            <w:shd w:val="clear" w:color="auto" w:fill="F4E8F3"/>
          </w:tcPr>
          <w:p>
            <w:pPr>
              <w:spacing w:after="0"/>
              <w:rPr>
                <w:sz w:val="20"/>
                <w:szCs w:val="20"/>
                <w:color w:val="auto"/>
              </w:rPr>
            </w:pPr>
          </w:p>
        </w:tc>
        <w:tc>
          <w:tcPr>
            <w:tcW w:w="84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r>
      <w:tr>
        <w:trPr>
          <w:trHeight w:val="239"/>
        </w:trPr>
        <w:tc>
          <w:tcPr>
            <w:tcW w:w="574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Derivatives</w:t>
            </w:r>
          </w:p>
        </w:tc>
        <w:tc>
          <w:tcPr>
            <w:tcW w:w="24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30" w:type="dxa"/>
            <w:vAlign w:val="bottom"/>
            <w:tcBorders>
              <w:bottom w:val="single" w:sz="8" w:color="901588"/>
            </w:tcBorders>
            <w:shd w:val="clear" w:color="auto" w:fill="F4E8F3"/>
          </w:tcPr>
          <w:p>
            <w:pPr>
              <w:jc w:val="right"/>
              <w:ind w:right="49"/>
              <w:spacing w:after="0"/>
              <w:rPr>
                <w:sz w:val="20"/>
                <w:szCs w:val="20"/>
                <w:color w:val="auto"/>
              </w:rPr>
            </w:pPr>
            <w:r>
              <w:rPr>
                <w:rFonts w:ascii="Arial" w:cs="Arial" w:eastAsia="Arial" w:hAnsi="Arial"/>
                <w:sz w:val="16"/>
                <w:szCs w:val="16"/>
                <w:b w:val="1"/>
                <w:bCs w:val="1"/>
                <w:color w:val="auto"/>
              </w:rPr>
              <w:t>1</w:t>
            </w:r>
          </w:p>
        </w:tc>
        <w:tc>
          <w:tcPr>
            <w:tcW w:w="290" w:type="dxa"/>
            <w:vAlign w:val="bottom"/>
            <w:tcBorders>
              <w:bottom w:val="single" w:sz="8" w:color="901588"/>
            </w:tcBorders>
            <w:shd w:val="clear" w:color="auto" w:fill="F4E8F3"/>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380" w:type="dxa"/>
            <w:vAlign w:val="bottom"/>
            <w:tcBorders>
              <w:bottom w:val="single" w:sz="8" w:color="901588"/>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901588"/>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bl>
    <w:p>
      <w:pPr>
        <w:spacing w:after="0" w:line="18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As of July 4, 2025, and January 3, 2025, our derivatives primarily consisted of the cash flow interest rate swaps on $500 million of the variable rate senior unsecured term loan (see "Note 5–Derivative Instruments"). The fair value of the cash flow interest rate swaps is determined based on observed values for underlying interest rates on the one-month Secured Overnight Financing Rate ("SOFR") rate as of July 4, 2025, and January 3, 2025 (Level 2 inputs).</w:t>
      </w:r>
    </w:p>
    <w:p>
      <w:pPr>
        <w:spacing w:after="0" w:line="7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carrying amounts of our financial instruments, other than derivatives, which include cash equivalents, accounts receivable, accounts payable and accrued expenses, are reasonable estimates of their related fair values. As of July 4, 2025, and January 3, 2025, the carrying value of our notes receivable of $16 million approximates fair value as the stated interest rates within the agreements are materially consistent with the current market rates for similar instruments (Level 2 inputs). Our notes receivable are included within “Other current assets” and "Other long-term assets" on the condensed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As of July 4, 2025, and January 3, 2025, the fair value of debt was $5.1 billion and $4.5 billion, respectively, and the carrying amount was $5.1 billion and</w:t>
      </w:r>
    </w:p>
    <w:p>
      <w:pPr>
        <w:spacing w:after="0" w:line="31"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$4.7 billion, respectively (see "Note 6–Debt"). The fair value of long-term debt is determined based on current interest rates available for debt with terms and maturities similar to our existing debt arrangements and our credit rating (Level 2 inputs).</w:t>
      </w:r>
    </w:p>
    <w:p>
      <w:pPr>
        <w:spacing w:after="0" w:line="60"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On May 23, 2025, non-financial instruments measured at fair value on a non-recurring basis were recorded in connection with the acquisition of Kudu Dynamics. The fair values of the assets acquired and liabilities assumed were determined using Level 3 inputs.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5–Derivative Instruments</w:t>
      </w:r>
    </w:p>
    <w:p>
      <w:pPr>
        <w:spacing w:after="0" w:line="117"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We manage our risk to changes in interest rates through the use of derivative instruments. We do not hold derivative instruments for trading or speculative purposes. For variable rate borrowings, we use fixed interest rate swaps, effectively converting a portion of the variable interest rate payments to fixed interest rate payments. These swaps are designated as cash flow hedges.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interest rate swaps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60" w:type="dxa"/>
            <w:vAlign w:val="bottom"/>
            <w:shd w:val="clear" w:color="auto" w:fill="F4E8F3"/>
          </w:tcPr>
          <w:p>
            <w:pPr>
              <w:spacing w:after="0"/>
              <w:rPr>
                <w:sz w:val="17"/>
                <w:szCs w:val="17"/>
                <w:color w:val="auto"/>
              </w:rPr>
            </w:pP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January 3,</w:t>
            </w:r>
          </w:p>
        </w:tc>
      </w:tr>
      <w:tr>
        <w:trPr>
          <w:trHeight w:val="240"/>
        </w:trPr>
        <w:tc>
          <w:tcPr>
            <w:tcW w:w="31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920" w:type="dxa"/>
            <w:vAlign w:val="bottom"/>
            <w:tcBorders>
              <w:bottom w:val="single" w:sz="8" w:color="901588"/>
            </w:tcBorders>
          </w:tcPr>
          <w:p>
            <w:pPr>
              <w:ind w:left="980"/>
              <w:spacing w:after="0"/>
              <w:rPr>
                <w:sz w:val="20"/>
                <w:szCs w:val="20"/>
                <w:color w:val="auto"/>
              </w:rPr>
            </w:pPr>
            <w:r>
              <w:rPr>
                <w:rFonts w:ascii="Arial" w:cs="Arial" w:eastAsia="Arial" w:hAnsi="Arial"/>
                <w:sz w:val="16"/>
                <w:szCs w:val="16"/>
                <w:b w:val="1"/>
                <w:bCs w:val="1"/>
                <w:color w:val="auto"/>
              </w:rPr>
              <w:t>Balance sheet line item</w:t>
            </w:r>
          </w:p>
        </w:tc>
        <w:tc>
          <w:tcPr>
            <w:tcW w:w="56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7"/>
        </w:trPr>
        <w:tc>
          <w:tcPr>
            <w:tcW w:w="31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Cash flow interest rate swaps</w:t>
            </w:r>
          </w:p>
        </w:tc>
        <w:tc>
          <w:tcPr>
            <w:tcW w:w="4920" w:type="dxa"/>
            <w:vAlign w:val="bottom"/>
            <w:tcBorders>
              <w:bottom w:val="single" w:sz="8" w:color="901588"/>
            </w:tcBorders>
          </w:tcPr>
          <w:p>
            <w:pPr>
              <w:ind w:left="980"/>
              <w:spacing w:after="0"/>
              <w:rPr>
                <w:sz w:val="20"/>
                <w:szCs w:val="20"/>
                <w:color w:val="auto"/>
              </w:rPr>
            </w:pPr>
            <w:r>
              <w:rPr>
                <w:rFonts w:ascii="Arial" w:cs="Arial" w:eastAsia="Arial" w:hAnsi="Arial"/>
                <w:sz w:val="16"/>
                <w:szCs w:val="16"/>
                <w:color w:val="auto"/>
              </w:rPr>
              <w:t>Other current assets</w:t>
            </w:r>
          </w:p>
        </w:tc>
        <w:tc>
          <w:tcPr>
            <w:tcW w:w="560" w:type="dxa"/>
            <w:vAlign w:val="bottom"/>
            <w:tcBorders>
              <w:bottom w:val="single" w:sz="8" w:color="901588"/>
            </w:tcBorders>
            <w:shd w:val="clear" w:color="auto" w:fill="F4E8F3"/>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56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cash flows associated with the interest rate swaps are classified as operating activities in the condensed consolidated statements of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CASH FLOW HEDGES</w:t>
      </w:r>
    </w:p>
    <w:p>
      <w:pPr>
        <w:spacing w:after="0" w:line="1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interest rate swap agreements to hedge the cash flows of $500 million of the variable rate senior unsecured term loan (the "Variable Rate Loan"). These interest rate swap agreements have a maturity date of August 2025 and a fixed interest rate of 2.96%. The objective of these instruments is to reduce variability in the forecasted interest payments of the Variable Rate Loan. Under the terms of the interest rate swap agreements, we will receive monthly variable interest payments based on the one-month SOFR and will pay interest at a fixed rate.</w:t>
      </w:r>
    </w:p>
    <w:p>
      <w:pPr>
        <w:spacing w:after="0" w:line="1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interest rate swap transactions are accounted for as cash flow hedges. The gain/loss on the swaps is reported as a component of other comprehensive income (loss) and is reclassified into earnings when the interest payments on the underlying hedged items impact earnings. A qualitative assessment of hedge effectiveness is performed on a quarterly basis, unless facts and circumstances indicate the hedge may no longer be highly effective.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cash flow hedges on other comprehensive income (loss) and earnings for the periods presented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40" w:type="dxa"/>
            <w:vAlign w:val="bottom"/>
          </w:tcPr>
          <w:p>
            <w:pPr>
              <w:spacing w:after="0"/>
              <w:rPr>
                <w:sz w:val="19"/>
                <w:szCs w:val="19"/>
                <w:color w:val="auto"/>
              </w:rPr>
            </w:pPr>
          </w:p>
        </w:tc>
        <w:tc>
          <w:tcPr>
            <w:tcW w:w="400" w:type="dxa"/>
            <w:vAlign w:val="bottom"/>
            <w:tcBorders>
              <w:bottom w:val="single" w:sz="8" w:color="901588"/>
            </w:tcBorders>
          </w:tcPr>
          <w:p>
            <w:pPr>
              <w:spacing w:after="0"/>
              <w:rPr>
                <w:sz w:val="19"/>
                <w:szCs w:val="19"/>
                <w:color w:val="auto"/>
              </w:rPr>
            </w:pPr>
          </w:p>
        </w:tc>
        <w:tc>
          <w:tcPr>
            <w:tcW w:w="192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901588"/>
            </w:tcBorders>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184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Borders>
              <w:bottom w:val="single" w:sz="8" w:color="901588"/>
            </w:tcBorders>
          </w:tcPr>
          <w:p>
            <w:pPr>
              <w:spacing w:after="0"/>
              <w:rPr>
                <w:sz w:val="19"/>
                <w:szCs w:val="19"/>
                <w:color w:val="auto"/>
              </w:rPr>
            </w:pPr>
          </w:p>
        </w:tc>
      </w:tr>
      <w:tr>
        <w:trPr>
          <w:trHeight w:val="199"/>
        </w:trPr>
        <w:tc>
          <w:tcPr>
            <w:tcW w:w="5140" w:type="dxa"/>
            <w:vAlign w:val="bottom"/>
          </w:tcPr>
          <w:p>
            <w:pPr>
              <w:spacing w:after="0"/>
              <w:rPr>
                <w:sz w:val="17"/>
                <w:szCs w:val="17"/>
                <w:color w:val="auto"/>
              </w:rPr>
            </w:pPr>
          </w:p>
        </w:tc>
        <w:tc>
          <w:tcPr>
            <w:tcW w:w="400" w:type="dxa"/>
            <w:vAlign w:val="bottom"/>
            <w:shd w:val="clear" w:color="auto" w:fill="F4E8F3"/>
          </w:tcPr>
          <w:p>
            <w:pPr>
              <w:spacing w:after="0"/>
              <w:rPr>
                <w:sz w:val="17"/>
                <w:szCs w:val="17"/>
                <w:color w:val="auto"/>
              </w:rPr>
            </w:pPr>
          </w:p>
        </w:tc>
        <w:tc>
          <w:tcPr>
            <w:tcW w:w="10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8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June 28,</w:t>
            </w:r>
          </w:p>
        </w:tc>
        <w:tc>
          <w:tcPr>
            <w:tcW w:w="460" w:type="dxa"/>
            <w:vAlign w:val="bottom"/>
            <w:shd w:val="clear" w:color="auto" w:fill="F4E8F3"/>
          </w:tcPr>
          <w:p>
            <w:pPr>
              <w:spacing w:after="0"/>
              <w:rPr>
                <w:sz w:val="17"/>
                <w:szCs w:val="17"/>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8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June 28,</w:t>
            </w:r>
          </w:p>
        </w:tc>
      </w:tr>
      <w:tr>
        <w:trPr>
          <w:trHeight w:val="237"/>
        </w:trPr>
        <w:tc>
          <w:tcPr>
            <w:tcW w:w="5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color w:val="auto"/>
              </w:rPr>
              <w:t>2024</w:t>
            </w:r>
          </w:p>
        </w:tc>
        <w:tc>
          <w:tcPr>
            <w:tcW w:w="46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02"/>
        </w:trPr>
        <w:tc>
          <w:tcPr>
            <w:tcW w:w="5140" w:type="dxa"/>
            <w:vAlign w:val="bottom"/>
          </w:tcPr>
          <w:p>
            <w:pPr>
              <w:ind w:left="20"/>
              <w:spacing w:after="0"/>
              <w:rPr>
                <w:sz w:val="20"/>
                <w:szCs w:val="20"/>
                <w:color w:val="auto"/>
              </w:rPr>
            </w:pPr>
            <w:r>
              <w:rPr>
                <w:rFonts w:ascii="Arial" w:cs="Arial" w:eastAsia="Arial" w:hAnsi="Arial"/>
                <w:sz w:val="16"/>
                <w:szCs w:val="16"/>
                <w:color w:val="auto"/>
              </w:rPr>
              <w:t>Total interest expense, net presented in the condensed consolidated</w:t>
            </w:r>
          </w:p>
        </w:tc>
        <w:tc>
          <w:tcPr>
            <w:tcW w:w="400" w:type="dxa"/>
            <w:vAlign w:val="bottom"/>
            <w:shd w:val="clear" w:color="auto" w:fill="F4E8F3"/>
          </w:tcPr>
          <w:p>
            <w:pPr>
              <w:spacing w:after="0"/>
              <w:rPr>
                <w:sz w:val="17"/>
                <w:szCs w:val="17"/>
                <w:color w:val="auto"/>
              </w:rPr>
            </w:pPr>
          </w:p>
        </w:tc>
        <w:tc>
          <w:tcPr>
            <w:tcW w:w="1040" w:type="dxa"/>
            <w:vAlign w:val="bottom"/>
            <w:shd w:val="clear" w:color="auto" w:fill="F4E8F3"/>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1000" w:type="dxa"/>
            <w:vAlign w:val="bottom"/>
            <w:shd w:val="clear" w:color="auto" w:fill="F4E8F3"/>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statements of operations in which the effects of cash flow hedges are</w:t>
            </w:r>
          </w:p>
        </w:tc>
        <w:tc>
          <w:tcPr>
            <w:tcW w:w="400" w:type="dxa"/>
            <w:vAlign w:val="bottom"/>
            <w:shd w:val="clear" w:color="auto" w:fill="F4E8F3"/>
          </w:tcPr>
          <w:p>
            <w:pPr>
              <w:spacing w:after="0"/>
              <w:rPr>
                <w:sz w:val="17"/>
                <w:szCs w:val="17"/>
                <w:color w:val="auto"/>
              </w:rPr>
            </w:pPr>
          </w:p>
        </w:tc>
        <w:tc>
          <w:tcPr>
            <w:tcW w:w="1040" w:type="dxa"/>
            <w:vAlign w:val="bottom"/>
            <w:shd w:val="clear" w:color="auto" w:fill="F4E8F3"/>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1000" w:type="dxa"/>
            <w:vAlign w:val="bottom"/>
            <w:shd w:val="clear" w:color="auto" w:fill="F4E8F3"/>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6"/>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recorded</w:t>
            </w:r>
          </w:p>
        </w:tc>
        <w:tc>
          <w:tcPr>
            <w:tcW w:w="40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880" w:type="dxa"/>
            <w:vAlign w:val="bottom"/>
            <w:tcBorders>
              <w:bottom w:val="single" w:sz="8" w:color="B2B2B2"/>
            </w:tcBorders>
          </w:tcPr>
          <w:p>
            <w:pPr>
              <w:jc w:val="right"/>
              <w:ind w:right="5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51</w:t>
            </w:r>
          </w:p>
        </w:tc>
        <w:tc>
          <w:tcPr>
            <w:tcW w:w="46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104</w:t>
            </w:r>
          </w:p>
        </w:tc>
        <w:tc>
          <w:tcPr>
            <w:tcW w:w="840" w:type="dxa"/>
            <w:vAlign w:val="bottom"/>
            <w:tcBorders>
              <w:bottom w:val="single" w:sz="8" w:color="B2B2B2"/>
            </w:tcBorders>
          </w:tcPr>
          <w:p>
            <w:pPr>
              <w:jc w:val="right"/>
              <w:ind w:right="5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Amount recognized in other comprehensive income</w:t>
            </w:r>
          </w:p>
        </w:tc>
        <w:tc>
          <w:tcPr>
            <w:tcW w:w="400" w:type="dxa"/>
            <w:vAlign w:val="bottom"/>
            <w:tcBorders>
              <w:bottom w:val="single" w:sz="8" w:color="B2B2B2"/>
            </w:tcBorders>
            <w:shd w:val="clear" w:color="auto" w:fill="F4E8F3"/>
          </w:tcPr>
          <w:p>
            <w:pPr>
              <w:spacing w:after="0"/>
              <w:rPr>
                <w:sz w:val="20"/>
                <w:szCs w:val="20"/>
                <w:color w:val="auto"/>
              </w:rPr>
            </w:pPr>
          </w:p>
        </w:tc>
        <w:tc>
          <w:tcPr>
            <w:tcW w:w="10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88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jc w:val="right"/>
              <w:ind w:right="79"/>
              <w:spacing w:after="0"/>
              <w:rPr>
                <w:sz w:val="20"/>
                <w:szCs w:val="20"/>
                <w:color w:val="auto"/>
              </w:rPr>
            </w:pPr>
            <w:r>
              <w:rPr>
                <w:rFonts w:ascii="Arial" w:cs="Arial" w:eastAsia="Arial" w:hAnsi="Arial"/>
                <w:sz w:val="16"/>
                <w:szCs w:val="16"/>
                <w:color w:val="auto"/>
              </w:rPr>
              <w:t>2</w:t>
            </w:r>
          </w:p>
        </w:tc>
        <w:tc>
          <w:tcPr>
            <w:tcW w:w="46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84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199"/>
        </w:trPr>
        <w:tc>
          <w:tcPr>
            <w:tcW w:w="5140" w:type="dxa"/>
            <w:vAlign w:val="bottom"/>
          </w:tcPr>
          <w:p>
            <w:pPr>
              <w:ind w:left="20"/>
              <w:spacing w:after="0"/>
              <w:rPr>
                <w:sz w:val="20"/>
                <w:szCs w:val="20"/>
                <w:color w:val="auto"/>
              </w:rPr>
            </w:pPr>
            <w:r>
              <w:rPr>
                <w:rFonts w:ascii="Arial" w:cs="Arial" w:eastAsia="Arial" w:hAnsi="Arial"/>
                <w:sz w:val="16"/>
                <w:szCs w:val="16"/>
                <w:color w:val="auto"/>
              </w:rPr>
              <w:t>Amount reclassified from accumulated other comprehensive loss to</w:t>
            </w:r>
          </w:p>
        </w:tc>
        <w:tc>
          <w:tcPr>
            <w:tcW w:w="400" w:type="dxa"/>
            <w:vAlign w:val="bottom"/>
            <w:shd w:val="clear" w:color="auto" w:fill="F4E8F3"/>
          </w:tcPr>
          <w:p>
            <w:pPr>
              <w:spacing w:after="0"/>
              <w:rPr>
                <w:sz w:val="17"/>
                <w:szCs w:val="17"/>
                <w:color w:val="auto"/>
              </w:rPr>
            </w:pPr>
          </w:p>
        </w:tc>
        <w:tc>
          <w:tcPr>
            <w:tcW w:w="1040" w:type="dxa"/>
            <w:vAlign w:val="bottom"/>
            <w:shd w:val="clear" w:color="auto" w:fill="F4E8F3"/>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1000" w:type="dxa"/>
            <w:vAlign w:val="bottom"/>
            <w:shd w:val="clear" w:color="auto" w:fill="F4E8F3"/>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0"/>
        </w:trPr>
        <w:tc>
          <w:tcPr>
            <w:tcW w:w="5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901588"/>
            </w:tcBorders>
            <w:shd w:val="clear" w:color="auto" w:fill="F4E8F3"/>
          </w:tcPr>
          <w:p>
            <w:pPr>
              <w:spacing w:after="0"/>
              <w:rPr>
                <w:sz w:val="20"/>
                <w:szCs w:val="20"/>
                <w:color w:val="auto"/>
              </w:rPr>
            </w:pP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88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84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6–Debt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20"/>
                <w:szCs w:val="20"/>
                <w:color w:val="auto"/>
              </w:rPr>
            </w:pPr>
            <w:r>
              <w:rPr>
                <w:rFonts w:ascii="Arial" w:cs="Arial" w:eastAsia="Arial" w:hAnsi="Arial"/>
                <w:sz w:val="16"/>
                <w:szCs w:val="16"/>
                <w:color w:val="auto"/>
              </w:rPr>
              <w:t>Our debt consisted of the following:</w:t>
            </w: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9"/>
        </w:trPr>
        <w:tc>
          <w:tcPr>
            <w:tcW w:w="5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5"/>
        </w:trPr>
        <w:tc>
          <w:tcPr>
            <w:tcW w:w="530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Stated interest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Effective interest</w:t>
            </w:r>
          </w:p>
        </w:tc>
        <w:tc>
          <w:tcPr>
            <w:tcW w:w="560" w:type="dxa"/>
            <w:vAlign w:val="bottom"/>
            <w:shd w:val="clear" w:color="auto" w:fill="F4E8F3"/>
          </w:tcPr>
          <w:p>
            <w:pPr>
              <w:spacing w:after="0"/>
              <w:rPr>
                <w:sz w:val="18"/>
                <w:szCs w:val="18"/>
                <w:color w:val="auto"/>
              </w:rPr>
            </w:pPr>
          </w:p>
        </w:tc>
        <w:tc>
          <w:tcPr>
            <w:tcW w:w="9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January 3,</w:t>
            </w:r>
          </w:p>
        </w:tc>
      </w:tr>
      <w:tr>
        <w:trPr>
          <w:trHeight w:val="226"/>
        </w:trPr>
        <w:tc>
          <w:tcPr>
            <w:tcW w:w="53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52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rate</w:t>
            </w:r>
          </w:p>
        </w:tc>
        <w:tc>
          <w:tcPr>
            <w:tcW w:w="144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color w:val="auto"/>
              </w:rPr>
              <w:t>rate</w:t>
            </w:r>
          </w:p>
        </w:tc>
        <w:tc>
          <w:tcPr>
            <w:tcW w:w="560" w:type="dxa"/>
            <w:vAlign w:val="bottom"/>
            <w:tcBorders>
              <w:bottom w:val="single" w:sz="8" w:color="901588"/>
            </w:tcBorders>
            <w:shd w:val="clear" w:color="auto" w:fill="F4E8F3"/>
          </w:tcPr>
          <w:p>
            <w:pPr>
              <w:spacing w:after="0"/>
              <w:rPr>
                <w:sz w:val="19"/>
                <w:szCs w:val="19"/>
                <w:color w:val="auto"/>
              </w:rPr>
            </w:pP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4"/>
        </w:trPr>
        <w:tc>
          <w:tcPr>
            <w:tcW w:w="5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Senior unsecured term loan:</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r>
      <w:tr>
        <w:trPr>
          <w:trHeight w:val="239"/>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$1,000 million term loan, due March 2028</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5.66%</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5.83%</w:t>
            </w:r>
          </w:p>
        </w:tc>
        <w:tc>
          <w:tcPr>
            <w:tcW w:w="56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950</w:t>
            </w:r>
          </w:p>
        </w:tc>
        <w:tc>
          <w:tcPr>
            <w:tcW w:w="46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1,000</w:t>
            </w:r>
          </w:p>
        </w:tc>
      </w:tr>
      <w:tr>
        <w:trPr>
          <w:trHeight w:val="234"/>
        </w:trPr>
        <w:tc>
          <w:tcPr>
            <w:tcW w:w="5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Senior unsecured notes:</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r>
      <w:tr>
        <w:trPr>
          <w:trHeight w:val="239"/>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May 2025</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3.63%</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3.76%</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$750 million notes, due May 2030</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4.38%</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4.50%</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750</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$1,000 million notes, due February 2031</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2.30%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2.38%</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1,000</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March 2032</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5.40%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5.42%</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$250 million notes, due July 2032</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7.13%</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7.43%</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$750 million notes, due March 2033</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5.75%</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5.81%</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750</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$300 million notes, due July 2033</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5.50%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5.88%</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161</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March 2035</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5.50%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5.55%</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$300 million notes, due December 2040</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5.95%</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6.03%</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218</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218</w:t>
            </w:r>
          </w:p>
        </w:tc>
      </w:tr>
      <w:tr>
        <w:trPr>
          <w:trHeight w:val="237"/>
        </w:trPr>
        <w:tc>
          <w:tcPr>
            <w:tcW w:w="5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Finance leases due on various dates through fiscal 2032</w:t>
            </w:r>
          </w:p>
        </w:tc>
        <w:tc>
          <w:tcPr>
            <w:tcW w:w="152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1.84%-6.31%</w:t>
            </w: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w:t>
            </w:r>
          </w:p>
        </w:tc>
      </w:tr>
      <w:tr>
        <w:trPr>
          <w:trHeight w:val="237"/>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unamortized debt discounts and deferred debt issuance costs</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60" w:type="dxa"/>
            <w:vAlign w:val="bottom"/>
            <w:tcBorders>
              <w:bottom w:val="single" w:sz="8" w:color="901588"/>
            </w:tcBorders>
            <w:shd w:val="clear" w:color="auto" w:fill="F4E8F3"/>
          </w:tcPr>
          <w:p>
            <w:pPr>
              <w:spacing w:after="0"/>
              <w:rPr>
                <w:sz w:val="20"/>
                <w:szCs w:val="20"/>
                <w:color w:val="auto"/>
              </w:rPr>
            </w:pP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53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long-term debt</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5,104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4,670</w:t>
            </w:r>
          </w:p>
        </w:tc>
      </w:tr>
      <w:tr>
        <w:trPr>
          <w:trHeight w:val="236"/>
        </w:trPr>
        <w:tc>
          <w:tcPr>
            <w:tcW w:w="53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current portion</w:t>
            </w:r>
          </w:p>
        </w:tc>
        <w:tc>
          <w:tcPr>
            <w:tcW w:w="152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60" w:type="dxa"/>
            <w:vAlign w:val="bottom"/>
            <w:tcBorders>
              <w:bottom w:val="single" w:sz="8" w:color="901588"/>
            </w:tcBorders>
            <w:shd w:val="clear" w:color="auto" w:fill="F4E8F3"/>
          </w:tcPr>
          <w:p>
            <w:pPr>
              <w:spacing w:after="0"/>
              <w:rPr>
                <w:sz w:val="20"/>
                <w:szCs w:val="20"/>
                <w:color w:val="auto"/>
              </w:rPr>
            </w:pP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(119)</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(618)</w:t>
            </w:r>
          </w:p>
        </w:tc>
      </w:tr>
      <w:tr>
        <w:trPr>
          <w:trHeight w:val="300"/>
        </w:trPr>
        <w:tc>
          <w:tcPr>
            <w:tcW w:w="53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long-term debt, net of current portion</w:t>
            </w:r>
          </w:p>
        </w:tc>
        <w:tc>
          <w:tcPr>
            <w:tcW w:w="1520" w:type="dxa"/>
            <w:vAlign w:val="bottom"/>
            <w:tcBorders>
              <w:bottom w:val="single" w:sz="8" w:color="901588"/>
            </w:tcBorders>
          </w:tcPr>
          <w:p>
            <w:pPr>
              <w:spacing w:after="0"/>
              <w:rPr>
                <w:sz w:val="24"/>
                <w:szCs w:val="24"/>
                <w:color w:val="auto"/>
              </w:rPr>
            </w:pPr>
          </w:p>
        </w:tc>
        <w:tc>
          <w:tcPr>
            <w:tcW w:w="1440" w:type="dxa"/>
            <w:vAlign w:val="bottom"/>
            <w:tcBorders>
              <w:bottom w:val="single" w:sz="8" w:color="901588"/>
            </w:tcBorders>
          </w:tcPr>
          <w:p>
            <w:pPr>
              <w:spacing w:after="0"/>
              <w:rPr>
                <w:sz w:val="24"/>
                <w:szCs w:val="24"/>
                <w:color w:val="auto"/>
              </w:rPr>
            </w:pPr>
          </w:p>
        </w:tc>
        <w:tc>
          <w:tcPr>
            <w:tcW w:w="560" w:type="dxa"/>
            <w:vAlign w:val="bottom"/>
            <w:tcBorders>
              <w:bottom w:val="single" w:sz="8" w:color="901588"/>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4,985</w:t>
            </w:r>
          </w:p>
        </w:tc>
        <w:tc>
          <w:tcPr>
            <w:tcW w:w="460" w:type="dxa"/>
            <w:vAlign w:val="bottom"/>
            <w:tcBorders>
              <w:bottom w:val="single" w:sz="8" w:color="901588"/>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4,052</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REVOLVING CREDIT FACILITY</w:t>
      </w:r>
    </w:p>
    <w:p>
      <w:pPr>
        <w:spacing w:after="0" w:line="12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have a $1.0 billion senior unsecured revolving facility (the “Revolving Facility”). The Revolving Facility will mature in March 2028 and is subject to an annual commitment fee rate of 0.125% on the unused credit availability and permits two additional one-year extensions subject to lender consent. Principal payments are made quarterly, with the majority of the principal due at maturity. As of July 4, 2025, and January 3, 2025, there were no borrowings outstanding under the Revolving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SENIOR NOTES</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On February 20, 2025, we issued and sold $500 million senior notes maturing in March 2032 (the "2032 Notes") and $500 million senior notes maturing in March 2035 (the "2035 Notes", and together with the 2032 Notes, the "Notes"). The Notes are senior unsecured obligations issued by Leidos, Inc. and guaranteed by Leidos Holdings, Inc. The annual interest rates for the 2032 Notes and the 2035 Notes are 5.40% and 5.50%, respectively, and the interest is payable on a semi-annual basis. In connection with the issuance of the Notes, $10 million of debt issuance costs and discount were recognized, which were recorded as an offset against the carrying value of debt. The proceeds from the Notes were used to retire the $500 million senior unsecured notes due May 2025 and repurchase $500 million outstanding shares of common stock in connection with the Accelerated Share Repurchase ("ASR") agreement (see "Note 8–Earnings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COMMERCIAL PAPER</w:t>
      </w:r>
    </w:p>
    <w:p>
      <w:pPr>
        <w:spacing w:after="0" w:line="12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have a commercial paper program in which the Company may issue short-term unsecured commercial paper notes ("Commercial Paper Notes") not to exceed $1.0 billion. The proceeds will be used for general corporate purposes, including working capital, capital expenditures, acquisitions and share repurchases.</w:t>
      </w:r>
    </w:p>
    <w:p>
      <w:pPr>
        <w:spacing w:after="0" w:line="57"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The Commercial Paper Notes are issued in minimum denominations of $0.25 million and have maturities of up to 397 days from the date of issuance. The Commercial Paper Notes either bear a stated or floating interest rate, if interest bearing, or will be sold at a discount from the face amount. As of July 4, 2025, and January 3, 2025, we did not have any Commercial Paper Notes outstanding.</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COVENANTS</w:t>
      </w:r>
    </w:p>
    <w:p>
      <w:pPr>
        <w:spacing w:after="0" w:line="122"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The senior unsecured term loan, senior unsecured notes and Revolving Facility are fully and unconditionally guaranteed and contain certain customary restrictive covenants, including among other things, restrictions on our ability to create liens and enter into sale and leaseback transactions under certain circumstances.</w:t>
      </w:r>
    </w:p>
    <w:p>
      <w:pPr>
        <w:spacing w:after="0" w:line="5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financial covenants in the Revolving Facility and the senior unsecured term loan require that we maintain, as of the last day of each fiscal quarter, a ratio of adjusted consolidated total debt to consolidated EBITDA of not more than 3.75 to 1.00, subject to increases to 4.50 to 1.00 for four fiscal quarters following a material acquisition, and a ratio of EBITDA to consolidated interest expense of not less than 3.50 to 1.00.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financial covenants as of July 4, 2025.</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7–Accumulated Other Comprehensive Income (Loss)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components of Accumulated Other Comprehensive Income (Loss) ("AOCI")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Foreign currency</w:t>
            </w:r>
          </w:p>
        </w:tc>
        <w:tc>
          <w:tcPr>
            <w:tcW w:w="1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Unrecognized gain</w:t>
            </w:r>
          </w:p>
        </w:tc>
        <w:tc>
          <w:tcPr>
            <w:tcW w:w="32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(loss) on derivative</w:t>
            </w: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4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2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translation adjustments</w:t>
            </w:r>
          </w:p>
        </w:tc>
        <w:tc>
          <w:tcPr>
            <w:tcW w:w="160" w:type="dxa"/>
            <w:vAlign w:val="bottom"/>
            <w:tcBorders>
              <w:bottom w:val="single" w:sz="8" w:color="901588"/>
            </w:tcBorders>
          </w:tcPr>
          <w:p>
            <w:pPr>
              <w:spacing w:after="0"/>
              <w:rPr>
                <w:sz w:val="19"/>
                <w:szCs w:val="19"/>
                <w:color w:val="auto"/>
              </w:rPr>
            </w:pPr>
          </w:p>
        </w:tc>
        <w:tc>
          <w:tcPr>
            <w:tcW w:w="162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instruments</w:t>
            </w:r>
          </w:p>
        </w:tc>
        <w:tc>
          <w:tcPr>
            <w:tcW w:w="32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adjustments</w:t>
            </w:r>
          </w:p>
        </w:tc>
        <w:tc>
          <w:tcPr>
            <w:tcW w:w="360" w:type="dxa"/>
            <w:vAlign w:val="bottom"/>
            <w:tcBorders>
              <w:bottom w:val="single" w:sz="8" w:color="901588"/>
            </w:tcBorders>
          </w:tcPr>
          <w:p>
            <w:pPr>
              <w:spacing w:after="0"/>
              <w:rPr>
                <w:sz w:val="19"/>
                <w:szCs w:val="19"/>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 AOCI</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Balance at December 29, 2023</w:t>
            </w:r>
          </w:p>
        </w:tc>
        <w:tc>
          <w:tcPr>
            <w:tcW w:w="36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36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420" w:type="dxa"/>
            <w:vAlign w:val="bottom"/>
          </w:tcPr>
          <w:p>
            <w:pPr>
              <w:ind w:left="140"/>
              <w:spacing w:after="0"/>
              <w:rPr>
                <w:sz w:val="20"/>
                <w:szCs w:val="20"/>
                <w:color w:val="auto"/>
              </w:rPr>
            </w:pPr>
            <w:r>
              <w:rPr>
                <w:rFonts w:ascii="Arial" w:cs="Arial" w:eastAsia="Arial" w:hAnsi="Arial"/>
                <w:sz w:val="16"/>
                <w:szCs w:val="16"/>
                <w:color w:val="auto"/>
              </w:rPr>
              <w:t>Reclassification from AOCI</w:t>
            </w:r>
          </w:p>
        </w:tc>
        <w:tc>
          <w:tcPr>
            <w:tcW w:w="3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4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Balance at January 3, 2025</w:t>
            </w:r>
          </w:p>
        </w:tc>
        <w:tc>
          <w:tcPr>
            <w:tcW w:w="360" w:type="dxa"/>
            <w:vAlign w:val="bottom"/>
            <w:tcBorders>
              <w:top w:val="single" w:sz="8" w:color="901588"/>
              <w:bottom w:val="single" w:sz="8" w:color="B2B2B2"/>
            </w:tcBorders>
          </w:tcPr>
          <w:p>
            <w:pPr>
              <w:spacing w:after="0"/>
              <w:rPr>
                <w:sz w:val="20"/>
                <w:szCs w:val="20"/>
                <w:color w:val="auto"/>
              </w:rPr>
            </w:pPr>
          </w:p>
        </w:tc>
        <w:tc>
          <w:tcPr>
            <w:tcW w:w="15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(98)</w:t>
            </w:r>
          </w:p>
        </w:tc>
        <w:tc>
          <w:tcPr>
            <w:tcW w:w="80" w:type="dxa"/>
            <w:vAlign w:val="bottom"/>
            <w:tcBorders>
              <w:top w:val="single" w:sz="8" w:color="B2B2B2"/>
              <w:bottom w:val="single" w:sz="8" w:color="B2B2B2"/>
            </w:tcBorders>
          </w:tcPr>
          <w:p>
            <w:pPr>
              <w:spacing w:after="0"/>
              <w:rPr>
                <w:sz w:val="20"/>
                <w:szCs w:val="20"/>
                <w:color w:val="auto"/>
              </w:rPr>
            </w:pPr>
          </w:p>
        </w:tc>
        <w:tc>
          <w:tcPr>
            <w:tcW w:w="160" w:type="dxa"/>
            <w:vAlign w:val="bottom"/>
            <w:tcBorders>
              <w:top w:val="single" w:sz="8" w:color="901588"/>
              <w:bottom w:val="single" w:sz="8" w:color="B2B2B2"/>
            </w:tcBorders>
          </w:tcPr>
          <w:p>
            <w:pPr>
              <w:spacing w:after="0"/>
              <w:rPr>
                <w:sz w:val="20"/>
                <w:szCs w:val="20"/>
                <w:color w:val="auto"/>
              </w:rPr>
            </w:pPr>
          </w:p>
        </w:tc>
        <w:tc>
          <w:tcPr>
            <w:tcW w:w="15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B2B2B2"/>
              <w:bottom w:val="single" w:sz="8" w:color="B2B2B2"/>
            </w:tcBorders>
          </w:tcPr>
          <w:p>
            <w:pPr>
              <w:spacing w:after="0"/>
              <w:rPr>
                <w:sz w:val="20"/>
                <w:szCs w:val="20"/>
                <w:color w:val="auto"/>
              </w:rPr>
            </w:pPr>
          </w:p>
        </w:tc>
        <w:tc>
          <w:tcPr>
            <w:tcW w:w="320" w:type="dxa"/>
            <w:vAlign w:val="bottom"/>
            <w:tcBorders>
              <w:top w:val="single" w:sz="8" w:color="901588"/>
              <w:bottom w:val="single" w:sz="8" w:color="B2B2B2"/>
            </w:tcBorders>
          </w:tcPr>
          <w:p>
            <w:pPr>
              <w:spacing w:after="0"/>
              <w:rPr>
                <w:sz w:val="20"/>
                <w:szCs w:val="20"/>
                <w:color w:val="auto"/>
              </w:rPr>
            </w:pPr>
          </w:p>
        </w:tc>
        <w:tc>
          <w:tcPr>
            <w:tcW w:w="11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B2B2B2"/>
              <w:bottom w:val="single" w:sz="8" w:color="B2B2B2"/>
            </w:tcBorders>
          </w:tcPr>
          <w:p>
            <w:pPr>
              <w:spacing w:after="0"/>
              <w:rPr>
                <w:sz w:val="20"/>
                <w:szCs w:val="20"/>
                <w:color w:val="auto"/>
              </w:rPr>
            </w:pPr>
          </w:p>
        </w:tc>
        <w:tc>
          <w:tcPr>
            <w:tcW w:w="360" w:type="dxa"/>
            <w:vAlign w:val="bottom"/>
            <w:tcBorders>
              <w:top w:val="single" w:sz="8" w:color="901588"/>
              <w:bottom w:val="single" w:sz="8" w:color="B2B2B2"/>
            </w:tcBorders>
          </w:tcPr>
          <w:p>
            <w:pPr>
              <w:spacing w:after="0"/>
              <w:rPr>
                <w:sz w:val="20"/>
                <w:szCs w:val="20"/>
                <w:color w:val="auto"/>
              </w:rPr>
            </w:pPr>
          </w:p>
        </w:tc>
        <w:tc>
          <w:tcPr>
            <w:tcW w:w="10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B2B2B2"/>
            </w:tcBorders>
          </w:tcPr>
          <w:p>
            <w:pPr>
              <w:spacing w:after="0"/>
              <w:rPr>
                <w:sz w:val="20"/>
                <w:szCs w:val="20"/>
                <w:color w:val="auto"/>
              </w:rPr>
            </w:pPr>
          </w:p>
        </w:tc>
        <w:tc>
          <w:tcPr>
            <w:tcW w:w="32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36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62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420" w:type="dxa"/>
            <w:vAlign w:val="bottom"/>
          </w:tcPr>
          <w:p>
            <w:pPr>
              <w:ind w:left="140"/>
              <w:spacing w:after="0"/>
              <w:rPr>
                <w:sz w:val="20"/>
                <w:szCs w:val="20"/>
                <w:color w:val="auto"/>
              </w:rPr>
            </w:pPr>
            <w:r>
              <w:rPr>
                <w:rFonts w:ascii="Arial" w:cs="Arial" w:eastAsia="Arial" w:hAnsi="Arial"/>
                <w:sz w:val="16"/>
                <w:szCs w:val="16"/>
                <w:color w:val="auto"/>
              </w:rPr>
              <w:t>Reclassification from AOCI</w:t>
            </w:r>
          </w:p>
        </w:tc>
        <w:tc>
          <w:tcPr>
            <w:tcW w:w="3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8"/>
        </w:trPr>
        <w:tc>
          <w:tcPr>
            <w:tcW w:w="442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Balance at July 4, 2025</w:t>
            </w:r>
          </w:p>
        </w:tc>
        <w:tc>
          <w:tcPr>
            <w:tcW w:w="360" w:type="dxa"/>
            <w:vAlign w:val="bottom"/>
            <w:tcBorders>
              <w:top w:val="single" w:sz="8" w:color="901588"/>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1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320" w:type="dxa"/>
            <w:vAlign w:val="bottom"/>
            <w:tcBorders>
              <w:top w:val="single" w:sz="8" w:color="901588"/>
              <w:bottom w:val="single" w:sz="8" w:color="901588"/>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360" w:type="dxa"/>
            <w:vAlign w:val="bottom"/>
            <w:tcBorders>
              <w:top w:val="single" w:sz="8" w:color="901588"/>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0"/>
        </w:trPr>
        <w:tc>
          <w:tcPr>
            <w:tcW w:w="4420" w:type="dxa"/>
            <w:vAlign w:val="bottom"/>
            <w:tcBorders>
              <w:top w:val="single" w:sz="8" w:color="901588"/>
            </w:tcBorders>
          </w:tcPr>
          <w:p>
            <w:pPr>
              <w:spacing w:after="0" w:line="20" w:lineRule="exact"/>
              <w:rPr>
                <w:sz w:val="1"/>
                <w:szCs w:val="1"/>
                <w:color w:val="auto"/>
              </w:rPr>
            </w:pPr>
          </w:p>
        </w:tc>
        <w:tc>
          <w:tcPr>
            <w:tcW w:w="360" w:type="dxa"/>
            <w:vAlign w:val="bottom"/>
            <w:tcBorders>
              <w:top w:val="single" w:sz="8" w:color="F4E8F3"/>
            </w:tcBorders>
            <w:shd w:val="clear" w:color="auto" w:fill="901588"/>
          </w:tcPr>
          <w:p>
            <w:pPr>
              <w:spacing w:after="0" w:line="20" w:lineRule="exact"/>
              <w:rPr>
                <w:sz w:val="1"/>
                <w:szCs w:val="1"/>
                <w:color w:val="auto"/>
              </w:rPr>
            </w:pPr>
          </w:p>
        </w:tc>
        <w:tc>
          <w:tcPr>
            <w:tcW w:w="158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160" w:type="dxa"/>
            <w:vAlign w:val="bottom"/>
            <w:tcBorders>
              <w:top w:val="single" w:sz="8" w:color="F4E8F3"/>
            </w:tcBorders>
            <w:shd w:val="clear" w:color="auto" w:fill="901588"/>
          </w:tcPr>
          <w:p>
            <w:pPr>
              <w:spacing w:after="0" w:line="20" w:lineRule="exact"/>
              <w:rPr>
                <w:sz w:val="1"/>
                <w:szCs w:val="1"/>
                <w:color w:val="auto"/>
              </w:rPr>
            </w:pPr>
          </w:p>
        </w:tc>
        <w:tc>
          <w:tcPr>
            <w:tcW w:w="154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320" w:type="dxa"/>
            <w:vAlign w:val="bottom"/>
            <w:tcBorders>
              <w:top w:val="single" w:sz="8" w:color="F4E8F3"/>
            </w:tcBorders>
            <w:shd w:val="clear" w:color="auto" w:fill="901588"/>
          </w:tcPr>
          <w:p>
            <w:pPr>
              <w:spacing w:after="0" w:line="20" w:lineRule="exact"/>
              <w:rPr>
                <w:sz w:val="1"/>
                <w:szCs w:val="1"/>
                <w:color w:val="auto"/>
              </w:rPr>
            </w:pPr>
          </w:p>
        </w:tc>
        <w:tc>
          <w:tcPr>
            <w:tcW w:w="116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360" w:type="dxa"/>
            <w:vAlign w:val="bottom"/>
            <w:tcBorders>
              <w:top w:val="single" w:sz="8" w:color="F4E8F3"/>
            </w:tcBorders>
            <w:shd w:val="clear" w:color="auto" w:fill="901588"/>
          </w:tcPr>
          <w:p>
            <w:pPr>
              <w:spacing w:after="0" w:line="20" w:lineRule="exact"/>
              <w:rPr>
                <w:sz w:val="1"/>
                <w:szCs w:val="1"/>
                <w:color w:val="auto"/>
              </w:rPr>
            </w:pPr>
          </w:p>
        </w:tc>
        <w:tc>
          <w:tcPr>
            <w:tcW w:w="1080" w:type="dxa"/>
            <w:vAlign w:val="bottom"/>
            <w:tcBorders>
              <w:top w:val="single" w:sz="8" w:color="F4E8F3"/>
            </w:tcBorders>
            <w:shd w:val="clear" w:color="auto" w:fill="9015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Reclassifications from unrecognized gain (loss) on derivative instruments are recorded in "Interest expense, net" in the condensed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8–Earnings Per Share</w:t>
      </w:r>
    </w:p>
    <w:p>
      <w:pPr>
        <w:spacing w:after="0" w:line="117" w:lineRule="exact"/>
        <w:rPr>
          <w:sz w:val="20"/>
          <w:szCs w:val="20"/>
          <w:color w:val="auto"/>
        </w:rPr>
      </w:pPr>
    </w:p>
    <w:p>
      <w:pPr>
        <w:ind w:right="180"/>
        <w:spacing w:after="0" w:line="316" w:lineRule="auto"/>
        <w:rPr>
          <w:sz w:val="20"/>
          <w:szCs w:val="20"/>
          <w:color w:val="auto"/>
        </w:rPr>
      </w:pPr>
      <w:r>
        <w:rPr>
          <w:rFonts w:ascii="Arial" w:cs="Arial" w:eastAsia="Arial" w:hAnsi="Arial"/>
          <w:sz w:val="16"/>
          <w:szCs w:val="16"/>
          <w:color w:val="auto"/>
        </w:rPr>
        <w:t>The following table provides a reconciliation of the weighted average number of shares outstanding used to compute basic and diluted EPS for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Borders>
              <w:bottom w:val="single" w:sz="8" w:color="901588"/>
            </w:tcBorders>
            <w:gridSpan w:val="3"/>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Borders>
              <w:bottom w:val="single" w:sz="8" w:color="901588"/>
            </w:tcBorders>
            <w:gridSpan w:val="3"/>
          </w:tcPr>
          <w:p>
            <w:pPr>
              <w:ind w:left="780"/>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Borders>
              <w:bottom w:val="single" w:sz="8" w:color="901588"/>
            </w:tcBorders>
          </w:tcPr>
          <w:p>
            <w:pPr>
              <w:spacing w:after="0"/>
              <w:rPr>
                <w:sz w:val="19"/>
                <w:szCs w:val="19"/>
                <w:color w:val="auto"/>
              </w:rPr>
            </w:pPr>
          </w:p>
        </w:tc>
      </w:tr>
      <w:tr>
        <w:trPr>
          <w:trHeight w:val="199"/>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June 28,</w:t>
            </w:r>
          </w:p>
        </w:tc>
        <w:tc>
          <w:tcPr>
            <w:tcW w:w="14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June 28,</w:t>
            </w:r>
          </w:p>
        </w:tc>
      </w:tr>
      <w:tr>
        <w:trPr>
          <w:trHeight w:val="237"/>
        </w:trPr>
        <w:tc>
          <w:tcPr>
            <w:tcW w:w="518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4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901588"/>
            </w:tcBorders>
          </w:tcPr>
          <w:p>
            <w:pPr>
              <w:spacing w:after="0"/>
              <w:rPr>
                <w:sz w:val="20"/>
                <w:szCs w:val="20"/>
                <w:color w:val="auto"/>
              </w:rPr>
            </w:pPr>
          </w:p>
        </w:tc>
        <w:tc>
          <w:tcPr>
            <w:tcW w:w="14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39"/>
        </w:trPr>
        <w:tc>
          <w:tcPr>
            <w:tcW w:w="518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Basic weighted average number of shares outstanding</w:t>
            </w:r>
          </w:p>
        </w:tc>
        <w:tc>
          <w:tcPr>
            <w:tcW w:w="14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spacing w:after="0"/>
              <w:rPr>
                <w:sz w:val="20"/>
                <w:szCs w:val="20"/>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135</w:t>
            </w:r>
          </w:p>
        </w:tc>
      </w:tr>
      <w:tr>
        <w:trPr>
          <w:trHeight w:val="199"/>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Dilutive common share equivalents—stock options and other stock</w:t>
            </w:r>
          </w:p>
        </w:tc>
        <w:tc>
          <w:tcPr>
            <w:tcW w:w="1440" w:type="dxa"/>
            <w:vAlign w:val="bottom"/>
            <w:shd w:val="clear" w:color="auto" w:fill="F4E8F3"/>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shd w:val="clear" w:color="auto" w:fill="F4E8F3"/>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0"/>
        </w:trPr>
        <w:tc>
          <w:tcPr>
            <w:tcW w:w="518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awards</w:t>
            </w:r>
          </w:p>
        </w:tc>
        <w:tc>
          <w:tcPr>
            <w:tcW w:w="14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20"/>
                <w:szCs w:val="20"/>
                <w:color w:val="auto"/>
              </w:rPr>
            </w:pPr>
          </w:p>
        </w:tc>
        <w:tc>
          <w:tcPr>
            <w:tcW w:w="780" w:type="dxa"/>
            <w:vAlign w:val="bottom"/>
            <w:tcBorders>
              <w:bottom w:val="single" w:sz="8" w:color="901588"/>
            </w:tcBorders>
          </w:tcPr>
          <w:p>
            <w:pPr>
              <w:spacing w:after="0"/>
              <w:rPr>
                <w:sz w:val="20"/>
                <w:szCs w:val="20"/>
                <w:color w:val="auto"/>
              </w:rPr>
            </w:pPr>
          </w:p>
        </w:tc>
        <w:tc>
          <w:tcPr>
            <w:tcW w:w="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14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20"/>
                <w:szCs w:val="20"/>
                <w:color w:val="auto"/>
              </w:rPr>
            </w:pPr>
          </w:p>
        </w:tc>
        <w:tc>
          <w:tcPr>
            <w:tcW w:w="720" w:type="dxa"/>
            <w:vAlign w:val="bottom"/>
            <w:tcBorders>
              <w:bottom w:val="single" w:sz="8" w:color="901588"/>
            </w:tcBorders>
          </w:tcPr>
          <w:p>
            <w:pPr>
              <w:spacing w:after="0"/>
              <w:rPr>
                <w:sz w:val="20"/>
                <w:szCs w:val="20"/>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r>
      <w:tr>
        <w:trPr>
          <w:trHeight w:val="300"/>
        </w:trPr>
        <w:tc>
          <w:tcPr>
            <w:tcW w:w="518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Diluted weighted average number of shares outstanding</w:t>
            </w:r>
          </w:p>
        </w:tc>
        <w:tc>
          <w:tcPr>
            <w:tcW w:w="14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bottom w:val="single" w:sz="8" w:color="901588"/>
            </w:tcBorders>
          </w:tcPr>
          <w:p>
            <w:pPr>
              <w:spacing w:after="0"/>
              <w:rPr>
                <w:sz w:val="24"/>
                <w:szCs w:val="24"/>
                <w:color w:val="auto"/>
              </w:rPr>
            </w:pPr>
          </w:p>
        </w:tc>
        <w:tc>
          <w:tcPr>
            <w:tcW w:w="780" w:type="dxa"/>
            <w:vAlign w:val="bottom"/>
            <w:tcBorders>
              <w:bottom w:val="single" w:sz="8" w:color="901588"/>
            </w:tcBorders>
          </w:tcPr>
          <w:p>
            <w:pPr>
              <w:spacing w:after="0"/>
              <w:rPr>
                <w:sz w:val="24"/>
                <w:szCs w:val="24"/>
                <w:color w:val="auto"/>
              </w:rPr>
            </w:pPr>
          </w:p>
        </w:tc>
        <w:tc>
          <w:tcPr>
            <w:tcW w:w="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901588"/>
            </w:tcBorders>
          </w:tcPr>
          <w:p>
            <w:pPr>
              <w:spacing w:after="0"/>
              <w:rPr>
                <w:sz w:val="24"/>
                <w:szCs w:val="24"/>
                <w:color w:val="auto"/>
              </w:rPr>
            </w:pPr>
          </w:p>
        </w:tc>
        <w:tc>
          <w:tcPr>
            <w:tcW w:w="14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tcBorders>
              <w:bottom w:val="single" w:sz="8" w:color="901588"/>
            </w:tcBorders>
          </w:tcPr>
          <w:p>
            <w:pPr>
              <w:spacing w:after="0"/>
              <w:rPr>
                <w:sz w:val="24"/>
                <w:szCs w:val="24"/>
                <w:color w:val="auto"/>
              </w:rPr>
            </w:pPr>
          </w:p>
        </w:tc>
        <w:tc>
          <w:tcPr>
            <w:tcW w:w="720" w:type="dxa"/>
            <w:vAlign w:val="bottom"/>
            <w:tcBorders>
              <w:bottom w:val="single" w:sz="8" w:color="901588"/>
            </w:tcBorders>
          </w:tcPr>
          <w:p>
            <w:pPr>
              <w:spacing w:after="0"/>
              <w:rPr>
                <w:sz w:val="24"/>
                <w:szCs w:val="24"/>
                <w:color w:val="auto"/>
              </w:rPr>
            </w:pPr>
          </w:p>
        </w:tc>
        <w:tc>
          <w:tcPr>
            <w:tcW w:w="7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137</w:t>
            </w:r>
          </w:p>
        </w:tc>
      </w:tr>
    </w:tbl>
    <w:p>
      <w:pPr>
        <w:spacing w:after="0" w:line="17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Anti-dilutive stock-based awards are excluded from the weighted average number of shares outstanding used to compute diluted EPS. The total outstanding stock options and vesting stock awards that were anti-dilutive were less than 0.5 million for both the three and six months ended July 4, 2025, and not material for both the three and six months ended June 28, 2024.</w:t>
      </w:r>
    </w:p>
    <w:p>
      <w:pPr>
        <w:spacing w:after="0" w:line="71"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On February 20, 2025, we entered into an ASR agreement with a financial institution to repurchase shares of our outstanding common stock. During the three months ended April 4, 2025, we paid $500 million to the financial institution and received an initial delivery of 3 million shares at an average price of $131.50 per share. In May 2025, we received the final delivery of 0.6 million shares related to the ASR agreement. The total number of shares that we received under the ASR agreement was based on the volume-weighted-average-price of $138.44 per share, net of a discount, for the period February 20, 2025, to May 20, 2025.</w:t>
      </w:r>
    </w:p>
    <w:p>
      <w:pPr>
        <w:spacing w:after="0" w:line="200" w:lineRule="exact"/>
        <w:rPr>
          <w:sz w:val="20"/>
          <w:szCs w:val="20"/>
          <w:color w:val="auto"/>
        </w:rPr>
      </w:pPr>
    </w:p>
    <w:p>
      <w:pPr>
        <w:spacing w:after="0" w:line="398" w:lineRule="exact"/>
        <w:rPr>
          <w:sz w:val="20"/>
          <w:szCs w:val="20"/>
          <w:color w:val="auto"/>
        </w:rPr>
      </w:pPr>
    </w:p>
    <w:p>
      <w:pPr>
        <w:ind w:left="480" w:hanging="454"/>
        <w:spacing w:after="0"/>
        <w:tabs>
          <w:tab w:leader="none" w:pos="480" w:val="left"/>
        </w:tabs>
        <w:numPr>
          <w:ilvl w:val="0"/>
          <w:numId w:val="1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400"/>
        <w:spacing w:after="0" w:line="351" w:lineRule="auto"/>
        <w:rPr>
          <w:sz w:val="20"/>
          <w:szCs w:val="20"/>
          <w:color w:val="auto"/>
        </w:rPr>
      </w:pPr>
      <w:r>
        <w:rPr>
          <w:rFonts w:ascii="Arial" w:cs="Arial" w:eastAsia="Arial" w:hAnsi="Arial"/>
          <w:sz w:val="16"/>
          <w:szCs w:val="16"/>
          <w:color w:val="auto"/>
        </w:rPr>
        <w:t>The purchase was recorded to "Additional paid-in capital" in the condensed consolidated balance sheets. All shares delivered were immediately retired. During the three and six months ended June 28, 2024, we made open market repurchases of our common stock for an aggregate purchase price of</w:t>
      </w:r>
    </w:p>
    <w:p>
      <w:pPr>
        <w:spacing w:after="0" w:line="305" w:lineRule="auto"/>
        <w:rPr>
          <w:sz w:val="20"/>
          <w:szCs w:val="20"/>
          <w:color w:val="auto"/>
        </w:rPr>
      </w:pPr>
      <w:r>
        <w:rPr>
          <w:rFonts w:ascii="Arial" w:cs="Arial" w:eastAsia="Arial" w:hAnsi="Arial"/>
          <w:sz w:val="16"/>
          <w:szCs w:val="16"/>
          <w:color w:val="auto"/>
        </w:rPr>
        <w:t>$100 million and $250 million, respectively. All shares repurchased were immediately retired. There were no open market share repurchases during the three and six months ended July 4, 2025.</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9–Income Taxes</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On July 4, 2025, tax legislation was enacted in H.R.1 Reconciliation Act, commonly referred to as the One Big Beautiful Bill Act (the “OBBBA”) implementing several corporate tax law changes, including but not limited to, (1) restoring the ability to immediately expense U.S. research and development costs; (2) allowing certain taxpayers an election to deduct the unamortized balance of U.S. research and development costs capitalized in prior years; and (3) reinstating one hundred percent bonus depreciation for eligible property. The enactment of the OBBBA resulted in a decrease of $150 million to income taxes payable and a decrease of $130 million to deferred tax assets as of July 4, 2025. Based upon our interpretation of the law as currently enacted, we estimate that the fiscal 2025 impact will result in a decrease of approximately $280 million to income taxes payable and a decrease of $245 million to net deferred taxes.</w:t>
      </w:r>
    </w:p>
    <w:p>
      <w:pPr>
        <w:spacing w:after="0" w:line="8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For the three months ended July 4, 2025, the effective tax rate was 24.1% compared to 23.9% for the three months ended June 28, 2024. The increase to the effective tax rate was primarily due to impacts from the OBBBA, partially offset by a decrease in unrecognized tax benefits.</w:t>
      </w:r>
    </w:p>
    <w:p>
      <w:pPr>
        <w:spacing w:after="0" w:line="60"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For the six months ended July 4, 2025, the effective tax rate was 23.9% compared to 23.6% for the six months ended June 28, 2024. The increase to the effective tax rate was primarily due to impacts from the OBBBA and a decrease in excess tax benefits related to employee stock-based payment transactions, partially offset by a decrease in unrecognized tax benefits.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10–Business Segments</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operations and reportable segments are organized around the customers and markets we serve. We define our reportable segments based on the way the chief operating decision maker ("CODM"), currently our Chief Executive Officer, manages operations for the purposes of allocating resources and assessing performance. The CODM considers segment revenue and operating income to assist with the evaluation of strategic business decisions, including potential acquisitions or divestitures, whether to invest in certain products or services, share repurchases and the declaration of dividends.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business segment information for the periods presented: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spacing w:after="0"/>
              <w:rPr>
                <w:sz w:val="19"/>
                <w:szCs w:val="19"/>
                <w:color w:val="auto"/>
              </w:rPr>
            </w:pPr>
          </w:p>
        </w:tc>
        <w:tc>
          <w:tcPr>
            <w:tcW w:w="180" w:type="dxa"/>
            <w:vAlign w:val="bottom"/>
            <w:tcBorders>
              <w:bottom w:val="single" w:sz="8" w:color="90158B"/>
            </w:tcBorders>
          </w:tcPr>
          <w:p>
            <w:pPr>
              <w:spacing w:after="0"/>
              <w:rPr>
                <w:sz w:val="19"/>
                <w:szCs w:val="19"/>
                <w:color w:val="auto"/>
              </w:rPr>
            </w:pPr>
          </w:p>
        </w:tc>
        <w:tc>
          <w:tcPr>
            <w:tcW w:w="156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40" w:type="dxa"/>
            <w:vAlign w:val="bottom"/>
            <w:tcBorders>
              <w:bottom w:val="single" w:sz="8" w:color="90158B"/>
            </w:tcBorders>
          </w:tcPr>
          <w:p>
            <w:pPr>
              <w:spacing w:after="0"/>
              <w:rPr>
                <w:sz w:val="19"/>
                <w:szCs w:val="19"/>
                <w:color w:val="auto"/>
              </w:rPr>
            </w:pPr>
          </w:p>
        </w:tc>
        <w:tc>
          <w:tcPr>
            <w:tcW w:w="3300" w:type="dxa"/>
            <w:vAlign w:val="bottom"/>
            <w:tcBorders>
              <w:bottom w:val="single" w:sz="8" w:color="90158B"/>
            </w:tcBorders>
            <w:gridSpan w:val="6"/>
          </w:tcPr>
          <w:p>
            <w:pPr>
              <w:jc w:val="right"/>
              <w:spacing w:after="0"/>
              <w:rPr>
                <w:sz w:val="20"/>
                <w:szCs w:val="20"/>
                <w:color w:val="auto"/>
              </w:rPr>
            </w:pPr>
            <w:r>
              <w:rPr>
                <w:rFonts w:ascii="Arial" w:cs="Arial" w:eastAsia="Arial" w:hAnsi="Arial"/>
                <w:sz w:val="16"/>
                <w:szCs w:val="16"/>
                <w:b w:val="1"/>
                <w:bCs w:val="1"/>
                <w:color w:val="auto"/>
              </w:rPr>
              <w:t>Three Months Ended July 4, 2025</w:t>
            </w:r>
          </w:p>
        </w:tc>
        <w:tc>
          <w:tcPr>
            <w:tcW w:w="14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700" w:type="dxa"/>
            <w:vAlign w:val="bottom"/>
            <w:tcBorders>
              <w:bottom w:val="single" w:sz="8" w:color="90158B"/>
            </w:tcBorders>
          </w:tcPr>
          <w:p>
            <w:pPr>
              <w:spacing w:after="0"/>
              <w:rPr>
                <w:sz w:val="19"/>
                <w:szCs w:val="19"/>
                <w:color w:val="auto"/>
              </w:rPr>
            </w:pPr>
          </w:p>
        </w:tc>
        <w:tc>
          <w:tcPr>
            <w:tcW w:w="480" w:type="dxa"/>
            <w:vAlign w:val="bottom"/>
            <w:tcBorders>
              <w:bottom w:val="single" w:sz="8" w:color="90158B"/>
            </w:tcBorders>
          </w:tcPr>
          <w:p>
            <w:pPr>
              <w:spacing w:after="0"/>
              <w:rPr>
                <w:sz w:val="19"/>
                <w:szCs w:val="19"/>
                <w:color w:val="auto"/>
              </w:rPr>
            </w:pPr>
          </w:p>
        </w:tc>
      </w:tr>
      <w:tr>
        <w:trPr>
          <w:trHeight w:val="199"/>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shd w:val="clear" w:color="auto" w:fill="F4E8F3"/>
          </w:tcPr>
          <w:p>
            <w:pPr>
              <w:spacing w:after="0"/>
              <w:rPr>
                <w:sz w:val="17"/>
                <w:szCs w:val="17"/>
                <w:color w:val="auto"/>
              </w:rPr>
            </w:pPr>
          </w:p>
        </w:tc>
        <w:tc>
          <w:tcPr>
            <w:tcW w:w="480" w:type="dxa"/>
            <w:vAlign w:val="bottom"/>
            <w:shd w:val="clear" w:color="auto" w:fill="F4E8F3"/>
          </w:tcPr>
          <w:p>
            <w:pPr>
              <w:spacing w:after="0"/>
              <w:rPr>
                <w:sz w:val="17"/>
                <w:szCs w:val="17"/>
                <w:color w:val="auto"/>
              </w:rPr>
            </w:pPr>
          </w:p>
        </w:tc>
      </w:tr>
      <w:tr>
        <w:trPr>
          <w:trHeight w:val="24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B"/>
            </w:tcBorders>
          </w:tcPr>
          <w:p>
            <w:pPr>
              <w:spacing w:after="0"/>
              <w:rPr>
                <w:sz w:val="20"/>
                <w:szCs w:val="20"/>
                <w:color w:val="auto"/>
              </w:rPr>
            </w:pPr>
          </w:p>
        </w:tc>
        <w:tc>
          <w:tcPr>
            <w:tcW w:w="16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gridSpan w:val="2"/>
          </w:tcPr>
          <w:p>
            <w:pPr>
              <w:ind w:left="120"/>
              <w:spacing w:after="0"/>
              <w:rPr>
                <w:sz w:val="20"/>
                <w:szCs w:val="20"/>
                <w:color w:val="auto"/>
              </w:rPr>
            </w:pPr>
            <w:r>
              <w:rPr>
                <w:rFonts w:ascii="Arial" w:cs="Arial" w:eastAsia="Arial" w:hAnsi="Arial"/>
                <w:sz w:val="16"/>
                <w:szCs w:val="16"/>
                <w:b w:val="1"/>
                <w:bCs w:val="1"/>
                <w:color w:val="auto"/>
              </w:rPr>
              <w:t>Health &amp; Civil</w:t>
            </w:r>
          </w:p>
        </w:tc>
        <w:tc>
          <w:tcPr>
            <w:tcW w:w="280" w:type="dxa"/>
            <w:vAlign w:val="bottom"/>
            <w:tcBorders>
              <w:bottom w:val="single" w:sz="8" w:color="90158B"/>
            </w:tcBorders>
          </w:tcPr>
          <w:p>
            <w:pPr>
              <w:spacing w:after="0"/>
              <w:rPr>
                <w:sz w:val="20"/>
                <w:szCs w:val="20"/>
                <w:color w:val="auto"/>
              </w:rPr>
            </w:pPr>
          </w:p>
        </w:tc>
        <w:tc>
          <w:tcPr>
            <w:tcW w:w="136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B"/>
            </w:tcBorders>
          </w:tcPr>
          <w:p>
            <w:pPr>
              <w:spacing w:after="0"/>
              <w:rPr>
                <w:sz w:val="20"/>
                <w:szCs w:val="20"/>
                <w:color w:val="auto"/>
              </w:rPr>
            </w:pPr>
          </w:p>
        </w:tc>
        <w:tc>
          <w:tcPr>
            <w:tcW w:w="1500" w:type="dxa"/>
            <w:vAlign w:val="bottom"/>
            <w:tcBorders>
              <w:bottom w:val="single" w:sz="8" w:color="90158B"/>
            </w:tcBorders>
            <w:gridSpan w:val="2"/>
          </w:tcPr>
          <w:p>
            <w:pPr>
              <w:ind w:left="60"/>
              <w:spacing w:after="0"/>
              <w:rPr>
                <w:sz w:val="20"/>
                <w:szCs w:val="20"/>
                <w:color w:val="auto"/>
              </w:rPr>
            </w:pPr>
            <w:r>
              <w:rPr>
                <w:rFonts w:ascii="Arial" w:cs="Arial" w:eastAsia="Arial" w:hAnsi="Arial"/>
                <w:sz w:val="16"/>
                <w:szCs w:val="16"/>
                <w:b w:val="1"/>
                <w:bCs w:val="1"/>
                <w:color w:val="auto"/>
              </w:rPr>
              <w:t>Defense Systems</w:t>
            </w:r>
          </w:p>
        </w:tc>
        <w:tc>
          <w:tcPr>
            <w:tcW w:w="700" w:type="dxa"/>
            <w:vAlign w:val="bottom"/>
            <w:tcBorders>
              <w:bottom w:val="single" w:sz="8" w:color="90158B"/>
            </w:tcBorders>
            <w:shd w:val="clear" w:color="auto" w:fill="F4E8F3"/>
          </w:tcPr>
          <w:p>
            <w:pPr>
              <w:spacing w:after="0"/>
              <w:rPr>
                <w:sz w:val="20"/>
                <w:szCs w:val="20"/>
                <w:color w:val="auto"/>
              </w:rPr>
            </w:pPr>
          </w:p>
        </w:tc>
        <w:tc>
          <w:tcPr>
            <w:tcW w:w="4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1,872</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566</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543</w:t>
            </w: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4,253</w:t>
            </w:r>
          </w:p>
        </w:tc>
      </w:tr>
      <w:tr>
        <w:trPr>
          <w:trHeight w:val="234"/>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shd w:val="clear" w:color="auto" w:fill="F4E8F3"/>
          </w:tcPr>
          <w:p>
            <w:pPr>
              <w:spacing w:after="0"/>
              <w:rPr>
                <w:sz w:val="20"/>
                <w:szCs w:val="20"/>
                <w:color w:val="auto"/>
              </w:rPr>
            </w:pPr>
          </w:p>
        </w:tc>
        <w:tc>
          <w:tcPr>
            <w:tcW w:w="480" w:type="dxa"/>
            <w:vAlign w:val="bottom"/>
            <w:tcBorders>
              <w:bottom w:val="single" w:sz="8" w:color="DBDBDB"/>
            </w:tcBorders>
            <w:shd w:val="clear" w:color="auto" w:fill="F4E8F3"/>
          </w:tcPr>
          <w:p>
            <w:pPr>
              <w:spacing w:after="0"/>
              <w:rPr>
                <w:sz w:val="20"/>
                <w:szCs w:val="20"/>
                <w:color w:val="auto"/>
              </w:rPr>
            </w:pPr>
          </w:p>
        </w:tc>
      </w:tr>
      <w:tr>
        <w:trPr>
          <w:trHeight w:val="239"/>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490</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108</w:t>
            </w: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shd w:val="clear" w:color="auto" w:fill="F4E8F3"/>
          </w:tcPr>
          <w:p>
            <w:pPr>
              <w:spacing w:after="0"/>
              <w:rPr>
                <w:sz w:val="20"/>
                <w:szCs w:val="20"/>
                <w:color w:val="auto"/>
              </w:rPr>
            </w:pPr>
          </w:p>
        </w:tc>
        <w:tc>
          <w:tcPr>
            <w:tcW w:w="4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938</w:t>
            </w:r>
          </w:p>
        </w:tc>
      </w:tr>
      <w:tr>
        <w:trPr>
          <w:trHeight w:val="23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shd w:val="clear" w:color="auto" w:fill="F4E8F3"/>
          </w:tcPr>
          <w:p>
            <w:pPr>
              <w:spacing w:after="0"/>
              <w:rPr>
                <w:sz w:val="20"/>
                <w:szCs w:val="20"/>
                <w:color w:val="auto"/>
              </w:rPr>
            </w:pPr>
          </w:p>
        </w:tc>
        <w:tc>
          <w:tcPr>
            <w:tcW w:w="4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w:t>
            </w: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180" w:type="dxa"/>
            <w:vAlign w:val="bottom"/>
            <w:tcBorders>
              <w:bottom w:val="single" w:sz="8" w:color="90158B"/>
            </w:tcBorders>
          </w:tcPr>
          <w:p>
            <w:pPr>
              <w:spacing w:after="0"/>
              <w:rPr>
                <w:sz w:val="20"/>
                <w:szCs w:val="20"/>
                <w:color w:val="auto"/>
              </w:rPr>
            </w:pPr>
          </w:p>
        </w:tc>
        <w:tc>
          <w:tcPr>
            <w:tcW w:w="1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1,187</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414</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14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382</w:t>
            </w: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90158B"/>
            </w:tcBorders>
            <w:shd w:val="clear" w:color="auto" w:fill="F4E8F3"/>
          </w:tcPr>
          <w:p>
            <w:pPr>
              <w:spacing w:after="0"/>
              <w:rPr>
                <w:sz w:val="20"/>
                <w:szCs w:val="20"/>
                <w:color w:val="auto"/>
              </w:rPr>
            </w:pPr>
          </w:p>
        </w:tc>
        <w:tc>
          <w:tcPr>
            <w:tcW w:w="4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94"/>
              </w:rPr>
              <w:t>2,703</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580</w:t>
            </w:r>
          </w:p>
        </w:tc>
      </w:tr>
      <w:tr>
        <w:trPr>
          <w:trHeight w:val="240"/>
        </w:trPr>
        <w:tc>
          <w:tcPr>
            <w:tcW w:w="3200" w:type="dxa"/>
            <w:vAlign w:val="bottom"/>
            <w:tcBorders>
              <w:bottom w:val="single" w:sz="8" w:color="DBDBDB"/>
            </w:tcBorders>
          </w:tcPr>
          <w:p>
            <w:pPr>
              <w:spacing w:after="0"/>
              <w:rPr>
                <w:sz w:val="20"/>
                <w:szCs w:val="20"/>
                <w:color w:val="auto"/>
              </w:rPr>
            </w:pP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shd w:val="clear" w:color="auto" w:fill="F4E8F3"/>
          </w:tcPr>
          <w:p>
            <w:pPr>
              <w:spacing w:after="0"/>
              <w:rPr>
                <w:sz w:val="20"/>
                <w:szCs w:val="20"/>
                <w:color w:val="auto"/>
              </w:rPr>
            </w:pPr>
          </w:p>
        </w:tc>
        <w:tc>
          <w:tcPr>
            <w:tcW w:w="480" w:type="dxa"/>
            <w:vAlign w:val="bottom"/>
            <w:tcBorders>
              <w:bottom w:val="single" w:sz="8" w:color="DBDBDB"/>
            </w:tcBorders>
            <w:shd w:val="clear" w:color="auto" w:fill="F4E8F3"/>
          </w:tcPr>
          <w:p>
            <w:pPr>
              <w:spacing w:after="0"/>
              <w:rPr>
                <w:sz w:val="20"/>
                <w:szCs w:val="20"/>
                <w:color w:val="auto"/>
              </w:rPr>
            </w:pPr>
          </w:p>
        </w:tc>
      </w:tr>
      <w:tr>
        <w:trPr>
          <w:trHeight w:val="233"/>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700" w:type="dxa"/>
            <w:vAlign w:val="bottom"/>
            <w:tcBorders>
              <w:bottom w:val="single" w:sz="8" w:color="90158B"/>
            </w:tcBorders>
            <w:shd w:val="clear" w:color="auto" w:fill="F4E8F3"/>
          </w:tcPr>
          <w:p>
            <w:pPr>
              <w:spacing w:after="0"/>
              <w:rPr>
                <w:sz w:val="20"/>
                <w:szCs w:val="20"/>
                <w:color w:val="auto"/>
              </w:rPr>
            </w:pPr>
          </w:p>
        </w:tc>
        <w:tc>
          <w:tcPr>
            <w:tcW w:w="4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w:t>
            </w:r>
          </w:p>
        </w:tc>
      </w:tr>
      <w:tr>
        <w:trPr>
          <w:trHeight w:val="30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 operating income</w:t>
            </w:r>
          </w:p>
        </w:tc>
        <w:tc>
          <w:tcPr>
            <w:tcW w:w="180" w:type="dxa"/>
            <w:vAlign w:val="bottom"/>
            <w:tcBorders>
              <w:bottom w:val="single" w:sz="8" w:color="90158B"/>
            </w:tcBorders>
          </w:tcPr>
          <w:p>
            <w:pPr>
              <w:spacing w:after="0"/>
              <w:rPr>
                <w:sz w:val="24"/>
                <w:szCs w:val="24"/>
                <w:color w:val="auto"/>
              </w:rPr>
            </w:pPr>
          </w:p>
        </w:tc>
        <w:tc>
          <w:tcPr>
            <w:tcW w:w="15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40" w:type="dxa"/>
            <w:vAlign w:val="bottom"/>
            <w:tcBorders>
              <w:bottom w:val="single" w:sz="8" w:color="90158B"/>
            </w:tcBorders>
          </w:tcPr>
          <w:p>
            <w:pPr>
              <w:spacing w:after="0"/>
              <w:rPr>
                <w:sz w:val="24"/>
                <w:szCs w:val="24"/>
                <w:color w:val="auto"/>
              </w:rPr>
            </w:pPr>
          </w:p>
        </w:tc>
        <w:tc>
          <w:tcPr>
            <w:tcW w:w="118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80" w:type="dxa"/>
            <w:vAlign w:val="bottom"/>
            <w:tcBorders>
              <w:bottom w:val="single" w:sz="8" w:color="90158B"/>
            </w:tcBorders>
          </w:tcPr>
          <w:p>
            <w:pPr>
              <w:spacing w:after="0"/>
              <w:rPr>
                <w:sz w:val="24"/>
                <w:szCs w:val="24"/>
                <w:color w:val="auto"/>
              </w:rPr>
            </w:pPr>
          </w:p>
        </w:tc>
        <w:tc>
          <w:tcPr>
            <w:tcW w:w="128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380" w:type="dxa"/>
            <w:vAlign w:val="bottom"/>
            <w:tcBorders>
              <w:bottom w:val="single" w:sz="8" w:color="90158B"/>
            </w:tcBorders>
          </w:tcPr>
          <w:p>
            <w:pPr>
              <w:spacing w:after="0"/>
              <w:rPr>
                <w:sz w:val="24"/>
                <w:szCs w:val="24"/>
                <w:color w:val="auto"/>
              </w:rPr>
            </w:pPr>
          </w:p>
        </w:tc>
        <w:tc>
          <w:tcPr>
            <w:tcW w:w="14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700" w:type="dxa"/>
            <w:vAlign w:val="bottom"/>
            <w:tcBorders>
              <w:bottom w:val="single" w:sz="8" w:color="90158B"/>
            </w:tcBorders>
            <w:shd w:val="clear" w:color="auto" w:fill="F4E8F3"/>
          </w:tcPr>
          <w:p>
            <w:pPr>
              <w:jc w:val="right"/>
              <w:ind w:right="4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571</w:t>
            </w:r>
          </w:p>
        </w:tc>
      </w:tr>
      <w:tr>
        <w:trPr>
          <w:trHeight w:val="769"/>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19</w:t>
            </w:r>
          </w:p>
        </w:tc>
      </w:tr>
      <w:tr>
        <w:trPr>
          <w:trHeight w:val="333"/>
        </w:trPr>
        <w:tc>
          <w:tcPr>
            <w:tcW w:w="3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00" w:type="dxa"/>
            <w:vAlign w:val="bottom"/>
          </w:tcPr>
          <w:p>
            <w:pPr>
              <w:spacing w:after="0"/>
              <w:rPr>
                <w:sz w:val="19"/>
                <w:szCs w:val="19"/>
                <w:color w:val="auto"/>
              </w:rPr>
            </w:pPr>
          </w:p>
        </w:tc>
        <w:tc>
          <w:tcPr>
            <w:tcW w:w="180" w:type="dxa"/>
            <w:vAlign w:val="bottom"/>
            <w:tcBorders>
              <w:bottom w:val="single" w:sz="8" w:color="90158B"/>
            </w:tcBorders>
          </w:tcPr>
          <w:p>
            <w:pPr>
              <w:spacing w:after="0"/>
              <w:rPr>
                <w:sz w:val="19"/>
                <w:szCs w:val="19"/>
                <w:color w:val="auto"/>
              </w:rPr>
            </w:pPr>
          </w:p>
        </w:tc>
        <w:tc>
          <w:tcPr>
            <w:tcW w:w="156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240" w:type="dxa"/>
            <w:vAlign w:val="bottom"/>
            <w:tcBorders>
              <w:bottom w:val="single" w:sz="8" w:color="90158B"/>
            </w:tcBorders>
          </w:tcPr>
          <w:p>
            <w:pPr>
              <w:spacing w:after="0"/>
              <w:rPr>
                <w:sz w:val="19"/>
                <w:szCs w:val="19"/>
                <w:color w:val="auto"/>
              </w:rPr>
            </w:pPr>
          </w:p>
        </w:tc>
        <w:tc>
          <w:tcPr>
            <w:tcW w:w="3300" w:type="dxa"/>
            <w:vAlign w:val="bottom"/>
            <w:tcBorders>
              <w:bottom w:val="single" w:sz="8" w:color="90158B"/>
            </w:tcBorders>
            <w:gridSpan w:val="6"/>
          </w:tcPr>
          <w:p>
            <w:pPr>
              <w:jc w:val="center"/>
              <w:ind w:left="559"/>
              <w:spacing w:after="0"/>
              <w:rPr>
                <w:sz w:val="20"/>
                <w:szCs w:val="20"/>
                <w:color w:val="auto"/>
              </w:rPr>
            </w:pPr>
            <w:r>
              <w:rPr>
                <w:rFonts w:ascii="Arial" w:cs="Arial" w:eastAsia="Arial" w:hAnsi="Arial"/>
                <w:sz w:val="16"/>
                <w:szCs w:val="16"/>
                <w:color w:val="auto"/>
              </w:rPr>
              <w:t>Three Months Ended June 28, 2024</w:t>
            </w:r>
          </w:p>
        </w:tc>
        <w:tc>
          <w:tcPr>
            <w:tcW w:w="142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400" w:type="dxa"/>
            <w:vAlign w:val="bottom"/>
            <w:tcBorders>
              <w:bottom w:val="single" w:sz="8" w:color="90158B"/>
            </w:tcBorders>
          </w:tcPr>
          <w:p>
            <w:pPr>
              <w:spacing w:after="0"/>
              <w:rPr>
                <w:sz w:val="19"/>
                <w:szCs w:val="19"/>
                <w:color w:val="auto"/>
              </w:rPr>
            </w:pPr>
          </w:p>
        </w:tc>
        <w:tc>
          <w:tcPr>
            <w:tcW w:w="780" w:type="dxa"/>
            <w:vAlign w:val="bottom"/>
            <w:tcBorders>
              <w:bottom w:val="single" w:sz="8" w:color="90158B"/>
            </w:tcBorders>
          </w:tcPr>
          <w:p>
            <w:pPr>
              <w:spacing w:after="0"/>
              <w:rPr>
                <w:sz w:val="19"/>
                <w:szCs w:val="19"/>
                <w:color w:val="auto"/>
              </w:rPr>
            </w:pPr>
          </w:p>
        </w:tc>
      </w:tr>
      <w:tr>
        <w:trPr>
          <w:trHeight w:val="202"/>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auto"/>
              </w:rPr>
              <w:t>National Security &amp;</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Commercial &amp;</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7"/>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B"/>
            </w:tcBorders>
          </w:tcPr>
          <w:p>
            <w:pPr>
              <w:spacing w:after="0"/>
              <w:rPr>
                <w:sz w:val="20"/>
                <w:szCs w:val="20"/>
                <w:color w:val="auto"/>
              </w:rPr>
            </w:pPr>
          </w:p>
        </w:tc>
        <w:tc>
          <w:tcPr>
            <w:tcW w:w="16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Digital</w:t>
            </w:r>
          </w:p>
        </w:tc>
        <w:tc>
          <w:tcPr>
            <w:tcW w:w="24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color w:val="auto"/>
              </w:rPr>
              <w:t>Health &amp; Civil</w:t>
            </w:r>
          </w:p>
        </w:tc>
        <w:tc>
          <w:tcPr>
            <w:tcW w:w="280" w:type="dxa"/>
            <w:vAlign w:val="bottom"/>
            <w:tcBorders>
              <w:bottom w:val="single" w:sz="8" w:color="90158B"/>
            </w:tcBorders>
          </w:tcPr>
          <w:p>
            <w:pPr>
              <w:spacing w:after="0"/>
              <w:rPr>
                <w:sz w:val="20"/>
                <w:szCs w:val="20"/>
                <w:color w:val="auto"/>
              </w:rPr>
            </w:pPr>
          </w:p>
        </w:tc>
        <w:tc>
          <w:tcPr>
            <w:tcW w:w="136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90158B"/>
            </w:tcBorders>
          </w:tcPr>
          <w:p>
            <w:pPr>
              <w:spacing w:after="0"/>
              <w:rPr>
                <w:sz w:val="20"/>
                <w:szCs w:val="20"/>
                <w:color w:val="auto"/>
              </w:rPr>
            </w:pPr>
          </w:p>
        </w:tc>
        <w:tc>
          <w:tcPr>
            <w:tcW w:w="15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Defense Systems</w:t>
            </w: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Total</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1,813</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1,263</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561</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495</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4,132</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spacing w:after="0"/>
              <w:rPr>
                <w:sz w:val="20"/>
                <w:szCs w:val="20"/>
                <w:color w:val="auto"/>
              </w:rPr>
            </w:pP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492</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942</w:t>
            </w:r>
          </w:p>
        </w:tc>
      </w:tr>
      <w:tr>
        <w:trPr>
          <w:trHeight w:val="23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180" w:type="dxa"/>
            <w:vAlign w:val="bottom"/>
            <w:tcBorders>
              <w:bottom w:val="single" w:sz="8" w:color="90158B"/>
            </w:tcBorders>
          </w:tcPr>
          <w:p>
            <w:pPr>
              <w:spacing w:after="0"/>
              <w:rPr>
                <w:sz w:val="20"/>
                <w:szCs w:val="20"/>
                <w:color w:val="auto"/>
              </w:rPr>
            </w:pPr>
          </w:p>
        </w:tc>
        <w:tc>
          <w:tcPr>
            <w:tcW w:w="1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1,133</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461</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14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2,641</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 (loss)</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183</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513</w:t>
            </w:r>
          </w:p>
        </w:tc>
      </w:tr>
      <w:tr>
        <w:trPr>
          <w:trHeight w:val="243"/>
        </w:trPr>
        <w:tc>
          <w:tcPr>
            <w:tcW w:w="3200" w:type="dxa"/>
            <w:vAlign w:val="bottom"/>
            <w:tcBorders>
              <w:bottom w:val="single" w:sz="8" w:color="DBDBDB"/>
            </w:tcBorders>
          </w:tcPr>
          <w:p>
            <w:pPr>
              <w:spacing w:after="0"/>
              <w:rPr>
                <w:sz w:val="21"/>
                <w:szCs w:val="21"/>
                <w:color w:val="auto"/>
              </w:rPr>
            </w:pPr>
          </w:p>
        </w:tc>
        <w:tc>
          <w:tcPr>
            <w:tcW w:w="180" w:type="dxa"/>
            <w:vAlign w:val="bottom"/>
            <w:tcBorders>
              <w:bottom w:val="single" w:sz="8" w:color="DBDBDB"/>
            </w:tcBorders>
          </w:tcPr>
          <w:p>
            <w:pPr>
              <w:spacing w:after="0"/>
              <w:rPr>
                <w:sz w:val="21"/>
                <w:szCs w:val="21"/>
                <w:color w:val="auto"/>
              </w:rPr>
            </w:pPr>
          </w:p>
        </w:tc>
        <w:tc>
          <w:tcPr>
            <w:tcW w:w="156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tcPr>
          <w:p>
            <w:pPr>
              <w:spacing w:after="0"/>
              <w:rPr>
                <w:sz w:val="21"/>
                <w:szCs w:val="21"/>
                <w:color w:val="auto"/>
              </w:rPr>
            </w:pPr>
          </w:p>
        </w:tc>
        <w:tc>
          <w:tcPr>
            <w:tcW w:w="11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2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4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r>
      <w:tr>
        <w:trPr>
          <w:trHeight w:val="23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38</w:t>
            </w:r>
          </w:p>
        </w:tc>
      </w:tr>
      <w:tr>
        <w:trPr>
          <w:trHeight w:val="243"/>
        </w:trPr>
        <w:tc>
          <w:tcPr>
            <w:tcW w:w="320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90158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475</w:t>
            </w:r>
          </w:p>
        </w:tc>
      </w:tr>
      <w:tr>
        <w:trPr>
          <w:trHeight w:val="40"/>
        </w:trPr>
        <w:tc>
          <w:tcPr>
            <w:tcW w:w="3200" w:type="dxa"/>
            <w:vAlign w:val="bottom"/>
            <w:tcBorders>
              <w:bottom w:val="single" w:sz="8" w:color="90158B"/>
            </w:tcBorders>
          </w:tcPr>
          <w:p>
            <w:pPr>
              <w:spacing w:after="0"/>
              <w:rPr>
                <w:sz w:val="3"/>
                <w:szCs w:val="3"/>
                <w:color w:val="auto"/>
              </w:rPr>
            </w:pPr>
          </w:p>
        </w:tc>
        <w:tc>
          <w:tcPr>
            <w:tcW w:w="180" w:type="dxa"/>
            <w:vAlign w:val="bottom"/>
            <w:tcBorders>
              <w:bottom w:val="single" w:sz="8" w:color="90158B"/>
            </w:tcBorders>
          </w:tcPr>
          <w:p>
            <w:pPr>
              <w:spacing w:after="0"/>
              <w:rPr>
                <w:sz w:val="3"/>
                <w:szCs w:val="3"/>
                <w:color w:val="auto"/>
              </w:rPr>
            </w:pPr>
          </w:p>
        </w:tc>
        <w:tc>
          <w:tcPr>
            <w:tcW w:w="1560" w:type="dxa"/>
            <w:vAlign w:val="bottom"/>
            <w:tcBorders>
              <w:bottom w:val="single" w:sz="8" w:color="90158B"/>
            </w:tcBorders>
          </w:tcPr>
          <w:p>
            <w:pPr>
              <w:spacing w:after="0"/>
              <w:rPr>
                <w:sz w:val="3"/>
                <w:szCs w:val="3"/>
                <w:color w:val="auto"/>
              </w:rPr>
            </w:pPr>
          </w:p>
        </w:tc>
        <w:tc>
          <w:tcPr>
            <w:tcW w:w="80" w:type="dxa"/>
            <w:vAlign w:val="bottom"/>
            <w:tcBorders>
              <w:bottom w:val="single" w:sz="8" w:color="90158B"/>
            </w:tcBorders>
          </w:tcPr>
          <w:p>
            <w:pPr>
              <w:spacing w:after="0"/>
              <w:rPr>
                <w:sz w:val="3"/>
                <w:szCs w:val="3"/>
                <w:color w:val="auto"/>
              </w:rPr>
            </w:pPr>
          </w:p>
        </w:tc>
        <w:tc>
          <w:tcPr>
            <w:tcW w:w="240" w:type="dxa"/>
            <w:vAlign w:val="bottom"/>
            <w:tcBorders>
              <w:bottom w:val="single" w:sz="8" w:color="90158B"/>
            </w:tcBorders>
          </w:tcPr>
          <w:p>
            <w:pPr>
              <w:spacing w:after="0"/>
              <w:rPr>
                <w:sz w:val="3"/>
                <w:szCs w:val="3"/>
                <w:color w:val="auto"/>
              </w:rPr>
            </w:pPr>
          </w:p>
        </w:tc>
        <w:tc>
          <w:tcPr>
            <w:tcW w:w="1180" w:type="dxa"/>
            <w:vAlign w:val="bottom"/>
            <w:tcBorders>
              <w:bottom w:val="single" w:sz="8" w:color="90158B"/>
            </w:tcBorders>
          </w:tcPr>
          <w:p>
            <w:pPr>
              <w:spacing w:after="0"/>
              <w:rPr>
                <w:sz w:val="3"/>
                <w:szCs w:val="3"/>
                <w:color w:val="auto"/>
              </w:rPr>
            </w:pPr>
          </w:p>
        </w:tc>
        <w:tc>
          <w:tcPr>
            <w:tcW w:w="1660" w:type="dxa"/>
            <w:vAlign w:val="bottom"/>
            <w:tcBorders>
              <w:bottom w:val="single" w:sz="8" w:color="90158B"/>
            </w:tcBorders>
            <w:gridSpan w:val="3"/>
          </w:tcPr>
          <w:p>
            <w:pPr>
              <w:spacing w:after="0"/>
              <w:rPr>
                <w:sz w:val="3"/>
                <w:szCs w:val="3"/>
                <w:color w:val="auto"/>
              </w:rPr>
            </w:pPr>
          </w:p>
        </w:tc>
        <w:tc>
          <w:tcPr>
            <w:tcW w:w="460" w:type="dxa"/>
            <w:vAlign w:val="bottom"/>
            <w:tcBorders>
              <w:bottom w:val="single" w:sz="8" w:color="90158B"/>
            </w:tcBorders>
            <w:gridSpan w:val="2"/>
          </w:tcPr>
          <w:p>
            <w:pPr>
              <w:spacing w:after="0"/>
              <w:rPr>
                <w:sz w:val="3"/>
                <w:szCs w:val="3"/>
                <w:color w:val="auto"/>
              </w:rPr>
            </w:pPr>
          </w:p>
        </w:tc>
        <w:tc>
          <w:tcPr>
            <w:tcW w:w="1420" w:type="dxa"/>
            <w:vAlign w:val="bottom"/>
            <w:tcBorders>
              <w:bottom w:val="single" w:sz="8" w:color="90158B"/>
            </w:tcBorders>
          </w:tcPr>
          <w:p>
            <w:pPr>
              <w:spacing w:after="0"/>
              <w:rPr>
                <w:sz w:val="3"/>
                <w:szCs w:val="3"/>
                <w:color w:val="auto"/>
              </w:rPr>
            </w:pPr>
          </w:p>
        </w:tc>
        <w:tc>
          <w:tcPr>
            <w:tcW w:w="80" w:type="dxa"/>
            <w:vAlign w:val="bottom"/>
            <w:tcBorders>
              <w:bottom w:val="single" w:sz="8" w:color="90158B"/>
            </w:tcBorders>
          </w:tcPr>
          <w:p>
            <w:pPr>
              <w:spacing w:after="0"/>
              <w:rPr>
                <w:sz w:val="3"/>
                <w:szCs w:val="3"/>
                <w:color w:val="auto"/>
              </w:rPr>
            </w:pPr>
          </w:p>
        </w:tc>
        <w:tc>
          <w:tcPr>
            <w:tcW w:w="400" w:type="dxa"/>
            <w:vAlign w:val="bottom"/>
            <w:tcBorders>
              <w:bottom w:val="single" w:sz="8" w:color="90158B"/>
            </w:tcBorders>
          </w:tcPr>
          <w:p>
            <w:pPr>
              <w:spacing w:after="0"/>
              <w:rPr>
                <w:sz w:val="3"/>
                <w:szCs w:val="3"/>
                <w:color w:val="auto"/>
              </w:rPr>
            </w:pPr>
          </w:p>
        </w:tc>
        <w:tc>
          <w:tcPr>
            <w:tcW w:w="780" w:type="dxa"/>
            <w:vAlign w:val="bottom"/>
            <w:tcBorders>
              <w:bottom w:val="single" w:sz="8" w:color="90158B"/>
            </w:tcBorders>
          </w:tcPr>
          <w:p>
            <w:pPr>
              <w:spacing w:after="0"/>
              <w:rPr>
                <w:sz w:val="3"/>
                <w:szCs w:val="3"/>
                <w:color w:val="auto"/>
              </w:rPr>
            </w:pPr>
          </w:p>
        </w:tc>
      </w:tr>
      <w:tr>
        <w:trPr>
          <w:trHeight w:val="443"/>
        </w:trPr>
        <w:tc>
          <w:tcPr>
            <w:tcW w:w="3200" w:type="dxa"/>
            <w:vAlign w:val="bottom"/>
          </w:tcPr>
          <w:p>
            <w:pPr>
              <w:spacing w:after="0"/>
              <w:rPr>
                <w:sz w:val="24"/>
                <w:szCs w:val="24"/>
                <w:color w:val="auto"/>
              </w:rPr>
            </w:pPr>
          </w:p>
        </w:tc>
        <w:tc>
          <w:tcPr>
            <w:tcW w:w="180" w:type="dxa"/>
            <w:vAlign w:val="bottom"/>
            <w:tcBorders>
              <w:bottom w:val="single" w:sz="8" w:color="90158B"/>
            </w:tcBorders>
          </w:tcPr>
          <w:p>
            <w:pPr>
              <w:spacing w:after="0"/>
              <w:rPr>
                <w:sz w:val="24"/>
                <w:szCs w:val="24"/>
                <w:color w:val="auto"/>
              </w:rPr>
            </w:pPr>
          </w:p>
        </w:tc>
        <w:tc>
          <w:tcPr>
            <w:tcW w:w="15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40" w:type="dxa"/>
            <w:vAlign w:val="bottom"/>
            <w:tcBorders>
              <w:bottom w:val="single" w:sz="8" w:color="90158B"/>
            </w:tcBorders>
          </w:tcPr>
          <w:p>
            <w:pPr>
              <w:spacing w:after="0"/>
              <w:rPr>
                <w:sz w:val="24"/>
                <w:szCs w:val="24"/>
                <w:color w:val="auto"/>
              </w:rPr>
            </w:pPr>
          </w:p>
        </w:tc>
        <w:tc>
          <w:tcPr>
            <w:tcW w:w="3300" w:type="dxa"/>
            <w:vAlign w:val="bottom"/>
            <w:tcBorders>
              <w:bottom w:val="single" w:sz="8" w:color="90158B"/>
            </w:tcBorders>
            <w:gridSpan w:val="6"/>
          </w:tcPr>
          <w:p>
            <w:pPr>
              <w:jc w:val="center"/>
              <w:ind w:left="539"/>
              <w:spacing w:after="0"/>
              <w:rPr>
                <w:sz w:val="20"/>
                <w:szCs w:val="20"/>
                <w:color w:val="auto"/>
              </w:rPr>
            </w:pPr>
            <w:r>
              <w:rPr>
                <w:rFonts w:ascii="Arial" w:cs="Arial" w:eastAsia="Arial" w:hAnsi="Arial"/>
                <w:sz w:val="16"/>
                <w:szCs w:val="16"/>
                <w:b w:val="1"/>
                <w:bCs w:val="1"/>
                <w:color w:val="auto"/>
              </w:rPr>
              <w:t>Six Months Ended July 4, 2025</w:t>
            </w:r>
          </w:p>
        </w:tc>
        <w:tc>
          <w:tcPr>
            <w:tcW w:w="14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400" w:type="dxa"/>
            <w:vAlign w:val="bottom"/>
            <w:tcBorders>
              <w:bottom w:val="single" w:sz="8" w:color="90158B"/>
            </w:tcBorders>
          </w:tcPr>
          <w:p>
            <w:pPr>
              <w:spacing w:after="0"/>
              <w:rPr>
                <w:sz w:val="24"/>
                <w:szCs w:val="24"/>
                <w:color w:val="auto"/>
              </w:rPr>
            </w:pPr>
          </w:p>
        </w:tc>
        <w:tc>
          <w:tcPr>
            <w:tcW w:w="780" w:type="dxa"/>
            <w:vAlign w:val="bottom"/>
            <w:tcBorders>
              <w:bottom w:val="single" w:sz="8" w:color="90158B"/>
            </w:tcBorders>
          </w:tcPr>
          <w:p>
            <w:pPr>
              <w:spacing w:after="0"/>
              <w:rPr>
                <w:sz w:val="24"/>
                <w:szCs w:val="24"/>
                <w:color w:val="auto"/>
              </w:rPr>
            </w:pPr>
          </w:p>
        </w:tc>
      </w:tr>
      <w:tr>
        <w:trPr>
          <w:trHeight w:val="199"/>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National Security &amp;</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Commercial &amp;</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shd w:val="clear" w:color="auto" w:fill="F4E8F3"/>
          </w:tcPr>
          <w:p>
            <w:pPr>
              <w:spacing w:after="0"/>
              <w:rPr>
                <w:sz w:val="17"/>
                <w:szCs w:val="17"/>
                <w:color w:val="auto"/>
              </w:rPr>
            </w:pPr>
          </w:p>
        </w:tc>
        <w:tc>
          <w:tcPr>
            <w:tcW w:w="780" w:type="dxa"/>
            <w:vAlign w:val="bottom"/>
            <w:shd w:val="clear" w:color="auto" w:fill="F4E8F3"/>
          </w:tcPr>
          <w:p>
            <w:pPr>
              <w:spacing w:after="0"/>
              <w:rPr>
                <w:sz w:val="17"/>
                <w:szCs w:val="17"/>
                <w:color w:val="auto"/>
              </w:rPr>
            </w:pPr>
          </w:p>
        </w:tc>
      </w:tr>
      <w:tr>
        <w:trPr>
          <w:trHeight w:val="24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B"/>
            </w:tcBorders>
          </w:tcPr>
          <w:p>
            <w:pPr>
              <w:spacing w:after="0"/>
              <w:rPr>
                <w:sz w:val="20"/>
                <w:szCs w:val="20"/>
                <w:color w:val="auto"/>
              </w:rPr>
            </w:pPr>
          </w:p>
        </w:tc>
        <w:tc>
          <w:tcPr>
            <w:tcW w:w="16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24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b w:val="1"/>
                <w:bCs w:val="1"/>
                <w:color w:val="auto"/>
              </w:rPr>
              <w:t>Health &amp; Civil</w:t>
            </w:r>
          </w:p>
        </w:tc>
        <w:tc>
          <w:tcPr>
            <w:tcW w:w="280" w:type="dxa"/>
            <w:vAlign w:val="bottom"/>
            <w:tcBorders>
              <w:bottom w:val="single" w:sz="8" w:color="90158B"/>
            </w:tcBorders>
          </w:tcPr>
          <w:p>
            <w:pPr>
              <w:spacing w:after="0"/>
              <w:rPr>
                <w:sz w:val="20"/>
                <w:szCs w:val="20"/>
                <w:color w:val="auto"/>
              </w:rPr>
            </w:pPr>
          </w:p>
        </w:tc>
        <w:tc>
          <w:tcPr>
            <w:tcW w:w="136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Borders>
              <w:bottom w:val="single" w:sz="8" w:color="90158B"/>
            </w:tcBorders>
          </w:tcPr>
          <w:p>
            <w:pPr>
              <w:spacing w:after="0"/>
              <w:rPr>
                <w:sz w:val="20"/>
                <w:szCs w:val="20"/>
                <w:color w:val="auto"/>
              </w:rPr>
            </w:pPr>
          </w:p>
        </w:tc>
        <w:tc>
          <w:tcPr>
            <w:tcW w:w="15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b w:val="1"/>
                <w:bCs w:val="1"/>
                <w:color w:val="auto"/>
              </w:rPr>
              <w:t>Defense Systems</w:t>
            </w:r>
          </w:p>
        </w:tc>
        <w:tc>
          <w:tcPr>
            <w:tcW w:w="400" w:type="dxa"/>
            <w:vAlign w:val="bottom"/>
            <w:tcBorders>
              <w:bottom w:val="single" w:sz="8" w:color="90158B"/>
            </w:tcBorders>
            <w:shd w:val="clear" w:color="auto" w:fill="F4E8F3"/>
          </w:tcPr>
          <w:p>
            <w:pPr>
              <w:spacing w:after="0"/>
              <w:rPr>
                <w:sz w:val="20"/>
                <w:szCs w:val="20"/>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6"/>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3,750</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2,563</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1,134</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1,051</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8,498</w:t>
            </w:r>
          </w:p>
        </w:tc>
      </w:tr>
      <w:tr>
        <w:trPr>
          <w:trHeight w:val="234"/>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spacing w:after="0"/>
              <w:rPr>
                <w:sz w:val="20"/>
                <w:szCs w:val="20"/>
                <w:color w:val="auto"/>
              </w:rPr>
            </w:pPr>
          </w:p>
        </w:tc>
      </w:tr>
      <w:tr>
        <w:trPr>
          <w:trHeight w:val="239"/>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993</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208</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217</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1,897</w:t>
            </w: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62</w:t>
            </w:r>
          </w:p>
        </w:tc>
      </w:tr>
      <w:tr>
        <w:trPr>
          <w:trHeight w:val="23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180" w:type="dxa"/>
            <w:vAlign w:val="bottom"/>
            <w:tcBorders>
              <w:bottom w:val="single" w:sz="8" w:color="90158B"/>
            </w:tcBorders>
          </w:tcPr>
          <w:p>
            <w:pPr>
              <w:spacing w:after="0"/>
              <w:rPr>
                <w:sz w:val="20"/>
                <w:szCs w:val="20"/>
                <w:color w:val="auto"/>
              </w:rPr>
            </w:pPr>
          </w:p>
        </w:tc>
        <w:tc>
          <w:tcPr>
            <w:tcW w:w="1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2,372</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835</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14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735</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shd w:val="clear" w:color="auto" w:fill="F4E8F3"/>
          </w:tcPr>
          <w:p>
            <w:pPr>
              <w:spacing w:after="0"/>
              <w:rPr>
                <w:sz w:val="20"/>
                <w:szCs w:val="20"/>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5,404</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373</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1,135</w:t>
            </w:r>
          </w:p>
        </w:tc>
      </w:tr>
      <w:tr>
        <w:trPr>
          <w:trHeight w:val="240"/>
        </w:trPr>
        <w:tc>
          <w:tcPr>
            <w:tcW w:w="3200" w:type="dxa"/>
            <w:vAlign w:val="bottom"/>
            <w:tcBorders>
              <w:bottom w:val="single" w:sz="8" w:color="DBDBDB"/>
            </w:tcBorders>
          </w:tcPr>
          <w:p>
            <w:pPr>
              <w:spacing w:after="0"/>
              <w:rPr>
                <w:sz w:val="20"/>
                <w:szCs w:val="20"/>
                <w:color w:val="auto"/>
              </w:rPr>
            </w:pP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spacing w:after="0"/>
              <w:rPr>
                <w:sz w:val="20"/>
                <w:szCs w:val="20"/>
                <w:color w:val="auto"/>
              </w:rPr>
            </w:pPr>
          </w:p>
        </w:tc>
      </w:tr>
      <w:tr>
        <w:trPr>
          <w:trHeight w:val="233"/>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shd w:val="clear" w:color="auto" w:fill="F4E8F3"/>
          </w:tcPr>
          <w:p>
            <w:pPr>
              <w:spacing w:after="0"/>
              <w:rPr>
                <w:sz w:val="20"/>
                <w:szCs w:val="20"/>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w:t>
            </w:r>
          </w:p>
        </w:tc>
      </w:tr>
      <w:tr>
        <w:trPr>
          <w:trHeight w:val="30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 operating income</w:t>
            </w:r>
          </w:p>
        </w:tc>
        <w:tc>
          <w:tcPr>
            <w:tcW w:w="180" w:type="dxa"/>
            <w:vAlign w:val="bottom"/>
            <w:tcBorders>
              <w:bottom w:val="single" w:sz="8" w:color="90158B"/>
            </w:tcBorders>
          </w:tcPr>
          <w:p>
            <w:pPr>
              <w:spacing w:after="0"/>
              <w:rPr>
                <w:sz w:val="24"/>
                <w:szCs w:val="24"/>
                <w:color w:val="auto"/>
              </w:rPr>
            </w:pPr>
          </w:p>
        </w:tc>
        <w:tc>
          <w:tcPr>
            <w:tcW w:w="15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40" w:type="dxa"/>
            <w:vAlign w:val="bottom"/>
            <w:tcBorders>
              <w:bottom w:val="single" w:sz="8" w:color="90158B"/>
            </w:tcBorders>
          </w:tcPr>
          <w:p>
            <w:pPr>
              <w:spacing w:after="0"/>
              <w:rPr>
                <w:sz w:val="24"/>
                <w:szCs w:val="24"/>
                <w:color w:val="auto"/>
              </w:rPr>
            </w:pPr>
          </w:p>
        </w:tc>
        <w:tc>
          <w:tcPr>
            <w:tcW w:w="118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280" w:type="dxa"/>
            <w:vAlign w:val="bottom"/>
            <w:tcBorders>
              <w:bottom w:val="single" w:sz="8" w:color="90158B"/>
            </w:tcBorders>
          </w:tcPr>
          <w:p>
            <w:pPr>
              <w:spacing w:after="0"/>
              <w:rPr>
                <w:sz w:val="24"/>
                <w:szCs w:val="24"/>
                <w:color w:val="auto"/>
              </w:rPr>
            </w:pPr>
          </w:p>
        </w:tc>
        <w:tc>
          <w:tcPr>
            <w:tcW w:w="128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380" w:type="dxa"/>
            <w:vAlign w:val="bottom"/>
            <w:tcBorders>
              <w:bottom w:val="single" w:sz="8" w:color="90158B"/>
            </w:tcBorders>
          </w:tcPr>
          <w:p>
            <w:pPr>
              <w:spacing w:after="0"/>
              <w:rPr>
                <w:sz w:val="24"/>
                <w:szCs w:val="24"/>
                <w:color w:val="auto"/>
              </w:rPr>
            </w:pPr>
          </w:p>
        </w:tc>
        <w:tc>
          <w:tcPr>
            <w:tcW w:w="14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400" w:type="dxa"/>
            <w:vAlign w:val="bottom"/>
            <w:tcBorders>
              <w:bottom w:val="single" w:sz="8" w:color="90158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1,101</w:t>
            </w:r>
          </w:p>
        </w:tc>
      </w:tr>
      <w:tr>
        <w:trPr>
          <w:trHeight w:val="427"/>
        </w:trPr>
        <w:tc>
          <w:tcPr>
            <w:tcW w:w="3200" w:type="dxa"/>
            <w:vAlign w:val="bottom"/>
          </w:tcPr>
          <w:p>
            <w:pPr>
              <w:spacing w:after="0"/>
              <w:rPr>
                <w:sz w:val="24"/>
                <w:szCs w:val="24"/>
                <w:color w:val="auto"/>
              </w:rPr>
            </w:pPr>
          </w:p>
        </w:tc>
        <w:tc>
          <w:tcPr>
            <w:tcW w:w="180" w:type="dxa"/>
            <w:vAlign w:val="bottom"/>
            <w:tcBorders>
              <w:bottom w:val="single" w:sz="8" w:color="90158B"/>
            </w:tcBorders>
          </w:tcPr>
          <w:p>
            <w:pPr>
              <w:spacing w:after="0"/>
              <w:rPr>
                <w:sz w:val="24"/>
                <w:szCs w:val="24"/>
                <w:color w:val="auto"/>
              </w:rPr>
            </w:pPr>
          </w:p>
        </w:tc>
        <w:tc>
          <w:tcPr>
            <w:tcW w:w="15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240" w:type="dxa"/>
            <w:vAlign w:val="bottom"/>
            <w:tcBorders>
              <w:bottom w:val="single" w:sz="8" w:color="90158B"/>
            </w:tcBorders>
          </w:tcPr>
          <w:p>
            <w:pPr>
              <w:spacing w:after="0"/>
              <w:rPr>
                <w:sz w:val="24"/>
                <w:szCs w:val="24"/>
                <w:color w:val="auto"/>
              </w:rPr>
            </w:pPr>
          </w:p>
        </w:tc>
        <w:tc>
          <w:tcPr>
            <w:tcW w:w="3300" w:type="dxa"/>
            <w:vAlign w:val="bottom"/>
            <w:tcBorders>
              <w:bottom w:val="single" w:sz="8" w:color="90158B"/>
            </w:tcBorders>
            <w:gridSpan w:val="6"/>
          </w:tcPr>
          <w:p>
            <w:pPr>
              <w:jc w:val="center"/>
              <w:ind w:left="559"/>
              <w:spacing w:after="0"/>
              <w:rPr>
                <w:sz w:val="20"/>
                <w:szCs w:val="20"/>
                <w:color w:val="auto"/>
              </w:rPr>
            </w:pPr>
            <w:r>
              <w:rPr>
                <w:rFonts w:ascii="Arial" w:cs="Arial" w:eastAsia="Arial" w:hAnsi="Arial"/>
                <w:sz w:val="16"/>
                <w:szCs w:val="16"/>
                <w:color w:val="auto"/>
              </w:rPr>
              <w:t>Six Months Ended June 28, 2024</w:t>
            </w:r>
          </w:p>
        </w:tc>
        <w:tc>
          <w:tcPr>
            <w:tcW w:w="142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400" w:type="dxa"/>
            <w:vAlign w:val="bottom"/>
            <w:tcBorders>
              <w:bottom w:val="single" w:sz="8" w:color="90158B"/>
            </w:tcBorders>
          </w:tcPr>
          <w:p>
            <w:pPr>
              <w:spacing w:after="0"/>
              <w:rPr>
                <w:sz w:val="24"/>
                <w:szCs w:val="24"/>
                <w:color w:val="auto"/>
              </w:rPr>
            </w:pPr>
          </w:p>
        </w:tc>
        <w:tc>
          <w:tcPr>
            <w:tcW w:w="780" w:type="dxa"/>
            <w:vAlign w:val="bottom"/>
            <w:tcBorders>
              <w:bottom w:val="single" w:sz="8" w:color="90158B"/>
            </w:tcBorders>
          </w:tcPr>
          <w:p>
            <w:pPr>
              <w:spacing w:after="0"/>
              <w:rPr>
                <w:sz w:val="24"/>
                <w:szCs w:val="24"/>
                <w:color w:val="auto"/>
              </w:rPr>
            </w:pPr>
          </w:p>
        </w:tc>
      </w:tr>
      <w:tr>
        <w:trPr>
          <w:trHeight w:val="215"/>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auto"/>
              </w:rPr>
              <w:t>National Security &amp;</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Commercial &amp;</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4"/>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B"/>
            </w:tcBorders>
          </w:tcPr>
          <w:p>
            <w:pPr>
              <w:spacing w:after="0"/>
              <w:rPr>
                <w:sz w:val="19"/>
                <w:szCs w:val="19"/>
                <w:color w:val="auto"/>
              </w:rPr>
            </w:pPr>
          </w:p>
        </w:tc>
        <w:tc>
          <w:tcPr>
            <w:tcW w:w="164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Digital</w:t>
            </w:r>
          </w:p>
        </w:tc>
        <w:tc>
          <w:tcPr>
            <w:tcW w:w="240" w:type="dxa"/>
            <w:vAlign w:val="bottom"/>
            <w:tcBorders>
              <w:bottom w:val="single" w:sz="8" w:color="90158B"/>
            </w:tcBorders>
          </w:tcPr>
          <w:p>
            <w:pPr>
              <w:spacing w:after="0"/>
              <w:rPr>
                <w:sz w:val="19"/>
                <w:szCs w:val="19"/>
                <w:color w:val="auto"/>
              </w:rPr>
            </w:pPr>
          </w:p>
        </w:tc>
        <w:tc>
          <w:tcPr>
            <w:tcW w:w="1280" w:type="dxa"/>
            <w:vAlign w:val="bottom"/>
            <w:tcBorders>
              <w:bottom w:val="single" w:sz="8" w:color="90158B"/>
            </w:tcBorders>
            <w:gridSpan w:val="2"/>
          </w:tcPr>
          <w:p>
            <w:pPr>
              <w:jc w:val="right"/>
              <w:ind w:right="120"/>
              <w:spacing w:after="0"/>
              <w:rPr>
                <w:sz w:val="20"/>
                <w:szCs w:val="20"/>
                <w:color w:val="auto"/>
              </w:rPr>
            </w:pPr>
            <w:r>
              <w:rPr>
                <w:rFonts w:ascii="Arial" w:cs="Arial" w:eastAsia="Arial" w:hAnsi="Arial"/>
                <w:sz w:val="16"/>
                <w:szCs w:val="16"/>
                <w:color w:val="auto"/>
              </w:rPr>
              <w:t>Health &amp; Civil</w:t>
            </w:r>
          </w:p>
        </w:tc>
        <w:tc>
          <w:tcPr>
            <w:tcW w:w="280" w:type="dxa"/>
            <w:vAlign w:val="bottom"/>
            <w:tcBorders>
              <w:bottom w:val="single" w:sz="8" w:color="90158B"/>
            </w:tcBorders>
          </w:tcPr>
          <w:p>
            <w:pPr>
              <w:spacing w:after="0"/>
              <w:rPr>
                <w:sz w:val="19"/>
                <w:szCs w:val="19"/>
                <w:color w:val="auto"/>
              </w:rPr>
            </w:pPr>
          </w:p>
        </w:tc>
        <w:tc>
          <w:tcPr>
            <w:tcW w:w="136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90158B"/>
            </w:tcBorders>
          </w:tcPr>
          <w:p>
            <w:pPr>
              <w:spacing w:after="0"/>
              <w:rPr>
                <w:sz w:val="19"/>
                <w:szCs w:val="19"/>
                <w:color w:val="auto"/>
              </w:rPr>
            </w:pPr>
          </w:p>
        </w:tc>
        <w:tc>
          <w:tcPr>
            <w:tcW w:w="1500" w:type="dxa"/>
            <w:vAlign w:val="bottom"/>
            <w:tcBorders>
              <w:bottom w:val="single" w:sz="8" w:color="90158B"/>
            </w:tcBorders>
            <w:gridSpan w:val="2"/>
          </w:tcPr>
          <w:p>
            <w:pPr>
              <w:jc w:val="right"/>
              <w:ind w:right="100"/>
              <w:spacing w:after="0"/>
              <w:rPr>
                <w:sz w:val="20"/>
                <w:szCs w:val="20"/>
                <w:color w:val="auto"/>
              </w:rPr>
            </w:pPr>
            <w:r>
              <w:rPr>
                <w:rFonts w:ascii="Arial" w:cs="Arial" w:eastAsia="Arial" w:hAnsi="Arial"/>
                <w:sz w:val="16"/>
                <w:szCs w:val="16"/>
                <w:color w:val="auto"/>
              </w:rPr>
              <w:t>Defense Systems</w:t>
            </w:r>
          </w:p>
        </w:tc>
        <w:tc>
          <w:tcPr>
            <w:tcW w:w="400" w:type="dxa"/>
            <w:vAlign w:val="bottom"/>
            <w:tcBorders>
              <w:bottom w:val="single" w:sz="8" w:color="90158B"/>
            </w:tcBorders>
          </w:tcPr>
          <w:p>
            <w:pPr>
              <w:spacing w:after="0"/>
              <w:rPr>
                <w:sz w:val="19"/>
                <w:szCs w:val="19"/>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Total</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3,606</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2,462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1,070</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969</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8,107</w:t>
            </w:r>
          </w:p>
        </w:tc>
      </w:tr>
      <w:tr>
        <w:trPr>
          <w:trHeight w:val="236"/>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spacing w:after="0"/>
              <w:rPr>
                <w:sz w:val="20"/>
                <w:szCs w:val="20"/>
                <w:color w:val="auto"/>
              </w:rPr>
            </w:pP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971</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203</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1,857</w:t>
            </w: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73</w:t>
            </w:r>
          </w:p>
        </w:tc>
      </w:tr>
      <w:tr>
        <w:trPr>
          <w:trHeight w:val="23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180" w:type="dxa"/>
            <w:vAlign w:val="bottom"/>
            <w:tcBorders>
              <w:bottom w:val="single" w:sz="8" w:color="90158B"/>
            </w:tcBorders>
          </w:tcPr>
          <w:p>
            <w:pPr>
              <w:spacing w:after="0"/>
              <w:rPr>
                <w:sz w:val="20"/>
                <w:szCs w:val="20"/>
                <w:color w:val="auto"/>
              </w:rPr>
            </w:pPr>
          </w:p>
        </w:tc>
        <w:tc>
          <w:tcPr>
            <w:tcW w:w="1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2,266</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1,441</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90158B"/>
            </w:tcBorders>
          </w:tcPr>
          <w:p>
            <w:pPr>
              <w:spacing w:after="0"/>
              <w:rPr>
                <w:sz w:val="20"/>
                <w:szCs w:val="20"/>
                <w:color w:val="auto"/>
              </w:rPr>
            </w:pPr>
          </w:p>
        </w:tc>
        <w:tc>
          <w:tcPr>
            <w:tcW w:w="12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829</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90158B"/>
            </w:tcBorders>
          </w:tcPr>
          <w:p>
            <w:pPr>
              <w:spacing w:after="0"/>
              <w:rPr>
                <w:sz w:val="20"/>
                <w:szCs w:val="20"/>
                <w:color w:val="auto"/>
              </w:rPr>
            </w:pPr>
          </w:p>
        </w:tc>
        <w:tc>
          <w:tcPr>
            <w:tcW w:w="14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676</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5,212</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358</w:t>
            </w: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965</w:t>
            </w:r>
          </w:p>
        </w:tc>
      </w:tr>
      <w:tr>
        <w:trPr>
          <w:trHeight w:val="243"/>
        </w:trPr>
        <w:tc>
          <w:tcPr>
            <w:tcW w:w="3200" w:type="dxa"/>
            <w:vAlign w:val="bottom"/>
            <w:tcBorders>
              <w:bottom w:val="single" w:sz="8" w:color="DBDBDB"/>
            </w:tcBorders>
          </w:tcPr>
          <w:p>
            <w:pPr>
              <w:spacing w:after="0"/>
              <w:rPr>
                <w:sz w:val="21"/>
                <w:szCs w:val="21"/>
                <w:color w:val="auto"/>
              </w:rPr>
            </w:pPr>
          </w:p>
        </w:tc>
        <w:tc>
          <w:tcPr>
            <w:tcW w:w="180" w:type="dxa"/>
            <w:vAlign w:val="bottom"/>
            <w:tcBorders>
              <w:bottom w:val="single" w:sz="8" w:color="DBDBDB"/>
            </w:tcBorders>
          </w:tcPr>
          <w:p>
            <w:pPr>
              <w:spacing w:after="0"/>
              <w:rPr>
                <w:sz w:val="21"/>
                <w:szCs w:val="21"/>
                <w:color w:val="auto"/>
              </w:rPr>
            </w:pPr>
          </w:p>
        </w:tc>
        <w:tc>
          <w:tcPr>
            <w:tcW w:w="156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40" w:type="dxa"/>
            <w:vAlign w:val="bottom"/>
            <w:tcBorders>
              <w:bottom w:val="single" w:sz="8" w:color="DBDBDB"/>
            </w:tcBorders>
          </w:tcPr>
          <w:p>
            <w:pPr>
              <w:spacing w:after="0"/>
              <w:rPr>
                <w:sz w:val="21"/>
                <w:szCs w:val="21"/>
                <w:color w:val="auto"/>
              </w:rPr>
            </w:pPr>
          </w:p>
        </w:tc>
        <w:tc>
          <w:tcPr>
            <w:tcW w:w="11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80" w:type="dxa"/>
            <w:vAlign w:val="bottom"/>
            <w:tcBorders>
              <w:bottom w:val="single" w:sz="8" w:color="DBDBDB"/>
            </w:tcBorders>
          </w:tcPr>
          <w:p>
            <w:pPr>
              <w:spacing w:after="0"/>
              <w:rPr>
                <w:sz w:val="21"/>
                <w:szCs w:val="21"/>
                <w:color w:val="auto"/>
              </w:rPr>
            </w:pPr>
          </w:p>
        </w:tc>
        <w:tc>
          <w:tcPr>
            <w:tcW w:w="12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380" w:type="dxa"/>
            <w:vAlign w:val="bottom"/>
            <w:tcBorders>
              <w:bottom w:val="single" w:sz="8" w:color="DBDBDB"/>
            </w:tcBorders>
          </w:tcPr>
          <w:p>
            <w:pPr>
              <w:spacing w:after="0"/>
              <w:rPr>
                <w:sz w:val="21"/>
                <w:szCs w:val="21"/>
                <w:color w:val="auto"/>
              </w:rPr>
            </w:pPr>
          </w:p>
        </w:tc>
        <w:tc>
          <w:tcPr>
            <w:tcW w:w="14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r>
      <w:tr>
        <w:trPr>
          <w:trHeight w:val="230"/>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40" w:type="dxa"/>
            <w:vAlign w:val="bottom"/>
            <w:tcBorders>
              <w:bottom w:val="single" w:sz="8" w:color="DBDBDB"/>
            </w:tcBorders>
          </w:tcPr>
          <w:p>
            <w:pPr>
              <w:spacing w:after="0"/>
              <w:rPr>
                <w:sz w:val="20"/>
                <w:szCs w:val="20"/>
                <w:color w:val="auto"/>
              </w:rPr>
            </w:pPr>
          </w:p>
        </w:tc>
        <w:tc>
          <w:tcPr>
            <w:tcW w:w="11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DBDBDB"/>
            </w:tcBorders>
          </w:tcPr>
          <w:p>
            <w:pPr>
              <w:spacing w:after="0"/>
              <w:rPr>
                <w:sz w:val="20"/>
                <w:szCs w:val="20"/>
                <w:color w:val="auto"/>
              </w:rPr>
            </w:pPr>
          </w:p>
        </w:tc>
        <w:tc>
          <w:tcPr>
            <w:tcW w:w="142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75</w:t>
            </w:r>
          </w:p>
        </w:tc>
      </w:tr>
      <w:tr>
        <w:trPr>
          <w:trHeight w:val="243"/>
        </w:trPr>
        <w:tc>
          <w:tcPr>
            <w:tcW w:w="320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90158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890</w:t>
            </w:r>
          </w:p>
        </w:tc>
      </w:tr>
      <w:tr>
        <w:trPr>
          <w:trHeight w:val="20"/>
        </w:trPr>
        <w:tc>
          <w:tcPr>
            <w:tcW w:w="3200" w:type="dxa"/>
            <w:vAlign w:val="bottom"/>
            <w:tcBorders>
              <w:bottom w:val="single" w:sz="8" w:color="90158B"/>
            </w:tcBorders>
          </w:tcPr>
          <w:p>
            <w:pPr>
              <w:spacing w:after="0" w:line="20" w:lineRule="exact"/>
              <w:rPr>
                <w:sz w:val="1"/>
                <w:szCs w:val="1"/>
                <w:color w:val="auto"/>
              </w:rPr>
            </w:pPr>
          </w:p>
        </w:tc>
        <w:tc>
          <w:tcPr>
            <w:tcW w:w="180" w:type="dxa"/>
            <w:vAlign w:val="bottom"/>
            <w:tcBorders>
              <w:bottom w:val="single" w:sz="8" w:color="90158B"/>
            </w:tcBorders>
          </w:tcPr>
          <w:p>
            <w:pPr>
              <w:spacing w:after="0" w:line="20" w:lineRule="exact"/>
              <w:rPr>
                <w:sz w:val="1"/>
                <w:szCs w:val="1"/>
                <w:color w:val="auto"/>
              </w:rPr>
            </w:pPr>
          </w:p>
        </w:tc>
        <w:tc>
          <w:tcPr>
            <w:tcW w:w="156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240" w:type="dxa"/>
            <w:vAlign w:val="bottom"/>
            <w:tcBorders>
              <w:bottom w:val="single" w:sz="8" w:color="90158B"/>
            </w:tcBorders>
          </w:tcPr>
          <w:p>
            <w:pPr>
              <w:spacing w:after="0" w:line="20" w:lineRule="exact"/>
              <w:rPr>
                <w:sz w:val="1"/>
                <w:szCs w:val="1"/>
                <w:color w:val="auto"/>
              </w:rPr>
            </w:pPr>
          </w:p>
        </w:tc>
        <w:tc>
          <w:tcPr>
            <w:tcW w:w="118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280" w:type="dxa"/>
            <w:vAlign w:val="bottom"/>
            <w:tcBorders>
              <w:bottom w:val="single" w:sz="8" w:color="90158B"/>
            </w:tcBorders>
          </w:tcPr>
          <w:p>
            <w:pPr>
              <w:spacing w:after="0" w:line="20" w:lineRule="exact"/>
              <w:rPr>
                <w:sz w:val="1"/>
                <w:szCs w:val="1"/>
                <w:color w:val="auto"/>
              </w:rPr>
            </w:pPr>
          </w:p>
        </w:tc>
        <w:tc>
          <w:tcPr>
            <w:tcW w:w="128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380" w:type="dxa"/>
            <w:vAlign w:val="bottom"/>
            <w:tcBorders>
              <w:bottom w:val="single" w:sz="8" w:color="90158B"/>
            </w:tcBorders>
          </w:tcPr>
          <w:p>
            <w:pPr>
              <w:spacing w:after="0" w:line="20" w:lineRule="exact"/>
              <w:rPr>
                <w:sz w:val="1"/>
                <w:szCs w:val="1"/>
                <w:color w:val="auto"/>
              </w:rPr>
            </w:pPr>
          </w:p>
        </w:tc>
        <w:tc>
          <w:tcPr>
            <w:tcW w:w="142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400" w:type="dxa"/>
            <w:vAlign w:val="bottom"/>
            <w:tcBorders>
              <w:bottom w:val="single" w:sz="8" w:color="90158B"/>
            </w:tcBorders>
          </w:tcPr>
          <w:p>
            <w:pPr>
              <w:spacing w:after="0" w:line="20" w:lineRule="exact"/>
              <w:rPr>
                <w:sz w:val="1"/>
                <w:szCs w:val="1"/>
                <w:color w:val="auto"/>
              </w:rPr>
            </w:pPr>
          </w:p>
        </w:tc>
        <w:tc>
          <w:tcPr>
            <w:tcW w:w="780" w:type="dxa"/>
            <w:vAlign w:val="bottom"/>
            <w:tcBorders>
              <w:bottom w:val="single" w:sz="8" w:color="90158B"/>
            </w:tcBorders>
          </w:tcPr>
          <w:p>
            <w:pPr>
              <w:spacing w:after="0" w:line="20" w:lineRule="exact"/>
              <w:rPr>
                <w:sz w:val="1"/>
                <w:szCs w:val="1"/>
                <w:color w:val="auto"/>
              </w:rPr>
            </w:pPr>
          </w:p>
        </w:tc>
      </w:tr>
    </w:tbl>
    <w:p>
      <w:pPr>
        <w:spacing w:after="0" w:line="188" w:lineRule="exact"/>
        <w:rPr>
          <w:sz w:val="20"/>
          <w:szCs w:val="20"/>
          <w:color w:val="auto"/>
        </w:rPr>
      </w:pPr>
    </w:p>
    <w:p>
      <w:pPr>
        <w:jc w:val="both"/>
        <w:ind w:right="520"/>
        <w:spacing w:after="0" w:line="292" w:lineRule="auto"/>
        <w:rPr>
          <w:sz w:val="20"/>
          <w:szCs w:val="20"/>
          <w:color w:val="auto"/>
        </w:rPr>
      </w:pPr>
      <w:r>
        <w:rPr>
          <w:rFonts w:ascii="Arial" w:cs="Arial" w:eastAsia="Arial" w:hAnsi="Arial"/>
          <w:sz w:val="16"/>
          <w:szCs w:val="16"/>
          <w:color w:val="auto"/>
        </w:rPr>
        <w:t>The statement of operations performance measures used to evaluate segment performance are revenues and operating income. As a result, "Interest expense, net," "Other income (expense), net" and "Income tax expense" as reported in the condensed consolidated statements of operations are not allocated to our segments.</w:t>
      </w:r>
    </w:p>
    <w:p>
      <w:pPr>
        <w:spacing w:after="0" w:line="7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Other segment expenses include direct program costs such as material and subcontractor expenses, as well as allocable indirect costs such as depreciation and Corporate compensation expenses, but excludes direct labor which is separately presented above. The Health &amp; Civil and Defense Systems segments also include equity earnings of non-consolidated subsidiaries within operating income.</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1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Under U.S. Government Cost Accounting Standards, indirect costs including depreciation expense are collected in indirect cost pools, which are then collectively allocated to the reportable segments based on a representative causal or beneficial relationship of the costs in the pool to the costs in the base. As such, depreciation expense is not separately disclosed on the condensed consolidated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Asset information by segment is not a key measure of performance used by the CODM.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11–Commitments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LEGAL PROCEEDINGS</w:t>
      </w:r>
    </w:p>
    <w:p>
      <w:pPr>
        <w:spacing w:after="0" w:line="122"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We are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Government Investigations and Reviews</w:t>
      </w:r>
    </w:p>
    <w:p>
      <w:pPr>
        <w:spacing w:after="0" w:line="12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Defense Contract Audit Agency</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July 4, 2025, active indirect cost audits by the Defense Contract Audit Agency remain open for fiscal 2023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July 4, 2025, we believe we have adequately reserved for potential adjustments from audits or reviews of contract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Other Government Investigations and Reviews</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As previously disclosed, the Company voluntarily self-reported to the Department of Justice and the Securities and Exchange Commission an investigation related to activities by its employees, third party representatives and subcontractors, raising concerns related to a portion of our business that conducts international operations, and has cooperated with both agencies. In December 2024, the Company received notification from the U.S. Department of Justice that it had closed its inquiry. While the Company has engaged with the SEC, the Company cannot anticipate the timing, outcome or possible impact of an SEC investigation, although violations of applicable laws may result in civil sanctions, including monetary penalties, and reputational damage.</w:t>
      </w:r>
    </w:p>
    <w:p>
      <w:pPr>
        <w:spacing w:after="0" w:line="80"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In August 2022, the Company received a Federal Grand Jury Subpoena in connection with a criminal investigation being conducted by the U.S. Department of Justice Antitrust Division. The subpoena requests that the Company produce a broad range of documents related to three U.S. Government procurements associated with the Company’s Intelligence Group in 2021 and 2022. We are fully cooperating with the investigation, and we are conducting our own internal investigation with the assistance of outside counsel. It is not possible at this time to determine whether we will incur, or to reasonably estimate the amount of, any fines, penalties, or further liabilities in connection with the investigation pursuant to which the subpoena was issued.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COMMITMENTS</w:t>
      </w:r>
    </w:p>
    <w:p>
      <w:pPr>
        <w:spacing w:after="0" w:line="122" w:lineRule="exact"/>
        <w:rPr>
          <w:sz w:val="20"/>
          <w:szCs w:val="20"/>
          <w:color w:val="auto"/>
        </w:rPr>
      </w:pPr>
    </w:p>
    <w:p>
      <w:pPr>
        <w:jc w:val="both"/>
        <w:ind w:right="300"/>
        <w:spacing w:after="0" w:line="292" w:lineRule="auto"/>
        <w:rPr>
          <w:sz w:val="20"/>
          <w:szCs w:val="20"/>
          <w:color w:val="auto"/>
        </w:rPr>
      </w:pPr>
      <w:r>
        <w:rPr>
          <w:rFonts w:ascii="Arial" w:cs="Arial" w:eastAsia="Arial" w:hAnsi="Arial"/>
          <w:sz w:val="16"/>
          <w:szCs w:val="16"/>
          <w:color w:val="auto"/>
        </w:rPr>
        <w:t>As of July 4, 2025, we have outstanding letters of credit of $59 million, principally related to performance guarantees on contracts and outstanding surety bonds with a notional amount of $151 million, principally related to performance and subcontractor payment bonds on contracts. The value of the surety bonds may vary due to changes in the underlying project status and/or contractual modifications.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July 4, 2025, the future expirations of the outstanding letters of credit and surety bonds were as follows: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2025 (remainder of year)</w:t>
            </w: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124</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w:t>
            </w:r>
          </w:p>
        </w:tc>
      </w:tr>
      <w:tr>
        <w:trPr>
          <w:trHeight w:val="236"/>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 and thereafter</w:t>
            </w:r>
          </w:p>
        </w:tc>
        <w:tc>
          <w:tcPr>
            <w:tcW w:w="46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10100" w:type="dxa"/>
            <w:vAlign w:val="bottom"/>
          </w:tcPr>
          <w:p>
            <w:pPr>
              <w:spacing w:after="0"/>
              <w:rPr>
                <w:sz w:val="20"/>
                <w:szCs w:val="20"/>
                <w:color w:val="auto"/>
              </w:rPr>
            </w:pPr>
          </w:p>
        </w:tc>
        <w:tc>
          <w:tcPr>
            <w:tcW w:w="46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10100" w:type="dxa"/>
            <w:vAlign w:val="bottom"/>
            <w:tcBorders>
              <w:bottom w:val="single" w:sz="8" w:color="901588"/>
            </w:tcBorders>
          </w:tcPr>
          <w:p>
            <w:pPr>
              <w:spacing w:after="0" w:line="20" w:lineRule="exact"/>
              <w:rPr>
                <w:sz w:val="1"/>
                <w:szCs w:val="1"/>
                <w:color w:val="auto"/>
              </w:rPr>
            </w:pPr>
          </w:p>
        </w:tc>
        <w:tc>
          <w:tcPr>
            <w:tcW w:w="46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17"/>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60"/>
        <w:spacing w:after="0" w:line="298" w:lineRule="auto"/>
        <w:rPr>
          <w:sz w:val="20"/>
          <w:szCs w:val="20"/>
          <w:color w:val="auto"/>
        </w:rPr>
      </w:pPr>
      <w:r>
        <w:rPr>
          <w:rFonts w:ascii="Arial" w:cs="Arial" w:eastAsia="Arial" w:hAnsi="Arial"/>
          <w:sz w:val="25"/>
          <w:szCs w:val="25"/>
          <w:b w:val="1"/>
          <w:bCs w:val="1"/>
          <w:color w:val="901588"/>
        </w:rPr>
        <w:t>Item 2. Management's Discussion and Analysis of Financial Condition and Results of Operations</w:t>
      </w:r>
    </w:p>
    <w:p>
      <w:pPr>
        <w:ind w:right="440"/>
        <w:spacing w:after="0" w:line="300" w:lineRule="auto"/>
        <w:rPr>
          <w:sz w:val="20"/>
          <w:szCs w:val="20"/>
          <w:color w:val="auto"/>
        </w:rPr>
      </w:pPr>
      <w:r>
        <w:rPr>
          <w:rFonts w:ascii="Arial" w:cs="Arial" w:eastAsia="Arial" w:hAnsi="Arial"/>
          <w:sz w:val="16"/>
          <w:szCs w:val="16"/>
          <w:i w:val="1"/>
          <w:iCs w:val="1"/>
          <w:color w:val="auto"/>
        </w:rPr>
        <w:t>The following discussion and analysis of Leidos Holdings, Inc.'s ("Leidos") financial condition, results of operations, and quantitative and qualitative discussion about business environment and trends should be read in conjunction with Leidos' condensed consolidated financial statements and related notes.</w:t>
      </w:r>
    </w:p>
    <w:p>
      <w:pPr>
        <w:spacing w:after="0" w:line="53"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i w:val="1"/>
          <w:iCs w:val="1"/>
          <w:color w:val="auto"/>
        </w:rPr>
        <w:t>The following discussion contains forward-looking statements, including statements regarding our intent, belief or current expectations with respect to, among other things, trends affecting our financial condition or results of operations, backlog, our industry, the impact of our merger and acquisition activity, government budgets and spending, our business contingency plans, interest rates and uncertainties in tax due to new tax legislation or other regulatory developments. In some cases, forward-looking statements can be identified by words such as “will,” “expect,” “estimate,” “plan,” “potential,” “continue” or similar expressions. Such statements are not guarantees of future performance and involve risks and uncertainties and actual results may differ materially from those in the forward-looking statements as a result of various factors. Some of these factors include, but are not limited to, the risk factors set forth in our Annual Report on Form 10-K, as updated by the risk factor in this report under Part II, Item 1A. "Risk Factors" and as may be further updated in subsequent filings with the U.S. Securities and Exchange Commission.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indicated otherwise, references in this report to "we," "us" and "our" refer collectively to Leidos and its consolidated subsidiaries.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Leidos is an industry and technology leader serving government and commercial customers with smarter, more efficient digital and mission innovations. Headquartered in Reston, Virginia, with 47,000 global employees, we bring domain-specific capabilities, technologies and insights to customers in each of these markets by leveraging seven technical core capabilities: trusted mission artificial intelligence, cyber operations, digital modernization, mission software systems, integrated systems, mission operations, and rapid prototyping and manufacturing. Our customers include the U.S. Department of Defense ("DoD"), the U.S. Intelligence Community, the U.S. Department of Homeland Security, the Federal Aviation Administration, the Department of Veterans Affairs, National Aeronautics and Space Administration and many other U.S. civilian, state and local government agencies, foreign government agencies and commercial businesses.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ENVIRONMENT AND TRENDS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U.S. GOVERNMENT MARKETS</w:t>
      </w:r>
    </w:p>
    <w:p>
      <w:pPr>
        <w:spacing w:after="0" w:line="13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During both the three and six months ended July 4, 2025, we generated approximately 87% of total revenues from contracts with the U.S. government as compared to 86% and 87% for the three and six months ended June 28, 2024, respectively.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77"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federal government is currently operating under a continuing resolution that runs through September 30, 2025. Congress is currently working to advance the fiscal year 2026 appropriations bills with the goal of completing them by the end of the fiscal year.</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INTERNATIONAL MARKETS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Sales to customers in international markets represented approximately 8% of total revenues for both the three and six months ended July 4, 2025, as</w:t>
      </w:r>
    </w:p>
    <w:p>
      <w:pPr>
        <w:spacing w:after="0" w:line="59"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compared to 9% and 8% for the three and six months ended June 28, 2024, respectively. Our international customers include foreign governments and their agencies. Our international business increases our exposure to international markets and the associated international regulatory, foreign currency exchange rate and geopolitical risks.</w:t>
      </w:r>
    </w:p>
    <w:p>
      <w:pPr>
        <w:spacing w:after="0" w:line="7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Changes in international trade policies, including higher tariffs on imported goods and materials, may increase the cost of certain goods necessary to fulfill our contractual requirements and for internal purposes. We expect to recover certain portions of the increase to the cost of goods through contractual measures. While we continue to evaluate the tariff environment and potential impacts of higher tariffs, we currently do not expect them to have a significant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condensed consolidated results of operations for the periods presented: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780" w:type="dxa"/>
            <w:vAlign w:val="bottom"/>
            <w:tcBorders>
              <w:bottom w:val="single" w:sz="8" w:color="901588"/>
            </w:tcBorders>
          </w:tcPr>
          <w:p>
            <w:pPr>
              <w:spacing w:after="0"/>
              <w:rPr>
                <w:sz w:val="19"/>
                <w:szCs w:val="19"/>
                <w:color w:val="auto"/>
              </w:rPr>
            </w:pPr>
          </w:p>
        </w:tc>
        <w:tc>
          <w:tcPr>
            <w:tcW w:w="1740" w:type="dxa"/>
            <w:vAlign w:val="bottom"/>
            <w:tcBorders>
              <w:bottom w:val="single" w:sz="8" w:color="901588"/>
            </w:tcBorders>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c>
          <w:tcPr>
            <w:tcW w:w="960" w:type="dxa"/>
            <w:vAlign w:val="bottom"/>
            <w:tcBorders>
              <w:bottom w:val="single" w:sz="8" w:color="901588"/>
            </w:tcBorders>
          </w:tcPr>
          <w:p>
            <w:pPr>
              <w:spacing w:after="0"/>
              <w:rPr>
                <w:sz w:val="19"/>
                <w:szCs w:val="19"/>
                <w:color w:val="auto"/>
              </w:rPr>
            </w:pPr>
          </w:p>
        </w:tc>
        <w:tc>
          <w:tcPr>
            <w:tcW w:w="1600" w:type="dxa"/>
            <w:vAlign w:val="bottom"/>
            <w:tcBorders>
              <w:bottom w:val="single" w:sz="8" w:color="901588"/>
            </w:tcBorders>
            <w:gridSpan w:val="4"/>
          </w:tcPr>
          <w:p>
            <w:pPr>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Borders>
              <w:bottom w:val="single" w:sz="8" w:color="901588"/>
            </w:tcBorders>
          </w:tcPr>
          <w:p>
            <w:pPr>
              <w:spacing w:after="0"/>
              <w:rPr>
                <w:sz w:val="19"/>
                <w:szCs w:val="19"/>
                <w:color w:val="auto"/>
              </w:rPr>
            </w:pPr>
          </w:p>
        </w:tc>
      </w:tr>
      <w:tr>
        <w:trPr>
          <w:trHeight w:val="199"/>
        </w:trPr>
        <w:tc>
          <w:tcPr>
            <w:tcW w:w="282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9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ind w:left="320"/>
              <w:spacing w:after="0"/>
              <w:rPr>
                <w:sz w:val="20"/>
                <w:szCs w:val="20"/>
                <w:color w:val="auto"/>
              </w:rPr>
            </w:pPr>
            <w:r>
              <w:rPr>
                <w:rFonts w:ascii="Arial" w:cs="Arial" w:eastAsia="Arial" w:hAnsi="Arial"/>
                <w:sz w:val="16"/>
                <w:szCs w:val="16"/>
                <w:color w:val="auto"/>
              </w:rPr>
              <w:t>June 28,</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Percent</w:t>
            </w:r>
          </w:p>
        </w:tc>
        <w:tc>
          <w:tcPr>
            <w:tcW w:w="440" w:type="dxa"/>
            <w:vAlign w:val="bottom"/>
            <w:shd w:val="clear" w:color="auto" w:fill="F4E8F3"/>
          </w:tcPr>
          <w:p>
            <w:pPr>
              <w:spacing w:after="0"/>
              <w:rPr>
                <w:sz w:val="17"/>
                <w:szCs w:val="17"/>
                <w:color w:val="auto"/>
              </w:rPr>
            </w:pPr>
          </w:p>
        </w:tc>
        <w:tc>
          <w:tcPr>
            <w:tcW w:w="960" w:type="dxa"/>
            <w:vAlign w:val="bottom"/>
            <w:tcBorders>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ind w:left="340"/>
              <w:spacing w:after="0"/>
              <w:rPr>
                <w:sz w:val="20"/>
                <w:szCs w:val="20"/>
                <w:color w:val="auto"/>
              </w:rPr>
            </w:pPr>
            <w:r>
              <w:rPr>
                <w:rFonts w:ascii="Arial" w:cs="Arial" w:eastAsia="Arial" w:hAnsi="Arial"/>
                <w:sz w:val="16"/>
                <w:szCs w:val="16"/>
                <w:color w:val="auto"/>
              </w:rPr>
              <w:t>June 28,</w:t>
            </w:r>
          </w:p>
        </w:tc>
        <w:tc>
          <w:tcPr>
            <w:tcW w:w="1180" w:type="dxa"/>
            <w:vAlign w:val="bottom"/>
          </w:tcPr>
          <w:p>
            <w:pPr>
              <w:spacing w:after="0"/>
              <w:rPr>
                <w:sz w:val="17"/>
                <w:szCs w:val="17"/>
                <w:color w:val="auto"/>
              </w:rPr>
            </w:pPr>
          </w:p>
        </w:tc>
      </w:tr>
      <w:tr>
        <w:trPr>
          <w:trHeight w:val="237"/>
        </w:trPr>
        <w:tc>
          <w:tcPr>
            <w:tcW w:w="28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460" w:type="dxa"/>
            <w:vAlign w:val="bottom"/>
            <w:tcBorders>
              <w:bottom w:val="single" w:sz="8" w:color="901588"/>
            </w:tcBorders>
            <w:shd w:val="clear" w:color="auto" w:fill="F4E8F3"/>
          </w:tcPr>
          <w:p>
            <w:pPr>
              <w:spacing w:after="0"/>
              <w:rPr>
                <w:sz w:val="20"/>
                <w:szCs w:val="20"/>
                <w:color w:val="auto"/>
              </w:rPr>
            </w:pPr>
          </w:p>
        </w:tc>
        <w:tc>
          <w:tcPr>
            <w:tcW w:w="9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change</w:t>
            </w:r>
          </w:p>
        </w:tc>
        <w:tc>
          <w:tcPr>
            <w:tcW w:w="440" w:type="dxa"/>
            <w:vAlign w:val="bottom"/>
            <w:tcBorders>
              <w:bottom w:val="single" w:sz="8" w:color="901588"/>
            </w:tcBorders>
            <w:shd w:val="clear" w:color="auto" w:fill="F4E8F3"/>
          </w:tcPr>
          <w:p>
            <w:pPr>
              <w:spacing w:after="0"/>
              <w:rPr>
                <w:sz w:val="20"/>
                <w:szCs w:val="20"/>
                <w:color w:val="auto"/>
              </w:rPr>
            </w:pPr>
          </w:p>
        </w:tc>
        <w:tc>
          <w:tcPr>
            <w:tcW w:w="960" w:type="dxa"/>
            <w:vAlign w:val="bottom"/>
            <w:tcBorders>
              <w:bottom w:val="single" w:sz="8" w:color="901588"/>
              <w:right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2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46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4,253</w:t>
            </w:r>
          </w:p>
        </w:tc>
        <w:tc>
          <w:tcPr>
            <w:tcW w:w="160" w:type="dxa"/>
            <w:vAlign w:val="bottom"/>
            <w:tcBorders>
              <w:bottom w:val="single" w:sz="8" w:color="B2B2B2"/>
            </w:tcBorders>
            <w:shd w:val="clear" w:color="auto" w:fill="F4E8F3"/>
          </w:tcPr>
          <w:p>
            <w:pPr>
              <w:spacing w:after="0"/>
              <w:rPr>
                <w:sz w:val="20"/>
                <w:szCs w:val="20"/>
                <w:color w:val="auto"/>
              </w:rPr>
            </w:pPr>
          </w:p>
        </w:tc>
        <w:tc>
          <w:tcPr>
            <w:tcW w:w="520" w:type="dxa"/>
            <w:vAlign w:val="bottom"/>
            <w:tcBorders>
              <w:bottom w:val="single" w:sz="8" w:color="B2B2B2"/>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4,132</w:t>
            </w:r>
          </w:p>
        </w:tc>
        <w:tc>
          <w:tcPr>
            <w:tcW w:w="10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B2B2B2"/>
              <w:right w:val="single" w:sz="8" w:color="F4E8F3"/>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8,498</w:t>
            </w:r>
          </w:p>
        </w:tc>
        <w:tc>
          <w:tcPr>
            <w:tcW w:w="520" w:type="dxa"/>
            <w:vAlign w:val="bottom"/>
            <w:tcBorders>
              <w:bottom w:val="single" w:sz="8" w:color="B2B2B2"/>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8,107</w:t>
            </w:r>
          </w:p>
        </w:tc>
        <w:tc>
          <w:tcPr>
            <w:tcW w:w="10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2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571</w:t>
            </w:r>
          </w:p>
        </w:tc>
        <w:tc>
          <w:tcPr>
            <w:tcW w:w="1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b w:val="1"/>
                <w:bCs w:val="1"/>
                <w:color w:val="auto"/>
              </w:rPr>
              <w:t>1,101</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23.7 %</w:t>
            </w:r>
          </w:p>
        </w:tc>
      </w:tr>
      <w:tr>
        <w:trPr>
          <w:trHeight w:val="237"/>
        </w:trPr>
        <w:tc>
          <w:tcPr>
            <w:tcW w:w="2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expense, net</w:t>
            </w:r>
          </w:p>
        </w:tc>
        <w:tc>
          <w:tcPr>
            <w:tcW w:w="46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(53)</w:t>
            </w:r>
          </w:p>
        </w:tc>
        <w:tc>
          <w:tcPr>
            <w:tcW w:w="160" w:type="dxa"/>
            <w:vAlign w:val="bottom"/>
            <w:tcBorders>
              <w:bottom w:val="single" w:sz="8" w:color="901588"/>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B2B2B2"/>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b w:val="1"/>
                <w:bCs w:val="1"/>
                <w:color w:val="auto"/>
              </w:rPr>
              <w:t>(105)</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B2B2B2"/>
            </w:tcBorders>
          </w:tcPr>
          <w:p>
            <w:pPr>
              <w:spacing w:after="0"/>
              <w:rPr>
                <w:sz w:val="20"/>
                <w:szCs w:val="20"/>
                <w:color w:val="auto"/>
              </w:rPr>
            </w:pPr>
          </w:p>
        </w:tc>
        <w:tc>
          <w:tcPr>
            <w:tcW w:w="1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2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46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518</w:t>
            </w:r>
          </w:p>
        </w:tc>
        <w:tc>
          <w:tcPr>
            <w:tcW w:w="1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b w:val="1"/>
                <w:bCs w:val="1"/>
                <w:color w:val="auto"/>
              </w:rPr>
              <w:t>996</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794</w:t>
            </w:r>
          </w:p>
        </w:tc>
        <w:tc>
          <w:tcPr>
            <w:tcW w:w="10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25.4 %</w:t>
            </w:r>
          </w:p>
        </w:tc>
      </w:tr>
      <w:tr>
        <w:trPr>
          <w:trHeight w:val="237"/>
        </w:trPr>
        <w:tc>
          <w:tcPr>
            <w:tcW w:w="2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460" w:type="dxa"/>
            <w:vAlign w:val="bottom"/>
            <w:tcBorders>
              <w:bottom w:val="single" w:sz="8" w:color="901588"/>
            </w:tcBorders>
          </w:tcPr>
          <w:p>
            <w:pPr>
              <w:spacing w:after="0"/>
              <w:rPr>
                <w:sz w:val="20"/>
                <w:szCs w:val="20"/>
                <w:color w:val="auto"/>
              </w:rPr>
            </w:pPr>
          </w:p>
        </w:tc>
        <w:tc>
          <w:tcPr>
            <w:tcW w:w="7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(125)</w:t>
            </w:r>
          </w:p>
        </w:tc>
        <w:tc>
          <w:tcPr>
            <w:tcW w:w="160" w:type="dxa"/>
            <w:vAlign w:val="bottom"/>
            <w:tcBorders>
              <w:bottom w:val="single" w:sz="8" w:color="901588"/>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B2B2B2"/>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b w:val="1"/>
                <w:bCs w:val="1"/>
                <w:color w:val="auto"/>
              </w:rPr>
              <w:t>(238)</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B2B2B2"/>
            </w:tcBorders>
          </w:tcPr>
          <w:p>
            <w:pPr>
              <w:spacing w:after="0"/>
              <w:rPr>
                <w:sz w:val="20"/>
                <w:szCs w:val="20"/>
                <w:color w:val="auto"/>
              </w:rPr>
            </w:pPr>
          </w:p>
        </w:tc>
        <w:tc>
          <w:tcPr>
            <w:tcW w:w="11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27.3%</w:t>
            </w:r>
          </w:p>
        </w:tc>
      </w:tr>
      <w:tr>
        <w:trPr>
          <w:trHeight w:val="236"/>
        </w:trPr>
        <w:tc>
          <w:tcPr>
            <w:tcW w:w="28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393</w:t>
            </w:r>
          </w:p>
        </w:tc>
        <w:tc>
          <w:tcPr>
            <w:tcW w:w="1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b w:val="1"/>
                <w:bCs w:val="1"/>
                <w:color w:val="auto"/>
              </w:rPr>
              <w:t>758</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8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24.9 %</w:t>
            </w:r>
          </w:p>
        </w:tc>
      </w:tr>
      <w:tr>
        <w:trPr>
          <w:trHeight w:val="199"/>
        </w:trPr>
        <w:tc>
          <w:tcPr>
            <w:tcW w:w="2820" w:type="dxa"/>
            <w:vAlign w:val="bottom"/>
          </w:tcPr>
          <w:p>
            <w:pPr>
              <w:ind w:left="20"/>
              <w:spacing w:after="0"/>
              <w:rPr>
                <w:sz w:val="20"/>
                <w:szCs w:val="20"/>
                <w:color w:val="auto"/>
              </w:rPr>
            </w:pPr>
            <w:r>
              <w:rPr>
                <w:rFonts w:ascii="Arial" w:cs="Arial" w:eastAsia="Arial" w:hAnsi="Arial"/>
                <w:sz w:val="16"/>
                <w:szCs w:val="16"/>
                <w:color w:val="auto"/>
              </w:rPr>
              <w:t>Net income attributable to Leidos</w:t>
            </w: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160" w:type="dxa"/>
            <w:vAlign w:val="bottom"/>
          </w:tcPr>
          <w:p>
            <w:pPr>
              <w:spacing w:after="0"/>
              <w:rPr>
                <w:sz w:val="17"/>
                <w:szCs w:val="17"/>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754</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24.4 %</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common stockholders</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9"/>
        </w:trPr>
        <w:tc>
          <w:tcPr>
            <w:tcW w:w="2820" w:type="dxa"/>
            <w:vAlign w:val="bottom"/>
            <w:tcBorders>
              <w:bottom w:val="single" w:sz="8" w:color="B2B2B2"/>
            </w:tcBorders>
          </w:tcPr>
          <w:p>
            <w:pPr>
              <w:spacing w:after="0"/>
              <w:rPr>
                <w:sz w:val="2"/>
                <w:szCs w:val="2"/>
                <w:color w:val="auto"/>
              </w:rPr>
            </w:pPr>
          </w:p>
        </w:tc>
        <w:tc>
          <w:tcPr>
            <w:tcW w:w="460" w:type="dxa"/>
            <w:vAlign w:val="bottom"/>
            <w:tcBorders>
              <w:bottom w:val="single" w:sz="8" w:color="B2B2B2"/>
            </w:tcBorders>
          </w:tcPr>
          <w:p>
            <w:pPr>
              <w:spacing w:after="0"/>
              <w:rPr>
                <w:sz w:val="2"/>
                <w:szCs w:val="2"/>
                <w:color w:val="auto"/>
              </w:rPr>
            </w:pPr>
          </w:p>
        </w:tc>
        <w:tc>
          <w:tcPr>
            <w:tcW w:w="780" w:type="dxa"/>
            <w:vAlign w:val="bottom"/>
            <w:tcBorders>
              <w:bottom w:val="single" w:sz="8" w:color="B2B2B2"/>
            </w:tcBorders>
          </w:tcPr>
          <w:p>
            <w:pPr>
              <w:spacing w:after="0"/>
              <w:rPr>
                <w:sz w:val="2"/>
                <w:szCs w:val="2"/>
                <w:color w:val="auto"/>
              </w:rPr>
            </w:pPr>
          </w:p>
        </w:tc>
        <w:tc>
          <w:tcPr>
            <w:tcW w:w="16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420" w:type="dxa"/>
            <w:vAlign w:val="bottom"/>
            <w:tcBorders>
              <w:bottom w:val="single" w:sz="8" w:color="B2B2B2"/>
            </w:tcBorders>
          </w:tcPr>
          <w:p>
            <w:pPr>
              <w:spacing w:after="0"/>
              <w:rPr>
                <w:sz w:val="2"/>
                <w:szCs w:val="2"/>
                <w:color w:val="auto"/>
              </w:rPr>
            </w:pPr>
          </w:p>
        </w:tc>
        <w:tc>
          <w:tcPr>
            <w:tcW w:w="96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16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440" w:type="dxa"/>
            <w:vAlign w:val="bottom"/>
            <w:tcBorders>
              <w:bottom w:val="single" w:sz="8" w:color="B2B2B2"/>
            </w:tcBorders>
          </w:tcPr>
          <w:p>
            <w:pPr>
              <w:spacing w:after="0"/>
              <w:rPr>
                <w:sz w:val="2"/>
                <w:szCs w:val="2"/>
                <w:color w:val="auto"/>
              </w:rPr>
            </w:pPr>
          </w:p>
        </w:tc>
        <w:tc>
          <w:tcPr>
            <w:tcW w:w="96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420" w:type="dxa"/>
            <w:vAlign w:val="bottom"/>
            <w:tcBorders>
              <w:bottom w:val="single" w:sz="8" w:color="B2B2B2"/>
            </w:tcBorders>
          </w:tcPr>
          <w:p>
            <w:pPr>
              <w:spacing w:after="0"/>
              <w:rPr>
                <w:sz w:val="2"/>
                <w:szCs w:val="2"/>
                <w:color w:val="auto"/>
              </w:rPr>
            </w:pPr>
          </w:p>
        </w:tc>
        <w:tc>
          <w:tcPr>
            <w:tcW w:w="980" w:type="dxa"/>
            <w:vAlign w:val="bottom"/>
            <w:tcBorders>
              <w:bottom w:val="single" w:sz="8" w:color="B2B2B2"/>
            </w:tcBorders>
          </w:tcPr>
          <w:p>
            <w:pPr>
              <w:spacing w:after="0"/>
              <w:rPr>
                <w:sz w:val="2"/>
                <w:szCs w:val="2"/>
                <w:color w:val="auto"/>
              </w:rPr>
            </w:pPr>
          </w:p>
        </w:tc>
        <w:tc>
          <w:tcPr>
            <w:tcW w:w="100" w:type="dxa"/>
            <w:vAlign w:val="bottom"/>
            <w:tcBorders>
              <w:bottom w:val="single" w:sz="8" w:color="B2B2B2"/>
            </w:tcBorders>
          </w:tcPr>
          <w:p>
            <w:pPr>
              <w:spacing w:after="0"/>
              <w:rPr>
                <w:sz w:val="2"/>
                <w:szCs w:val="2"/>
                <w:color w:val="auto"/>
              </w:rPr>
            </w:pPr>
          </w:p>
        </w:tc>
        <w:tc>
          <w:tcPr>
            <w:tcW w:w="1180" w:type="dxa"/>
            <w:vAlign w:val="bottom"/>
            <w:tcBorders>
              <w:bottom w:val="single" w:sz="8" w:color="B2B2B2"/>
            </w:tcBorders>
          </w:tcPr>
          <w:p>
            <w:pPr>
              <w:spacing w:after="0"/>
              <w:rPr>
                <w:sz w:val="2"/>
                <w:szCs w:val="2"/>
                <w:color w:val="auto"/>
              </w:rPr>
            </w:pPr>
          </w:p>
        </w:tc>
      </w:tr>
      <w:tr>
        <w:trPr>
          <w:trHeight w:val="233"/>
        </w:trPr>
        <w:tc>
          <w:tcPr>
            <w:tcW w:w="282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46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13.4%</w:t>
            </w: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11.5%</w:t>
            </w:r>
          </w:p>
        </w:tc>
        <w:tc>
          <w:tcPr>
            <w:tcW w:w="10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i w:val="1"/>
                <w:iCs w:val="1"/>
                <w:color w:val="auto"/>
              </w:rPr>
              <w:t>13.0%</w:t>
            </w: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11.0%</w:t>
            </w:r>
          </w:p>
        </w:tc>
        <w:tc>
          <w:tcPr>
            <w:tcW w:w="10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-1439545</wp:posOffset>
            </wp:positionV>
            <wp:extent cx="3574415" cy="1431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74415" cy="14312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SEGMENT AND CORPORATE RESULTS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4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80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80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1220" w:type="dxa"/>
            <w:vAlign w:val="bottom"/>
            <w:tcBorders>
              <w:bottom w:val="single" w:sz="8" w:color="901588"/>
            </w:tcBorders>
          </w:tcPr>
          <w:p>
            <w:pPr>
              <w:spacing w:after="0"/>
              <w:rPr>
                <w:sz w:val="19"/>
                <w:szCs w:val="19"/>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National Security &amp; Digital</w:t>
            </w:r>
          </w:p>
        </w:tc>
        <w:tc>
          <w:tcPr>
            <w:tcW w:w="460" w:type="dxa"/>
            <w:vAlign w:val="bottom"/>
            <w:shd w:val="clear" w:color="auto" w:fill="F4E8F3"/>
          </w:tcPr>
          <w:p>
            <w:pPr>
              <w:spacing w:after="0"/>
              <w:rPr>
                <w:sz w:val="17"/>
                <w:szCs w:val="17"/>
                <w:color w:val="auto"/>
              </w:rPr>
            </w:pPr>
          </w:p>
        </w:tc>
        <w:tc>
          <w:tcPr>
            <w:tcW w:w="9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June 28,</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9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June 28,</w:t>
            </w:r>
          </w:p>
        </w:tc>
        <w:tc>
          <w:tcPr>
            <w:tcW w:w="1220" w:type="dxa"/>
            <w:vAlign w:val="bottom"/>
          </w:tcPr>
          <w:p>
            <w:pPr>
              <w:spacing w:after="0"/>
              <w:rPr>
                <w:sz w:val="17"/>
                <w:szCs w:val="17"/>
                <w:color w:val="auto"/>
              </w:rPr>
            </w:pPr>
          </w:p>
        </w:tc>
      </w:tr>
      <w:tr>
        <w:trPr>
          <w:trHeight w:val="237"/>
        </w:trPr>
        <w:tc>
          <w:tcPr>
            <w:tcW w:w="27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460" w:type="dxa"/>
            <w:vAlign w:val="bottom"/>
            <w:tcBorders>
              <w:bottom w:val="single" w:sz="8" w:color="901588"/>
            </w:tcBorders>
            <w:shd w:val="clear" w:color="auto" w:fill="F4E8F3"/>
          </w:tcPr>
          <w:p>
            <w:pPr>
              <w:spacing w:after="0"/>
              <w:rPr>
                <w:sz w:val="20"/>
                <w:szCs w:val="20"/>
                <w:color w:val="auto"/>
              </w:rPr>
            </w:pPr>
          </w:p>
        </w:tc>
        <w:tc>
          <w:tcPr>
            <w:tcW w:w="9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32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Percent change</w:t>
            </w:r>
          </w:p>
        </w:tc>
        <w:tc>
          <w:tcPr>
            <w:tcW w:w="460" w:type="dxa"/>
            <w:vAlign w:val="bottom"/>
            <w:tcBorders>
              <w:bottom w:val="single" w:sz="8" w:color="901588"/>
            </w:tcBorders>
            <w:shd w:val="clear" w:color="auto" w:fill="F4E8F3"/>
          </w:tcPr>
          <w:p>
            <w:pPr>
              <w:spacing w:after="0"/>
              <w:rPr>
                <w:sz w:val="20"/>
                <w:szCs w:val="20"/>
                <w:color w:val="auto"/>
              </w:rPr>
            </w:pPr>
          </w:p>
        </w:tc>
        <w:tc>
          <w:tcPr>
            <w:tcW w:w="9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1,872</w:t>
            </w:r>
          </w:p>
        </w:tc>
        <w:tc>
          <w:tcPr>
            <w:tcW w:w="160" w:type="dxa"/>
            <w:vAlign w:val="bottom"/>
            <w:tcBorders>
              <w:bottom w:val="single" w:sz="8" w:color="B2B2B2"/>
            </w:tcBorders>
            <w:shd w:val="clear" w:color="auto" w:fill="F4E8F3"/>
          </w:tcPr>
          <w:p>
            <w:pPr>
              <w:spacing w:after="0"/>
              <w:rPr>
                <w:sz w:val="20"/>
                <w:szCs w:val="20"/>
                <w:color w:val="auto"/>
              </w:rPr>
            </w:pPr>
          </w:p>
        </w:tc>
        <w:tc>
          <w:tcPr>
            <w:tcW w:w="5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1,813</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3,750</w:t>
            </w:r>
          </w:p>
        </w:tc>
        <w:tc>
          <w:tcPr>
            <w:tcW w:w="160" w:type="dxa"/>
            <w:vAlign w:val="bottom"/>
            <w:tcBorders>
              <w:bottom w:val="single" w:sz="8" w:color="B2B2B2"/>
            </w:tcBorders>
            <w:shd w:val="clear" w:color="auto" w:fill="F4E8F3"/>
          </w:tcPr>
          <w:p>
            <w:pPr>
              <w:spacing w:after="0"/>
              <w:rPr>
                <w:sz w:val="20"/>
                <w:szCs w:val="20"/>
                <w:color w:val="auto"/>
              </w:rPr>
            </w:pPr>
          </w:p>
        </w:tc>
        <w:tc>
          <w:tcPr>
            <w:tcW w:w="5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3,606</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w:t>
            </w:r>
          </w:p>
        </w:tc>
      </w:tr>
      <w:tr>
        <w:trPr>
          <w:trHeight w:val="236"/>
        </w:trPr>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188</w:t>
            </w:r>
          </w:p>
        </w:tc>
        <w:tc>
          <w:tcPr>
            <w:tcW w:w="16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183</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373</w:t>
            </w:r>
          </w:p>
        </w:tc>
        <w:tc>
          <w:tcPr>
            <w:tcW w:w="16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358</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274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4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10.0%</w:t>
            </w:r>
          </w:p>
        </w:tc>
        <w:tc>
          <w:tcPr>
            <w:tcW w:w="54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10.1%</w:t>
            </w:r>
          </w:p>
        </w:tc>
        <w:tc>
          <w:tcPr>
            <w:tcW w:w="122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4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9.9%</w:t>
            </w:r>
          </w:p>
        </w:tc>
        <w:tc>
          <w:tcPr>
            <w:tcW w:w="54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9.9%</w:t>
            </w:r>
          </w:p>
        </w:tc>
        <w:tc>
          <w:tcPr>
            <w:tcW w:w="122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-496570</wp:posOffset>
            </wp:positionV>
            <wp:extent cx="899795" cy="488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99795" cy="48895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-496570</wp:posOffset>
            </wp:positionV>
            <wp:extent cx="900430" cy="488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0430" cy="488950"/>
                    </a:xfrm>
                    <a:prstGeom prst="rect">
                      <a:avLst/>
                    </a:prstGeom>
                    <a:noFill/>
                  </pic:spPr>
                </pic:pic>
              </a:graphicData>
            </a:graphic>
          </wp:anchor>
        </w:drawing>
      </w:r>
    </w:p>
    <w:p>
      <w:pPr>
        <w:spacing w:after="0" w:line="155" w:lineRule="exact"/>
        <w:rPr>
          <w:sz w:val="20"/>
          <w:szCs w:val="20"/>
          <w:color w:val="auto"/>
        </w:rPr>
      </w:pPr>
    </w:p>
    <w:p>
      <w:pPr>
        <w:ind w:right="580"/>
        <w:spacing w:after="0" w:line="301" w:lineRule="auto"/>
        <w:rPr>
          <w:sz w:val="20"/>
          <w:szCs w:val="20"/>
          <w:color w:val="auto"/>
        </w:rPr>
      </w:pPr>
      <w:r>
        <w:rPr>
          <w:rFonts w:ascii="Arial" w:cs="Arial" w:eastAsia="Arial" w:hAnsi="Arial"/>
          <w:sz w:val="16"/>
          <w:szCs w:val="16"/>
          <w:color w:val="auto"/>
        </w:rPr>
        <w:t>The increase in revenues for the three months ended July 4, 2025, as compared to the three months ended June 28, 2024, was primarily attributable to program wins and $12 million of revenues recognized from the acquisition of Savanna Industries, Inc. ("Kudu Dynamics"), partially offset by the completion of certain programs.</w:t>
      </w:r>
    </w:p>
    <w:p>
      <w:pPr>
        <w:spacing w:after="0" w:line="50" w:lineRule="exact"/>
        <w:rPr>
          <w:sz w:val="20"/>
          <w:szCs w:val="20"/>
          <w:color w:val="auto"/>
        </w:rPr>
      </w:pPr>
    </w:p>
    <w:p>
      <w:pPr>
        <w:ind w:right="520"/>
        <w:spacing w:after="0" w:line="292" w:lineRule="auto"/>
        <w:rPr>
          <w:sz w:val="20"/>
          <w:szCs w:val="20"/>
          <w:color w:val="auto"/>
        </w:rPr>
      </w:pPr>
      <w:r>
        <w:rPr>
          <w:rFonts w:ascii="Arial" w:cs="Arial" w:eastAsia="Arial" w:hAnsi="Arial"/>
          <w:sz w:val="16"/>
          <w:szCs w:val="16"/>
          <w:color w:val="auto"/>
        </w:rPr>
        <w:t>The increase in revenues for the six months ended July 4, 2025, as compared to the six months ended June 28, 2024, was primarily attributable to program wins, a net increase in volumes on certain programs and $12 million of revenues recognized from the acquisition of Kudu Dynamics, partially offset by the completion of certain programs.</w:t>
      </w:r>
    </w:p>
    <w:p>
      <w:pPr>
        <w:spacing w:after="0" w:line="98" w:lineRule="exact"/>
        <w:rPr>
          <w:sz w:val="20"/>
          <w:szCs w:val="20"/>
          <w:color w:val="auto"/>
        </w:rPr>
      </w:pPr>
    </w:p>
    <w:p>
      <w:pPr>
        <w:ind w:right="860"/>
        <w:spacing w:after="0" w:line="321" w:lineRule="auto"/>
        <w:rPr>
          <w:sz w:val="20"/>
          <w:szCs w:val="20"/>
          <w:color w:val="auto"/>
        </w:rPr>
      </w:pPr>
      <w:r>
        <w:rPr>
          <w:rFonts w:ascii="Arial" w:cs="Arial" w:eastAsia="Arial" w:hAnsi="Arial"/>
          <w:sz w:val="16"/>
          <w:szCs w:val="16"/>
          <w:color w:val="auto"/>
        </w:rPr>
        <w:t>The increase in operating income for the three months ended July 4, 2025, as compared to the three months ended June 28, 2024, was primarily attributable to program wins, partially offset by the completion of certain contracts.</w:t>
      </w:r>
    </w:p>
    <w:p>
      <w:pPr>
        <w:spacing w:after="0" w:line="34"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increase in operating income for the six months ended July 4, 2025, as compared to the six months ended June 28, 2024, was primarily attributable to program wins and a net increase in volumes.</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4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80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80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1220" w:type="dxa"/>
            <w:vAlign w:val="bottom"/>
            <w:tcBorders>
              <w:bottom w:val="single" w:sz="8" w:color="901588"/>
            </w:tcBorders>
          </w:tcPr>
          <w:p>
            <w:pPr>
              <w:spacing w:after="0"/>
              <w:rPr>
                <w:sz w:val="19"/>
                <w:szCs w:val="19"/>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Health &amp; Civil</w:t>
            </w:r>
          </w:p>
        </w:tc>
        <w:tc>
          <w:tcPr>
            <w:tcW w:w="460" w:type="dxa"/>
            <w:vAlign w:val="bottom"/>
            <w:shd w:val="clear" w:color="auto" w:fill="F4E8F3"/>
          </w:tcPr>
          <w:p>
            <w:pPr>
              <w:spacing w:after="0"/>
              <w:rPr>
                <w:sz w:val="17"/>
                <w:szCs w:val="17"/>
                <w:color w:val="auto"/>
              </w:rPr>
            </w:pPr>
          </w:p>
        </w:tc>
        <w:tc>
          <w:tcPr>
            <w:tcW w:w="9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June 28,</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9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June 28,</w:t>
            </w:r>
          </w:p>
        </w:tc>
        <w:tc>
          <w:tcPr>
            <w:tcW w:w="1220" w:type="dxa"/>
            <w:vAlign w:val="bottom"/>
          </w:tcPr>
          <w:p>
            <w:pPr>
              <w:spacing w:after="0"/>
              <w:rPr>
                <w:sz w:val="17"/>
                <w:szCs w:val="17"/>
                <w:color w:val="auto"/>
              </w:rPr>
            </w:pPr>
          </w:p>
        </w:tc>
      </w:tr>
      <w:tr>
        <w:trPr>
          <w:trHeight w:val="237"/>
        </w:trPr>
        <w:tc>
          <w:tcPr>
            <w:tcW w:w="27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460" w:type="dxa"/>
            <w:vAlign w:val="bottom"/>
            <w:tcBorders>
              <w:bottom w:val="single" w:sz="8" w:color="901588"/>
            </w:tcBorders>
            <w:shd w:val="clear" w:color="auto" w:fill="F4E8F3"/>
          </w:tcPr>
          <w:p>
            <w:pPr>
              <w:spacing w:after="0"/>
              <w:rPr>
                <w:sz w:val="20"/>
                <w:szCs w:val="20"/>
                <w:color w:val="auto"/>
              </w:rPr>
            </w:pPr>
          </w:p>
        </w:tc>
        <w:tc>
          <w:tcPr>
            <w:tcW w:w="9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32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Percent change</w:t>
            </w:r>
          </w:p>
        </w:tc>
        <w:tc>
          <w:tcPr>
            <w:tcW w:w="460" w:type="dxa"/>
            <w:vAlign w:val="bottom"/>
            <w:tcBorders>
              <w:bottom w:val="single" w:sz="8" w:color="901588"/>
            </w:tcBorders>
            <w:shd w:val="clear" w:color="auto" w:fill="F4E8F3"/>
          </w:tcPr>
          <w:p>
            <w:pPr>
              <w:spacing w:after="0"/>
              <w:rPr>
                <w:sz w:val="20"/>
                <w:szCs w:val="20"/>
                <w:color w:val="auto"/>
              </w:rPr>
            </w:pPr>
          </w:p>
        </w:tc>
        <w:tc>
          <w:tcPr>
            <w:tcW w:w="9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1,272</w:t>
            </w:r>
          </w:p>
        </w:tc>
        <w:tc>
          <w:tcPr>
            <w:tcW w:w="160" w:type="dxa"/>
            <w:vAlign w:val="bottom"/>
            <w:tcBorders>
              <w:bottom w:val="single" w:sz="8" w:color="B2B2B2"/>
            </w:tcBorders>
            <w:shd w:val="clear" w:color="auto" w:fill="F4E8F3"/>
          </w:tcPr>
          <w:p>
            <w:pPr>
              <w:spacing w:after="0"/>
              <w:rPr>
                <w:sz w:val="20"/>
                <w:szCs w:val="20"/>
                <w:color w:val="auto"/>
              </w:rPr>
            </w:pPr>
          </w:p>
        </w:tc>
        <w:tc>
          <w:tcPr>
            <w:tcW w:w="5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1,263</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2,563</w:t>
            </w:r>
          </w:p>
        </w:tc>
        <w:tc>
          <w:tcPr>
            <w:tcW w:w="160" w:type="dxa"/>
            <w:vAlign w:val="bottom"/>
            <w:tcBorders>
              <w:bottom w:val="single" w:sz="8" w:color="B2B2B2"/>
            </w:tcBorders>
            <w:shd w:val="clear" w:color="auto" w:fill="F4E8F3"/>
          </w:tcPr>
          <w:p>
            <w:pPr>
              <w:spacing w:after="0"/>
              <w:rPr>
                <w:sz w:val="20"/>
                <w:szCs w:val="20"/>
                <w:color w:val="auto"/>
              </w:rPr>
            </w:pPr>
          </w:p>
        </w:tc>
        <w:tc>
          <w:tcPr>
            <w:tcW w:w="54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2,462</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w:t>
            </w:r>
          </w:p>
        </w:tc>
      </w:tr>
      <w:tr>
        <w:trPr>
          <w:trHeight w:val="236"/>
        </w:trPr>
        <w:tc>
          <w:tcPr>
            <w:tcW w:w="2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311</w:t>
            </w:r>
          </w:p>
        </w:tc>
        <w:tc>
          <w:tcPr>
            <w:tcW w:w="16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307</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610</w:t>
            </w:r>
          </w:p>
        </w:tc>
        <w:tc>
          <w:tcPr>
            <w:tcW w:w="16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529</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15.3%</w:t>
            </w:r>
          </w:p>
        </w:tc>
      </w:tr>
      <w:tr>
        <w:trPr>
          <w:trHeight w:val="237"/>
        </w:trPr>
        <w:tc>
          <w:tcPr>
            <w:tcW w:w="274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4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24.4%</w:t>
            </w:r>
          </w:p>
        </w:tc>
        <w:tc>
          <w:tcPr>
            <w:tcW w:w="54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24.3%</w:t>
            </w:r>
          </w:p>
        </w:tc>
        <w:tc>
          <w:tcPr>
            <w:tcW w:w="122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4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23.8%</w:t>
            </w:r>
          </w:p>
        </w:tc>
        <w:tc>
          <w:tcPr>
            <w:tcW w:w="54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21.5%</w:t>
            </w:r>
          </w:p>
        </w:tc>
        <w:tc>
          <w:tcPr>
            <w:tcW w:w="122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-496570</wp:posOffset>
            </wp:positionV>
            <wp:extent cx="899795" cy="4883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99795" cy="4883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-496570</wp:posOffset>
            </wp:positionV>
            <wp:extent cx="900430" cy="488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0430" cy="488315"/>
                    </a:xfrm>
                    <a:prstGeom prst="rect">
                      <a:avLst/>
                    </a:prstGeom>
                    <a:noFill/>
                  </pic:spPr>
                </pic:pic>
              </a:graphicData>
            </a:graphic>
          </wp:anchor>
        </w:drawing>
      </w:r>
    </w:p>
    <w:p>
      <w:pPr>
        <w:spacing w:after="0" w:line="276"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The increase in revenues and operating income for the three months ended July 4, 2025, as compared to the three months ended June 28, 2024, was primarily attributable to increased volumes within the managed health services business as well as net write-ups on certain programs.</w:t>
      </w:r>
    </w:p>
    <w:p>
      <w:pPr>
        <w:spacing w:after="0" w:line="60" w:lineRule="exact"/>
        <w:rPr>
          <w:sz w:val="20"/>
          <w:szCs w:val="20"/>
          <w:color w:val="auto"/>
        </w:rPr>
      </w:pPr>
    </w:p>
    <w:p>
      <w:pPr>
        <w:ind w:right="840"/>
        <w:spacing w:after="0" w:line="292" w:lineRule="auto"/>
        <w:rPr>
          <w:sz w:val="20"/>
          <w:szCs w:val="20"/>
          <w:color w:val="auto"/>
        </w:rPr>
      </w:pPr>
      <w:r>
        <w:rPr>
          <w:rFonts w:ascii="Arial" w:cs="Arial" w:eastAsia="Arial" w:hAnsi="Arial"/>
          <w:sz w:val="16"/>
          <w:szCs w:val="16"/>
          <w:color w:val="auto"/>
        </w:rPr>
        <w:t>The increase in revenues and operating income for the six months ended July 4, 2025, as compared to the six months ended June 28, 2024, was primarily attributable to increased volumes and case complexity within the managed health services business as well as net write-ups on certain programs.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8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700" w:type="dxa"/>
            <w:vAlign w:val="bottom"/>
            <w:tcBorders>
              <w:bottom w:val="single" w:sz="8" w:color="901588"/>
            </w:tcBorders>
          </w:tcPr>
          <w:p>
            <w:pPr>
              <w:spacing w:after="0"/>
              <w:rPr>
                <w:sz w:val="19"/>
                <w:szCs w:val="19"/>
                <w:color w:val="auto"/>
              </w:rPr>
            </w:pPr>
          </w:p>
        </w:tc>
        <w:tc>
          <w:tcPr>
            <w:tcW w:w="1980" w:type="dxa"/>
            <w:vAlign w:val="bottom"/>
            <w:tcBorders>
              <w:bottom w:val="single" w:sz="8" w:color="901588"/>
            </w:tcBorders>
            <w:gridSpan w:val="3"/>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780" w:type="dxa"/>
            <w:vAlign w:val="bottom"/>
            <w:tcBorders>
              <w:bottom w:val="single" w:sz="8" w:color="901588"/>
            </w:tcBorders>
          </w:tcPr>
          <w:p>
            <w:pPr>
              <w:spacing w:after="0"/>
              <w:rPr>
                <w:sz w:val="19"/>
                <w:szCs w:val="19"/>
                <w:color w:val="auto"/>
              </w:rPr>
            </w:pPr>
          </w:p>
        </w:tc>
        <w:tc>
          <w:tcPr>
            <w:tcW w:w="1900" w:type="dxa"/>
            <w:vAlign w:val="bottom"/>
            <w:tcBorders>
              <w:bottom w:val="single" w:sz="8" w:color="901588"/>
            </w:tcBorders>
            <w:gridSpan w:val="3"/>
          </w:tcPr>
          <w:p>
            <w:pPr>
              <w:jc w:val="right"/>
              <w:ind w:right="299"/>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Borders>
              <w:bottom w:val="single" w:sz="8" w:color="901588"/>
            </w:tcBorders>
          </w:tcPr>
          <w:p>
            <w:pPr>
              <w:spacing w:after="0"/>
              <w:rPr>
                <w:sz w:val="19"/>
                <w:szCs w:val="19"/>
                <w:color w:val="auto"/>
              </w:rPr>
            </w:pPr>
          </w:p>
        </w:tc>
      </w:tr>
      <w:tr>
        <w:trPr>
          <w:trHeight w:val="202"/>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Commercial &amp; International</w:t>
            </w:r>
          </w:p>
        </w:tc>
        <w:tc>
          <w:tcPr>
            <w:tcW w:w="460" w:type="dxa"/>
            <w:vAlign w:val="bottom"/>
            <w:shd w:val="clear" w:color="auto" w:fill="F4E8F3"/>
          </w:tcPr>
          <w:p>
            <w:pPr>
              <w:spacing w:after="0"/>
              <w:rPr>
                <w:sz w:val="17"/>
                <w:szCs w:val="17"/>
                <w:color w:val="auto"/>
              </w:rPr>
            </w:pPr>
          </w:p>
        </w:tc>
        <w:tc>
          <w:tcPr>
            <w:tcW w:w="8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2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June 28,</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Percent</w:t>
            </w:r>
          </w:p>
        </w:tc>
        <w:tc>
          <w:tcPr>
            <w:tcW w:w="420" w:type="dxa"/>
            <w:vAlign w:val="bottom"/>
            <w:shd w:val="clear" w:color="auto" w:fill="F4E8F3"/>
          </w:tcPr>
          <w:p>
            <w:pPr>
              <w:spacing w:after="0"/>
              <w:rPr>
                <w:sz w:val="17"/>
                <w:szCs w:val="17"/>
                <w:color w:val="auto"/>
              </w:rPr>
            </w:pPr>
          </w:p>
        </w:tc>
        <w:tc>
          <w:tcPr>
            <w:tcW w:w="9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0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June 28,</w:t>
            </w:r>
          </w:p>
        </w:tc>
        <w:tc>
          <w:tcPr>
            <w:tcW w:w="920" w:type="dxa"/>
            <w:vAlign w:val="bottom"/>
          </w:tcPr>
          <w:p>
            <w:pPr>
              <w:jc w:val="right"/>
              <w:spacing w:after="0"/>
              <w:rPr>
                <w:sz w:val="20"/>
                <w:szCs w:val="20"/>
                <w:color w:val="auto"/>
              </w:rPr>
            </w:pPr>
            <w:r>
              <w:rPr>
                <w:rFonts w:ascii="Arial" w:cs="Arial" w:eastAsia="Arial" w:hAnsi="Arial"/>
                <w:sz w:val="16"/>
                <w:szCs w:val="16"/>
                <w:color w:val="auto"/>
              </w:rPr>
              <w:t>Percent</w:t>
            </w:r>
          </w:p>
        </w:tc>
      </w:tr>
      <w:tr>
        <w:trPr>
          <w:trHeight w:val="244"/>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460" w:type="dxa"/>
            <w:vAlign w:val="bottom"/>
            <w:tcBorders>
              <w:bottom w:val="single" w:sz="8" w:color="F4E8F3"/>
            </w:tcBorders>
            <w:shd w:val="clear" w:color="auto" w:fill="F4E8F3"/>
          </w:tcPr>
          <w:p>
            <w:pPr>
              <w:spacing w:after="0"/>
              <w:rPr>
                <w:sz w:val="21"/>
                <w:szCs w:val="21"/>
                <w:color w:val="auto"/>
              </w:rPr>
            </w:pPr>
          </w:p>
        </w:tc>
        <w:tc>
          <w:tcPr>
            <w:tcW w:w="860" w:type="dxa"/>
            <w:vAlign w:val="bottom"/>
            <w:tcBorders>
              <w:bottom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21"/>
                <w:szCs w:val="21"/>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2024</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change</w:t>
            </w:r>
          </w:p>
        </w:tc>
        <w:tc>
          <w:tcPr>
            <w:tcW w:w="420" w:type="dxa"/>
            <w:vAlign w:val="bottom"/>
            <w:tcBorders>
              <w:bottom w:val="single" w:sz="8" w:color="F4E8F3"/>
            </w:tcBorders>
            <w:shd w:val="clear" w:color="auto" w:fill="F4E8F3"/>
          </w:tcPr>
          <w:p>
            <w:pPr>
              <w:spacing w:after="0"/>
              <w:rPr>
                <w:sz w:val="21"/>
                <w:szCs w:val="21"/>
                <w:color w:val="auto"/>
              </w:rPr>
            </w:pPr>
          </w:p>
        </w:tc>
        <w:tc>
          <w:tcPr>
            <w:tcW w:w="940" w:type="dxa"/>
            <w:vAlign w:val="bottom"/>
            <w:tcBorders>
              <w:bottom w:val="single" w:sz="8" w:color="F4E8F3"/>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Pr>
          <w:p>
            <w:pPr>
              <w:spacing w:after="0"/>
              <w:rPr>
                <w:sz w:val="21"/>
                <w:szCs w:val="21"/>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2024</w:t>
            </w:r>
          </w:p>
        </w:tc>
        <w:tc>
          <w:tcPr>
            <w:tcW w:w="920" w:type="dxa"/>
            <w:vAlign w:val="bottom"/>
          </w:tcPr>
          <w:p>
            <w:pPr>
              <w:jc w:val="right"/>
              <w:spacing w:after="0"/>
              <w:rPr>
                <w:sz w:val="20"/>
                <w:szCs w:val="20"/>
                <w:color w:val="auto"/>
              </w:rPr>
            </w:pPr>
            <w:r>
              <w:rPr>
                <w:rFonts w:ascii="Arial" w:cs="Arial" w:eastAsia="Arial" w:hAnsi="Arial"/>
                <w:sz w:val="16"/>
                <w:szCs w:val="16"/>
                <w:color w:val="auto"/>
              </w:rPr>
              <w:t>change</w:t>
            </w:r>
          </w:p>
        </w:tc>
      </w:tr>
      <w:tr>
        <w:trPr>
          <w:trHeight w:val="233"/>
        </w:trPr>
        <w:tc>
          <w:tcPr>
            <w:tcW w:w="2580" w:type="dxa"/>
            <w:vAlign w:val="bottom"/>
            <w:tcBorders>
              <w:top w:val="single" w:sz="8" w:color="901588"/>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460" w:type="dxa"/>
            <w:vAlign w:val="bottom"/>
            <w:tcBorders>
              <w:top w:val="single" w:sz="8" w:color="901588"/>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566</w:t>
            </w:r>
          </w:p>
        </w:tc>
        <w:tc>
          <w:tcPr>
            <w:tcW w:w="160" w:type="dxa"/>
            <w:vAlign w:val="bottom"/>
            <w:tcBorders>
              <w:top w:val="single" w:sz="8" w:color="901588"/>
              <w:bottom w:val="single" w:sz="8" w:color="B2B2B2"/>
            </w:tcBorders>
            <w:shd w:val="clear" w:color="auto" w:fill="F4E8F3"/>
          </w:tcPr>
          <w:p>
            <w:pPr>
              <w:spacing w:after="0"/>
              <w:rPr>
                <w:sz w:val="20"/>
                <w:szCs w:val="20"/>
                <w:color w:val="auto"/>
              </w:rPr>
            </w:pPr>
          </w:p>
        </w:tc>
        <w:tc>
          <w:tcPr>
            <w:tcW w:w="520" w:type="dxa"/>
            <w:vAlign w:val="bottom"/>
            <w:tcBorders>
              <w:top w:val="single" w:sz="8" w:color="901588"/>
              <w:bottom w:val="single" w:sz="8" w:color="B2B2B2"/>
            </w:tcBorders>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901588"/>
              <w:bottom w:val="single" w:sz="8" w:color="B2B2B2"/>
            </w:tcBorders>
          </w:tcPr>
          <w:p>
            <w:pPr>
              <w:jc w:val="right"/>
              <w:ind w:right="519"/>
              <w:spacing w:after="0"/>
              <w:rPr>
                <w:sz w:val="20"/>
                <w:szCs w:val="20"/>
                <w:color w:val="auto"/>
              </w:rPr>
            </w:pPr>
            <w:r>
              <w:rPr>
                <w:rFonts w:ascii="Arial" w:cs="Arial" w:eastAsia="Arial" w:hAnsi="Arial"/>
                <w:sz w:val="16"/>
                <w:szCs w:val="16"/>
                <w:color w:val="auto"/>
              </w:rPr>
              <w:t>561</w:t>
            </w:r>
          </w:p>
        </w:tc>
        <w:tc>
          <w:tcPr>
            <w:tcW w:w="8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901588"/>
              <w:bottom w:val="single" w:sz="8" w:color="B2B2B2"/>
            </w:tcBorders>
          </w:tcPr>
          <w:p>
            <w:pPr>
              <w:spacing w:after="0"/>
              <w:rPr>
                <w:sz w:val="20"/>
                <w:szCs w:val="20"/>
                <w:color w:val="auto"/>
              </w:rPr>
            </w:pPr>
          </w:p>
        </w:tc>
        <w:tc>
          <w:tcPr>
            <w:tcW w:w="420" w:type="dxa"/>
            <w:vAlign w:val="bottom"/>
            <w:tcBorders>
              <w:top w:val="single" w:sz="8" w:color="901588"/>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901588"/>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top w:val="single" w:sz="8" w:color="901588"/>
              <w:bottom w:val="single" w:sz="8" w:color="B2B2B2"/>
            </w:tcBorders>
            <w:shd w:val="clear" w:color="auto" w:fill="F4E8F3"/>
          </w:tcPr>
          <w:p>
            <w:pPr>
              <w:spacing w:after="0"/>
              <w:rPr>
                <w:sz w:val="20"/>
                <w:szCs w:val="20"/>
                <w:color w:val="auto"/>
              </w:rPr>
            </w:pPr>
          </w:p>
        </w:tc>
        <w:tc>
          <w:tcPr>
            <w:tcW w:w="500" w:type="dxa"/>
            <w:vAlign w:val="bottom"/>
            <w:tcBorders>
              <w:top w:val="single" w:sz="8" w:color="901588"/>
              <w:bottom w:val="single" w:sz="8" w:color="B2B2B2"/>
            </w:tcBorders>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901588"/>
              <w:bottom w:val="single" w:sz="8" w:color="B2B2B2"/>
            </w:tcBorders>
          </w:tcPr>
          <w:p>
            <w:pPr>
              <w:jc w:val="right"/>
              <w:ind w:right="419"/>
              <w:spacing w:after="0"/>
              <w:rPr>
                <w:sz w:val="20"/>
                <w:szCs w:val="20"/>
                <w:color w:val="auto"/>
              </w:rPr>
            </w:pPr>
            <w:r>
              <w:rPr>
                <w:rFonts w:ascii="Arial" w:cs="Arial" w:eastAsia="Arial" w:hAnsi="Arial"/>
                <w:sz w:val="16"/>
                <w:szCs w:val="16"/>
                <w:color w:val="auto"/>
              </w:rPr>
              <w:t>1,070</w:t>
            </w:r>
          </w:p>
        </w:tc>
        <w:tc>
          <w:tcPr>
            <w:tcW w:w="9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258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 (loss)</w:t>
            </w:r>
          </w:p>
        </w:tc>
        <w:tc>
          <w:tcPr>
            <w:tcW w:w="4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40</w:t>
            </w:r>
          </w:p>
        </w:tc>
        <w:tc>
          <w:tcPr>
            <w:tcW w:w="16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1300" w:type="dxa"/>
            <w:vAlign w:val="bottom"/>
            <w:tcBorders>
              <w:bottom w:val="single" w:sz="8" w:color="B2B2B2"/>
            </w:tcBorders>
          </w:tcPr>
          <w:p>
            <w:pPr>
              <w:jc w:val="right"/>
              <w:ind w:right="479"/>
              <w:spacing w:after="0"/>
              <w:rPr>
                <w:sz w:val="20"/>
                <w:szCs w:val="20"/>
                <w:color w:val="auto"/>
              </w:rPr>
            </w:pPr>
            <w:r>
              <w:rPr>
                <w:rFonts w:ascii="Arial" w:cs="Arial" w:eastAsia="Arial" w:hAnsi="Arial"/>
                <w:sz w:val="16"/>
                <w:szCs w:val="16"/>
                <w:color w:val="auto"/>
              </w:rPr>
              <w:t>(11)</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463.6%</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77</w:t>
            </w:r>
          </w:p>
        </w:tc>
        <w:tc>
          <w:tcPr>
            <w:tcW w:w="16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ind w:right="419"/>
              <w:spacing w:after="0"/>
              <w:rPr>
                <w:sz w:val="20"/>
                <w:szCs w:val="20"/>
                <w:color w:val="auto"/>
              </w:rPr>
            </w:pPr>
            <w:r>
              <w:rPr>
                <w:rFonts w:ascii="Arial" w:cs="Arial" w:eastAsia="Arial" w:hAnsi="Arial"/>
                <w:sz w:val="16"/>
                <w:szCs w:val="16"/>
                <w:color w:val="auto"/>
              </w:rPr>
              <w:t>23</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234.8%</w:t>
            </w:r>
          </w:p>
        </w:tc>
      </w:tr>
      <w:tr>
        <w:trPr>
          <w:trHeight w:val="236"/>
        </w:trPr>
        <w:tc>
          <w:tcPr>
            <w:tcW w:w="258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46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7.1%</w:t>
            </w:r>
          </w:p>
        </w:tc>
        <w:tc>
          <w:tcPr>
            <w:tcW w:w="520" w:type="dxa"/>
            <w:vAlign w:val="bottom"/>
            <w:tcBorders>
              <w:bottom w:val="single" w:sz="8" w:color="901588"/>
            </w:tcBorders>
          </w:tcPr>
          <w:p>
            <w:pPr>
              <w:spacing w:after="0"/>
              <w:rPr>
                <w:sz w:val="20"/>
                <w:szCs w:val="20"/>
                <w:color w:val="auto"/>
              </w:rPr>
            </w:pPr>
          </w:p>
        </w:tc>
        <w:tc>
          <w:tcPr>
            <w:tcW w:w="130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i w:val="1"/>
                <w:iCs w:val="1"/>
                <w:color w:val="auto"/>
              </w:rPr>
              <w:t>(2.0%)</w:t>
            </w:r>
          </w:p>
        </w:tc>
        <w:tc>
          <w:tcPr>
            <w:tcW w:w="88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6.8%</w:t>
            </w:r>
          </w:p>
        </w:tc>
        <w:tc>
          <w:tcPr>
            <w:tcW w:w="50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i w:val="1"/>
                <w:iCs w:val="1"/>
                <w:color w:val="auto"/>
              </w:rPr>
              <w:t>2.1%</w:t>
            </w:r>
          </w:p>
        </w:tc>
        <w:tc>
          <w:tcPr>
            <w:tcW w:w="92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-496570</wp:posOffset>
            </wp:positionV>
            <wp:extent cx="840105" cy="4883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40105" cy="4883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-496570</wp:posOffset>
            </wp:positionV>
            <wp:extent cx="857250" cy="488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0" cy="488315"/>
                    </a:xfrm>
                    <a:prstGeom prst="rect">
                      <a:avLst/>
                    </a:prstGeom>
                    <a:noFill/>
                  </pic:spPr>
                </pic:pic>
              </a:graphicData>
            </a:graphic>
          </wp:anchor>
        </w:drawing>
      </w:r>
    </w:p>
    <w:p>
      <w:pPr>
        <w:spacing w:after="0" w:line="263" w:lineRule="exact"/>
        <w:rPr>
          <w:sz w:val="20"/>
          <w:szCs w:val="20"/>
          <w:color w:val="auto"/>
        </w:rPr>
      </w:pPr>
    </w:p>
    <w:p>
      <w:pPr>
        <w:ind w:right="580"/>
        <w:spacing w:after="0" w:line="292" w:lineRule="auto"/>
        <w:rPr>
          <w:sz w:val="20"/>
          <w:szCs w:val="20"/>
          <w:color w:val="auto"/>
        </w:rPr>
      </w:pPr>
      <w:r>
        <w:rPr>
          <w:rFonts w:ascii="Arial" w:cs="Arial" w:eastAsia="Arial" w:hAnsi="Arial"/>
          <w:sz w:val="16"/>
          <w:szCs w:val="16"/>
          <w:color w:val="auto"/>
        </w:rPr>
        <w:t>The increase in revenues for the three months ended July 4, 2025, as compared to the three months ended June 28, 2024, was primarily attributable to program wins, prior year write-downs on certain programs within our UK operations and a $8 million favorable impact from exchange rate movements. The increase was partially offset by lower material volumes and the completion of certain programs.</w:t>
      </w:r>
    </w:p>
    <w:p>
      <w:pPr>
        <w:spacing w:after="0" w:line="71" w:lineRule="exact"/>
        <w:rPr>
          <w:sz w:val="20"/>
          <w:szCs w:val="20"/>
          <w:color w:val="auto"/>
        </w:rPr>
      </w:pPr>
    </w:p>
    <w:p>
      <w:pPr>
        <w:jc w:val="both"/>
        <w:ind w:right="680"/>
        <w:spacing w:after="0" w:line="292" w:lineRule="auto"/>
        <w:rPr>
          <w:sz w:val="20"/>
          <w:szCs w:val="20"/>
          <w:color w:val="auto"/>
        </w:rPr>
      </w:pPr>
      <w:r>
        <w:rPr>
          <w:rFonts w:ascii="Arial" w:cs="Arial" w:eastAsia="Arial" w:hAnsi="Arial"/>
          <w:sz w:val="16"/>
          <w:szCs w:val="16"/>
          <w:color w:val="auto"/>
        </w:rPr>
        <w:t>The increase in revenues for the six months ended July 4, 2025, as compared to the six months ended June 28, 2024, was primarily attributable to program wins, prior year write-downs on certain programs within our UK operations and a net increase in volumes. The increase was partially offset by the completion of certain programs.</w:t>
      </w:r>
    </w:p>
    <w:p>
      <w:pPr>
        <w:spacing w:after="0" w:line="98" w:lineRule="exact"/>
        <w:rPr>
          <w:sz w:val="20"/>
          <w:szCs w:val="20"/>
          <w:color w:val="auto"/>
        </w:rPr>
      </w:pPr>
    </w:p>
    <w:p>
      <w:pPr>
        <w:jc w:val="both"/>
        <w:ind w:right="860"/>
        <w:spacing w:after="0" w:line="292" w:lineRule="auto"/>
        <w:rPr>
          <w:sz w:val="20"/>
          <w:szCs w:val="20"/>
          <w:color w:val="auto"/>
        </w:rPr>
      </w:pPr>
      <w:r>
        <w:rPr>
          <w:rFonts w:ascii="Arial" w:cs="Arial" w:eastAsia="Arial" w:hAnsi="Arial"/>
          <w:sz w:val="16"/>
          <w:szCs w:val="16"/>
          <w:color w:val="auto"/>
        </w:rPr>
        <w:t>The increase in operating income for the three months ended July 4, 2025, as compared to the three months ended June 28, 2024, was primarily attributable to program wins and prior year write-downs on certain programs within our UK operations, partially offset by the completion of certain programs.</w:t>
      </w:r>
    </w:p>
    <w:p>
      <w:pPr>
        <w:spacing w:after="0" w:line="71" w:lineRule="exact"/>
        <w:rPr>
          <w:sz w:val="20"/>
          <w:szCs w:val="20"/>
          <w:color w:val="auto"/>
        </w:rPr>
      </w:pPr>
    </w:p>
    <w:p>
      <w:pPr>
        <w:ind w:right="800"/>
        <w:spacing w:after="0" w:line="292" w:lineRule="auto"/>
        <w:rPr>
          <w:sz w:val="20"/>
          <w:szCs w:val="20"/>
          <w:color w:val="auto"/>
        </w:rPr>
      </w:pPr>
      <w:r>
        <w:rPr>
          <w:rFonts w:ascii="Arial" w:cs="Arial" w:eastAsia="Arial" w:hAnsi="Arial"/>
          <w:sz w:val="16"/>
          <w:szCs w:val="16"/>
          <w:color w:val="auto"/>
        </w:rPr>
        <w:t>The increase in operating income for the six months ended July 4, 2025, as compared to the six months ended June 28, 2024, was primarily attributable to program wins and prior year write-downs on certain programs within our UK operations, partially the completion of certain programs and increased indirect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60" w:type="dxa"/>
            <w:vAlign w:val="bottom"/>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74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Borders>
              <w:bottom w:val="single" w:sz="8" w:color="901588"/>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00" w:type="dxa"/>
            <w:vAlign w:val="bottom"/>
            <w:tcBorders>
              <w:bottom w:val="single" w:sz="8" w:color="901588"/>
            </w:tcBorders>
          </w:tcPr>
          <w:p>
            <w:pPr>
              <w:spacing w:after="0"/>
              <w:rPr>
                <w:sz w:val="19"/>
                <w:szCs w:val="19"/>
                <w:color w:val="auto"/>
              </w:rPr>
            </w:pPr>
          </w:p>
        </w:tc>
        <w:tc>
          <w:tcPr>
            <w:tcW w:w="1720" w:type="dxa"/>
            <w:vAlign w:val="bottom"/>
            <w:tcBorders>
              <w:bottom w:val="single" w:sz="8" w:color="901588"/>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1220" w:type="dxa"/>
            <w:vAlign w:val="bottom"/>
            <w:tcBorders>
              <w:bottom w:val="single" w:sz="8" w:color="901588"/>
            </w:tcBorders>
          </w:tcPr>
          <w:p>
            <w:pPr>
              <w:spacing w:after="0"/>
              <w:rPr>
                <w:sz w:val="19"/>
                <w:szCs w:val="19"/>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Defense Systems</w:t>
            </w:r>
          </w:p>
        </w:tc>
        <w:tc>
          <w:tcPr>
            <w:tcW w:w="500" w:type="dxa"/>
            <w:vAlign w:val="bottom"/>
            <w:shd w:val="clear" w:color="auto" w:fill="F4E8F3"/>
          </w:tcPr>
          <w:p>
            <w:pPr>
              <w:spacing w:after="0"/>
              <w:rPr>
                <w:sz w:val="18"/>
                <w:szCs w:val="18"/>
                <w:color w:val="auto"/>
              </w:rPr>
            </w:pPr>
          </w:p>
        </w:tc>
        <w:tc>
          <w:tcPr>
            <w:tcW w:w="90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June 28,</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shd w:val="clear" w:color="auto" w:fill="F4E8F3"/>
          </w:tcPr>
          <w:p>
            <w:pPr>
              <w:spacing w:after="0"/>
              <w:rPr>
                <w:sz w:val="18"/>
                <w:szCs w:val="18"/>
                <w:color w:val="auto"/>
              </w:rPr>
            </w:pPr>
          </w:p>
        </w:tc>
        <w:tc>
          <w:tcPr>
            <w:tcW w:w="96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June 28,</w:t>
            </w:r>
          </w:p>
        </w:tc>
        <w:tc>
          <w:tcPr>
            <w:tcW w:w="1220" w:type="dxa"/>
            <w:vAlign w:val="bottom"/>
          </w:tcPr>
          <w:p>
            <w:pPr>
              <w:spacing w:after="0"/>
              <w:rPr>
                <w:sz w:val="18"/>
                <w:szCs w:val="18"/>
                <w:color w:val="auto"/>
              </w:rPr>
            </w:pPr>
          </w:p>
        </w:tc>
      </w:tr>
      <w:tr>
        <w:trPr>
          <w:trHeight w:val="226"/>
        </w:trPr>
        <w:tc>
          <w:tcPr>
            <w:tcW w:w="27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500" w:type="dxa"/>
            <w:vAlign w:val="bottom"/>
            <w:tcBorders>
              <w:bottom w:val="single" w:sz="8" w:color="901588"/>
            </w:tcBorders>
            <w:shd w:val="clear" w:color="auto" w:fill="F4E8F3"/>
          </w:tcPr>
          <w:p>
            <w:pPr>
              <w:spacing w:after="0"/>
              <w:rPr>
                <w:sz w:val="19"/>
                <w:szCs w:val="19"/>
                <w:color w:val="auto"/>
              </w:rPr>
            </w:pPr>
          </w:p>
        </w:tc>
        <w:tc>
          <w:tcPr>
            <w:tcW w:w="90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300" w:type="dxa"/>
            <w:vAlign w:val="bottom"/>
            <w:tcBorders>
              <w:bottom w:val="single" w:sz="8" w:color="901588"/>
            </w:tcBorders>
            <w:gridSpan w:val="2"/>
          </w:tcPr>
          <w:p>
            <w:pPr>
              <w:ind w:left="60"/>
              <w:spacing w:after="0"/>
              <w:rPr>
                <w:sz w:val="20"/>
                <w:szCs w:val="20"/>
                <w:color w:val="auto"/>
              </w:rPr>
            </w:pPr>
            <w:r>
              <w:rPr>
                <w:rFonts w:ascii="Arial" w:cs="Arial" w:eastAsia="Arial" w:hAnsi="Arial"/>
                <w:sz w:val="16"/>
                <w:szCs w:val="16"/>
                <w:color w:val="auto"/>
              </w:rPr>
              <w:t>Percent change</w:t>
            </w:r>
          </w:p>
        </w:tc>
        <w:tc>
          <w:tcPr>
            <w:tcW w:w="480" w:type="dxa"/>
            <w:vAlign w:val="bottom"/>
            <w:tcBorders>
              <w:bottom w:val="single" w:sz="8" w:color="901588"/>
            </w:tcBorders>
            <w:shd w:val="clear" w:color="auto" w:fill="F4E8F3"/>
          </w:tcPr>
          <w:p>
            <w:pPr>
              <w:spacing w:after="0"/>
              <w:rPr>
                <w:sz w:val="19"/>
                <w:szCs w:val="19"/>
                <w:color w:val="auto"/>
              </w:rPr>
            </w:pPr>
          </w:p>
        </w:tc>
        <w:tc>
          <w:tcPr>
            <w:tcW w:w="9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12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7"/>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Borders>
              <w:bottom w:val="single" w:sz="8" w:color="B2B2B2"/>
            </w:tcBorders>
            <w:shd w:val="clear" w:color="auto" w:fill="F4E8F3"/>
          </w:tcPr>
          <w:p>
            <w:pPr>
              <w:jc w:val="right"/>
              <w:ind w:right="29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543</w:t>
            </w:r>
          </w:p>
        </w:tc>
        <w:tc>
          <w:tcPr>
            <w:tcW w:w="160" w:type="dxa"/>
            <w:vAlign w:val="bottom"/>
            <w:tcBorders>
              <w:bottom w:val="single" w:sz="8" w:color="B2B2B2"/>
            </w:tcBorders>
            <w:shd w:val="clear" w:color="auto" w:fill="F4E8F3"/>
          </w:tcPr>
          <w:p>
            <w:pPr>
              <w:spacing w:after="0"/>
              <w:rPr>
                <w:sz w:val="20"/>
                <w:szCs w:val="20"/>
                <w:color w:val="auto"/>
              </w:rPr>
            </w:pPr>
          </w:p>
        </w:tc>
        <w:tc>
          <w:tcPr>
            <w:tcW w:w="5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495</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9.7%</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1,051</w:t>
            </w:r>
          </w:p>
        </w:tc>
        <w:tc>
          <w:tcPr>
            <w:tcW w:w="160" w:type="dxa"/>
            <w:vAlign w:val="bottom"/>
            <w:tcBorders>
              <w:bottom w:val="single" w:sz="8" w:color="B2B2B2"/>
            </w:tcBorders>
            <w:shd w:val="clear" w:color="auto" w:fill="F4E8F3"/>
          </w:tcPr>
          <w:p>
            <w:pPr>
              <w:spacing w:after="0"/>
              <w:rPr>
                <w:sz w:val="20"/>
                <w:szCs w:val="20"/>
                <w:color w:val="auto"/>
              </w:rPr>
            </w:pPr>
          </w:p>
        </w:tc>
        <w:tc>
          <w:tcPr>
            <w:tcW w:w="5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969</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2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41</w:t>
            </w:r>
          </w:p>
        </w:tc>
        <w:tc>
          <w:tcPr>
            <w:tcW w:w="16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34</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20.6%</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75</w:t>
            </w:r>
          </w:p>
        </w:tc>
        <w:tc>
          <w:tcPr>
            <w:tcW w:w="16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rPr>
              <w:t>55</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36.4%</w:t>
            </w:r>
          </w:p>
        </w:tc>
      </w:tr>
      <w:tr>
        <w:trPr>
          <w:trHeight w:val="236"/>
        </w:trPr>
        <w:tc>
          <w:tcPr>
            <w:tcW w:w="276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0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7.6%</w:t>
            </w:r>
          </w:p>
        </w:tc>
        <w:tc>
          <w:tcPr>
            <w:tcW w:w="52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6.9%</w:t>
            </w:r>
          </w:p>
        </w:tc>
        <w:tc>
          <w:tcPr>
            <w:tcW w:w="1220" w:type="dxa"/>
            <w:vAlign w:val="bottom"/>
            <w:tcBorders>
              <w:bottom w:val="single" w:sz="8" w:color="901588"/>
            </w:tcBorders>
          </w:tcPr>
          <w:p>
            <w:pPr>
              <w:spacing w:after="0"/>
              <w:rPr>
                <w:sz w:val="20"/>
                <w:szCs w:val="20"/>
                <w:color w:val="auto"/>
              </w:rPr>
            </w:pPr>
          </w:p>
        </w:tc>
        <w:tc>
          <w:tcPr>
            <w:tcW w:w="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7.1%</w:t>
            </w:r>
          </w:p>
        </w:tc>
        <w:tc>
          <w:tcPr>
            <w:tcW w:w="52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5.7%</w:t>
            </w:r>
          </w:p>
        </w:tc>
        <w:tc>
          <w:tcPr>
            <w:tcW w:w="122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-496570</wp:posOffset>
            </wp:positionV>
            <wp:extent cx="882650" cy="488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2650" cy="4889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-496570</wp:posOffset>
            </wp:positionV>
            <wp:extent cx="908685" cy="4889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685" cy="488950"/>
                    </a:xfrm>
                    <a:prstGeom prst="rect">
                      <a:avLst/>
                    </a:prstGeom>
                    <a:noFill/>
                  </pic:spPr>
                </pic:pic>
              </a:graphicData>
            </a:graphic>
          </wp:anchor>
        </w:drawing>
      </w:r>
    </w:p>
    <w:p>
      <w:pPr>
        <w:spacing w:after="0" w:line="276" w:lineRule="exact"/>
        <w:rPr>
          <w:sz w:val="20"/>
          <w:szCs w:val="20"/>
          <w:color w:val="auto"/>
        </w:rPr>
      </w:pPr>
    </w:p>
    <w:p>
      <w:pPr>
        <w:ind w:right="700"/>
        <w:spacing w:after="0" w:line="292" w:lineRule="auto"/>
        <w:rPr>
          <w:sz w:val="20"/>
          <w:szCs w:val="20"/>
          <w:color w:val="auto"/>
        </w:rPr>
      </w:pPr>
      <w:r>
        <w:rPr>
          <w:rFonts w:ascii="Arial" w:cs="Arial" w:eastAsia="Arial" w:hAnsi="Arial"/>
          <w:sz w:val="16"/>
          <w:szCs w:val="16"/>
          <w:color w:val="auto"/>
        </w:rPr>
        <w:t>The increase in revenues for the three and six months ended July 4, 2025, as compared to the three and six months ended June 28, 2024, was primarily attributable to program wins and a net increase in volumes, partially offset by the completion of certain programs and program write-ups in the prior year that did not reoccur in the current year.</w:t>
      </w:r>
    </w:p>
    <w:p>
      <w:pPr>
        <w:spacing w:after="0" w:line="71"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The increase in operating income for the three and six months ended July 4, 2025, as compared to the three and six months ended June 28, 2024, was primarily attributable to program wins, partially offset by program write-ups in the prior year that did not reoccur in the current year.</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320"/>
        <w:spacing w:after="0"/>
        <w:tabs>
          <w:tab w:leader="none" w:pos="11040" w:val="left"/>
        </w:tabs>
        <w:rPr>
          <w:sz w:val="20"/>
          <w:szCs w:val="20"/>
          <w:color w:val="auto"/>
        </w:rPr>
      </w:pPr>
      <w:r>
        <w:rPr>
          <w:rFonts w:ascii="Arial" w:cs="Arial" w:eastAsia="Arial" w:hAnsi="Arial"/>
          <w:sz w:val="14"/>
          <w:szCs w:val="14"/>
          <w:b w:val="1"/>
          <w:bCs w:val="1"/>
          <w:color w:val="901588"/>
        </w:rPr>
        <w:t>Leidos Holdings, Inc.</w:t>
      </w:r>
      <w:r>
        <w:rPr>
          <w:sz w:val="20"/>
          <w:szCs w:val="20"/>
          <w:color w:val="auto"/>
        </w:rPr>
        <w:tab/>
      </w:r>
      <w:r>
        <w:rPr>
          <w:rFonts w:ascii="Arial" w:cs="Arial" w:eastAsia="Arial" w:hAnsi="Arial"/>
          <w:sz w:val="14"/>
          <w:szCs w:val="14"/>
          <w:b w:val="1"/>
          <w:bCs w:val="1"/>
          <w:color w:val="901588"/>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2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2460" w:type="dxa"/>
            <w:vAlign w:val="bottom"/>
            <w:tcBorders>
              <w:bottom w:val="single" w:sz="8" w:color="901588"/>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Borders>
              <w:bottom w:val="single" w:sz="8" w:color="901588"/>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spacing w:after="0"/>
              <w:rPr>
                <w:sz w:val="19"/>
                <w:szCs w:val="19"/>
                <w:color w:val="auto"/>
              </w:rPr>
            </w:pPr>
          </w:p>
        </w:tc>
        <w:tc>
          <w:tcPr>
            <w:tcW w:w="152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Borders>
              <w:bottom w:val="single" w:sz="8" w:color="901588"/>
            </w:tcBorders>
          </w:tcPr>
          <w:p>
            <w:pPr>
              <w:spacing w:after="0"/>
              <w:rPr>
                <w:sz w:val="19"/>
                <w:szCs w:val="19"/>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Corporate</w:t>
            </w:r>
          </w:p>
        </w:tc>
        <w:tc>
          <w:tcPr>
            <w:tcW w:w="460" w:type="dxa"/>
            <w:vAlign w:val="bottom"/>
            <w:shd w:val="clear" w:color="auto" w:fill="F4E8F3"/>
          </w:tcPr>
          <w:p>
            <w:pPr>
              <w:spacing w:after="0"/>
              <w:rPr>
                <w:sz w:val="17"/>
                <w:szCs w:val="17"/>
                <w:color w:val="auto"/>
              </w:rPr>
            </w:pPr>
          </w:p>
        </w:tc>
        <w:tc>
          <w:tcPr>
            <w:tcW w:w="8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50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June 28,</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shd w:val="clear" w:color="auto" w:fill="F4E8F3"/>
          </w:tcPr>
          <w:p>
            <w:pPr>
              <w:spacing w:after="0"/>
              <w:rPr>
                <w:sz w:val="17"/>
                <w:szCs w:val="17"/>
                <w:color w:val="auto"/>
              </w:rPr>
            </w:pPr>
          </w:p>
        </w:tc>
        <w:tc>
          <w:tcPr>
            <w:tcW w:w="840" w:type="dxa"/>
            <w:vAlign w:val="bottom"/>
            <w:shd w:val="clear" w:color="auto" w:fill="F4E8F3"/>
          </w:tcPr>
          <w:p>
            <w:pPr>
              <w:jc w:val="right"/>
              <w:spacing w:after="0"/>
              <w:rPr>
                <w:sz w:val="20"/>
                <w:szCs w:val="20"/>
                <w:color w:val="auto"/>
              </w:rPr>
            </w:pPr>
            <w:r>
              <w:rPr>
                <w:rFonts w:ascii="Arial" w:cs="Arial" w:eastAsia="Arial" w:hAnsi="Arial"/>
                <w:sz w:val="14"/>
                <w:szCs w:val="14"/>
                <w:b w:val="1"/>
                <w:bCs w:val="1"/>
                <w:color w:val="auto"/>
              </w:rPr>
              <w:t>July 4,</w:t>
            </w:r>
          </w:p>
        </w:tc>
        <w:tc>
          <w:tcPr>
            <w:tcW w:w="4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June 28,</w:t>
            </w:r>
          </w:p>
        </w:tc>
        <w:tc>
          <w:tcPr>
            <w:tcW w:w="1260" w:type="dxa"/>
            <w:vAlign w:val="bottom"/>
          </w:tcPr>
          <w:p>
            <w:pPr>
              <w:spacing w:after="0"/>
              <w:rPr>
                <w:sz w:val="17"/>
                <w:szCs w:val="17"/>
                <w:color w:val="auto"/>
              </w:rPr>
            </w:pPr>
          </w:p>
        </w:tc>
      </w:tr>
      <w:tr>
        <w:trPr>
          <w:trHeight w:val="237"/>
        </w:trPr>
        <w:tc>
          <w:tcPr>
            <w:tcW w:w="29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460" w:type="dxa"/>
            <w:vAlign w:val="bottom"/>
            <w:tcBorders>
              <w:bottom w:val="single" w:sz="8" w:color="901588"/>
            </w:tcBorders>
            <w:shd w:val="clear" w:color="auto" w:fill="F4E8F3"/>
          </w:tcPr>
          <w:p>
            <w:pPr>
              <w:spacing w:after="0"/>
              <w:rPr>
                <w:sz w:val="20"/>
                <w:szCs w:val="20"/>
                <w:color w:val="auto"/>
              </w:rPr>
            </w:pP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ind w:right="119"/>
              <w:spacing w:after="0"/>
              <w:rPr>
                <w:sz w:val="20"/>
                <w:szCs w:val="20"/>
                <w:color w:val="auto"/>
              </w:rPr>
            </w:pPr>
            <w:r>
              <w:rPr>
                <w:rFonts w:ascii="Arial" w:cs="Arial" w:eastAsia="Arial" w:hAnsi="Arial"/>
                <w:sz w:val="16"/>
                <w:szCs w:val="16"/>
                <w:color w:val="auto"/>
              </w:rPr>
              <w:t>2024</w:t>
            </w:r>
          </w:p>
        </w:tc>
        <w:tc>
          <w:tcPr>
            <w:tcW w:w="130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Percent change</w:t>
            </w:r>
          </w:p>
        </w:tc>
        <w:tc>
          <w:tcPr>
            <w:tcW w:w="480" w:type="dxa"/>
            <w:vAlign w:val="bottom"/>
            <w:tcBorders>
              <w:bottom w:val="single" w:sz="8" w:color="901588"/>
            </w:tcBorders>
            <w:shd w:val="clear" w:color="auto" w:fill="F4E8F3"/>
          </w:tcPr>
          <w:p>
            <w:pPr>
              <w:spacing w:after="0"/>
              <w:rPr>
                <w:sz w:val="20"/>
                <w:szCs w:val="20"/>
                <w:color w:val="auto"/>
              </w:rPr>
            </w:pP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2024</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29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Operating loss</w:t>
            </w:r>
          </w:p>
        </w:tc>
        <w:tc>
          <w:tcPr>
            <w:tcW w:w="460" w:type="dxa"/>
            <w:vAlign w:val="bottom"/>
            <w:tcBorders>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w:t>
            </w:r>
          </w:p>
        </w:tc>
        <w:tc>
          <w:tcPr>
            <w:tcW w:w="500" w:type="dxa"/>
            <w:vAlign w:val="bottom"/>
            <w:tcBorders>
              <w:bottom w:val="single" w:sz="8" w:color="901588"/>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01588"/>
            </w:tcBorders>
          </w:tcPr>
          <w:p>
            <w:pPr>
              <w:jc w:val="right"/>
              <w:ind w:right="119"/>
              <w:spacing w:after="0"/>
              <w:rPr>
                <w:sz w:val="20"/>
                <w:szCs w:val="20"/>
                <w:color w:val="auto"/>
              </w:rPr>
            </w:pPr>
            <w:r>
              <w:rPr>
                <w:rFonts w:ascii="Arial" w:cs="Arial" w:eastAsia="Arial" w:hAnsi="Arial"/>
                <w:sz w:val="16"/>
                <w:szCs w:val="16"/>
                <w:color w:val="auto"/>
              </w:rPr>
              <w:t>(38)</w:t>
            </w:r>
          </w:p>
        </w:tc>
        <w:tc>
          <w:tcPr>
            <w:tcW w:w="12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shd w:val="clear" w:color="auto" w:fill="F4E8F3"/>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w:t>
            </w:r>
          </w:p>
        </w:tc>
        <w:tc>
          <w:tcPr>
            <w:tcW w:w="48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(75)</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(54.7%)</w:t>
            </w:r>
          </w:p>
        </w:tc>
      </w:tr>
    </w:tbl>
    <w:p>
      <w:pPr>
        <w:spacing w:after="0" w:line="188" w:lineRule="exact"/>
        <w:rPr>
          <w:sz w:val="20"/>
          <w:szCs w:val="20"/>
          <w:color w:val="auto"/>
        </w:rPr>
      </w:pPr>
    </w:p>
    <w:p>
      <w:pPr>
        <w:jc w:val="both"/>
        <w:ind w:right="560"/>
        <w:spacing w:after="0" w:line="292" w:lineRule="auto"/>
        <w:rPr>
          <w:sz w:val="20"/>
          <w:szCs w:val="20"/>
          <w:color w:val="auto"/>
        </w:rPr>
      </w:pPr>
      <w:r>
        <w:rPr>
          <w:rFonts w:ascii="Arial" w:cs="Arial" w:eastAsia="Arial" w:hAnsi="Arial"/>
          <w:sz w:val="16"/>
          <w:szCs w:val="16"/>
          <w:color w:val="auto"/>
        </w:rPr>
        <w:t>The decrease in operating loss for the three and six months ended July 4, 2025, as compared to the three and six months ended June 28, 2024, was primarily attributable to the receipt of a $25 million insurance reimbursement for legal costs primarily incurred prior to fiscal year 2025, and decreased general and administrative expenses.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NON-OPERATING EXPENSE, NET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Non-operating expense, net for the three months ended July 4, 2025, was $53 million as compared to $49 million for the three months ended June 28, 2024.</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driven by increased interest expense as a result of the two $500 million senior notes issued in February 2025.</w:t>
      </w:r>
    </w:p>
    <w:p>
      <w:pPr>
        <w:spacing w:after="0" w:line="128"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Non-operating expense, net for the six months ended July 4, 2025, was $105 million as compared to $96 million for the six months ended June 28, 2024. The increase was primarily driven by increased interest expense as a result of the two $500 million senior notes issued in February 2025 and unfavorable exchange rate movements.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PROVISION FOR INCOME TAXES</w:t>
      </w:r>
    </w:p>
    <w:p>
      <w:pPr>
        <w:spacing w:after="0" w:line="13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On July 4, 2025, tax legislation was enacted in H.R.1 Reconciliation Act, commonly referred to as the One Big Beautiful Bill Act (the “OBBBA”) implementing several corporate tax law changes, including but not limited to, (1) restoring the immediate expensing of U.S. research and development costs; (2) allowing certain taxpayers an election to deduct the unamortized balance of U.S. research and development costs capitalized in prior years; and (3) reinstating one hundred percent bonus depreciation for eligible property. The enactment of the OBBBA resulted in a decrease of $150 million to income taxes payable and a decrease of $130 million to deferred tax assets as of July 4, 2025. Based upon our interpretation of the law as currently enacted, we estimate that the fiscal 2025 impact will result in a decrease of approximately $280 million to income taxes payable and a decrease of $245 million to net deferred taxes.</w:t>
      </w:r>
    </w:p>
    <w:p>
      <w:pPr>
        <w:spacing w:after="0" w:line="66"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For the three months ended July 4, 2025, our effective tax rate was 24.1% compared to 23.9% for the three months ended June 28, 2024. The increase to the effective tax rate was primarily due to impacts from the OBBBA, partially offset by a decrease in unrecognized tax benefits.</w:t>
      </w:r>
    </w:p>
    <w:p>
      <w:pPr>
        <w:spacing w:after="0" w:line="48"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For the six months ended July 4, 2025, our effective tax rate was 23.9% compared to 23.6% for the six months ended June 28, 2024. The increase to the effective tax rate was primarily due to impacts from the OBBBA and a decrease in excess tax benefits related to employee stock-based payment transactions, partially offset by a decrease in unrecognized tax benefits.</w:t>
      </w:r>
    </w:p>
    <w:p>
      <w:pPr>
        <w:spacing w:after="0" w:line="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December 2021, the Organization for Economic Cooperation and Development enacted model rules for a new 15% global minimum tax framework (“Pillar Two”). Many governments around the world have enacted or are in the process of enacting Pillar Two legislation. The Pillar Two legislation became effective for certain jurisdictions beginning in fiscal 2024. We will continue to evaluate the impact of the rules as additional legislation gets enacted; however, there has been no material impact from jurisdictions where Pillar Two rules are currently in effect.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BOOKINGS AND BACKLOG</w:t>
      </w:r>
    </w:p>
    <w:p>
      <w:pPr>
        <w:spacing w:after="0" w:line="11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Effective for the first quarter of fiscal 2025, we changed our backlog policy to include estimated future revenue on task orders expected to be awarded under sole source indefinite delivery/indefinite quantity ("IDIQ") contracts in our reported backlog. We believe this presentation provides enhanced visibility for investors and more accurately reflects the future revenues we expect to generate from our business.</w:t>
      </w:r>
    </w:p>
    <w:p>
      <w:pPr>
        <w:spacing w:after="0" w:line="98"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We recorded net bookings worth an estimated $3.9 billion and $6.0 billion during the three and six months ended July 4, 2025, respectively, as compared to $4.0 billion and $7.8 billion for the three and six months ended June 28, 2024, respectively.</w:t>
      </w:r>
    </w:p>
    <w:p>
      <w:pPr>
        <w:spacing w:after="0" w:line="200" w:lineRule="exact"/>
        <w:rPr>
          <w:sz w:val="20"/>
          <w:szCs w:val="20"/>
          <w:color w:val="auto"/>
        </w:rPr>
      </w:pPr>
    </w:p>
    <w:p>
      <w:pPr>
        <w:spacing w:after="0" w:line="352" w:lineRule="exact"/>
        <w:rPr>
          <w:sz w:val="20"/>
          <w:szCs w:val="20"/>
          <w:color w:val="auto"/>
        </w:rPr>
      </w:pPr>
    </w:p>
    <w:p>
      <w:pPr>
        <w:ind w:left="480" w:hanging="454"/>
        <w:spacing w:after="0"/>
        <w:tabs>
          <w:tab w:leader="none" w:pos="480" w:val="left"/>
        </w:tabs>
        <w:numPr>
          <w:ilvl w:val="0"/>
          <w:numId w:val="19"/>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estimated value of our total backlog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00" w:type="dxa"/>
            <w:vAlign w:val="bottom"/>
          </w:tcPr>
          <w:p>
            <w:pPr>
              <w:spacing w:after="0"/>
              <w:rPr>
                <w:sz w:val="21"/>
                <w:szCs w:val="21"/>
                <w:color w:val="auto"/>
              </w:rPr>
            </w:pP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80" w:type="dxa"/>
            <w:vAlign w:val="bottom"/>
            <w:tcBorders>
              <w:bottom w:val="single" w:sz="8" w:color="901588"/>
            </w:tcBorders>
            <w:shd w:val="clear" w:color="auto" w:fill="F4E8F3"/>
          </w:tcPr>
          <w:p>
            <w:pPr>
              <w:spacing w:after="0"/>
              <w:rPr>
                <w:sz w:val="21"/>
                <w:szCs w:val="21"/>
                <w:color w:val="auto"/>
              </w:rPr>
            </w:pPr>
          </w:p>
        </w:tc>
        <w:tc>
          <w:tcPr>
            <w:tcW w:w="180" w:type="dxa"/>
            <w:vAlign w:val="bottom"/>
            <w:tcBorders>
              <w:bottom w:val="single" w:sz="8" w:color="901588"/>
            </w:tcBorders>
            <w:shd w:val="clear" w:color="auto" w:fill="F4E8F3"/>
          </w:tcPr>
          <w:p>
            <w:pPr>
              <w:spacing w:after="0"/>
              <w:rPr>
                <w:sz w:val="21"/>
                <w:szCs w:val="21"/>
                <w:color w:val="auto"/>
              </w:rPr>
            </w:pPr>
          </w:p>
        </w:tc>
        <w:tc>
          <w:tcPr>
            <w:tcW w:w="1260" w:type="dxa"/>
            <w:vAlign w:val="bottom"/>
            <w:tcBorders>
              <w:bottom w:val="single" w:sz="8" w:color="901588"/>
            </w:tcBorders>
            <w:gridSpan w:val="2"/>
            <w:shd w:val="clear" w:color="auto" w:fill="F4E8F3"/>
          </w:tcPr>
          <w:p>
            <w:pPr>
              <w:ind w:left="40"/>
              <w:spacing w:after="0"/>
              <w:rPr>
                <w:sz w:val="20"/>
                <w:szCs w:val="20"/>
                <w:color w:val="auto"/>
              </w:rPr>
            </w:pPr>
            <w:r>
              <w:rPr>
                <w:rFonts w:ascii="Arial" w:cs="Arial" w:eastAsia="Arial" w:hAnsi="Arial"/>
                <w:sz w:val="16"/>
                <w:szCs w:val="16"/>
                <w:b w:val="1"/>
                <w:bCs w:val="1"/>
                <w:color w:val="auto"/>
              </w:rPr>
              <w:t>July 4, 2025</w:t>
            </w: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1420" w:type="dxa"/>
            <w:vAlign w:val="bottom"/>
            <w:tcBorders>
              <w:bottom w:val="single" w:sz="8" w:color="901588"/>
            </w:tcBorders>
            <w:gridSpan w:val="3"/>
          </w:tcPr>
          <w:p>
            <w:pPr>
              <w:ind w:left="80"/>
              <w:spacing w:after="0"/>
              <w:rPr>
                <w:sz w:val="20"/>
                <w:szCs w:val="20"/>
                <w:color w:val="auto"/>
              </w:rPr>
            </w:pPr>
            <w:r>
              <w:rPr>
                <w:rFonts w:ascii="Arial" w:cs="Arial" w:eastAsia="Arial" w:hAnsi="Arial"/>
                <w:sz w:val="16"/>
                <w:szCs w:val="16"/>
                <w:color w:val="auto"/>
              </w:rPr>
              <w:t>June 28, 2024</w:t>
            </w:r>
            <w:r>
              <w:rPr>
                <w:rFonts w:ascii="Arial" w:cs="Arial" w:eastAsia="Arial" w:hAnsi="Arial"/>
                <w:sz w:val="21"/>
                <w:szCs w:val="21"/>
                <w:color w:val="auto"/>
                <w:vertAlign w:val="superscript"/>
              </w:rPr>
              <w:t>(1)</w:t>
            </w:r>
          </w:p>
        </w:tc>
        <w:tc>
          <w:tcPr>
            <w:tcW w:w="44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spacing w:after="0"/>
              <w:rPr>
                <w:sz w:val="21"/>
                <w:szCs w:val="21"/>
                <w:color w:val="auto"/>
              </w:rPr>
            </w:pPr>
          </w:p>
        </w:tc>
      </w:tr>
      <w:tr>
        <w:trPr>
          <w:trHeight w:val="230"/>
        </w:trPr>
        <w:tc>
          <w:tcPr>
            <w:tcW w:w="28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color w:val="auto"/>
              </w:rPr>
              <w:t>Funded</w:t>
            </w:r>
          </w:p>
        </w:tc>
        <w:tc>
          <w:tcPr>
            <w:tcW w:w="80" w:type="dxa"/>
            <w:vAlign w:val="bottom"/>
            <w:tcBorders>
              <w:bottom w:val="single" w:sz="8" w:color="901588"/>
            </w:tcBorders>
            <w:shd w:val="clear" w:color="auto" w:fill="F4E8F3"/>
          </w:tcPr>
          <w:p>
            <w:pPr>
              <w:spacing w:after="0"/>
              <w:rPr>
                <w:sz w:val="20"/>
                <w:szCs w:val="20"/>
                <w:color w:val="auto"/>
              </w:rPr>
            </w:pPr>
          </w:p>
        </w:tc>
        <w:tc>
          <w:tcPr>
            <w:tcW w:w="180" w:type="dxa"/>
            <w:vAlign w:val="bottom"/>
            <w:tcBorders>
              <w:bottom w:val="single" w:sz="8" w:color="901588"/>
            </w:tcBorders>
            <w:shd w:val="clear" w:color="auto" w:fill="F4E8F3"/>
          </w:tcPr>
          <w:p>
            <w:pPr>
              <w:spacing w:after="0"/>
              <w:rPr>
                <w:sz w:val="20"/>
                <w:szCs w:val="20"/>
                <w:color w:val="auto"/>
              </w:rPr>
            </w:pPr>
          </w:p>
        </w:tc>
        <w:tc>
          <w:tcPr>
            <w:tcW w:w="1260" w:type="dxa"/>
            <w:vAlign w:val="bottom"/>
            <w:tcBorders>
              <w:bottom w:val="single" w:sz="8" w:color="901588"/>
            </w:tcBorders>
            <w:gridSpan w:val="2"/>
            <w:shd w:val="clear" w:color="auto" w:fill="F4E8F3"/>
          </w:tcPr>
          <w:p>
            <w:pPr>
              <w:ind w:left="440"/>
              <w:spacing w:after="0"/>
              <w:rPr>
                <w:sz w:val="20"/>
                <w:szCs w:val="20"/>
                <w:color w:val="auto"/>
              </w:rPr>
            </w:pPr>
            <w:r>
              <w:rPr>
                <w:rFonts w:ascii="Arial" w:cs="Arial" w:eastAsia="Arial" w:hAnsi="Arial"/>
                <w:sz w:val="16"/>
                <w:szCs w:val="16"/>
                <w:color w:val="auto"/>
              </w:rPr>
              <w:t>Unfunded</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1000" w:type="dxa"/>
            <w:vAlign w:val="bottom"/>
            <w:tcBorders>
              <w:bottom w:val="single" w:sz="8" w:color="901588"/>
            </w:tcBorders>
            <w:gridSpan w:val="2"/>
          </w:tcPr>
          <w:p>
            <w:pPr>
              <w:jc w:val="center"/>
              <w:ind w:left="139"/>
              <w:spacing w:after="0"/>
              <w:rPr>
                <w:sz w:val="20"/>
                <w:szCs w:val="20"/>
                <w:color w:val="auto"/>
              </w:rPr>
            </w:pPr>
            <w:r>
              <w:rPr>
                <w:rFonts w:ascii="Arial" w:cs="Arial" w:eastAsia="Arial" w:hAnsi="Arial"/>
                <w:sz w:val="16"/>
                <w:szCs w:val="16"/>
                <w:color w:val="auto"/>
                <w:w w:val="99"/>
              </w:rPr>
              <w:t>Funded</w:t>
            </w: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gridSpan w:val="2"/>
          </w:tcPr>
          <w:p>
            <w:pPr>
              <w:ind w:left="240"/>
              <w:spacing w:after="0"/>
              <w:rPr>
                <w:sz w:val="20"/>
                <w:szCs w:val="20"/>
                <w:color w:val="auto"/>
              </w:rPr>
            </w:pPr>
            <w:r>
              <w:rPr>
                <w:rFonts w:ascii="Arial" w:cs="Arial" w:eastAsia="Arial" w:hAnsi="Arial"/>
                <w:sz w:val="16"/>
                <w:szCs w:val="16"/>
                <w:color w:val="auto"/>
              </w:rPr>
              <w:t>Unfunded</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9"/>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National Security &amp; Digital</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2,536</w:t>
            </w:r>
          </w:p>
        </w:tc>
        <w:tc>
          <w:tcPr>
            <w:tcW w:w="26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22,325</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24,861</w:t>
            </w:r>
          </w:p>
        </w:tc>
        <w:tc>
          <w:tcPr>
            <w:tcW w:w="520" w:type="dxa"/>
            <w:vAlign w:val="bottom"/>
            <w:tcBorders>
              <w:bottom w:val="single" w:sz="8" w:color="B2B2B2"/>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center"/>
              <w:ind w:left="259"/>
              <w:spacing w:after="0"/>
              <w:rPr>
                <w:sz w:val="20"/>
                <w:szCs w:val="20"/>
                <w:color w:val="auto"/>
              </w:rPr>
            </w:pPr>
            <w:r>
              <w:rPr>
                <w:rFonts w:ascii="Arial" w:cs="Arial" w:eastAsia="Arial" w:hAnsi="Arial"/>
                <w:sz w:val="16"/>
                <w:szCs w:val="16"/>
                <w:color w:val="auto"/>
                <w:w w:val="99"/>
              </w:rPr>
              <w:t>2,681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19,704</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22,385</w:t>
            </w:r>
          </w:p>
        </w:tc>
      </w:tr>
      <w:tr>
        <w:trPr>
          <w:trHeight w:val="236"/>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Health &amp; Civil</w:t>
            </w: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649</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B2B2B2"/>
            </w:tcBorders>
            <w:shd w:val="clear" w:color="auto" w:fill="F4E8F3"/>
          </w:tcPr>
          <w:p>
            <w:pPr>
              <w:spacing w:after="0"/>
              <w:rPr>
                <w:sz w:val="20"/>
                <w:szCs w:val="20"/>
                <w:color w:val="auto"/>
              </w:rPr>
            </w:pPr>
          </w:p>
        </w:tc>
        <w:tc>
          <w:tcPr>
            <w:tcW w:w="11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10,139</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10,788</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center"/>
              <w:ind w:left="259"/>
              <w:spacing w:after="0"/>
              <w:rPr>
                <w:sz w:val="20"/>
                <w:szCs w:val="20"/>
                <w:color w:val="auto"/>
              </w:rPr>
            </w:pPr>
            <w:r>
              <w:rPr>
                <w:rFonts w:ascii="Arial" w:cs="Arial" w:eastAsia="Arial" w:hAnsi="Arial"/>
                <w:sz w:val="16"/>
                <w:szCs w:val="16"/>
                <w:color w:val="auto"/>
                <w:w w:val="99"/>
              </w:rPr>
              <w:t>1,607</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9,015</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10,622</w:t>
            </w:r>
          </w:p>
        </w:tc>
      </w:tr>
      <w:tr>
        <w:trPr>
          <w:trHeight w:val="237"/>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&amp; International</w:t>
            </w: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2,589</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B2B2B2"/>
            </w:tcBorders>
            <w:shd w:val="clear" w:color="auto" w:fill="F4E8F3"/>
          </w:tcPr>
          <w:p>
            <w:pPr>
              <w:spacing w:after="0"/>
              <w:rPr>
                <w:sz w:val="20"/>
                <w:szCs w:val="20"/>
                <w:color w:val="auto"/>
              </w:rPr>
            </w:pPr>
          </w:p>
        </w:tc>
        <w:tc>
          <w:tcPr>
            <w:tcW w:w="11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2,510</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5,099</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center"/>
              <w:ind w:left="259"/>
              <w:spacing w:after="0"/>
              <w:rPr>
                <w:sz w:val="20"/>
                <w:szCs w:val="20"/>
                <w:color w:val="auto"/>
              </w:rPr>
            </w:pPr>
            <w:r>
              <w:rPr>
                <w:rFonts w:ascii="Arial" w:cs="Arial" w:eastAsia="Arial" w:hAnsi="Arial"/>
                <w:sz w:val="16"/>
                <w:szCs w:val="16"/>
                <w:color w:val="auto"/>
                <w:w w:val="99"/>
              </w:rPr>
              <w:t>2,699</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1,886</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4,585</w:t>
            </w:r>
          </w:p>
        </w:tc>
      </w:tr>
      <w:tr>
        <w:trPr>
          <w:trHeight w:val="237"/>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Defense Systems</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1,348</w:t>
            </w:r>
          </w:p>
        </w:tc>
        <w:tc>
          <w:tcPr>
            <w:tcW w:w="80" w:type="dxa"/>
            <w:vAlign w:val="bottom"/>
            <w:tcBorders>
              <w:bottom w:val="single" w:sz="8" w:color="B2B2B2"/>
            </w:tcBorders>
            <w:shd w:val="clear" w:color="auto" w:fill="F4E8F3"/>
          </w:tcPr>
          <w:p>
            <w:pPr>
              <w:spacing w:after="0"/>
              <w:rPr>
                <w:sz w:val="20"/>
                <w:szCs w:val="20"/>
                <w:color w:val="auto"/>
              </w:rPr>
            </w:pPr>
          </w:p>
        </w:tc>
        <w:tc>
          <w:tcPr>
            <w:tcW w:w="180" w:type="dxa"/>
            <w:vAlign w:val="bottom"/>
            <w:tcBorders>
              <w:bottom w:val="single" w:sz="8" w:color="901588"/>
            </w:tcBorders>
            <w:shd w:val="clear" w:color="auto" w:fill="F4E8F3"/>
          </w:tcPr>
          <w:p>
            <w:pPr>
              <w:spacing w:after="0"/>
              <w:rPr>
                <w:sz w:val="20"/>
                <w:szCs w:val="20"/>
                <w:color w:val="auto"/>
              </w:rPr>
            </w:pPr>
          </w:p>
        </w:tc>
        <w:tc>
          <w:tcPr>
            <w:tcW w:w="1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4,114</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5,462</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center"/>
              <w:ind w:left="259"/>
              <w:spacing w:after="0"/>
              <w:rPr>
                <w:sz w:val="20"/>
                <w:szCs w:val="20"/>
                <w:color w:val="auto"/>
              </w:rPr>
            </w:pPr>
            <w:r>
              <w:rPr>
                <w:rFonts w:ascii="Arial" w:cs="Arial" w:eastAsia="Arial" w:hAnsi="Arial"/>
                <w:sz w:val="16"/>
                <w:szCs w:val="16"/>
                <w:color w:val="auto"/>
                <w:w w:val="99"/>
              </w:rPr>
              <w:t>1,036</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3,959</w:t>
            </w:r>
          </w:p>
        </w:tc>
      </w:tr>
      <w:tr>
        <w:trPr>
          <w:trHeight w:val="300"/>
        </w:trPr>
        <w:tc>
          <w:tcPr>
            <w:tcW w:w="28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901588"/>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7,122</w:t>
            </w:r>
          </w:p>
        </w:tc>
        <w:tc>
          <w:tcPr>
            <w:tcW w:w="80" w:type="dxa"/>
            <w:vAlign w:val="bottom"/>
            <w:tcBorders>
              <w:bottom w:val="single" w:sz="8" w:color="901588"/>
            </w:tcBorders>
            <w:shd w:val="clear" w:color="auto" w:fill="F4E8F3"/>
          </w:tcPr>
          <w:p>
            <w:pPr>
              <w:spacing w:after="0"/>
              <w:rPr>
                <w:sz w:val="24"/>
                <w:szCs w:val="24"/>
                <w:color w:val="auto"/>
              </w:rPr>
            </w:pPr>
          </w:p>
        </w:tc>
        <w:tc>
          <w:tcPr>
            <w:tcW w:w="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39,088</w:t>
            </w:r>
          </w:p>
        </w:tc>
        <w:tc>
          <w:tcPr>
            <w:tcW w:w="100" w:type="dxa"/>
            <w:vAlign w:val="bottom"/>
            <w:tcBorders>
              <w:bottom w:val="single" w:sz="8" w:color="901588"/>
            </w:tcBorders>
            <w:shd w:val="clear" w:color="auto" w:fill="F4E8F3"/>
          </w:tcPr>
          <w:p>
            <w:pPr>
              <w:spacing w:after="0"/>
              <w:rPr>
                <w:sz w:val="24"/>
                <w:szCs w:val="24"/>
                <w:color w:val="auto"/>
              </w:rPr>
            </w:pP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46,210</w:t>
            </w:r>
          </w:p>
        </w:tc>
        <w:tc>
          <w:tcPr>
            <w:tcW w:w="520" w:type="dxa"/>
            <w:vAlign w:val="bottom"/>
            <w:tcBorders>
              <w:bottom w:val="single" w:sz="8" w:color="901588"/>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center"/>
              <w:ind w:left="259"/>
              <w:spacing w:after="0"/>
              <w:rPr>
                <w:sz w:val="20"/>
                <w:szCs w:val="20"/>
                <w:color w:val="auto"/>
              </w:rPr>
            </w:pPr>
            <w:r>
              <w:rPr>
                <w:rFonts w:ascii="Arial" w:cs="Arial" w:eastAsia="Arial" w:hAnsi="Arial"/>
                <w:sz w:val="16"/>
                <w:szCs w:val="16"/>
                <w:color w:val="auto"/>
                <w:w w:val="99"/>
              </w:rPr>
              <w:t>8,023</w:t>
            </w:r>
          </w:p>
        </w:tc>
        <w:tc>
          <w:tcPr>
            <w:tcW w:w="100" w:type="dxa"/>
            <w:vAlign w:val="bottom"/>
            <w:tcBorders>
              <w:bottom w:val="single" w:sz="8" w:color="901588"/>
            </w:tcBorders>
          </w:tcPr>
          <w:p>
            <w:pPr>
              <w:spacing w:after="0"/>
              <w:rPr>
                <w:sz w:val="24"/>
                <w:szCs w:val="24"/>
                <w:color w:val="auto"/>
              </w:rPr>
            </w:pPr>
          </w:p>
        </w:tc>
        <w:tc>
          <w:tcPr>
            <w:tcW w:w="360" w:type="dxa"/>
            <w:vAlign w:val="bottom"/>
            <w:tcBorders>
              <w:bottom w:val="single" w:sz="8" w:color="901588"/>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33,528</w:t>
            </w:r>
          </w:p>
        </w:tc>
        <w:tc>
          <w:tcPr>
            <w:tcW w:w="10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41,551</w:t>
            </w:r>
          </w:p>
        </w:tc>
      </w:tr>
    </w:tbl>
    <w:p>
      <w:pPr>
        <w:spacing w:after="0" w:line="275"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Amounts have been recast to include estimated future revenue on task orders expected to be awarded under sole source IDIQ contracts. As a result, unfunded backlog increased $5,064 million.</w:t>
      </w:r>
    </w:p>
    <w:p>
      <w:pPr>
        <w:spacing w:after="0" w:line="9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Backlog at July 4, 2025, includes $149 million of backlog acquired through the acquisition of Kudu Dynamics within our National Security &amp; Digital reportable segment.</w:t>
      </w:r>
    </w:p>
    <w:p>
      <w:pPr>
        <w:spacing w:after="0" w:line="48"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Backlog represents the revenues we expect to recognize under negotiated contracts and unissued task orders on sole source IDIQ contracts, to the extent we believe their execution and funding to be probable. Backlog does not include potential task orders expected to be awarded under multiple award IDIQ contracts.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Backlog estimates are subject to change and may be affected by factors including modifications of contracts and foreign currency movements.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OVERVIEW OF LIQUIDITY</w:t>
      </w:r>
    </w:p>
    <w:p>
      <w:pPr>
        <w:spacing w:after="0" w:line="117"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As of July 4, 2025, we had $930 million in cash and cash equivalents. We have a senior unsecured revolving credit facility which can provide up to $1 billion in additional borrowing, if required. As of July 4, 2025, and January 3, 2025, there were no borrowings outstanding under the revolving credit facility.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had outstanding debt of $5.1 billion and $4.7 billion at July 4, 2025, and January 3, 2025, respectively. In February 2025, we issued and sold</w:t>
      </w:r>
    </w:p>
    <w:p>
      <w:pPr>
        <w:spacing w:after="0" w:line="31"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$500 million 5.40% and $500 million 5.50% senior unsecured notes maturing in March 2032 and March 2035, respectively. The annual interest rate is payable on a semi-annual basis. The proceeds from the issuance of the notes were used to retire the $500 million senior unsecured notes due May 2025 and repurchase $500 million outstanding shares of common stock in an accelerated share repurchase agreement (“ASR”) as discussed below.</w:t>
      </w:r>
    </w:p>
    <w:p>
      <w:pPr>
        <w:spacing w:after="0" w:line="75"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We have a commercial paper program in which we may issue short-term unsecured commercial paper notes ("Commercial Paper Notes") and have maturities of up to 397 days from the date of issuance. As of July 4, 2025, and January 3, 2025, we did not have any Commercial Paper Notes outstanding.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We made principal payments on our debt of $30 million and $559 million during the three and six months ended July 4, 2025, respectively, and $5 million</w:t>
      </w:r>
    </w:p>
    <w:p>
      <w:pPr>
        <w:spacing w:after="0" w:line="59"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and $9 million for the three and six months ended June 28, 2024, respectively. The activity for the six months ended July 4, 2025, included a $500 million payment to discharge the $500 million notes due May 2025.</w:t>
      </w:r>
    </w:p>
    <w:p>
      <w:pPr>
        <w:spacing w:after="0" w:line="60"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Our senior unsecured term loan, senior unsecured notes and senior unsecured revolving facility contain financial covenants and customary restrictive covenants. We were in compliance with all financial covenants as of July 4, 2025.</w:t>
      </w:r>
    </w:p>
    <w:p>
      <w:pPr>
        <w:spacing w:after="0" w:line="34"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We paid dividends of $52 million and $105 million during the three and six months ended July 4, 2025, respectively, and $51 million and $104 million during the three and six months ended June 28, 2024.</w:t>
      </w:r>
    </w:p>
    <w:p>
      <w:pPr>
        <w:spacing w:after="0" w:line="3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Stock repurchases of Leidos common stock may be made on the open market or in privately negotiated transactions with third parties including through ASR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On February 20, 2025, we entered into an ASR agreement with a financial institution to repurchase shares of our outstanding common stock. We paid</w:t>
      </w:r>
    </w:p>
    <w:p>
      <w:pPr>
        <w:spacing w:after="0" w:line="3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$500 million to the financial institution and received an initial delivery of 3 million shares at an average price of $131.50 per share. In May 2025, we received the final delivery of 0.6 million shares related to the ASR agreement. The total number of shares that we received under the ASR agreement was based on the volume-weighted-average-price of $138.44 per share, net of a discount, for the period February 20, 2025, to May 20, 2025.</w:t>
      </w:r>
    </w:p>
    <w:p>
      <w:pPr>
        <w:spacing w:after="0" w:line="57"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The purchase was recorded to "Additional paid-in capital" in the condensed consolidated balance sheets (see "Note 8–Earnings Per Share"). All shares delivered were immediately retired.</w:t>
      </w:r>
    </w:p>
    <w:p>
      <w:pPr>
        <w:spacing w:after="0" w:line="4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During the three and six months ended June 28, 2024, we made open market repurchases of our common stock for an aggregate purchase price of $100 million and $250 million, respectively. There were no open market share repurchases during the three and six months ended July 4, 2025.</w:t>
      </w:r>
    </w:p>
    <w:p>
      <w:pPr>
        <w:spacing w:after="0" w:line="6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July 4, 2025, tax legislation was enacted as part of the OBBBA, implementing several corporate tax law changes as described above within Results of Operations. We anticipate our federal and state tax payments will decrease by approximately $150 million in fiscal 2025, primarily due to the decrease in our estimated 2025 taxable income related to these changes. The actual decrease may be impacted by future guidance or interpretive rules issued by the U.S. Treasury, among other factors. We will continue to assess the effects on our liquidity as tax legislation evolves.</w:t>
      </w:r>
    </w:p>
    <w:p>
      <w:pPr>
        <w:spacing w:after="0" w:line="59"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For the next 12 months, we anticipate that we will be able to meet our liquidity needs, including servicing our debt, through cash generated from operations, available cash balances, borrowings from our commercial paper program and, if needed, sales of accounts receivable and borrowings from our revolving credit facility.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SUMMARY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 information for the periods presented: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6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198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901588"/>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c>
          <w:tcPr>
            <w:tcW w:w="1880" w:type="dxa"/>
            <w:vAlign w:val="bottom"/>
            <w:tcBorders>
              <w:bottom w:val="single" w:sz="8" w:color="901588"/>
            </w:tcBorders>
            <w:gridSpan w:val="2"/>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901588"/>
            </w:tcBorders>
          </w:tcPr>
          <w:p>
            <w:pPr>
              <w:spacing w:after="0"/>
              <w:rPr>
                <w:sz w:val="19"/>
                <w:szCs w:val="19"/>
                <w:color w:val="auto"/>
              </w:rPr>
            </w:pPr>
          </w:p>
        </w:tc>
      </w:tr>
      <w:tr>
        <w:trPr>
          <w:trHeight w:val="199"/>
        </w:trPr>
        <w:tc>
          <w:tcPr>
            <w:tcW w:w="4960" w:type="dxa"/>
            <w:vAlign w:val="bottom"/>
          </w:tcPr>
          <w:p>
            <w:pPr>
              <w:spacing w:after="0"/>
              <w:rPr>
                <w:sz w:val="17"/>
                <w:szCs w:val="17"/>
                <w:color w:val="auto"/>
              </w:rPr>
            </w:pPr>
          </w:p>
        </w:tc>
        <w:tc>
          <w:tcPr>
            <w:tcW w:w="420" w:type="dxa"/>
            <w:vAlign w:val="bottom"/>
            <w:shd w:val="clear" w:color="auto" w:fill="F4E8F3"/>
          </w:tcPr>
          <w:p>
            <w:pPr>
              <w:spacing w:after="0"/>
              <w:rPr>
                <w:sz w:val="17"/>
                <w:szCs w:val="17"/>
                <w:color w:val="auto"/>
              </w:rPr>
            </w:pP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8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June 28,</w:t>
            </w:r>
          </w:p>
        </w:tc>
        <w:tc>
          <w:tcPr>
            <w:tcW w:w="480" w:type="dxa"/>
            <w:vAlign w:val="bottom"/>
            <w:shd w:val="clear" w:color="auto" w:fill="F4E8F3"/>
          </w:tcPr>
          <w:p>
            <w:pPr>
              <w:spacing w:after="0"/>
              <w:rPr>
                <w:sz w:val="17"/>
                <w:szCs w:val="17"/>
                <w:color w:val="auto"/>
              </w:rPr>
            </w:pPr>
          </w:p>
        </w:tc>
        <w:tc>
          <w:tcPr>
            <w:tcW w:w="1060" w:type="dxa"/>
            <w:vAlign w:val="bottom"/>
            <w:shd w:val="clear" w:color="auto" w:fill="F4E8F3"/>
          </w:tcPr>
          <w:p>
            <w:pPr>
              <w:ind w:left="540"/>
              <w:spacing w:after="0"/>
              <w:rPr>
                <w:sz w:val="20"/>
                <w:szCs w:val="20"/>
                <w:color w:val="auto"/>
              </w:rPr>
            </w:pPr>
            <w:r>
              <w:rPr>
                <w:rFonts w:ascii="Arial" w:cs="Arial" w:eastAsia="Arial" w:hAnsi="Arial"/>
                <w:sz w:val="16"/>
                <w:szCs w:val="16"/>
                <w:b w:val="1"/>
                <w:bCs w:val="1"/>
                <w:color w:val="auto"/>
              </w:rPr>
              <w:t>July 4,</w:t>
            </w:r>
          </w:p>
        </w:tc>
        <w:tc>
          <w:tcPr>
            <w:tcW w:w="8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June 28,</w:t>
            </w:r>
          </w:p>
        </w:tc>
      </w:tr>
      <w:tr>
        <w:trPr>
          <w:trHeight w:val="237"/>
        </w:trPr>
        <w:tc>
          <w:tcPr>
            <w:tcW w:w="49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center"/>
              <w:ind w:left="579"/>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2024</w:t>
            </w:r>
          </w:p>
        </w:tc>
      </w:tr>
      <w:tr>
        <w:trPr>
          <w:trHeight w:val="243"/>
        </w:trPr>
        <w:tc>
          <w:tcPr>
            <w:tcW w:w="49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r>
              <w:rPr>
                <w:rFonts w:ascii="Arial" w:cs="Arial" w:eastAsia="Arial" w:hAnsi="Arial"/>
                <w:sz w:val="21"/>
                <w:szCs w:val="21"/>
                <w:color w:val="auto"/>
                <w:vertAlign w:val="superscript"/>
              </w:rPr>
              <w:t>(1)</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486</w:t>
            </w:r>
          </w:p>
        </w:tc>
        <w:tc>
          <w:tcPr>
            <w:tcW w:w="860" w:type="dxa"/>
            <w:vAlign w:val="bottom"/>
            <w:tcBorders>
              <w:bottom w:val="single" w:sz="8" w:color="B2B2B2"/>
            </w:tcBorders>
          </w:tcPr>
          <w:p>
            <w:pPr>
              <w:jc w:val="right"/>
              <w:ind w:right="5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381</w:t>
            </w:r>
          </w:p>
        </w:tc>
        <w:tc>
          <w:tcPr>
            <w:tcW w:w="80" w:type="dxa"/>
            <w:vAlign w:val="bottom"/>
            <w:tcBorders>
              <w:bottom w:val="single" w:sz="8" w:color="B2B2B2"/>
            </w:tcBorders>
          </w:tcPr>
          <w:p>
            <w:pPr>
              <w:spacing w:after="0"/>
              <w:rPr>
                <w:sz w:val="21"/>
                <w:szCs w:val="21"/>
                <w:color w:val="auto"/>
              </w:rPr>
            </w:pPr>
          </w:p>
        </w:tc>
        <w:tc>
          <w:tcPr>
            <w:tcW w:w="48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center"/>
              <w:ind w:left="579"/>
              <w:spacing w:after="0"/>
              <w:rPr>
                <w:sz w:val="20"/>
                <w:szCs w:val="20"/>
                <w:color w:val="auto"/>
              </w:rPr>
            </w:pPr>
            <w:r>
              <w:rPr>
                <w:rFonts w:ascii="Arial" w:cs="Arial" w:eastAsia="Arial" w:hAnsi="Arial"/>
                <w:sz w:val="16"/>
                <w:szCs w:val="16"/>
                <w:b w:val="1"/>
                <w:bCs w:val="1"/>
                <w:color w:val="auto"/>
              </w:rPr>
              <w:t>544</w:t>
            </w:r>
          </w:p>
        </w:tc>
        <w:tc>
          <w:tcPr>
            <w:tcW w:w="820" w:type="dxa"/>
            <w:vAlign w:val="bottom"/>
            <w:tcBorders>
              <w:bottom w:val="single" w:sz="8" w:color="B2B2B2"/>
            </w:tcBorders>
          </w:tcPr>
          <w:p>
            <w:pPr>
              <w:jc w:val="right"/>
              <w:ind w:right="5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494</w:t>
            </w:r>
          </w:p>
        </w:tc>
      </w:tr>
      <w:tr>
        <w:trPr>
          <w:trHeight w:val="233"/>
        </w:trPr>
        <w:tc>
          <w:tcPr>
            <w:tcW w:w="49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(314)</w:t>
            </w:r>
          </w:p>
        </w:tc>
        <w:tc>
          <w:tcPr>
            <w:tcW w:w="860" w:type="dxa"/>
            <w:vAlign w:val="bottom"/>
            <w:tcBorders>
              <w:bottom w:val="single" w:sz="8" w:color="B2B2B2"/>
            </w:tcBorders>
          </w:tcPr>
          <w:p>
            <w:pPr>
              <w:spacing w:after="0"/>
              <w:rPr>
                <w:sz w:val="20"/>
                <w:szCs w:val="20"/>
                <w:color w:val="auto"/>
              </w:rPr>
            </w:pP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center"/>
              <w:ind w:left="559"/>
              <w:spacing w:after="0"/>
              <w:rPr>
                <w:sz w:val="20"/>
                <w:szCs w:val="20"/>
                <w:color w:val="auto"/>
              </w:rPr>
            </w:pPr>
            <w:r>
              <w:rPr>
                <w:rFonts w:ascii="Arial" w:cs="Arial" w:eastAsia="Arial" w:hAnsi="Arial"/>
                <w:sz w:val="16"/>
                <w:szCs w:val="16"/>
                <w:b w:val="1"/>
                <w:bCs w:val="1"/>
                <w:color w:val="auto"/>
              </w:rPr>
              <w:t>(336)</w:t>
            </w:r>
          </w:p>
        </w:tc>
        <w:tc>
          <w:tcPr>
            <w:tcW w:w="820" w:type="dxa"/>
            <w:vAlign w:val="bottom"/>
            <w:tcBorders>
              <w:bottom w:val="single" w:sz="8" w:color="B2B2B2"/>
            </w:tcBorders>
          </w:tcPr>
          <w:p>
            <w:pPr>
              <w:spacing w:after="0"/>
              <w:rPr>
                <w:sz w:val="20"/>
                <w:szCs w:val="20"/>
                <w:color w:val="auto"/>
              </w:rPr>
            </w:pPr>
          </w:p>
        </w:tc>
        <w:tc>
          <w:tcPr>
            <w:tcW w:w="7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49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(83)</w:t>
            </w:r>
          </w:p>
        </w:tc>
        <w:tc>
          <w:tcPr>
            <w:tcW w:w="860" w:type="dxa"/>
            <w:vAlign w:val="bottom"/>
            <w:tcBorders>
              <w:bottom w:val="single" w:sz="8" w:color="901588"/>
            </w:tcBorders>
          </w:tcPr>
          <w:p>
            <w:pPr>
              <w:spacing w:after="0"/>
              <w:rPr>
                <w:sz w:val="20"/>
                <w:szCs w:val="20"/>
                <w:color w:val="auto"/>
              </w:rPr>
            </w:pPr>
          </w:p>
        </w:tc>
        <w:tc>
          <w:tcPr>
            <w:tcW w:w="7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(159)</w:t>
            </w:r>
          </w:p>
        </w:tc>
        <w:tc>
          <w:tcPr>
            <w:tcW w:w="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center"/>
              <w:ind w:left="559"/>
              <w:spacing w:after="0"/>
              <w:rPr>
                <w:sz w:val="20"/>
                <w:szCs w:val="20"/>
                <w:color w:val="auto"/>
              </w:rPr>
            </w:pPr>
            <w:r>
              <w:rPr>
                <w:rFonts w:ascii="Arial" w:cs="Arial" w:eastAsia="Arial" w:hAnsi="Arial"/>
                <w:sz w:val="16"/>
                <w:szCs w:val="16"/>
                <w:b w:val="1"/>
                <w:bCs w:val="1"/>
                <w:color w:val="auto"/>
              </w:rPr>
              <w:t>(193)</w:t>
            </w:r>
          </w:p>
        </w:tc>
        <w:tc>
          <w:tcPr>
            <w:tcW w:w="820" w:type="dxa"/>
            <w:vAlign w:val="bottom"/>
            <w:tcBorders>
              <w:bottom w:val="single" w:sz="8" w:color="901588"/>
            </w:tcBorders>
          </w:tcPr>
          <w:p>
            <w:pPr>
              <w:spacing w:after="0"/>
              <w:rPr>
                <w:sz w:val="20"/>
                <w:szCs w:val="20"/>
                <w:color w:val="auto"/>
              </w:rPr>
            </w:pPr>
          </w:p>
        </w:tc>
        <w:tc>
          <w:tcPr>
            <w:tcW w:w="7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(387)</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9"/>
          <w:szCs w:val="9"/>
          <w:color w:val="auto"/>
        </w:rPr>
        <w:t>(1) Net cash provided by operating activities for the three and six months ended June 28, 2024, was recast to reflect a change in the accounting policy, see "Note 1–Basis of Presentation and Summary of Significant Accounting Policies."</w:t>
      </w:r>
    </w:p>
    <w:p>
      <w:pPr>
        <w:spacing w:after="0" w:line="204"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Net cash provided by operating activities increased $105 million during the three months ended July 4, 2025, when compared to the prior year quarter. The increase was primarily due to the timing of payroll and employee benefit payments, higher earnings and an increase in tax benefits from the impacts of the OBBBA legislation, partially offset by unfavorable changes in working capital.</w:t>
      </w:r>
    </w:p>
    <w:p>
      <w:pPr>
        <w:spacing w:after="0" w:line="57"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auto"/>
        </w:rPr>
        <w:t>Net cash provided by operating activities increased $50 million during the six months ended July 4, 2025, when compared to the prior year. The increase was primarily due to higher earnings and an increase in tax benefits from the impacts of the OBBBA legislation, partially offset by unfavorable changes in working capital.</w:t>
      </w:r>
    </w:p>
    <w:p>
      <w:pPr>
        <w:spacing w:after="0" w:line="5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Net cash used in investing activities increased $293 million and $303 million for the three and six months ended July 4, 2025, respectively, when compared to the prior year. The increases were primarily due to $285 million of net cash paid related to the acquisition of Kudu Dynamics and higher capital expenditures.</w:t>
      </w:r>
    </w:p>
    <w:p>
      <w:pPr>
        <w:spacing w:after="0" w:line="71"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Net cash used in financing activities decreased $76 million for the three months ended July 4, 2025, when compared to the prior year quarter, primarily due to a $105 million decrease in stock repurchases in the current year quarter, partially offset by $25 million increase in payments made from debt activities in the current year quarter.</w:t>
      </w:r>
    </w:p>
    <w:p>
      <w:pPr>
        <w:spacing w:after="0" w:line="7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Net cash used in financing activities decreased $194 million for the six months ended July 4, 2025, when compared to the prior year primarily due to $440 million of cash inflows from proceeds received from the issuance of debt, net of payments for borrowings and debt issuance costs, partially offset by a $250 million net increase in stock repurchases, primarily attributable to the accelerated share repurchase activities in the current year.</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21"/>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have outstanding performance guarantees and cross-indemnity agreements in connection with certain aspects of our business. We also have letters of credit outstanding principally related to performance guarantees on contracts and surety bonds outstanding principally related to performance and subcontractor payment bonds as described in "Note 11–Commitments and Contingencies" of the notes to the condensed consolidated financial statements contained within this Quarterly Report on Form 10-Q. These arrangements have not had, and management does not believe it is likely that they will in the future have, a material effect on our liquidity, capital expenditures or capital resources,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GUARANTOR AND ISSUER OF GUARANTEED SECURITIES</w:t>
      </w:r>
    </w:p>
    <w:p>
      <w:pPr>
        <w:spacing w:after="0" w:line="11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Leidos Holdings, Inc. (“Guarantor”) has fully and unconditionally guaranteed the debt securities of its subsidiary, Leidos, Inc. (“Issuer”), that were issued pursuant to transactions that were registered under the Securities Act of 1933, as amended (collectively, the “Registered Notes”). The following is a list of the Registered Notes guaranteed by Leidos Holdings, Inc.</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Registered Notes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3.625% notes, due May 2025</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4.375% notes, due May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$1,000 million 2.300% notes, due February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5.400% notes, due March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5.750% notes, due March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5.500% notes, due March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The $500 million senior unsecured notes were discharged as of April 4, 2025.</w:t>
      </w:r>
    </w:p>
    <w:p>
      <w:pPr>
        <w:spacing w:after="0" w:line="94"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$250 million 7.125% notes, due July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5.500% notes, due July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Additionally, Leidos, Inc. has fully and unconditionally guaranteed debt securities of Leidos Holding, Inc. that were issued pursuant to transactions that were not registered under the Securities Act of 1933, as amended. The following is a list of unregistered debt securities guaranteed by Leidos, Inc.</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5.950% notes, due December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following summarized financial information includes the assets, liabilities and results of operations for the Guarantor and Issuer of the Registered Notes described above. Intercompany balances and transactions between the Issuer and Guarantor have been eliminated from the financial information below. Investments in the consolidated subsidiaries of the Issuer and Guarantor that do not guarantee the senior unsecured notes have been excluded from the financial information. Intercompany payables represent amounts due to non-guarantor subsidiaries of the Issuer.</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BALANCE SHEET INFORMATION FOR THE GUARANTOR AND ISSUER OF REGISTERED NOTES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20" w:type="dxa"/>
            <w:vAlign w:val="bottom"/>
          </w:tcPr>
          <w:p>
            <w:pPr>
              <w:spacing w:after="0"/>
              <w:rPr>
                <w:sz w:val="17"/>
                <w:szCs w:val="17"/>
                <w:color w:val="auto"/>
              </w:rPr>
            </w:pPr>
          </w:p>
        </w:tc>
        <w:tc>
          <w:tcPr>
            <w:tcW w:w="780" w:type="dxa"/>
            <w:vAlign w:val="bottom"/>
            <w:shd w:val="clear" w:color="auto" w:fill="F4E8F3"/>
          </w:tcPr>
          <w:p>
            <w:pPr>
              <w:spacing w:after="0"/>
              <w:rPr>
                <w:sz w:val="17"/>
                <w:szCs w:val="17"/>
                <w:color w:val="auto"/>
              </w:rPr>
            </w:pPr>
          </w:p>
        </w:tc>
        <w:tc>
          <w:tcPr>
            <w:tcW w:w="12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January 3,</w:t>
            </w:r>
          </w:p>
        </w:tc>
      </w:tr>
      <w:tr>
        <w:trPr>
          <w:trHeight w:val="237"/>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gridSpan w:val="2"/>
            <w:shd w:val="clear" w:color="auto" w:fill="F4E8F3"/>
          </w:tcPr>
          <w:p>
            <w:pPr>
              <w:ind w:left="86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901588"/>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9"/>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assets</w:t>
            </w:r>
          </w:p>
        </w:tc>
        <w:tc>
          <w:tcPr>
            <w:tcW w:w="780" w:type="dxa"/>
            <w:vAlign w:val="bottom"/>
            <w:tcBorders>
              <w:bottom w:val="single" w:sz="8" w:color="B2B2B2"/>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2,822</w:t>
            </w:r>
          </w:p>
        </w:tc>
        <w:tc>
          <w:tcPr>
            <w:tcW w:w="44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2,550</w:t>
            </w:r>
          </w:p>
        </w:tc>
      </w:tr>
      <w:tr>
        <w:trPr>
          <w:trHeight w:val="237"/>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5,673</w:t>
            </w:r>
          </w:p>
        </w:tc>
        <w:tc>
          <w:tcPr>
            <w:tcW w:w="8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5,673</w:t>
            </w:r>
          </w:p>
        </w:tc>
      </w:tr>
      <w:tr>
        <w:trPr>
          <w:trHeight w:val="237"/>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assets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1,307</w:t>
            </w:r>
          </w:p>
        </w:tc>
        <w:tc>
          <w:tcPr>
            <w:tcW w:w="8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1,498</w:t>
            </w:r>
          </w:p>
        </w:tc>
      </w:tr>
      <w:tr>
        <w:trPr>
          <w:trHeight w:val="237"/>
        </w:trPr>
        <w:tc>
          <w:tcPr>
            <w:tcW w:w="71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780" w:type="dxa"/>
            <w:vAlign w:val="bottom"/>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9,802</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9,721</w:t>
            </w:r>
          </w:p>
        </w:tc>
      </w:tr>
      <w:tr>
        <w:trPr>
          <w:trHeight w:val="240"/>
        </w:trPr>
        <w:tc>
          <w:tcPr>
            <w:tcW w:w="7120" w:type="dxa"/>
            <w:vAlign w:val="bottom"/>
            <w:tcBorders>
              <w:top w:val="single" w:sz="8" w:color="B2B2B2"/>
              <w:bottom w:val="single" w:sz="8" w:color="B2B2B2"/>
            </w:tcBorders>
          </w:tcPr>
          <w:p>
            <w:pPr>
              <w:spacing w:after="0"/>
              <w:rPr>
                <w:sz w:val="20"/>
                <w:szCs w:val="20"/>
                <w:color w:val="auto"/>
              </w:rPr>
            </w:pPr>
          </w:p>
        </w:tc>
        <w:tc>
          <w:tcPr>
            <w:tcW w:w="780" w:type="dxa"/>
            <w:vAlign w:val="bottom"/>
            <w:tcBorders>
              <w:top w:val="single" w:sz="8" w:color="901588"/>
              <w:bottom w:val="single" w:sz="8" w:color="B2B2B2"/>
            </w:tcBorders>
            <w:shd w:val="clear" w:color="auto" w:fill="F4E8F3"/>
          </w:tcPr>
          <w:p>
            <w:pPr>
              <w:spacing w:after="0"/>
              <w:rPr>
                <w:sz w:val="20"/>
                <w:szCs w:val="20"/>
                <w:color w:val="auto"/>
              </w:rPr>
            </w:pPr>
          </w:p>
        </w:tc>
        <w:tc>
          <w:tcPr>
            <w:tcW w:w="840" w:type="dxa"/>
            <w:vAlign w:val="bottom"/>
            <w:tcBorders>
              <w:top w:val="single" w:sz="8" w:color="901588"/>
              <w:bottom w:val="single" w:sz="8" w:color="B2B2B2"/>
            </w:tcBorders>
            <w:shd w:val="clear" w:color="auto" w:fill="F4E8F3"/>
          </w:tcPr>
          <w:p>
            <w:pPr>
              <w:spacing w:after="0"/>
              <w:rPr>
                <w:sz w:val="20"/>
                <w:szCs w:val="20"/>
                <w:color w:val="auto"/>
              </w:rPr>
            </w:pPr>
          </w:p>
        </w:tc>
        <w:tc>
          <w:tcPr>
            <w:tcW w:w="400" w:type="dxa"/>
            <w:vAlign w:val="bottom"/>
            <w:tcBorders>
              <w:top w:val="single" w:sz="8" w:color="901588"/>
              <w:bottom w:val="single" w:sz="8" w:color="B2B2B2"/>
            </w:tcBorders>
            <w:shd w:val="clear" w:color="auto" w:fill="F4E8F3"/>
          </w:tcPr>
          <w:p>
            <w:pPr>
              <w:spacing w:after="0"/>
              <w:rPr>
                <w:sz w:val="20"/>
                <w:szCs w:val="20"/>
                <w:color w:val="auto"/>
              </w:rPr>
            </w:pPr>
          </w:p>
        </w:tc>
        <w:tc>
          <w:tcPr>
            <w:tcW w:w="80" w:type="dxa"/>
            <w:vAlign w:val="bottom"/>
            <w:tcBorders>
              <w:top w:val="single" w:sz="8" w:color="B2B2B2"/>
              <w:bottom w:val="single" w:sz="8" w:color="B2B2B2"/>
            </w:tcBorders>
          </w:tcPr>
          <w:p>
            <w:pPr>
              <w:spacing w:after="0"/>
              <w:rPr>
                <w:sz w:val="20"/>
                <w:szCs w:val="20"/>
                <w:color w:val="auto"/>
              </w:rPr>
            </w:pPr>
          </w:p>
        </w:tc>
        <w:tc>
          <w:tcPr>
            <w:tcW w:w="360" w:type="dxa"/>
            <w:vAlign w:val="bottom"/>
            <w:tcBorders>
              <w:top w:val="single" w:sz="8" w:color="901588"/>
              <w:bottom w:val="single" w:sz="8" w:color="B2B2B2"/>
            </w:tcBorders>
          </w:tcPr>
          <w:p>
            <w:pPr>
              <w:spacing w:after="0"/>
              <w:rPr>
                <w:sz w:val="20"/>
                <w:szCs w:val="20"/>
                <w:color w:val="auto"/>
              </w:rPr>
            </w:pPr>
          </w:p>
        </w:tc>
        <w:tc>
          <w:tcPr>
            <w:tcW w:w="1660" w:type="dxa"/>
            <w:vAlign w:val="bottom"/>
            <w:tcBorders>
              <w:top w:val="single" w:sz="8" w:color="901588"/>
              <w:bottom w:val="single" w:sz="8" w:color="B2B2B2"/>
            </w:tcBorders>
          </w:tcPr>
          <w:p>
            <w:pPr>
              <w:spacing w:after="0"/>
              <w:rPr>
                <w:sz w:val="20"/>
                <w:szCs w:val="20"/>
                <w:color w:val="auto"/>
              </w:rPr>
            </w:pPr>
          </w:p>
        </w:tc>
      </w:tr>
      <w:tr>
        <w:trPr>
          <w:trHeight w:val="233"/>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liabilities</w:t>
            </w:r>
          </w:p>
        </w:tc>
        <w:tc>
          <w:tcPr>
            <w:tcW w:w="780" w:type="dxa"/>
            <w:vAlign w:val="bottom"/>
            <w:tcBorders>
              <w:bottom w:val="single" w:sz="8" w:color="B2B2B2"/>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2,677</w:t>
            </w:r>
          </w:p>
        </w:tc>
      </w:tr>
      <w:tr>
        <w:trPr>
          <w:trHeight w:val="237"/>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Long-term debt, net of current portion</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4,985</w:t>
            </w:r>
          </w:p>
        </w:tc>
        <w:tc>
          <w:tcPr>
            <w:tcW w:w="8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4,052</w:t>
            </w:r>
          </w:p>
        </w:tc>
      </w:tr>
      <w:tr>
        <w:trPr>
          <w:trHeight w:val="237"/>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Intercompany payables</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3,828</w:t>
            </w:r>
          </w:p>
        </w:tc>
        <w:tc>
          <w:tcPr>
            <w:tcW w:w="8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3,319</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liabilities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798</w:t>
            </w:r>
          </w:p>
        </w:tc>
        <w:tc>
          <w:tcPr>
            <w:tcW w:w="8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820</w:t>
            </w:r>
          </w:p>
        </w:tc>
      </w:tr>
      <w:tr>
        <w:trPr>
          <w:trHeight w:val="237"/>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w:t>
            </w:r>
          </w:p>
        </w:tc>
        <w:tc>
          <w:tcPr>
            <w:tcW w:w="780" w:type="dxa"/>
            <w:vAlign w:val="bottom"/>
            <w:tcBorders>
              <w:bottom w:val="single" w:sz="8" w:color="901588"/>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11,636</w:t>
            </w:r>
          </w:p>
        </w:tc>
        <w:tc>
          <w:tcPr>
            <w:tcW w:w="440" w:type="dxa"/>
            <w:vAlign w:val="bottom"/>
            <w:tcBorders>
              <w:bottom w:val="single" w:sz="8" w:color="901588"/>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10,868</w:t>
            </w:r>
          </w:p>
        </w:tc>
      </w:tr>
      <w:tr>
        <w:trPr>
          <w:trHeight w:val="530"/>
        </w:trPr>
        <w:tc>
          <w:tcPr>
            <w:tcW w:w="11240" w:type="dxa"/>
            <w:vAlign w:val="bottom"/>
            <w:gridSpan w:val="7"/>
          </w:tcPr>
          <w:p>
            <w:pPr>
              <w:spacing w:after="0"/>
              <w:rPr>
                <w:sz w:val="20"/>
                <w:szCs w:val="20"/>
                <w:color w:val="auto"/>
              </w:rPr>
            </w:pPr>
            <w:r>
              <w:rPr>
                <w:rFonts w:ascii="Arial" w:cs="Arial" w:eastAsia="Arial" w:hAnsi="Arial"/>
                <w:sz w:val="20"/>
                <w:szCs w:val="20"/>
                <w:b w:val="1"/>
                <w:bCs w:val="1"/>
                <w:color w:val="B15BAC"/>
              </w:rPr>
              <w:t>STATEMENT OF OPERATIONS INFORMATION FOR THE GUARANTOR AND ISSUER OF REGISTERED NOTES</w:t>
            </w:r>
          </w:p>
        </w:tc>
      </w:tr>
      <w:tr>
        <w:trPr>
          <w:trHeight w:val="449"/>
        </w:trPr>
        <w:tc>
          <w:tcPr>
            <w:tcW w:w="7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360" w:type="dxa"/>
            <w:vAlign w:val="bottom"/>
            <w:tcBorders>
              <w:bottom w:val="single" w:sz="8" w:color="901588"/>
            </w:tcBorders>
          </w:tcPr>
          <w:p>
            <w:pPr>
              <w:spacing w:after="0"/>
              <w:rPr>
                <w:sz w:val="24"/>
                <w:szCs w:val="24"/>
                <w:color w:val="auto"/>
              </w:rPr>
            </w:pPr>
          </w:p>
        </w:tc>
        <w:tc>
          <w:tcPr>
            <w:tcW w:w="1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7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shd w:val="clear" w:color="auto" w:fill="F4E8F3"/>
          </w:tcPr>
          <w:p>
            <w:pPr>
              <w:spacing w:after="0"/>
              <w:rPr>
                <w:sz w:val="18"/>
                <w:szCs w:val="18"/>
                <w:color w:val="auto"/>
              </w:rPr>
            </w:pPr>
          </w:p>
        </w:tc>
        <w:tc>
          <w:tcPr>
            <w:tcW w:w="80" w:type="dxa"/>
            <w:vAlign w:val="bottom"/>
            <w:shd w:val="clear" w:color="auto" w:fill="F4E8F3"/>
          </w:tcPr>
          <w:p>
            <w:pPr>
              <w:spacing w:after="0"/>
              <w:rPr>
                <w:sz w:val="18"/>
                <w:szCs w:val="18"/>
                <w:color w:val="auto"/>
              </w:rPr>
            </w:pPr>
          </w:p>
        </w:tc>
        <w:tc>
          <w:tcPr>
            <w:tcW w:w="360" w:type="dxa"/>
            <w:vAlign w:val="bottom"/>
            <w:shd w:val="clear" w:color="auto" w:fill="F4E8F3"/>
          </w:tcPr>
          <w:p>
            <w:pPr>
              <w:spacing w:after="0"/>
              <w:rPr>
                <w:sz w:val="18"/>
                <w:szCs w:val="18"/>
                <w:color w:val="auto"/>
              </w:rPr>
            </w:pPr>
          </w:p>
        </w:tc>
        <w:tc>
          <w:tcPr>
            <w:tcW w:w="16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July 4,</w:t>
            </w:r>
          </w:p>
        </w:tc>
      </w:tr>
      <w:tr>
        <w:trPr>
          <w:trHeight w:val="226"/>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spacing w:after="0"/>
              <w:rPr>
                <w:sz w:val="19"/>
                <w:szCs w:val="19"/>
                <w:color w:val="auto"/>
              </w:rPr>
            </w:pPr>
          </w:p>
        </w:tc>
        <w:tc>
          <w:tcPr>
            <w:tcW w:w="400" w:type="dxa"/>
            <w:vAlign w:val="bottom"/>
            <w:tcBorders>
              <w:bottom w:val="single" w:sz="8" w:color="901588"/>
            </w:tcBorders>
            <w:shd w:val="clear" w:color="auto" w:fill="F4E8F3"/>
          </w:tcPr>
          <w:p>
            <w:pPr>
              <w:spacing w:after="0"/>
              <w:rPr>
                <w:sz w:val="19"/>
                <w:szCs w:val="19"/>
                <w:color w:val="auto"/>
              </w:rPr>
            </w:pPr>
          </w:p>
        </w:tc>
        <w:tc>
          <w:tcPr>
            <w:tcW w:w="80" w:type="dxa"/>
            <w:vAlign w:val="bottom"/>
            <w:tcBorders>
              <w:bottom w:val="single" w:sz="8" w:color="901588"/>
            </w:tcBorders>
            <w:shd w:val="clear" w:color="auto" w:fill="F4E8F3"/>
          </w:tcPr>
          <w:p>
            <w:pPr>
              <w:spacing w:after="0"/>
              <w:rPr>
                <w:sz w:val="19"/>
                <w:szCs w:val="19"/>
                <w:color w:val="auto"/>
              </w:rPr>
            </w:pPr>
          </w:p>
        </w:tc>
        <w:tc>
          <w:tcPr>
            <w:tcW w:w="360" w:type="dxa"/>
            <w:vAlign w:val="bottom"/>
            <w:tcBorders>
              <w:bottom w:val="single" w:sz="8" w:color="901588"/>
            </w:tcBorders>
            <w:shd w:val="clear" w:color="auto" w:fill="F4E8F3"/>
          </w:tcPr>
          <w:p>
            <w:pPr>
              <w:spacing w:after="0"/>
              <w:rPr>
                <w:sz w:val="19"/>
                <w:szCs w:val="19"/>
                <w:color w:val="auto"/>
              </w:rPr>
            </w:pPr>
          </w:p>
        </w:tc>
        <w:tc>
          <w:tcPr>
            <w:tcW w:w="16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2025</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 net</w:t>
            </w:r>
          </w:p>
        </w:tc>
        <w:tc>
          <w:tcPr>
            <w:tcW w:w="78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shd w:val="clear" w:color="auto" w:fill="F4E8F3"/>
          </w:tcPr>
          <w:p>
            <w:pPr>
              <w:spacing w:after="0"/>
              <w:rPr>
                <w:sz w:val="20"/>
                <w:szCs w:val="20"/>
                <w:color w:val="auto"/>
              </w:rPr>
            </w:pPr>
          </w:p>
        </w:tc>
        <w:tc>
          <w:tcPr>
            <w:tcW w:w="360" w:type="dxa"/>
            <w:vAlign w:val="bottom"/>
            <w:tcBorders>
              <w:bottom w:val="single" w:sz="8" w:color="B2B2B2"/>
            </w:tcBorders>
            <w:shd w:val="clear" w:color="auto" w:fill="F4E8F3"/>
          </w:tcPr>
          <w:p>
            <w:pPr>
              <w:spacing w:after="0"/>
              <w:rPr>
                <w:sz w:val="20"/>
                <w:szCs w:val="20"/>
                <w:color w:val="auto"/>
              </w:rPr>
            </w:pPr>
          </w:p>
        </w:tc>
        <w:tc>
          <w:tcPr>
            <w:tcW w:w="16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5,362</w:t>
            </w:r>
          </w:p>
        </w:tc>
      </w:tr>
      <w:tr>
        <w:trPr>
          <w:trHeight w:val="237"/>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78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shd w:val="clear" w:color="auto" w:fill="F4E8F3"/>
          </w:tcPr>
          <w:p>
            <w:pPr>
              <w:spacing w:after="0"/>
              <w:rPr>
                <w:sz w:val="20"/>
                <w:szCs w:val="20"/>
                <w:color w:val="auto"/>
              </w:rPr>
            </w:pPr>
          </w:p>
        </w:tc>
        <w:tc>
          <w:tcPr>
            <w:tcW w:w="360" w:type="dxa"/>
            <w:vAlign w:val="bottom"/>
            <w:tcBorders>
              <w:bottom w:val="single" w:sz="8" w:color="B2B2B2"/>
            </w:tcBorders>
            <w:shd w:val="clear" w:color="auto" w:fill="F4E8F3"/>
          </w:tcPr>
          <w:p>
            <w:pPr>
              <w:spacing w:after="0"/>
              <w:rPr>
                <w:sz w:val="20"/>
                <w:szCs w:val="20"/>
                <w:color w:val="auto"/>
              </w:rPr>
            </w:pPr>
          </w:p>
        </w:tc>
        <w:tc>
          <w:tcPr>
            <w:tcW w:w="16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495</w:t>
            </w:r>
          </w:p>
        </w:tc>
      </w:tr>
      <w:tr>
        <w:trPr>
          <w:trHeight w:val="236"/>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78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400" w:type="dxa"/>
            <w:vAlign w:val="bottom"/>
            <w:tcBorders>
              <w:bottom w:val="single" w:sz="8" w:color="901588"/>
            </w:tcBorders>
            <w:shd w:val="clear" w:color="auto" w:fill="F4E8F3"/>
          </w:tcPr>
          <w:p>
            <w:pPr>
              <w:spacing w:after="0"/>
              <w:rPr>
                <w:sz w:val="20"/>
                <w:szCs w:val="20"/>
                <w:color w:val="auto"/>
              </w:rPr>
            </w:pPr>
          </w:p>
        </w:tc>
        <w:tc>
          <w:tcPr>
            <w:tcW w:w="80" w:type="dxa"/>
            <w:vAlign w:val="bottom"/>
            <w:tcBorders>
              <w:bottom w:val="single" w:sz="8" w:color="901588"/>
            </w:tcBorders>
            <w:shd w:val="clear" w:color="auto" w:fill="F4E8F3"/>
          </w:tcPr>
          <w:p>
            <w:pPr>
              <w:spacing w:after="0"/>
              <w:rPr>
                <w:sz w:val="20"/>
                <w:szCs w:val="20"/>
                <w:color w:val="auto"/>
              </w:rPr>
            </w:pPr>
          </w:p>
        </w:tc>
        <w:tc>
          <w:tcPr>
            <w:tcW w:w="360" w:type="dxa"/>
            <w:vAlign w:val="bottom"/>
            <w:tcBorders>
              <w:bottom w:val="single" w:sz="8" w:color="901588"/>
            </w:tcBorders>
            <w:shd w:val="clear" w:color="auto" w:fill="F4E8F3"/>
          </w:tcPr>
          <w:p>
            <w:pPr>
              <w:spacing w:after="0"/>
              <w:rPr>
                <w:sz w:val="20"/>
                <w:szCs w:val="20"/>
                <w:color w:val="auto"/>
              </w:rPr>
            </w:pPr>
          </w:p>
        </w:tc>
        <w:tc>
          <w:tcPr>
            <w:tcW w:w="16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67</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1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We are subject to a number of reviews, investigations, claims, lawsuits, other uncertainties and future obligations related to our business. For a discussion of these items, see "Note 11–Commitments and Contingencies" of the notes to the condensed consolidated financial statements contained within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12"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There were no material changes to our critical accounting policies, estimates or judgments that would have a significant impact on earnings during the period covered by this report from those discussed in our Annual Report on Form 10-K for the year ended January 3, 2025.</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AND ISSUED ACCOUNTING STANDARDS</w:t>
      </w:r>
    </w:p>
    <w:p>
      <w:pPr>
        <w:spacing w:after="0" w:line="126"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For a discussion of these items, see "Note 1–Basis of Presentation and Summary of Significant Accounting Policies" of the notes to the condensed consolidated financial statements contained within this Quarterly Report on Form 10-Q.</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2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Quantitative and Qualitative Disclosures About Market Risk</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in our market risk exposure from those discussed in our Annual Report on Form 10-K for the year ended January 3, 2025.</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12"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Our management, with the participation of our principal executive officer (our Chief Executive Officer) and principal financial officer (our Executive Vice President and Chief Financial Officer), has evaluated the effectiveness of our disclosure controls and procedures (as defined in Rules 13a-15(e) or 15d-15(e) under the Securities Exchange Act of 1934, as amended) as of July 4, 2025.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as amended, is recorded, processed, summarized and reported within the time periods specified in the rules and forms of the U.S. Securities and Exchange Commission. These disclosure controls and procedures include, without limitation, controls and procedures designed to ensure that information required to be disclosed by us in the reports that we file or submit under the Securities Exchange Act of 1934, as amended, is accumulated and communicated to our management, including our principal executive officer and our principal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12"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On May 23, 2025, we completed the acquisition of Kudu Dynamics. We have excluded Kudu Dynamics from our evaluation of the effectiveness of our internal control over financial reporting for the second quarter of fiscal 2025.</w:t>
      </w:r>
    </w:p>
    <w:p>
      <w:pPr>
        <w:spacing w:after="0" w:line="48"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Other than the foregoing, there have been no changes in our internal control over financial reporting during the quarter ended July 4, 2025, that have materially affected, or are reasonably likely to materially affect, our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9"/>
          <w:szCs w:val="29"/>
          <w:color w:val="auto"/>
        </w:rPr>
        <w:t>Part II—Other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Legal Proceedings</w:t>
      </w:r>
    </w:p>
    <w:p>
      <w:pPr>
        <w:spacing w:after="0" w:line="12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We have furnished information relating to legal proceedings, and any investigations and reviews that we are involved with in "Note 11–Commitments and Contingencies" of the notes to the condensed consolidated financial statements contained within this Quarterly Report on Form 10-Q.</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1A. Risk Factors</w:t>
      </w:r>
    </w:p>
    <w:p>
      <w:pPr>
        <w:spacing w:after="0" w:line="14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There were no material changes to the risks described in Part I, Item 1A "Risk Factors" in our Annual Report on Form 10-K for the year ended January 3, 2025.</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2. Unregistered Sales of Equity Securities and Use of Proceeds</w:t>
      </w:r>
    </w:p>
    <w:p>
      <w:pPr>
        <w:spacing w:after="0" w:line="141" w:lineRule="exact"/>
        <w:rPr>
          <w:sz w:val="20"/>
          <w:szCs w:val="20"/>
          <w:color w:val="auto"/>
        </w:rPr>
      </w:pPr>
    </w:p>
    <w:p>
      <w:pPr>
        <w:ind w:left="540" w:hanging="273"/>
        <w:spacing w:after="0"/>
        <w:tabs>
          <w:tab w:leader="none" w:pos="540" w:val="left"/>
        </w:tabs>
        <w:numPr>
          <w:ilvl w:val="0"/>
          <w:numId w:val="24"/>
        </w:numPr>
        <w:rPr>
          <w:rFonts w:ascii="Arial" w:cs="Arial" w:eastAsia="Arial" w:hAnsi="Arial"/>
          <w:sz w:val="13"/>
          <w:szCs w:val="13"/>
          <w:b w:val="1"/>
          <w:bCs w:val="1"/>
          <w:color w:val="auto"/>
        </w:rPr>
      </w:pPr>
      <w:r>
        <w:rPr>
          <w:rFonts w:ascii="Arial" w:cs="Arial" w:eastAsia="Arial" w:hAnsi="Arial"/>
          <w:sz w:val="16"/>
          <w:szCs w:val="16"/>
          <w:color w:val="auto"/>
        </w:rPr>
        <w:t>None</w:t>
      </w:r>
    </w:p>
    <w:p>
      <w:pPr>
        <w:spacing w:after="0" w:line="113" w:lineRule="exact"/>
        <w:rPr>
          <w:rFonts w:ascii="Arial" w:cs="Arial" w:eastAsia="Arial" w:hAnsi="Arial"/>
          <w:sz w:val="13"/>
          <w:szCs w:val="13"/>
          <w:b w:val="1"/>
          <w:bCs w:val="1"/>
          <w:color w:val="auto"/>
        </w:rPr>
      </w:pPr>
    </w:p>
    <w:p>
      <w:pPr>
        <w:ind w:left="540" w:hanging="273"/>
        <w:spacing w:after="0"/>
        <w:tabs>
          <w:tab w:leader="none" w:pos="540" w:val="left"/>
        </w:tabs>
        <w:numPr>
          <w:ilvl w:val="0"/>
          <w:numId w:val="24"/>
        </w:numPr>
        <w:rPr>
          <w:rFonts w:ascii="Arial" w:cs="Arial" w:eastAsia="Arial" w:hAnsi="Arial"/>
          <w:sz w:val="13"/>
          <w:szCs w:val="13"/>
          <w:b w:val="1"/>
          <w:bCs w:val="1"/>
          <w:color w:val="auto"/>
        </w:rPr>
      </w:pPr>
      <w:r>
        <w:rPr>
          <w:rFonts w:ascii="Arial" w:cs="Arial" w:eastAsia="Arial" w:hAnsi="Arial"/>
          <w:sz w:val="16"/>
          <w:szCs w:val="16"/>
          <w:color w:val="auto"/>
        </w:rPr>
        <w:t>None</w:t>
      </w:r>
    </w:p>
    <w:p>
      <w:pPr>
        <w:spacing w:after="0" w:line="126" w:lineRule="exact"/>
        <w:rPr>
          <w:rFonts w:ascii="Arial" w:cs="Arial" w:eastAsia="Arial" w:hAnsi="Arial"/>
          <w:sz w:val="13"/>
          <w:szCs w:val="13"/>
          <w:b w:val="1"/>
          <w:bCs w:val="1"/>
          <w:color w:val="auto"/>
        </w:rPr>
      </w:pPr>
    </w:p>
    <w:p>
      <w:pPr>
        <w:ind w:left="540" w:hanging="273"/>
        <w:spacing w:after="0"/>
        <w:tabs>
          <w:tab w:leader="none" w:pos="540" w:val="left"/>
        </w:tabs>
        <w:numPr>
          <w:ilvl w:val="0"/>
          <w:numId w:val="24"/>
        </w:numPr>
        <w:rPr>
          <w:rFonts w:ascii="Arial" w:cs="Arial" w:eastAsia="Arial" w:hAnsi="Arial"/>
          <w:sz w:val="13"/>
          <w:szCs w:val="13"/>
          <w:b w:val="1"/>
          <w:bCs w:val="1"/>
          <w:color w:val="auto"/>
        </w:rPr>
      </w:pPr>
      <w:r>
        <w:rPr>
          <w:rFonts w:ascii="Arial" w:cs="Arial" w:eastAsia="Arial" w:hAnsi="Arial"/>
          <w:sz w:val="16"/>
          <w:szCs w:val="16"/>
          <w:color w:val="auto"/>
        </w:rPr>
        <w:t>Purchases of Equity Securities by the Issuer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repurchases of our common stock during the quarter ended July 4,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1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Shares (or Units)</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Maximum Number</w:t>
            </w:r>
          </w:p>
        </w:tc>
      </w:tr>
      <w:tr>
        <w:trPr>
          <w:trHeight w:val="189"/>
        </w:trPr>
        <w:tc>
          <w:tcPr>
            <w:tcW w:w="37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Total Number</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Purchased as Part of</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of Shares (or Units)</w:t>
            </w:r>
          </w:p>
        </w:tc>
      </w:tr>
      <w:tr>
        <w:trPr>
          <w:trHeight w:val="189"/>
        </w:trPr>
        <w:tc>
          <w:tcPr>
            <w:tcW w:w="37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6"/>
                <w:szCs w:val="16"/>
                <w:b w:val="1"/>
                <w:bCs w:val="1"/>
                <w:color w:val="auto"/>
              </w:rPr>
              <w:t>of Shares</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Publicly Announced</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that May Yet Be</w:t>
            </w:r>
          </w:p>
        </w:tc>
      </w:tr>
      <w:tr>
        <w:trPr>
          <w:trHeight w:val="202"/>
        </w:trPr>
        <w:tc>
          <w:tcPr>
            <w:tcW w:w="37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(or Units)</w:t>
            </w:r>
          </w:p>
        </w:tc>
        <w:tc>
          <w:tcPr>
            <w:tcW w:w="3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Paid per</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Repurchase Plans</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Purchased Under the</w:t>
            </w:r>
          </w:p>
        </w:tc>
      </w:tr>
      <w:tr>
        <w:trPr>
          <w:trHeight w:val="244"/>
        </w:trPr>
        <w:tc>
          <w:tcPr>
            <w:tcW w:w="372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Period</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Purchased</w:t>
            </w:r>
          </w:p>
        </w:tc>
        <w:tc>
          <w:tcPr>
            <w:tcW w:w="320" w:type="dxa"/>
            <w:vAlign w:val="bottom"/>
            <w:tcBorders>
              <w:bottom w:val="single" w:sz="8" w:color="901588"/>
            </w:tcBorders>
          </w:tcPr>
          <w:p>
            <w:pPr>
              <w:spacing w:after="0"/>
              <w:rPr>
                <w:sz w:val="21"/>
                <w:szCs w:val="21"/>
                <w:color w:val="auto"/>
              </w:rPr>
            </w:pPr>
          </w:p>
        </w:tc>
        <w:tc>
          <w:tcPr>
            <w:tcW w:w="138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b w:val="1"/>
                <w:bCs w:val="1"/>
                <w:color w:val="auto"/>
              </w:rPr>
              <w:t>Share (or Unit)</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or Programs</w:t>
            </w:r>
            <w:r>
              <w:rPr>
                <w:rFonts w:ascii="Arial" w:cs="Arial" w:eastAsia="Arial" w:hAnsi="Arial"/>
                <w:sz w:val="21"/>
                <w:szCs w:val="21"/>
                <w:b w:val="1"/>
                <w:bCs w:val="1"/>
                <w:color w:val="auto"/>
                <w:vertAlign w:val="superscript"/>
              </w:rPr>
              <w:t>(2)</w:t>
            </w:r>
          </w:p>
        </w:tc>
        <w:tc>
          <w:tcPr>
            <w:tcW w:w="2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Plans or Programs</w:t>
            </w:r>
            <w:r>
              <w:rPr>
                <w:rFonts w:ascii="Arial" w:cs="Arial" w:eastAsia="Arial" w:hAnsi="Arial"/>
                <w:sz w:val="21"/>
                <w:szCs w:val="21"/>
                <w:b w:val="1"/>
                <w:bCs w:val="1"/>
                <w:color w:val="auto"/>
                <w:vertAlign w:val="superscript"/>
              </w:rPr>
              <w:t>(2)</w:t>
            </w:r>
          </w:p>
        </w:tc>
      </w:tr>
      <w:tr>
        <w:trPr>
          <w:trHeight w:val="230"/>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April 5, 2025 - April 30, 2025</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4,363,585</w:t>
            </w:r>
          </w:p>
        </w:tc>
      </w:tr>
      <w:tr>
        <w:trPr>
          <w:trHeight w:val="237"/>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May 1, 2025 - May 31, 2025</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569,772</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138.44</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569,772</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3,793,813</w:t>
            </w:r>
          </w:p>
        </w:tc>
      </w:tr>
      <w:tr>
        <w:trPr>
          <w:trHeight w:val="237"/>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June 1, 2025 - June 30, 2025</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19,895</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153.96</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3,793,813</w:t>
            </w:r>
          </w:p>
        </w:tc>
      </w:tr>
      <w:tr>
        <w:trPr>
          <w:trHeight w:val="236"/>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July 1, 2025 - July 4, 2025</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3,793,813</w:t>
            </w:r>
          </w:p>
        </w:tc>
      </w:tr>
      <w:tr>
        <w:trPr>
          <w:trHeight w:val="243"/>
        </w:trPr>
        <w:tc>
          <w:tcPr>
            <w:tcW w:w="372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589,667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138.97</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569,772</w:t>
            </w:r>
          </w:p>
        </w:tc>
        <w:tc>
          <w:tcPr>
            <w:tcW w:w="2180" w:type="dxa"/>
            <w:vAlign w:val="bottom"/>
          </w:tcPr>
          <w:p>
            <w:pPr>
              <w:spacing w:after="0"/>
              <w:rPr>
                <w:sz w:val="21"/>
                <w:szCs w:val="21"/>
                <w:color w:val="auto"/>
              </w:rPr>
            </w:pPr>
          </w:p>
        </w:tc>
      </w:tr>
      <w:tr>
        <w:trPr>
          <w:trHeight w:val="20"/>
        </w:trPr>
        <w:tc>
          <w:tcPr>
            <w:tcW w:w="3720" w:type="dxa"/>
            <w:vAlign w:val="bottom"/>
            <w:tcBorders>
              <w:bottom w:val="single" w:sz="8" w:color="901588"/>
            </w:tcBorders>
          </w:tcPr>
          <w:p>
            <w:pPr>
              <w:spacing w:after="0" w:line="20" w:lineRule="exact"/>
              <w:rPr>
                <w:sz w:val="1"/>
                <w:szCs w:val="1"/>
                <w:color w:val="auto"/>
              </w:rPr>
            </w:pPr>
          </w:p>
        </w:tc>
        <w:tc>
          <w:tcPr>
            <w:tcW w:w="1440" w:type="dxa"/>
            <w:vAlign w:val="bottom"/>
            <w:tcBorders>
              <w:bottom w:val="single" w:sz="8" w:color="901588"/>
            </w:tcBorders>
          </w:tcPr>
          <w:p>
            <w:pPr>
              <w:spacing w:after="0" w:line="20" w:lineRule="exact"/>
              <w:rPr>
                <w:sz w:val="1"/>
                <w:szCs w:val="1"/>
                <w:color w:val="auto"/>
              </w:rPr>
            </w:pPr>
          </w:p>
        </w:tc>
        <w:tc>
          <w:tcPr>
            <w:tcW w:w="320" w:type="dxa"/>
            <w:vAlign w:val="bottom"/>
            <w:tcBorders>
              <w:bottom w:val="single" w:sz="8" w:color="901588"/>
            </w:tcBorders>
          </w:tcPr>
          <w:p>
            <w:pPr>
              <w:spacing w:after="0" w:line="20" w:lineRule="exact"/>
              <w:rPr>
                <w:sz w:val="1"/>
                <w:szCs w:val="1"/>
                <w:color w:val="auto"/>
              </w:rPr>
            </w:pPr>
          </w:p>
        </w:tc>
        <w:tc>
          <w:tcPr>
            <w:tcW w:w="1380" w:type="dxa"/>
            <w:vAlign w:val="bottom"/>
            <w:tcBorders>
              <w:bottom w:val="single" w:sz="8" w:color="901588"/>
            </w:tcBorders>
          </w:tcPr>
          <w:p>
            <w:pPr>
              <w:spacing w:after="0" w:line="20" w:lineRule="exact"/>
              <w:rPr>
                <w:sz w:val="1"/>
                <w:szCs w:val="1"/>
                <w:color w:val="auto"/>
              </w:rPr>
            </w:pPr>
          </w:p>
        </w:tc>
        <w:tc>
          <w:tcPr>
            <w:tcW w:w="2040" w:type="dxa"/>
            <w:vAlign w:val="bottom"/>
            <w:tcBorders>
              <w:bottom w:val="single" w:sz="8" w:color="901588"/>
            </w:tcBorders>
          </w:tcPr>
          <w:p>
            <w:pPr>
              <w:spacing w:after="0" w:line="20" w:lineRule="exact"/>
              <w:rPr>
                <w:sz w:val="1"/>
                <w:szCs w:val="1"/>
                <w:color w:val="auto"/>
              </w:rPr>
            </w:pPr>
          </w:p>
        </w:tc>
        <w:tc>
          <w:tcPr>
            <w:tcW w:w="2180" w:type="dxa"/>
            <w:vAlign w:val="bottom"/>
            <w:tcBorders>
              <w:bottom w:val="single" w:sz="8" w:color="901588"/>
            </w:tcBorders>
          </w:tcPr>
          <w:p>
            <w:pPr>
              <w:spacing w:after="0" w:line="20" w:lineRule="exact"/>
              <w:rPr>
                <w:sz w:val="1"/>
                <w:szCs w:val="1"/>
                <w:color w:val="auto"/>
              </w:rPr>
            </w:pPr>
          </w:p>
        </w:tc>
      </w:tr>
    </w:tbl>
    <w:p>
      <w:pPr>
        <w:spacing w:after="0" w:line="119"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color w:val="auto"/>
        </w:rPr>
        <w:t>The total number of shares purchased includes shares surrendered to satisfy statutory tax withholding obligations related to vesting of restricted stock units.</w:t>
      </w:r>
    </w:p>
    <w:p>
      <w:pPr>
        <w:spacing w:after="0" w:line="63" w:lineRule="exact"/>
        <w:rPr>
          <w:rFonts w:ascii="Arial" w:cs="Arial" w:eastAsia="Arial" w:hAnsi="Arial"/>
          <w:sz w:val="19"/>
          <w:szCs w:val="19"/>
          <w:color w:val="auto"/>
          <w:vertAlign w:val="superscript"/>
        </w:rPr>
      </w:pPr>
    </w:p>
    <w:p>
      <w:pPr>
        <w:ind w:left="260" w:hanging="252"/>
        <w:spacing w:after="0" w:line="254" w:lineRule="auto"/>
        <w:tabs>
          <w:tab w:leader="none" w:pos="263" w:val="left"/>
        </w:tabs>
        <w:numPr>
          <w:ilvl w:val="0"/>
          <w:numId w:val="25"/>
        </w:numPr>
        <w:rPr>
          <w:rFonts w:ascii="Arial" w:cs="Arial" w:eastAsia="Arial" w:hAnsi="Arial"/>
          <w:sz w:val="15"/>
          <w:szCs w:val="15"/>
          <w:color w:val="auto"/>
          <w:vertAlign w:val="superscript"/>
        </w:rPr>
      </w:pPr>
      <w:r>
        <w:rPr>
          <w:rFonts w:ascii="Arial" w:cs="Arial" w:eastAsia="Arial" w:hAnsi="Arial"/>
          <w:sz w:val="12"/>
          <w:szCs w:val="12"/>
          <w:color w:val="auto"/>
        </w:rPr>
        <w:t>In February 2022, our Board of Directors authorized a share repurchase program of up to 20 million shares of our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our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This share repurchase authorization replaces the previous share repurchase authorization announced in February 2018.</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Defaults Upon Senior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Mine Safety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5.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TRADING ARRANGEMENT</w:t>
      </w:r>
    </w:p>
    <w:p>
      <w:pPr>
        <w:spacing w:after="0" w:line="11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During the three months ended July 4,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71" w:lineRule="exact"/>
        <w:rPr>
          <w:sz w:val="20"/>
          <w:szCs w:val="20"/>
          <w:color w:val="auto"/>
        </w:rPr>
      </w:pPr>
    </w:p>
    <w:p>
      <w:pPr>
        <w:ind w:left="480" w:hanging="454"/>
        <w:spacing w:after="0"/>
        <w:tabs>
          <w:tab w:leader="none" w:pos="480" w:val="left"/>
        </w:tabs>
        <w:numPr>
          <w:ilvl w:val="0"/>
          <w:numId w:val="2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6.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400" w:type="dxa"/>
            <w:vAlign w:val="bottom"/>
          </w:tcPr>
          <w:p>
            <w:pPr>
              <w:spacing w:after="0"/>
              <w:rPr>
                <w:sz w:val="16"/>
                <w:szCs w:val="16"/>
                <w:color w:val="auto"/>
              </w:rPr>
            </w:pPr>
          </w:p>
        </w:tc>
      </w:tr>
      <w:tr>
        <w:trPr>
          <w:trHeight w:val="240"/>
        </w:trPr>
        <w:tc>
          <w:tcPr>
            <w:tcW w:w="8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400" w:type="dxa"/>
            <w:vAlign w:val="bottom"/>
            <w:tcBorders>
              <w:bottom w:val="single" w:sz="8" w:color="901588"/>
            </w:tcBorders>
          </w:tcPr>
          <w:p>
            <w:pPr>
              <w:ind w:left="180"/>
              <w:spacing w:after="0"/>
              <w:rPr>
                <w:sz w:val="20"/>
                <w:szCs w:val="20"/>
                <w:color w:val="auto"/>
              </w:rPr>
            </w:pPr>
            <w:r>
              <w:rPr>
                <w:rFonts w:ascii="Arial" w:cs="Arial" w:eastAsia="Arial" w:hAnsi="Arial"/>
                <w:sz w:val="16"/>
                <w:szCs w:val="16"/>
                <w:b w:val="1"/>
                <w:bCs w:val="1"/>
                <w:color w:val="auto"/>
              </w:rPr>
              <w:t>Description of Exhibit</w:t>
            </w:r>
          </w:p>
        </w:tc>
      </w:tr>
      <w:tr>
        <w:trPr>
          <w:trHeight w:val="225"/>
        </w:trPr>
        <w:tc>
          <w:tcPr>
            <w:tcW w:w="840" w:type="dxa"/>
            <w:vAlign w:val="bottom"/>
          </w:tcPr>
          <w:p>
            <w:pPr>
              <w:ind w:left="20"/>
              <w:spacing w:after="0"/>
              <w:rPr>
                <w:sz w:val="20"/>
                <w:szCs w:val="20"/>
                <w:color w:val="auto"/>
              </w:rPr>
            </w:pPr>
            <w:r>
              <w:rPr>
                <w:rFonts w:ascii="Arial" w:cs="Arial" w:eastAsia="Arial" w:hAnsi="Arial"/>
                <w:sz w:val="16"/>
                <w:szCs w:val="16"/>
                <w:color w:val="auto"/>
              </w:rPr>
              <w:t>3.1</w:t>
            </w:r>
          </w:p>
        </w:tc>
        <w:tc>
          <w:tcPr>
            <w:tcW w:w="10400" w:type="dxa"/>
            <w:vAlign w:val="bottom"/>
          </w:tcPr>
          <w:p>
            <w:pPr>
              <w:ind w:left="180"/>
              <w:spacing w:after="0"/>
              <w:rPr>
                <w:sz w:val="20"/>
                <w:szCs w:val="20"/>
                <w:color w:val="auto"/>
              </w:rPr>
            </w:pPr>
            <w:r>
              <w:rPr>
                <w:rFonts w:ascii="Arial" w:cs="Arial" w:eastAsia="Arial" w:hAnsi="Arial"/>
                <w:sz w:val="16"/>
                <w:szCs w:val="16"/>
                <w:color w:val="90158B"/>
              </w:rPr>
              <w:t>Restated Certificate of Incorporation of Leidos Holdings, Inc., dated August 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1020" w:right="100" w:hanging="994"/>
        <w:spacing w:after="0" w:line="321" w:lineRule="auto"/>
        <w:tabs>
          <w:tab w:leader="none" w:pos="1020" w:val="left"/>
        </w:tabs>
        <w:numPr>
          <w:ilvl w:val="0"/>
          <w:numId w:val="27"/>
        </w:numPr>
        <w:rPr>
          <w:rFonts w:ascii="Arial" w:cs="Arial" w:eastAsia="Arial" w:hAnsi="Arial"/>
          <w:sz w:val="16"/>
          <w:szCs w:val="16"/>
          <w:color w:val="901588"/>
        </w:rPr>
      </w:pPr>
      <w:hyperlink r:id="rId97">
        <w:r>
          <w:rPr>
            <w:rFonts w:ascii="Arial" w:cs="Arial" w:eastAsia="Arial" w:hAnsi="Arial"/>
            <w:sz w:val="16"/>
            <w:szCs w:val="16"/>
            <w:color w:val="901588"/>
          </w:rPr>
          <w:t>List of Guarantors and Subsidiary Issuers of Guaranteed Securities. Incorporated herein by reference to Exhibit 22 to our Quarterly Report on</w:t>
        </w:r>
      </w:hyperlink>
      <w:r>
        <w:rPr>
          <w:rFonts w:ascii="Arial" w:cs="Arial" w:eastAsia="Arial" w:hAnsi="Arial"/>
          <w:sz w:val="16"/>
          <w:szCs w:val="16"/>
          <w:color w:val="901588"/>
        </w:rPr>
        <w:t xml:space="preserve"> </w:t>
      </w:r>
      <w:hyperlink r:id="rId97">
        <w:r>
          <w:rPr>
            <w:rFonts w:ascii="Arial" w:cs="Arial" w:eastAsia="Arial" w:hAnsi="Arial"/>
            <w:sz w:val="16"/>
            <w:szCs w:val="16"/>
            <w:color w:val="901588"/>
          </w:rPr>
          <w:t>Form 10-Q, filed with the SEC on May 6, 2025.</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8"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31.1</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Chief Executive Officer pursuant to Section 302 of the Sarbanes-Oxley Act of 2002.</w:t>
            </w:r>
          </w:p>
        </w:tc>
      </w:tr>
      <w:tr>
        <w:trPr>
          <w:trHeight w:val="97"/>
        </w:trPr>
        <w:tc>
          <w:tcPr>
            <w:tcW w:w="680" w:type="dxa"/>
            <w:vAlign w:val="bottom"/>
            <w:tcBorders>
              <w:bottom w:val="single" w:sz="8" w:color="B2B2B2"/>
            </w:tcBorders>
          </w:tcPr>
          <w:p>
            <w:pPr>
              <w:spacing w:after="0"/>
              <w:rPr>
                <w:sz w:val="8"/>
                <w:szCs w:val="8"/>
                <w:color w:val="auto"/>
              </w:rPr>
            </w:pPr>
          </w:p>
        </w:tc>
        <w:tc>
          <w:tcPr>
            <w:tcW w:w="10560" w:type="dxa"/>
            <w:vAlign w:val="bottom"/>
            <w:tcBorders>
              <w:bottom w:val="single" w:sz="8" w:color="B2B2B2"/>
            </w:tcBorders>
          </w:tcPr>
          <w:p>
            <w:pPr>
              <w:spacing w:after="0"/>
              <w:rPr>
                <w:sz w:val="8"/>
                <w:szCs w:val="8"/>
                <w:color w:val="auto"/>
              </w:rPr>
            </w:pPr>
          </w:p>
        </w:tc>
      </w:tr>
      <w:tr>
        <w:trPr>
          <w:trHeight w:val="261"/>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31.2</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Executive Vice President and Chief Financial Officer pursuant to Section 302 of the Sarbanes-Oxley Act of 2002.</w:t>
            </w:r>
          </w:p>
        </w:tc>
      </w:tr>
      <w:tr>
        <w:trPr>
          <w:trHeight w:val="97"/>
        </w:trPr>
        <w:tc>
          <w:tcPr>
            <w:tcW w:w="680" w:type="dxa"/>
            <w:vAlign w:val="bottom"/>
            <w:tcBorders>
              <w:bottom w:val="single" w:sz="8" w:color="B2B2B2"/>
            </w:tcBorders>
          </w:tcPr>
          <w:p>
            <w:pPr>
              <w:spacing w:after="0"/>
              <w:rPr>
                <w:sz w:val="8"/>
                <w:szCs w:val="8"/>
                <w:color w:val="auto"/>
              </w:rPr>
            </w:pPr>
          </w:p>
        </w:tc>
        <w:tc>
          <w:tcPr>
            <w:tcW w:w="10560" w:type="dxa"/>
            <w:vAlign w:val="bottom"/>
            <w:tcBorders>
              <w:bottom w:val="single" w:sz="8" w:color="B2B2B2"/>
            </w:tcBorders>
          </w:tcPr>
          <w:p>
            <w:pPr>
              <w:spacing w:after="0"/>
              <w:rPr>
                <w:sz w:val="8"/>
                <w:szCs w:val="8"/>
                <w:color w:val="auto"/>
              </w:rPr>
            </w:pPr>
          </w:p>
        </w:tc>
      </w:tr>
      <w:tr>
        <w:trPr>
          <w:trHeight w:val="262"/>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32.1</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Chief Executive Officer pursuant to 18 U.S.C. Section 1350, as adopted pursuant to Section 906 of the Sarbanes-Oxley Act of</w:t>
            </w:r>
          </w:p>
        </w:tc>
      </w:tr>
      <w:tr>
        <w:trPr>
          <w:trHeight w:val="216"/>
        </w:trPr>
        <w:tc>
          <w:tcPr>
            <w:tcW w:w="68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6"/>
                <w:szCs w:val="16"/>
                <w:color w:val="901588"/>
              </w:rPr>
              <w:t>2002.</w:t>
            </w:r>
          </w:p>
        </w:tc>
      </w:tr>
      <w:tr>
        <w:trPr>
          <w:trHeight w:val="83"/>
        </w:trPr>
        <w:tc>
          <w:tcPr>
            <w:tcW w:w="680" w:type="dxa"/>
            <w:vAlign w:val="bottom"/>
            <w:tcBorders>
              <w:bottom w:val="single" w:sz="8" w:color="B2B2B2"/>
            </w:tcBorders>
          </w:tcPr>
          <w:p>
            <w:pPr>
              <w:spacing w:after="0"/>
              <w:rPr>
                <w:sz w:val="7"/>
                <w:szCs w:val="7"/>
                <w:color w:val="auto"/>
              </w:rPr>
            </w:pPr>
          </w:p>
        </w:tc>
        <w:tc>
          <w:tcPr>
            <w:tcW w:w="10560" w:type="dxa"/>
            <w:vAlign w:val="bottom"/>
            <w:tcBorders>
              <w:bottom w:val="single" w:sz="8" w:color="B2B2B2"/>
            </w:tcBorders>
          </w:tcPr>
          <w:p>
            <w:pPr>
              <w:spacing w:after="0"/>
              <w:rPr>
                <w:sz w:val="7"/>
                <w:szCs w:val="7"/>
                <w:color w:val="auto"/>
              </w:rPr>
            </w:pPr>
          </w:p>
        </w:tc>
      </w:tr>
      <w:tr>
        <w:trPr>
          <w:trHeight w:val="261"/>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32.2</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Executive Vice President and Chief Financial Officer pursuant to 18 U.S.C. Section 1350, as adopted pursuant to Section 906</w:t>
            </w:r>
          </w:p>
        </w:tc>
      </w:tr>
      <w:tr>
        <w:trPr>
          <w:trHeight w:val="216"/>
        </w:trPr>
        <w:tc>
          <w:tcPr>
            <w:tcW w:w="68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6"/>
                <w:szCs w:val="16"/>
                <w:color w:val="901588"/>
              </w:rPr>
              <w:t>of the Sarbanes-Oxley Act of 2002.</w:t>
            </w: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rFonts w:ascii="Arial" w:cs="Arial" w:eastAsia="Arial" w:hAnsi="Arial"/>
          <w:sz w:val="16"/>
          <w:szCs w:val="16"/>
          <w:color w:val="auto"/>
        </w:rPr>
      </w:pPr>
    </w:p>
    <w:p>
      <w:pPr>
        <w:ind w:left="1020" w:right="360" w:hanging="994"/>
        <w:spacing w:after="0" w:line="321"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901588"/>
        </w:rPr>
        <w:t>Interactive Data File. The instance document does not appear in the Interactive Data File because its XBRL tags are embedded within the Inline XBRL document.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rFonts w:ascii="Arial" w:cs="Arial" w:eastAsia="Arial" w:hAnsi="Arial"/>
          <w:sz w:val="16"/>
          <w:szCs w:val="16"/>
          <w:color w:val="auto"/>
        </w:rPr>
      </w:pPr>
    </w:p>
    <w:p>
      <w:pPr>
        <w:ind w:left="1020" w:right="160" w:hanging="994"/>
        <w:spacing w:after="0" w:line="321"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901588"/>
        </w:rPr>
        <w:t>Cover Page Interactive Data File. The cover page interactive data file does not appear in the Interactive Data File because its XBRL tags are embedded within the Inline XBRL document.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9"/>
          <w:szCs w:val="29"/>
          <w:color w:val="auto"/>
        </w:rPr>
        <w:t>Signatures</w:t>
      </w:r>
    </w:p>
    <w:p>
      <w:pPr>
        <w:spacing w:after="0" w:line="31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Leidos Holdings, Inc.</w:t>
      </w:r>
    </w:p>
    <w:p>
      <w:pPr>
        <w:spacing w:after="0" w:line="181" w:lineRule="exact"/>
        <w:rPr>
          <w:sz w:val="20"/>
          <w:szCs w:val="20"/>
          <w:color w:val="auto"/>
        </w:rPr>
      </w:pPr>
    </w:p>
    <w:p>
      <w:pPr>
        <w:jc w:val="center"/>
        <w:ind w:right="4920"/>
        <w:spacing w:after="0"/>
        <w:rPr>
          <w:sz w:val="20"/>
          <w:szCs w:val="20"/>
          <w:color w:val="auto"/>
        </w:rPr>
      </w:pPr>
      <w:r>
        <w:rPr>
          <w:rFonts w:ascii="Arial" w:cs="Arial" w:eastAsia="Arial" w:hAnsi="Arial"/>
          <w:sz w:val="16"/>
          <w:szCs w:val="16"/>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9947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125"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Christopher R. Cage</w:t>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4"/>
          <w:szCs w:val="14"/>
          <w:b w:val="1"/>
          <w:bCs w:val="1"/>
          <w:i w:val="1"/>
          <w:iCs w:val="1"/>
          <w:color w:val="auto"/>
        </w:rPr>
        <w:t>and as a duly authorized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hanging="454"/>
        <w:spacing w:after="0"/>
        <w:tabs>
          <w:tab w:leader="none" w:pos="480" w:val="left"/>
        </w:tabs>
        <w:numPr>
          <w:ilvl w:val="0"/>
          <w:numId w:val="30"/>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ectPr>
          <w:pgSz w:w="11900" w:h="16838" w:orient="portrait"/>
          <w:cols w:equalWidth="0" w:num="1">
            <w:col w:w="11220"/>
          </w:cols>
          <w:pgMar w:left="320" w:top="233"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1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LEIDOS HOLDINGS, INC.</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Leidos Holdings, Inc., a Delaware corporation, hereby certifies as follows:</w:t>
      </w:r>
    </w:p>
    <w:p>
      <w:pPr>
        <w:spacing w:after="0" w:line="24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Leidos Holdings, Inc.</w:t>
      </w:r>
    </w:p>
    <w:p>
      <w:pPr>
        <w:spacing w:after="0" w:line="246" w:lineRule="exact"/>
        <w:rPr>
          <w:rFonts w:ascii="Times New Roman" w:cs="Times New Roman" w:eastAsia="Times New Roman" w:hAnsi="Times New Roman"/>
          <w:sz w:val="22"/>
          <w:szCs w:val="22"/>
          <w:color w:val="auto"/>
        </w:rPr>
      </w:pPr>
    </w:p>
    <w:p>
      <w:pPr>
        <w:ind w:left="660" w:right="100" w:hanging="328"/>
        <w:spacing w:after="0" w:line="271"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Certificate of Incorporation of the Corporation was filed with the Secretary of State of the State of Delaware on August 12, 2005. The name under which the corporation was originally incorporated is SAIC, Inc.</w:t>
      </w:r>
    </w:p>
    <w:p>
      <w:pPr>
        <w:spacing w:after="0" w:line="184" w:lineRule="exact"/>
        <w:rPr>
          <w:rFonts w:ascii="Times New Roman" w:cs="Times New Roman" w:eastAsia="Times New Roman" w:hAnsi="Times New Roman"/>
          <w:sz w:val="22"/>
          <w:szCs w:val="22"/>
          <w:color w:val="auto"/>
        </w:rPr>
      </w:pPr>
    </w:p>
    <w:p>
      <w:pPr>
        <w:ind w:left="660" w:right="540" w:hanging="328"/>
        <w:spacing w:after="0" w:line="284"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Restated Certificate of Incorporation restates the provisions of the Corporation’s Certificate of Incorporation as heretofore amended and supplemented.</w:t>
      </w:r>
    </w:p>
    <w:p>
      <w:pPr>
        <w:spacing w:after="0" w:line="170" w:lineRule="exact"/>
        <w:rPr>
          <w:rFonts w:ascii="Times New Roman" w:cs="Times New Roman" w:eastAsia="Times New Roman" w:hAnsi="Times New Roman"/>
          <w:sz w:val="22"/>
          <w:szCs w:val="22"/>
          <w:color w:val="auto"/>
        </w:rPr>
      </w:pPr>
    </w:p>
    <w:p>
      <w:pPr>
        <w:ind w:left="660" w:right="260" w:hanging="328"/>
        <w:spacing w:after="0" w:line="253" w:lineRule="auto"/>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Restated Certificate of Incorporation was duly adopted in accordance with Section 245 of the General Corporation Law of the State of Delaware (the “</w:t>
      </w:r>
      <w:r>
        <w:rPr>
          <w:rFonts w:ascii="Times New Roman" w:cs="Times New Roman" w:eastAsia="Times New Roman" w:hAnsi="Times New Roman"/>
          <w:sz w:val="22"/>
          <w:szCs w:val="22"/>
          <w:i w:val="1"/>
          <w:iCs w:val="1"/>
          <w:color w:val="auto"/>
        </w:rPr>
        <w:t>DGCL</w:t>
      </w:r>
      <w:r>
        <w:rPr>
          <w:rFonts w:ascii="Times New Roman" w:cs="Times New Roman" w:eastAsia="Times New Roman" w:hAnsi="Times New Roman"/>
          <w:sz w:val="22"/>
          <w:szCs w:val="22"/>
          <w:color w:val="auto"/>
        </w:rPr>
        <w:t>”). This Restated Certificate of Incorporation only restates and integrates (except as permitted under Section 245(c) of the DGCL) the provisions of the Corporation’s Restated Certificate of Incorporation as heretofore amended, and there is no discrepancy between those provisions and the provisions of this Restated Certificate (except as permitted under Section 245(c) of the DGCL).</w:t>
      </w:r>
    </w:p>
    <w:p>
      <w:pPr>
        <w:spacing w:after="0" w:line="20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Corporation’s Certificate of Incorporation is hereby restated to read in its entirety as follows: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FIRST: </w:t>
      </w:r>
      <w:r>
        <w:rPr>
          <w:rFonts w:ascii="Times New Roman" w:cs="Times New Roman" w:eastAsia="Times New Roman" w:hAnsi="Times New Roman"/>
          <w:sz w:val="22"/>
          <w:szCs w:val="22"/>
          <w:b w:val="1"/>
          <w:bCs w:val="1"/>
          <w:color w:val="000000"/>
        </w:rPr>
        <w:t>NAME</w:t>
      </w:r>
      <w:r>
        <w:rPr>
          <w:rFonts w:ascii="Times New Roman" w:cs="Times New Roman" w:eastAsia="Times New Roman" w:hAnsi="Times New Roman"/>
          <w:sz w:val="22"/>
          <w:szCs w:val="22"/>
          <w:color w:val="000000"/>
        </w:rPr>
        <w:t>. The name of the Corporation is Leidos Holdings, Inc.</w:t>
      </w:r>
    </w:p>
    <w:p>
      <w:pPr>
        <w:spacing w:after="0" w:line="27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22"/>
          <w:szCs w:val="22"/>
          <w:b w:val="1"/>
          <w:bCs w:val="1"/>
          <w:color w:val="010000"/>
        </w:rPr>
        <w:t xml:space="preserve">SECOND: </w:t>
      </w:r>
      <w:r>
        <w:rPr>
          <w:rFonts w:ascii="Times New Roman" w:cs="Times New Roman" w:eastAsia="Times New Roman" w:hAnsi="Times New Roman"/>
          <w:sz w:val="22"/>
          <w:szCs w:val="22"/>
          <w:b w:val="1"/>
          <w:bCs w:val="1"/>
          <w:color w:val="000000"/>
        </w:rPr>
        <w:t>ADDRESS</w:t>
      </w:r>
      <w:r>
        <w:rPr>
          <w:rFonts w:ascii="Times New Roman" w:cs="Times New Roman" w:eastAsia="Times New Roman" w:hAnsi="Times New Roman"/>
          <w:sz w:val="22"/>
          <w:szCs w:val="22"/>
          <w:color w:val="000000"/>
        </w:rPr>
        <w:t>. The address of the registered office of the Corporation in the State of Delaware is 1209 Orange Street,</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in the City of Wilmington, County of New Castle, Zip Code 19801 and the name of its registered agent at that address is The Corporation Trust Company.</w:t>
      </w:r>
    </w:p>
    <w:p>
      <w:pPr>
        <w:spacing w:after="0" w:line="188"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2"/>
          <w:szCs w:val="22"/>
          <w:b w:val="1"/>
          <w:bCs w:val="1"/>
          <w:color w:val="010000"/>
        </w:rPr>
        <w:t xml:space="preserve">THIRD: </w:t>
      </w:r>
      <w:r>
        <w:rPr>
          <w:rFonts w:ascii="Times New Roman" w:cs="Times New Roman" w:eastAsia="Times New Roman" w:hAnsi="Times New Roman"/>
          <w:sz w:val="22"/>
          <w:szCs w:val="22"/>
          <w:b w:val="1"/>
          <w:bCs w:val="1"/>
          <w:color w:val="000000"/>
        </w:rPr>
        <w:t>PURPOSE</w:t>
      </w:r>
      <w:r>
        <w:rPr>
          <w:rFonts w:ascii="Times New Roman" w:cs="Times New Roman" w:eastAsia="Times New Roman" w:hAnsi="Times New Roman"/>
          <w:sz w:val="22"/>
          <w:szCs w:val="22"/>
          <w:color w:val="000000"/>
        </w:rPr>
        <w:t>. The purpose of the Corporation is to engage in any lawful act or activity for which corporations may be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organized under the DGCL.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FOURTH: </w:t>
      </w:r>
      <w:r>
        <w:rPr>
          <w:rFonts w:ascii="Times New Roman" w:cs="Times New Roman" w:eastAsia="Times New Roman" w:hAnsi="Times New Roman"/>
          <w:sz w:val="22"/>
          <w:szCs w:val="22"/>
          <w:b w:val="1"/>
          <w:bCs w:val="1"/>
          <w:color w:val="000000"/>
        </w:rPr>
        <w:t>CAPITALIZATION</w:t>
      </w:r>
    </w:p>
    <w:p>
      <w:pPr>
        <w:spacing w:after="0" w:line="247"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Authorized Capitalization</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320" w:firstLine="648"/>
        <w:spacing w:after="0" w:line="259" w:lineRule="auto"/>
        <w:rPr>
          <w:sz w:val="20"/>
          <w:szCs w:val="20"/>
          <w:color w:val="auto"/>
        </w:rPr>
      </w:pPr>
      <w:r>
        <w:rPr>
          <w:rFonts w:ascii="Times New Roman" w:cs="Times New Roman" w:eastAsia="Times New Roman" w:hAnsi="Times New Roman"/>
          <w:sz w:val="22"/>
          <w:szCs w:val="22"/>
          <w:color w:val="auto"/>
        </w:rPr>
        <w:t>The Corporation is authorized to issue two classes of capital stock to be designated, respectively, “</w:t>
      </w:r>
      <w:r>
        <w:rPr>
          <w:rFonts w:ascii="Times New Roman" w:cs="Times New Roman" w:eastAsia="Times New Roman" w:hAnsi="Times New Roman"/>
          <w:sz w:val="22"/>
          <w:szCs w:val="22"/>
          <w:i w:val="1"/>
          <w:iCs w:val="1"/>
          <w:color w:val="auto"/>
        </w:rPr>
        <w:t>Common Stock</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Preferred Stock</w:t>
      </w:r>
      <w:r>
        <w:rPr>
          <w:rFonts w:ascii="Times New Roman" w:cs="Times New Roman" w:eastAsia="Times New Roman" w:hAnsi="Times New Roman"/>
          <w:sz w:val="22"/>
          <w:szCs w:val="22"/>
          <w:color w:val="auto"/>
        </w:rPr>
        <w:t>.” The total number of shares of capital stock of all classes which the Corporation shall have the authority to issue is 510,000,000 shares, each with a par value of $0.0001 per share, of which:</w:t>
      </w:r>
    </w:p>
    <w:p>
      <w:pPr>
        <w:sectPr>
          <w:pgSz w:w="11900" w:h="16838" w:orient="portrait"/>
          <w:cols w:equalWidth="0" w:num="1">
            <w:col w:w="11240"/>
          </w:cols>
          <w:pgMar w:left="320" w:top="127" w:right="339" w:bottom="1440" w:gutter="0" w:footer="0" w:header="0"/>
        </w:sectPr>
      </w:pPr>
    </w:p>
    <w:bookmarkStart w:id="38" w:name="page39"/>
    <w:bookmarkEnd w:id="38"/>
    <w:p>
      <w:pPr>
        <w:spacing w:after="0" w:line="225" w:lineRule="exact"/>
        <w:rPr>
          <w:sz w:val="20"/>
          <w:szCs w:val="20"/>
          <w:color w:val="auto"/>
        </w:rPr>
      </w:pPr>
    </w:p>
    <w:p>
      <w:pPr>
        <w:ind w:left="1620" w:hanging="316"/>
        <w:spacing w:after="0"/>
        <w:tabs>
          <w:tab w:leader="none" w:pos="1620"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500,000,000 shares shall be Common Stock; and</w:t>
      </w:r>
    </w:p>
    <w:p>
      <w:pPr>
        <w:spacing w:after="0" w:line="246" w:lineRule="exact"/>
        <w:rPr>
          <w:rFonts w:ascii="Times New Roman" w:cs="Times New Roman" w:eastAsia="Times New Roman" w:hAnsi="Times New Roman"/>
          <w:sz w:val="22"/>
          <w:szCs w:val="22"/>
          <w:color w:val="010000"/>
        </w:rPr>
      </w:pPr>
    </w:p>
    <w:p>
      <w:pPr>
        <w:ind w:left="1600" w:hanging="296"/>
        <w:spacing w:after="0"/>
        <w:tabs>
          <w:tab w:leader="none" w:pos="1600" w:val="left"/>
        </w:tabs>
        <w:numPr>
          <w:ilvl w:val="0"/>
          <w:numId w:val="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10,000,000 shares shall be Preferred Stock.</w:t>
      </w:r>
    </w:p>
    <w:p>
      <w:pPr>
        <w:spacing w:after="0" w:line="24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22"/>
          <w:szCs w:val="22"/>
          <w:color w:val="auto"/>
        </w:rPr>
        <w:t>The number of authorized shares of any class or classes of stock may be increased or decreased (but not below the number of shares thereof then outstanding) by the affirmative vote of the holders of at least a majority of the voting power of the issued and outstanding shares of Common Stock of the Corporation irrespective of the provisions of Section 242(b)(2) of the DGCL or any corresponding provision hereinafter enacted.</w:t>
      </w:r>
    </w:p>
    <w:p>
      <w:pPr>
        <w:spacing w:after="0" w:line="199" w:lineRule="exact"/>
        <w:rPr>
          <w:sz w:val="20"/>
          <w:szCs w:val="20"/>
          <w:color w:val="auto"/>
        </w:rPr>
      </w:pPr>
    </w:p>
    <w:p>
      <w:pPr>
        <w:ind w:left="1220" w:hanging="564"/>
        <w:spacing w:after="0"/>
        <w:tabs>
          <w:tab w:leader="none" w:pos="1220" w:val="left"/>
        </w:tabs>
        <w:numPr>
          <w:ilvl w:val="0"/>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Preferred Stock</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The Board of Directors is expressly authorized to provide for the issuance of all or any shares of the Preferred Stock, in one or more series, and to fix for each such series the number of shares thereof and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series and as may be permitted by the DGCL, including, without limitation, the authority to provide that any such series may be (a) subject to redemption at such time or times and at such price or prices; (b) entitled to receive dividends (which may be cumulative or non-cumulative) at such rates, on such conditions, and at such times, and payable in preference to, or in such relation to, the dividends payable on any other class or classes or any other series; (c) entitled to such rights upon the dissolution of, or upon any distribution of the assets of, the Corporation; or (d)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221"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22"/>
          <w:szCs w:val="22"/>
          <w:b w:val="1"/>
          <w:bCs w:val="1"/>
          <w:color w:val="010000"/>
        </w:rPr>
        <w:t xml:space="preserve">FIFTH: </w:t>
      </w:r>
      <w:r>
        <w:rPr>
          <w:rFonts w:ascii="Times New Roman" w:cs="Times New Roman" w:eastAsia="Times New Roman" w:hAnsi="Times New Roman"/>
          <w:sz w:val="22"/>
          <w:szCs w:val="22"/>
          <w:b w:val="1"/>
          <w:bCs w:val="1"/>
          <w:color w:val="000000"/>
        </w:rPr>
        <w:t>BALLOT</w:t>
      </w:r>
      <w:r>
        <w:rPr>
          <w:rFonts w:ascii="Times New Roman" w:cs="Times New Roman" w:eastAsia="Times New Roman" w:hAnsi="Times New Roman"/>
          <w:sz w:val="22"/>
          <w:szCs w:val="22"/>
          <w:color w:val="000000"/>
        </w:rPr>
        <w:t>. Elections of directors need not be by written ballot unless the Bylaws of the Corporation shall otherwise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provide.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b w:val="1"/>
          <w:bCs w:val="1"/>
          <w:color w:val="010000"/>
        </w:rPr>
        <w:t xml:space="preserve">SIXTH: </w:t>
      </w:r>
      <w:r>
        <w:rPr>
          <w:rFonts w:ascii="Times New Roman" w:cs="Times New Roman" w:eastAsia="Times New Roman" w:hAnsi="Times New Roman"/>
          <w:sz w:val="22"/>
          <w:szCs w:val="22"/>
          <w:b w:val="1"/>
          <w:bCs w:val="1"/>
          <w:color w:val="000000"/>
        </w:rPr>
        <w:t>BYLAWS</w:t>
      </w:r>
      <w:r>
        <w:rPr>
          <w:rFonts w:ascii="Times New Roman" w:cs="Times New Roman" w:eastAsia="Times New Roman" w:hAnsi="Times New Roman"/>
          <w:sz w:val="22"/>
          <w:szCs w:val="22"/>
          <w:color w:val="000000"/>
        </w:rPr>
        <w:t>. In furtherance and not in limitation of the powers conferred by statute, the Board of Directors is expressly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authorized to make, repeal, alter, amend and rescind the Bylaws of the Corporation. No section of the Bylaws shall be adopted, repealed, altered, amended or rescinded by the stockholders of the Corporation except by the vote of the holders of not less than a majority of the total voting power of all outstanding shares of voting stock of the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SEVENTH: </w:t>
      </w:r>
      <w:r>
        <w:rPr>
          <w:rFonts w:ascii="Times New Roman" w:cs="Times New Roman" w:eastAsia="Times New Roman" w:hAnsi="Times New Roman"/>
          <w:sz w:val="22"/>
          <w:szCs w:val="22"/>
          <w:b w:val="1"/>
          <w:bCs w:val="1"/>
          <w:color w:val="000000"/>
        </w:rPr>
        <w:t>THE BOARD OF DIRECTORS</w:t>
      </w:r>
      <w:r>
        <w:rPr>
          <w:rFonts w:ascii="Times New Roman" w:cs="Times New Roman" w:eastAsia="Times New Roman" w:hAnsi="Times New Roman"/>
          <w:sz w:val="22"/>
          <w:szCs w:val="22"/>
          <w:color w:val="000000"/>
        </w:rPr>
        <w:t>.</w:t>
      </w:r>
    </w:p>
    <w:p>
      <w:pPr>
        <w:spacing w:after="0" w:line="247" w:lineRule="exact"/>
        <w:rPr>
          <w:sz w:val="20"/>
          <w:szCs w:val="20"/>
          <w:color w:val="auto"/>
        </w:rPr>
      </w:pPr>
    </w:p>
    <w:p>
      <w:pPr>
        <w:ind w:right="80" w:firstLine="656"/>
        <w:spacing w:after="0" w:line="259" w:lineRule="auto"/>
        <w:tabs>
          <w:tab w:leader="none" w:pos="1218"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Number of Directors</w:t>
      </w:r>
      <w:r>
        <w:rPr>
          <w:rFonts w:ascii="Times New Roman" w:cs="Times New Roman" w:eastAsia="Times New Roman" w:hAnsi="Times New Roman"/>
          <w:sz w:val="22"/>
          <w:szCs w:val="22"/>
          <w:color w:val="auto"/>
        </w:rPr>
        <w:t>. The number of directors which shall constitute the whole Board of Directors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shall be not less than seven (7) and not more than fourteen (14), and the exact number shall be fixed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39" w:name="page40"/>
    <w:bookmarkEnd w:id="39"/>
    <w:p>
      <w:pPr>
        <w:spacing w:after="0" w:line="221" w:lineRule="exact"/>
        <w:rPr>
          <w:sz w:val="20"/>
          <w:szCs w:val="20"/>
          <w:color w:val="auto"/>
        </w:rPr>
      </w:pPr>
    </w:p>
    <w:p>
      <w:pPr>
        <w:ind w:firstLine="656"/>
        <w:spacing w:after="0" w:line="250" w:lineRule="auto"/>
        <w:tabs>
          <w:tab w:leader="none" w:pos="1206"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At each annual meeting of stockholders of the Corporation commencing at the annual meeting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next following the 2007 annual meeting of stockholders, all directors shall be elected for a term expiring at the next succeeding annual meeting of stockholders, by such stockholders having the right to vote on such election. The term of each director serving as and immediately following the date of the 2007 annual meeting of stockholders shall expire at the next annual meeting of stockholders after such date, notwithstanding that such director may have been elected for a term that extended beyond the date of such annual meeting of stockholders. Each director shall serve until the director’s term expires in accordance with the foregoing provisions or until the director’s prior resignation, death, disqualification or removal from office, provided that each director shall serve notwithstanding the expiration of the director’s term until the director’s successor shall be duly elected and qualified.</w:t>
      </w:r>
    </w:p>
    <w:p>
      <w:pPr>
        <w:spacing w:after="0" w:line="206" w:lineRule="exact"/>
        <w:rPr>
          <w:rFonts w:ascii="Times New Roman" w:cs="Times New Roman" w:eastAsia="Times New Roman" w:hAnsi="Times New Roman"/>
          <w:sz w:val="22"/>
          <w:szCs w:val="22"/>
          <w:color w:val="010000"/>
        </w:rPr>
      </w:pPr>
    </w:p>
    <w:p>
      <w:pPr>
        <w:ind w:firstLine="656"/>
        <w:spacing w:after="0" w:line="259" w:lineRule="auto"/>
        <w:tabs>
          <w:tab w:leader="none" w:pos="1206"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Removal</w:t>
      </w:r>
      <w:r>
        <w:rPr>
          <w:rFonts w:ascii="Times New Roman" w:cs="Times New Roman" w:eastAsia="Times New Roman" w:hAnsi="Times New Roman"/>
          <w:sz w:val="22"/>
          <w:szCs w:val="22"/>
          <w:color w:val="auto"/>
        </w:rPr>
        <w:t>. Unless otherwise restricted by applicable law, any director or the entire Board may be removed with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cause by the holders of a majority of the total voting power of all outstanding shares then entitled to vote at an election of directors.</w:t>
      </w:r>
    </w:p>
    <w:p>
      <w:pPr>
        <w:spacing w:after="0" w:line="193" w:lineRule="exact"/>
        <w:rPr>
          <w:rFonts w:ascii="Times New Roman" w:cs="Times New Roman" w:eastAsia="Times New Roman" w:hAnsi="Times New Roman"/>
          <w:sz w:val="22"/>
          <w:szCs w:val="22"/>
          <w:color w:val="010000"/>
        </w:rPr>
      </w:pPr>
    </w:p>
    <w:p>
      <w:pPr>
        <w:ind w:left="1220" w:hanging="564"/>
        <w:spacing w:after="0"/>
        <w:tabs>
          <w:tab w:leader="none" w:pos="1220"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No Cumulative Voting</w:t>
      </w:r>
      <w:r>
        <w:rPr>
          <w:rFonts w:ascii="Times New Roman" w:cs="Times New Roman" w:eastAsia="Times New Roman" w:hAnsi="Times New Roman"/>
          <w:sz w:val="22"/>
          <w:szCs w:val="22"/>
          <w:color w:val="auto"/>
        </w:rPr>
        <w:t>. There shall be no cumulative voting in the election of directors.</w:t>
      </w:r>
    </w:p>
    <w:p>
      <w:pPr>
        <w:spacing w:after="0" w:line="246" w:lineRule="exact"/>
        <w:rPr>
          <w:rFonts w:ascii="Times New Roman" w:cs="Times New Roman" w:eastAsia="Times New Roman" w:hAnsi="Times New Roman"/>
          <w:sz w:val="22"/>
          <w:szCs w:val="22"/>
          <w:color w:val="010000"/>
        </w:rPr>
      </w:pPr>
    </w:p>
    <w:p>
      <w:pPr>
        <w:ind w:right="60" w:firstLine="656"/>
        <w:spacing w:after="0" w:line="252" w:lineRule="auto"/>
        <w:tabs>
          <w:tab w:leader="none" w:pos="1194"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Vacancies</w:t>
      </w:r>
      <w:r>
        <w:rPr>
          <w:rFonts w:ascii="Times New Roman" w:cs="Times New Roman" w:eastAsia="Times New Roman" w:hAnsi="Times New Roman"/>
          <w:sz w:val="22"/>
          <w:szCs w:val="22"/>
          <w:color w:val="auto"/>
        </w:rPr>
        <w:t>. Any vacancy in the Board of Directors, whether because of resignation, death, disqualification,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removal, an increase in the number of directors, or any other cause, may only be filled by vote of the majority of the remaining directors, although less than a quorum. The term of any director elected in accordance with the preceding sentence shall expire at the next annual meeting of stockholders. Each director shall serve until the director’s term expires in accordance with the foregoing provisions or until the director’s prior resignation, death, disqualification or removal from office, provided that each director shall serve notwithstanding the expiration of the director’s term until the director’s successor shall be duly elected and qualified.</w:t>
      </w:r>
    </w:p>
    <w:p>
      <w:pPr>
        <w:spacing w:after="0" w:line="206" w:lineRule="exact"/>
        <w:rPr>
          <w:sz w:val="20"/>
          <w:szCs w:val="20"/>
          <w:color w:val="auto"/>
        </w:rPr>
      </w:pPr>
    </w:p>
    <w:p>
      <w:pPr>
        <w:ind w:right="540"/>
        <w:spacing w:after="0" w:line="299" w:lineRule="auto"/>
        <w:rPr>
          <w:sz w:val="20"/>
          <w:szCs w:val="20"/>
          <w:color w:val="auto"/>
        </w:rPr>
      </w:pPr>
      <w:r>
        <w:rPr>
          <w:rFonts w:ascii="Times New Roman" w:cs="Times New Roman" w:eastAsia="Times New Roman" w:hAnsi="Times New Roman"/>
          <w:sz w:val="21"/>
          <w:szCs w:val="21"/>
          <w:b w:val="1"/>
          <w:bCs w:val="1"/>
          <w:color w:val="010000"/>
        </w:rPr>
        <w:t xml:space="preserve">EIGHTH: </w:t>
      </w:r>
      <w:r>
        <w:rPr>
          <w:rFonts w:ascii="Times New Roman" w:cs="Times New Roman" w:eastAsia="Times New Roman" w:hAnsi="Times New Roman"/>
          <w:sz w:val="21"/>
          <w:szCs w:val="21"/>
          <w:b w:val="1"/>
          <w:bCs w:val="1"/>
          <w:color w:val="000000"/>
        </w:rPr>
        <w:t>ACTION OF STOCKHOLDERS</w:t>
      </w:r>
      <w:r>
        <w:rPr>
          <w:rFonts w:ascii="Times New Roman" w:cs="Times New Roman" w:eastAsia="Times New Roman" w:hAnsi="Times New Roman"/>
          <w:sz w:val="21"/>
          <w:szCs w:val="21"/>
          <w:color w:val="000000"/>
        </w:rPr>
        <w:t>. No action shall be taken by the stockholders except at an annual or special</w:t>
      </w:r>
      <w:r>
        <w:rPr>
          <w:rFonts w:ascii="Times New Roman" w:cs="Times New Roman" w:eastAsia="Times New Roman" w:hAnsi="Times New Roman"/>
          <w:sz w:val="21"/>
          <w:szCs w:val="21"/>
          <w:b w:val="1"/>
          <w:bCs w:val="1"/>
          <w:color w:val="010000"/>
        </w:rPr>
        <w:t xml:space="preserve"> </w:t>
      </w:r>
      <w:r>
        <w:rPr>
          <w:rFonts w:ascii="Times New Roman" w:cs="Times New Roman" w:eastAsia="Times New Roman" w:hAnsi="Times New Roman"/>
          <w:sz w:val="21"/>
          <w:szCs w:val="21"/>
          <w:color w:val="000000"/>
        </w:rPr>
        <w:t>meeting of stockholders, and no action may be effected by any consent in writing in lieu of a meeting of stockholders.</w:t>
      </w:r>
    </w:p>
    <w:p>
      <w:pPr>
        <w:spacing w:after="0" w:line="15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2"/>
          <w:szCs w:val="22"/>
          <w:b w:val="1"/>
          <w:bCs w:val="1"/>
          <w:color w:val="010000"/>
        </w:rPr>
        <w:t xml:space="preserve">NINTH: </w:t>
      </w:r>
      <w:r>
        <w:rPr>
          <w:rFonts w:ascii="Times New Roman" w:cs="Times New Roman" w:eastAsia="Times New Roman" w:hAnsi="Times New Roman"/>
          <w:sz w:val="22"/>
          <w:szCs w:val="22"/>
          <w:b w:val="1"/>
          <w:bCs w:val="1"/>
          <w:color w:val="000000"/>
        </w:rPr>
        <w:t>AMENDMENT</w:t>
      </w:r>
      <w:r>
        <w:rPr>
          <w:rFonts w:ascii="Times New Roman" w:cs="Times New Roman" w:eastAsia="Times New Roman" w:hAnsi="Times New Roman"/>
          <w:sz w:val="22"/>
          <w:szCs w:val="22"/>
          <w:color w:val="000000"/>
        </w:rPr>
        <w:t>. The Corporation reserves the right to amend, alter, change or repeal any provision contained in this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Restated Certificate of Incorporation, in the manner now or hereafter prescribed by statute, and all rights conferred on stockholders herein are granted subject to this reservation.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TENTH: </w:t>
      </w:r>
      <w:r>
        <w:rPr>
          <w:rFonts w:ascii="Times New Roman" w:cs="Times New Roman" w:eastAsia="Times New Roman" w:hAnsi="Times New Roman"/>
          <w:sz w:val="22"/>
          <w:szCs w:val="22"/>
          <w:b w:val="1"/>
          <w:bCs w:val="1"/>
          <w:color w:val="000000"/>
        </w:rPr>
        <w:t>BUSINESS COMBINATIONS.</w:t>
      </w:r>
    </w:p>
    <w:p>
      <w:pPr>
        <w:spacing w:after="0" w:line="251"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purposes of this Article TENTH: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40" w:name="page41"/>
    <w:bookmarkEnd w:id="40"/>
    <w:p>
      <w:pPr>
        <w:ind w:left="-460" w:right="940" w:firstLine="644"/>
        <w:spacing w:after="0" w:line="275" w:lineRule="auto"/>
        <w:tabs>
          <w:tab w:leader="none" w:pos="706"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mean any individual, firm, limited liability company, partnership, limited partnership, corporation or other entity.</w:t>
      </w:r>
    </w:p>
    <w:p>
      <w:pPr>
        <w:spacing w:after="0" w:line="176" w:lineRule="exact"/>
        <w:rPr>
          <w:rFonts w:ascii="Times New Roman" w:cs="Times New Roman" w:eastAsia="Times New Roman" w:hAnsi="Times New Roman"/>
          <w:sz w:val="22"/>
          <w:szCs w:val="22"/>
          <w:color w:val="010000"/>
        </w:rPr>
      </w:pPr>
    </w:p>
    <w:p>
      <w:pPr>
        <w:ind w:left="-460" w:right="500" w:firstLine="644"/>
        <w:spacing w:after="0" w:line="287" w:lineRule="auto"/>
        <w:tabs>
          <w:tab w:leader="none" w:pos="706"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shall mean any corporation more than fifty percent (50%) of any class of equity security of which is owned, directly or indirectly, by the Corporation.</w:t>
      </w:r>
    </w:p>
    <w:p>
      <w:pPr>
        <w:spacing w:after="0" w:line="164" w:lineRule="exact"/>
        <w:rPr>
          <w:rFonts w:ascii="Times New Roman" w:cs="Times New Roman" w:eastAsia="Times New Roman" w:hAnsi="Times New Roman"/>
          <w:sz w:val="22"/>
          <w:szCs w:val="22"/>
          <w:color w:val="010000"/>
        </w:rPr>
      </w:pPr>
    </w:p>
    <w:p>
      <w:pPr>
        <w:ind w:left="-460" w:right="320" w:firstLine="644"/>
        <w:spacing w:after="0" w:line="277" w:lineRule="auto"/>
        <w:tabs>
          <w:tab w:leader="none" w:pos="706" w:val="left"/>
        </w:tabs>
        <w:numPr>
          <w:ilvl w:val="0"/>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i w:val="1"/>
          <w:iCs w:val="1"/>
          <w:color w:val="auto"/>
        </w:rPr>
        <w:t>Substantial Part of the Assets</w:t>
      </w:r>
      <w:r>
        <w:rPr>
          <w:rFonts w:ascii="Times New Roman" w:cs="Times New Roman" w:eastAsia="Times New Roman" w:hAnsi="Times New Roman"/>
          <w:sz w:val="21"/>
          <w:szCs w:val="21"/>
          <w:color w:val="auto"/>
        </w:rPr>
        <w:t>” shall mean assets having a fair market value or book value, whichever is greater, equal to more than ten percent of the fair market value or book value, whichever is greater, of the total assets of a person as of the end of its most recent fiscal year ending prior to the time the determination is made.</w:t>
      </w:r>
    </w:p>
    <w:p>
      <w:pPr>
        <w:spacing w:after="0" w:line="176" w:lineRule="exact"/>
        <w:rPr>
          <w:rFonts w:ascii="Times New Roman" w:cs="Times New Roman" w:eastAsia="Times New Roman" w:hAnsi="Times New Roman"/>
          <w:sz w:val="21"/>
          <w:szCs w:val="21"/>
          <w:color w:val="010000"/>
        </w:rPr>
      </w:pPr>
    </w:p>
    <w:p>
      <w:pPr>
        <w:ind w:left="-460" w:right="80" w:firstLine="644"/>
        <w:spacing w:after="0" w:line="248" w:lineRule="auto"/>
        <w:tabs>
          <w:tab w:leader="none" w:pos="698"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person shall be a “</w:t>
      </w:r>
      <w:r>
        <w:rPr>
          <w:rFonts w:ascii="Times New Roman" w:cs="Times New Roman" w:eastAsia="Times New Roman" w:hAnsi="Times New Roman"/>
          <w:sz w:val="22"/>
          <w:szCs w:val="22"/>
          <w:i w:val="1"/>
          <w:iCs w:val="1"/>
          <w:color w:val="auto"/>
        </w:rPr>
        <w:t>Beneficial Owner</w:t>
      </w:r>
      <w:r>
        <w:rPr>
          <w:rFonts w:ascii="Times New Roman" w:cs="Times New Roman" w:eastAsia="Times New Roman" w:hAnsi="Times New Roman"/>
          <w:sz w:val="22"/>
          <w:szCs w:val="22"/>
          <w:color w:val="auto"/>
        </w:rPr>
        <w:t>” of any shares of voting stock of the Corporation (a) which such person or any of its “</w:t>
      </w:r>
      <w:r>
        <w:rPr>
          <w:rFonts w:ascii="Times New Roman" w:cs="Times New Roman" w:eastAsia="Times New Roman" w:hAnsi="Times New Roman"/>
          <w:sz w:val="22"/>
          <w:szCs w:val="22"/>
          <w:i w:val="1"/>
          <w:iCs w:val="1"/>
          <w:color w:val="auto"/>
        </w:rPr>
        <w:t>affiliates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associates</w:t>
      </w:r>
      <w:r>
        <w:rPr>
          <w:rFonts w:ascii="Times New Roman" w:cs="Times New Roman" w:eastAsia="Times New Roman" w:hAnsi="Times New Roman"/>
          <w:sz w:val="22"/>
          <w:szCs w:val="22"/>
          <w:color w:val="auto"/>
        </w:rPr>
        <w:t>” (as defined on the date of the adoption hereof in Rule 12b-2 under the Securities Exchange Act of 1934, as amended (the “</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beneficially owns, directly or indirectly, (b) which such person or any of its “</w:t>
      </w:r>
      <w:r>
        <w:rPr>
          <w:rFonts w:ascii="Times New Roman" w:cs="Times New Roman" w:eastAsia="Times New Roman" w:hAnsi="Times New Roman"/>
          <w:sz w:val="22"/>
          <w:szCs w:val="22"/>
          <w:i w:val="1"/>
          <w:iCs w:val="1"/>
          <w:color w:val="auto"/>
        </w:rPr>
        <w:t>affiliates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associates</w:t>
      </w:r>
      <w:r>
        <w:rPr>
          <w:rFonts w:ascii="Times New Roman" w:cs="Times New Roman" w:eastAsia="Times New Roman" w:hAnsi="Times New Roman"/>
          <w:sz w:val="22"/>
          <w:szCs w:val="22"/>
          <w:color w:val="auto"/>
        </w:rPr>
        <w:t xml:space="preserve">” has, directly or indirectly, (i) the right to acquire (whether such right is exercisable immediately or only after the passage of time) pursuant to any agreement, arrangement or understanding or upon the exercise of conversion rights, exchange rights, warrants or options, or otherwise or (ii) the right to vote or direct the voting of pursuant to any agreement, arrangement or understanding,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person shall not be deemed the Beneficial Owner of, or to beneficially own, any security by reason of such agreement, arrangement or understanding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 or (c) which are beneficially owned, directly or indirectly, by any other person with which such person or any of its “</w:t>
      </w:r>
      <w:r>
        <w:rPr>
          <w:rFonts w:ascii="Times New Roman" w:cs="Times New Roman" w:eastAsia="Times New Roman" w:hAnsi="Times New Roman"/>
          <w:sz w:val="22"/>
          <w:szCs w:val="22"/>
          <w:i w:val="1"/>
          <w:iCs w:val="1"/>
          <w:color w:val="auto"/>
        </w:rPr>
        <w:t>affiliates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associates</w:t>
      </w:r>
      <w:r>
        <w:rPr>
          <w:rFonts w:ascii="Times New Roman" w:cs="Times New Roman" w:eastAsia="Times New Roman" w:hAnsi="Times New Roman"/>
          <w:sz w:val="22"/>
          <w:szCs w:val="22"/>
          <w:color w:val="auto"/>
        </w:rPr>
        <w:t>” has any such agreement, arrangement or understanding for the purpose of acquiring, holding, voting or disposing of any shares of such voting stock.</w:t>
      </w:r>
    </w:p>
    <w:p>
      <w:pPr>
        <w:spacing w:after="0" w:line="209" w:lineRule="exact"/>
        <w:rPr>
          <w:rFonts w:ascii="Times New Roman" w:cs="Times New Roman" w:eastAsia="Times New Roman" w:hAnsi="Times New Roman"/>
          <w:sz w:val="22"/>
          <w:szCs w:val="22"/>
          <w:color w:val="010000"/>
        </w:rPr>
      </w:pPr>
    </w:p>
    <w:p>
      <w:pPr>
        <w:ind w:left="-460" w:right="120" w:firstLine="644"/>
        <w:spacing w:after="0" w:line="258" w:lineRule="auto"/>
        <w:tabs>
          <w:tab w:leader="none" w:pos="706"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i w:val="1"/>
          <w:iCs w:val="1"/>
          <w:color w:val="auto"/>
        </w:rPr>
        <w:t>Related Person</w:t>
      </w:r>
      <w:r>
        <w:rPr>
          <w:rFonts w:ascii="Times New Roman" w:cs="Times New Roman" w:eastAsia="Times New Roman" w:hAnsi="Times New Roman"/>
          <w:sz w:val="22"/>
          <w:szCs w:val="22"/>
          <w:color w:val="auto"/>
        </w:rPr>
        <w:t>” shall mean any person (except any profit-sharing, employee stock ownership or other employee benefit plan of the Corporation or any Subsidiary or any trustee of or fiduciary with respect to any such plan when acting in such capacity) which is the Beneficial Owner (as herein defined) of five percent (5%) or more of the total voting power of all of the outstanding shares of voting stock of the Corporation.</w:t>
      </w:r>
    </w:p>
    <w:p>
      <w:pPr>
        <w:spacing w:after="0" w:line="198" w:lineRule="exact"/>
        <w:rPr>
          <w:rFonts w:ascii="Times New Roman" w:cs="Times New Roman" w:eastAsia="Times New Roman" w:hAnsi="Times New Roman"/>
          <w:sz w:val="22"/>
          <w:szCs w:val="22"/>
          <w:color w:val="010000"/>
        </w:rPr>
      </w:pPr>
    </w:p>
    <w:p>
      <w:pPr>
        <w:ind w:left="-460" w:firstLine="644"/>
        <w:spacing w:after="0" w:line="257" w:lineRule="auto"/>
        <w:tabs>
          <w:tab w:leader="none" w:pos="710"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purposes of determining whether a person is a Related Person, the number of shares of voting stock of the Corporation deemed to be outstanding shall include all shares deemed owned by such person through application of Section (A)(4), but shall not include any other shares of voting stock which may be issuable pursuant 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00"/>
          </w:cols>
          <w:pgMar w:left="1440" w:top="1418" w:right="359"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22"/>
          <w:szCs w:val="22"/>
          <w:color w:val="auto"/>
        </w:rPr>
        <w:t>any agreement, arrangement or understanding, or upon exercise of conversion rights, warrants or options, or otherwise.</w:t>
      </w:r>
    </w:p>
    <w:p>
      <w:pPr>
        <w:spacing w:after="0" w:line="243" w:lineRule="exact"/>
        <w:rPr>
          <w:sz w:val="20"/>
          <w:szCs w:val="20"/>
          <w:color w:val="auto"/>
        </w:rPr>
      </w:pPr>
    </w:p>
    <w:p>
      <w:pPr>
        <w:ind w:left="640" w:right="60" w:firstLine="644"/>
        <w:spacing w:after="0" w:line="247" w:lineRule="auto"/>
        <w:tabs>
          <w:tab w:leader="none" w:pos="1806"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i w:val="1"/>
          <w:iCs w:val="1"/>
          <w:color w:val="auto"/>
        </w:rPr>
        <w:t>Business Combination</w:t>
      </w:r>
      <w:r>
        <w:rPr>
          <w:rFonts w:ascii="Times New Roman" w:cs="Times New Roman" w:eastAsia="Times New Roman" w:hAnsi="Times New Roman"/>
          <w:sz w:val="22"/>
          <w:szCs w:val="22"/>
          <w:color w:val="auto"/>
        </w:rPr>
        <w:t>” shall mean (a) any merger or consolidation of the Corporation or a Subsidiary with or into a Related Person, (b) any sale, lease, exchange, transfer, mortgage, pledge or other disposition (whether in one transaction or in a series of transactions) of all or any Substantial Part of the Assets (as herein defined) of a Related Person to the Corporation or to a Subsidiary, (c) any sale, lease, exchange, transfer, mortgage, pledge or other disposition (whether in one transaction or in a series of transactions) of all or any Substantial Part of the Assets of the Corporation (including without limitation any securities of a Subsidiary) to a Related Person, (d) the issuance of any securities of the Corporation or a Subsidiary to a Related Person, (e) the acquisition by the Corporation or a Subsidiary of any securities of a Related Person, (f) any reclassification of the securities (including any reverse stock split) or recapitalization of the Corporation, or any merger or consolidation of the Corporation with any Subsidiary or any other transaction (whether or not with or into or otherwise involving a Related Person) which has the effect, directly or indirectly, of increasing the proportionate amount of the outstanding shares of any class of equity securities or securities convertible into equity securities of the Corporation or any Subsidiary which is directly or indirectly owned by a Related Person, (g) any loan or other extension of credit by the Corporation or a Subsidiary to a Related Person or any guarantee by the Corporation or a Subsidiary of any loan or other extension of credit by any person to a Related Person, (h) the adoption of any plan or proposal for the dissolution, liquidation or termination of the Corporation or any Subsidiary proposed by or on behalf of a Related Person and (i) any agreement, contract or other arrangement providing for any of the foregoing Business Combination transactions.</w:t>
      </w:r>
    </w:p>
    <w:p>
      <w:pPr>
        <w:spacing w:after="0" w:line="217" w:lineRule="exact"/>
        <w:rPr>
          <w:rFonts w:ascii="Times New Roman" w:cs="Times New Roman" w:eastAsia="Times New Roman" w:hAnsi="Times New Roman"/>
          <w:sz w:val="22"/>
          <w:szCs w:val="22"/>
          <w:color w:val="010000"/>
        </w:rPr>
      </w:pPr>
    </w:p>
    <w:p>
      <w:pPr>
        <w:ind w:left="640" w:firstLine="644"/>
        <w:spacing w:after="0" w:line="252" w:lineRule="auto"/>
        <w:tabs>
          <w:tab w:leader="none" w:pos="1806"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i w:val="1"/>
          <w:iCs w:val="1"/>
          <w:color w:val="auto"/>
        </w:rPr>
        <w:t>Continuing Director</w:t>
      </w:r>
      <w:r>
        <w:rPr>
          <w:rFonts w:ascii="Times New Roman" w:cs="Times New Roman" w:eastAsia="Times New Roman" w:hAnsi="Times New Roman"/>
          <w:sz w:val="22"/>
          <w:szCs w:val="22"/>
          <w:color w:val="auto"/>
        </w:rPr>
        <w:t>” shall mean any member of the Board of Directors of the Corporation who is unaffiliated with the Related Person and was a member of the Board prior to the time that the Related Person became a Related Person, and any successor of a Continuing Director who is unaffiliated with the Related Person and is recommended or elected to succeed a Continuing Director by a majority of Continuing Directors, provided that such recommendation or election shall only be effective if made at a meeting at which a Continuing Director Quorum is present.</w:t>
      </w:r>
    </w:p>
    <w:p>
      <w:pPr>
        <w:spacing w:after="0" w:line="215" w:lineRule="exact"/>
        <w:rPr>
          <w:rFonts w:ascii="Times New Roman" w:cs="Times New Roman" w:eastAsia="Times New Roman" w:hAnsi="Times New Roman"/>
          <w:sz w:val="22"/>
          <w:szCs w:val="22"/>
          <w:color w:val="010000"/>
        </w:rPr>
      </w:pPr>
    </w:p>
    <w:p>
      <w:pPr>
        <w:ind w:left="640" w:right="520" w:firstLine="644"/>
        <w:spacing w:after="0" w:line="259" w:lineRule="auto"/>
        <w:tabs>
          <w:tab w:leader="none" w:pos="1806" w:val="left"/>
        </w:tabs>
        <w:numPr>
          <w:ilvl w:val="1"/>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i w:val="1"/>
          <w:iCs w:val="1"/>
          <w:color w:val="auto"/>
        </w:rPr>
        <w:t>Continuing Director Quorum</w:t>
      </w:r>
      <w:r>
        <w:rPr>
          <w:rFonts w:ascii="Times New Roman" w:cs="Times New Roman" w:eastAsia="Times New Roman" w:hAnsi="Times New Roman"/>
          <w:sz w:val="22"/>
          <w:szCs w:val="22"/>
          <w:color w:val="auto"/>
        </w:rPr>
        <w:t>” shall mean a majority of the Continuing Directors capable of exercising the powers conferred upon them under the provisions of this Restated Certificate of Incorporation or the Bylaws of the Corporation or by law.</w:t>
      </w:r>
    </w:p>
    <w:p>
      <w:pPr>
        <w:spacing w:after="0" w:line="197" w:lineRule="exact"/>
        <w:rPr>
          <w:rFonts w:ascii="Times New Roman" w:cs="Times New Roman" w:eastAsia="Times New Roman" w:hAnsi="Times New Roman"/>
          <w:sz w:val="22"/>
          <w:szCs w:val="22"/>
          <w:color w:val="010000"/>
        </w:rPr>
      </w:pPr>
    </w:p>
    <w:p>
      <w:pPr>
        <w:ind w:left="-20" w:firstLine="656"/>
        <w:spacing w:after="0" w:line="256" w:lineRule="auto"/>
        <w:tabs>
          <w:tab w:leader="none" w:pos="1182"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approval or authorization of any Business Combination (as herein defined) of the Corporation with any Related Person (as herein defined) shall require the affirmative vote of the holders of at least a majority of the total voting power of all of the outstanding shares of voting stock of the Corporation other than shares of voting stock of which such Related Person is the Beneficial Owner (as herein defined). Such affirmative vote shall be required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40" w:top="1422" w:right="359" w:bottom="1440" w:gutter="0" w:footer="0" w:header="0"/>
        </w:sectPr>
      </w:pPr>
    </w:p>
    <w:bookmarkStart w:id="42" w:name="page43"/>
    <w:bookmarkEnd w:id="42"/>
    <w:p>
      <w:pPr>
        <w:ind w:right="180"/>
        <w:spacing w:after="0" w:line="271" w:lineRule="auto"/>
        <w:rPr>
          <w:sz w:val="20"/>
          <w:szCs w:val="20"/>
          <w:color w:val="auto"/>
        </w:rPr>
      </w:pPr>
      <w:r>
        <w:rPr>
          <w:rFonts w:ascii="Times New Roman" w:cs="Times New Roman" w:eastAsia="Times New Roman" w:hAnsi="Times New Roman"/>
          <w:sz w:val="22"/>
          <w:szCs w:val="22"/>
          <w:color w:val="auto"/>
        </w:rPr>
        <w:t>notwithstanding the fact that no vote may be required, or that the affirmative vote of a lesser percentage of stockholders may be specified, by law or otherwise.</w:t>
      </w:r>
    </w:p>
    <w:p>
      <w:pPr>
        <w:spacing w:after="0" w:line="185" w:lineRule="exact"/>
        <w:rPr>
          <w:sz w:val="20"/>
          <w:szCs w:val="20"/>
          <w:color w:val="auto"/>
        </w:rPr>
      </w:pPr>
    </w:p>
    <w:p>
      <w:pPr>
        <w:ind w:right="340" w:firstLine="656"/>
        <w:spacing w:after="0" w:line="284" w:lineRule="auto"/>
        <w:tabs>
          <w:tab w:leader="none" w:pos="1202"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provisions of this Article TENTH shall not be applicable to any particular Business Combination, and such Business Combination shall require only such affirmative vote, if any, as may be required by law or otherwise, if:</w:t>
      </w:r>
    </w:p>
    <w:p>
      <w:pPr>
        <w:spacing w:after="0" w:line="170" w:lineRule="exact"/>
        <w:rPr>
          <w:rFonts w:ascii="Times New Roman" w:cs="Times New Roman" w:eastAsia="Times New Roman" w:hAnsi="Times New Roman"/>
          <w:sz w:val="22"/>
          <w:szCs w:val="22"/>
          <w:color w:val="010000"/>
        </w:rPr>
      </w:pPr>
    </w:p>
    <w:p>
      <w:pPr>
        <w:ind w:left="660" w:right="80" w:firstLine="644"/>
        <w:spacing w:after="0" w:line="252" w:lineRule="auto"/>
        <w:tabs>
          <w:tab w:leader="none" w:pos="1826"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Board of Directors of the Corporation shall by resolution have approved or ratified a memorandum of understanding approving such Business Combination with such Related Person prior to the time such Related Person became the Beneficial Owner, directly or indirectly, of five percent (5%) or more of the voting shares of the Corporation; or</w:t>
      </w:r>
    </w:p>
    <w:p>
      <w:pPr>
        <w:spacing w:after="0" w:line="219" w:lineRule="exact"/>
        <w:rPr>
          <w:rFonts w:ascii="Times New Roman" w:cs="Times New Roman" w:eastAsia="Times New Roman" w:hAnsi="Times New Roman"/>
          <w:sz w:val="22"/>
          <w:szCs w:val="22"/>
          <w:color w:val="010000"/>
        </w:rPr>
      </w:pPr>
    </w:p>
    <w:p>
      <w:pPr>
        <w:ind w:left="660" w:right="260" w:firstLine="644"/>
        <w:spacing w:after="0" w:line="271" w:lineRule="auto"/>
        <w:tabs>
          <w:tab w:leader="none" w:pos="1826"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Business Combination shall have been approved by a majority of the Continuing Directors (as herein defined) at a meeting at which a Continuing Director Quorum (as herein defined) is present; or</w:t>
      </w:r>
    </w:p>
    <w:p>
      <w:pPr>
        <w:spacing w:after="0" w:line="184" w:lineRule="exact"/>
        <w:rPr>
          <w:rFonts w:ascii="Times New Roman" w:cs="Times New Roman" w:eastAsia="Times New Roman" w:hAnsi="Times New Roman"/>
          <w:sz w:val="22"/>
          <w:szCs w:val="22"/>
          <w:color w:val="010000"/>
        </w:rPr>
      </w:pPr>
    </w:p>
    <w:p>
      <w:pPr>
        <w:ind w:left="660" w:right="140" w:firstLine="644"/>
        <w:spacing w:after="0" w:line="248" w:lineRule="auto"/>
        <w:tabs>
          <w:tab w:leader="none" w:pos="1826" w:val="left"/>
        </w:tabs>
        <w:numPr>
          <w:ilvl w:val="1"/>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Business Combination involves solely the Corporation and a Subsidiary (as herein defined) in which a Related Person has no direct or indirect interest (other than an interest arising solely because of control of the Corporation); provided, that if the Corporation is not the surviving corporation, (a) each stockholder of the Corporation receives the same type of consideration in such transaction in proportion to such stockholder’s stockholdings, (b) the provisions of Articles SIXTH, SEVENTH, EIGHTH, NINTH, TENTH and ELEVENTH of this Restated Certificate of Incorporation are continued in effect or adopted by such surviving corporation as part of its articles of incorporation or certificate of incorporation, as the case may be, and such articles or certificate have no provisions inconsistent with such provisions, and (c) the provisions of the Corporation’s Bylaws are continued in effect or adopted by such surviving corporation.</w:t>
      </w:r>
    </w:p>
    <w:p>
      <w:pPr>
        <w:spacing w:after="0" w:line="225" w:lineRule="exact"/>
        <w:rPr>
          <w:rFonts w:ascii="Times New Roman" w:cs="Times New Roman" w:eastAsia="Times New Roman" w:hAnsi="Times New Roman"/>
          <w:sz w:val="22"/>
          <w:szCs w:val="22"/>
          <w:color w:val="010000"/>
        </w:rPr>
      </w:pPr>
    </w:p>
    <w:p>
      <w:pPr>
        <w:ind w:right="740" w:firstLine="656"/>
        <w:spacing w:after="0" w:line="271" w:lineRule="auto"/>
        <w:tabs>
          <w:tab w:leader="none" w:pos="1218"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contained in this Article TENTH shall be construed to relieve any Related Person of any fiduciary obligation imposed upon it by law.</w:t>
      </w:r>
    </w:p>
    <w:p>
      <w:pPr>
        <w:spacing w:after="0" w:line="184" w:lineRule="exact"/>
        <w:rPr>
          <w:rFonts w:ascii="Times New Roman" w:cs="Times New Roman" w:eastAsia="Times New Roman" w:hAnsi="Times New Roman"/>
          <w:sz w:val="22"/>
          <w:szCs w:val="22"/>
          <w:color w:val="010000"/>
        </w:rPr>
      </w:pPr>
    </w:p>
    <w:p>
      <w:pPr>
        <w:ind w:firstLine="656"/>
        <w:spacing w:after="0" w:line="253" w:lineRule="auto"/>
        <w:tabs>
          <w:tab w:leader="none" w:pos="1182"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majority of the Continuing Directors shall have the power and duty to determine, on the basis of information then known to them, whether (a) any person is a Related Person, (b) any Business Combination relates to a Substantial Part of the Assets of any person and (c) any director is a Continuing Director acting at a meeting at which a Continuing Director Quorum is or was present. Any such determination by a majority of the Continuing Directors shall be conclusive and binding for all purposes of this Article TENTH.</w:t>
      </w:r>
    </w:p>
    <w:p>
      <w:pPr>
        <w:spacing w:after="0" w:line="205" w:lineRule="exact"/>
        <w:rPr>
          <w:rFonts w:ascii="Times New Roman" w:cs="Times New Roman" w:eastAsia="Times New Roman" w:hAnsi="Times New Roman"/>
          <w:sz w:val="22"/>
          <w:szCs w:val="22"/>
          <w:color w:val="010000"/>
        </w:rPr>
      </w:pPr>
    </w:p>
    <w:p>
      <w:pPr>
        <w:ind w:right="580" w:firstLine="656"/>
        <w:spacing w:after="0" w:line="252" w:lineRule="auto"/>
        <w:tabs>
          <w:tab w:leader="none" w:pos="1178"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stockholders of the Corporation shall be entitled to statutory appraisal rights to the maximum extent permissible under Section 262 of the General Corporation Law of the State of Delaware, notwithstanding any exception otherwise provided therein, with respect to any Business Combination with a Related Person requiring the affirmative vote pursuant to Section B above unless such vote is not required pursuant to Section 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2" w:right="379" w:bottom="1440" w:gutter="0" w:footer="0" w:header="0"/>
        </w:sectPr>
      </w:pPr>
    </w:p>
    <w:bookmarkStart w:id="43" w:name="page44"/>
    <w:bookmarkEnd w:id="43"/>
    <w:p>
      <w:pPr>
        <w:spacing w:after="0" w:line="225" w:lineRule="exact"/>
        <w:rPr>
          <w:sz w:val="20"/>
          <w:szCs w:val="20"/>
          <w:color w:val="auto"/>
        </w:rPr>
      </w:pPr>
    </w:p>
    <w:p>
      <w:pPr>
        <w:ind w:left="-60" w:firstLine="656"/>
        <w:spacing w:after="0" w:line="263" w:lineRule="auto"/>
        <w:tabs>
          <w:tab w:leader="none" w:pos="1158"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Business Combination subject to the provisions of Section B of this Article TENTH shall, unless such Business Combination shall be the subject of one of the exceptions provided for in Sections C(1), (2) or (3), be consummated, and the Corporation shall not enter into any such Business Combination, unless the agreement relating to such Business Combination shall provide that each stockholder of the Corporation who has voted against the Business Combination shall receive, at the time of the consummation of such Business Combination and in exchange for such stockholder’s shares of the capital stock of the Corporation, at the option of such stockholder, either (i) the consideration offered by the Related Persons as part of the Business Combination, or (ii) consideration per share of capital stock of the Corporation held by such stockholder (either in cash or in the same form and of the same kind as the consideration paid by the Related Person in acquiring shares of capital stock of the Corporation, at the option of such stockholder) in an amount not less than the greater of the following:</w:t>
      </w:r>
    </w:p>
    <w:p>
      <w:pPr>
        <w:spacing w:after="0" w:line="196" w:lineRule="exact"/>
        <w:rPr>
          <w:rFonts w:ascii="Times New Roman" w:cs="Times New Roman" w:eastAsia="Times New Roman" w:hAnsi="Times New Roman"/>
          <w:sz w:val="21"/>
          <w:szCs w:val="21"/>
          <w:color w:val="010000"/>
        </w:rPr>
      </w:pPr>
    </w:p>
    <w:p>
      <w:pPr>
        <w:ind w:left="600" w:right="280" w:firstLine="644"/>
        <w:spacing w:after="0" w:line="271" w:lineRule="auto"/>
        <w:tabs>
          <w:tab w:leader="none" w:pos="1766"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highest per share price (including brokerage commissions, transfer taxes and soliciting dealers’ fees) paid by such Related Person in acquiring any of the capital stock of the Corporation, or</w:t>
      </w:r>
    </w:p>
    <w:p>
      <w:pPr>
        <w:spacing w:after="0" w:line="184" w:lineRule="exact"/>
        <w:rPr>
          <w:rFonts w:ascii="Times New Roman" w:cs="Times New Roman" w:eastAsia="Times New Roman" w:hAnsi="Times New Roman"/>
          <w:sz w:val="22"/>
          <w:szCs w:val="22"/>
          <w:color w:val="010000"/>
        </w:rPr>
      </w:pPr>
    </w:p>
    <w:p>
      <w:pPr>
        <w:ind w:left="600" w:right="120" w:firstLine="644"/>
        <w:spacing w:after="0" w:line="265" w:lineRule="auto"/>
        <w:tabs>
          <w:tab w:leader="none" w:pos="1758" w:val="left"/>
        </w:tabs>
        <w:numPr>
          <w:ilvl w:val="1"/>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price bearing the same percentage relationship to the market price of the capital stock of the Corporation immediately prior to the announcement of the Business Combination as the highest price per share (including brokerage commissions, transfer taxes and soliciting dealers’ fees) of the capital stock of the Corporation previously paid by such Related Person for shares of capital stock of the Corporation bears to the market price of the capital stock of the Corporation immediately prior to the time such Related Person initially acquired any shares of capital stock of the Corporation notwithstanding that such person was not a Related Person at the time of such initial acquisition.</w:t>
      </w:r>
    </w:p>
    <w:p>
      <w:pPr>
        <w:spacing w:after="0" w:line="195" w:lineRule="exact"/>
        <w:rPr>
          <w:rFonts w:ascii="Times New Roman" w:cs="Times New Roman" w:eastAsia="Times New Roman" w:hAnsi="Times New Roman"/>
          <w:sz w:val="21"/>
          <w:szCs w:val="21"/>
          <w:color w:val="010000"/>
        </w:rPr>
      </w:pPr>
    </w:p>
    <w:p>
      <w:pPr>
        <w:ind w:left="-60" w:right="100" w:firstLine="656"/>
        <w:spacing w:after="0" w:line="271" w:lineRule="auto"/>
        <w:tabs>
          <w:tab w:leader="none" w:pos="1158" w:val="left"/>
        </w:tabs>
        <w:numPr>
          <w:ilvl w:val="0"/>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Notice of any proposed alteration, amendment, rescission or repeal of this Article TENTH shall be included in the notice of any annual or special meeting of stockholders at which such proposal is to be considered.</w:t>
      </w:r>
    </w:p>
    <w:p>
      <w:pPr>
        <w:spacing w:after="0" w:line="198" w:lineRule="exact"/>
        <w:rPr>
          <w:rFonts w:ascii="Times New Roman" w:cs="Times New Roman" w:eastAsia="Times New Roman" w:hAnsi="Times New Roman"/>
          <w:sz w:val="22"/>
          <w:szCs w:val="22"/>
          <w:color w:val="010000"/>
        </w:rPr>
      </w:pPr>
    </w:p>
    <w:p>
      <w:pPr>
        <w:ind w:left="-60" w:right="20" w:firstLine="656"/>
        <w:spacing w:after="0" w:line="261" w:lineRule="auto"/>
        <w:tabs>
          <w:tab w:leader="none" w:pos="1070"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provisions set forth in this Article TENTH may not be amended, altered, changed or repealed nor may any provision inconsistent with such provisions be added to the Restated Certificate of Incorporation of the Corporation except upon the affirmative vote of the holders of at least a majority of the total voting power of all of the outstanding shares of voting stock of the Corporation other than shares of voting stock which are Beneficially Owned by a Related Person which has directly or indirectly proposed such amendment, alteration, change or repeal;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or all of such provisions may be amended, altered, changed or repealed, and any such new provisions may be added, upon the affirmative vote of the holders of not less than a majority of the total voting power of all outstanding voting securities of the Corporation, if such amendment, change, alteration or repeal or additional provision shall first have been approved and recommended by a resolution adopted by a majority vote of the Continuing Directors at a meeting at which a Continuing Director Quorum was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20"/>
          </w:cols>
          <w:pgMar w:left="380" w:top="1440"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color w:val="010000"/>
        </w:rPr>
        <w:t xml:space="preserve">ELEVENTH: </w:t>
      </w:r>
      <w:r>
        <w:rPr>
          <w:rFonts w:ascii="Times New Roman" w:cs="Times New Roman" w:eastAsia="Times New Roman" w:hAnsi="Times New Roman"/>
          <w:sz w:val="22"/>
          <w:szCs w:val="22"/>
          <w:b w:val="1"/>
          <w:bCs w:val="1"/>
          <w:color w:val="000000"/>
        </w:rPr>
        <w:t>INDEMNIFICATION AND LIMITATION OF LIABILITY</w:t>
      </w:r>
    </w:p>
    <w:p>
      <w:pPr>
        <w:spacing w:after="0" w:line="247" w:lineRule="exact"/>
        <w:rPr>
          <w:sz w:val="20"/>
          <w:szCs w:val="20"/>
          <w:color w:val="auto"/>
        </w:rPr>
      </w:pPr>
    </w:p>
    <w:p>
      <w:pPr>
        <w:ind w:left="1220" w:hanging="564"/>
        <w:spacing w:after="0"/>
        <w:tabs>
          <w:tab w:leader="none" w:pos="1220" w:val="left"/>
        </w:tabs>
        <w:numPr>
          <w:ilvl w:val="0"/>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w:t>
      </w:r>
    </w:p>
    <w:p>
      <w:pPr>
        <w:spacing w:after="0" w:line="244" w:lineRule="exact"/>
        <w:rPr>
          <w:rFonts w:ascii="Times New Roman" w:cs="Times New Roman" w:eastAsia="Times New Roman" w:hAnsi="Times New Roman"/>
          <w:sz w:val="22"/>
          <w:szCs w:val="22"/>
          <w:color w:val="010000"/>
        </w:rPr>
      </w:pPr>
    </w:p>
    <w:p>
      <w:pPr>
        <w:ind w:left="660" w:right="20" w:firstLine="644"/>
        <w:spacing w:after="0" w:line="251" w:lineRule="auto"/>
        <w:tabs>
          <w:tab w:leader="none" w:pos="1830"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i w:val="1"/>
          <w:iCs w:val="1"/>
          <w:color w:val="auto"/>
        </w:rPr>
        <w:t>Indemnification of Directors and Officers</w:t>
      </w:r>
      <w:r>
        <w:rPr>
          <w:rFonts w:ascii="Times New Roman" w:cs="Times New Roman" w:eastAsia="Times New Roman" w:hAnsi="Times New Roman"/>
          <w:sz w:val="22"/>
          <w:szCs w:val="22"/>
          <w:color w:val="auto"/>
        </w:rPr>
        <w:t>. The Corporation shall indemnify its directors and elected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appointed officers to the fullest extent authorized or permitted by the DGCL, as the same exists or may hereafter be amended, and such right to indemnification shall continue as to a person who has ceased to be a director or officer of the Corporation and shall inure to the benefit of his or her heirs, executors and administrators; provided, however, that, except for proceedings to enforce rights to indemnification, the Corporation shall not be obligated to indemnify any director or officer (or his or her heirs, executors or administrators) in connection with a proceeding (or part thereof) initiated by such person unless such proceeding (or part thereof) was authorized or consented to by the Board of Directors of the Corporation.</w:t>
      </w:r>
    </w:p>
    <w:p>
      <w:pPr>
        <w:spacing w:after="0" w:line="205" w:lineRule="exact"/>
        <w:rPr>
          <w:rFonts w:ascii="Times New Roman" w:cs="Times New Roman" w:eastAsia="Times New Roman" w:hAnsi="Times New Roman"/>
          <w:sz w:val="22"/>
          <w:szCs w:val="22"/>
          <w:color w:val="010000"/>
        </w:rPr>
      </w:pPr>
    </w:p>
    <w:p>
      <w:pPr>
        <w:ind w:left="660" w:right="80" w:firstLine="644"/>
        <w:spacing w:after="0" w:line="252" w:lineRule="auto"/>
        <w:tabs>
          <w:tab w:leader="none" w:pos="1830"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i w:val="1"/>
          <w:iCs w:val="1"/>
          <w:color w:val="auto"/>
        </w:rPr>
        <w:t>Advancement of Expenses</w:t>
      </w:r>
      <w:r>
        <w:rPr>
          <w:rFonts w:ascii="Times New Roman" w:cs="Times New Roman" w:eastAsia="Times New Roman" w:hAnsi="Times New Roman"/>
          <w:sz w:val="22"/>
          <w:szCs w:val="22"/>
          <w:color w:val="auto"/>
        </w:rPr>
        <w:t>. The Corporation shall to the fullest extent not prohibited by applicable law pay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the expenses (including attorneys’ fees) incurred by past or present directors and officers of the Corporation in defending any proceeding in advance of its final disposition;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required by law, such payment of expenses in advance of the final disposition of the proceeding shall be made only upon receipt of an undertaking by such persons to repay all amounts advanced if it should be ultimately determined that such person is not entitled to be indemnified under this Article ELEVENTH or otherwise.</w:t>
      </w:r>
    </w:p>
    <w:p>
      <w:pPr>
        <w:spacing w:after="0" w:line="201" w:lineRule="exact"/>
        <w:rPr>
          <w:rFonts w:ascii="Times New Roman" w:cs="Times New Roman" w:eastAsia="Times New Roman" w:hAnsi="Times New Roman"/>
          <w:sz w:val="22"/>
          <w:szCs w:val="22"/>
          <w:color w:val="010000"/>
        </w:rPr>
      </w:pPr>
    </w:p>
    <w:p>
      <w:pPr>
        <w:ind w:left="660" w:firstLine="644"/>
        <w:spacing w:after="0" w:line="258" w:lineRule="auto"/>
        <w:tabs>
          <w:tab w:leader="none" w:pos="1830"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i w:val="1"/>
          <w:iCs w:val="1"/>
          <w:color w:val="auto"/>
        </w:rPr>
        <w:t>Indemnification of Employees and Agents</w:t>
      </w:r>
      <w:r>
        <w:rPr>
          <w:rFonts w:ascii="Times New Roman" w:cs="Times New Roman" w:eastAsia="Times New Roman" w:hAnsi="Times New Roman"/>
          <w:sz w:val="22"/>
          <w:szCs w:val="22"/>
          <w:color w:val="auto"/>
        </w:rPr>
        <w:t>. The Corporation may, to the extent authorized from time to time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Board of Directors, provide rights to indemnification and to the advancement of expenses to employees and agents of the Corporation who are not directors or officers similar to those conferred in this Section (A) to directors and officers of the Corporation.</w:t>
      </w:r>
    </w:p>
    <w:p>
      <w:pPr>
        <w:spacing w:after="0" w:line="201"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The rights to indemnification and to the advancement of expenses conferred in this Section (A) shall not be exclusive of any other right which any person may have or hereafter acquire under this Restated Certificate of Incorporation, the Bylaws, any statute, agreement, insurance policy, vote of stockholders or disinterested directors, or otherwise.</w:t>
      </w:r>
    </w:p>
    <w:p>
      <w:pPr>
        <w:spacing w:after="0" w:line="196" w:lineRule="exact"/>
        <w:rPr>
          <w:sz w:val="20"/>
          <w:szCs w:val="20"/>
          <w:color w:val="auto"/>
        </w:rPr>
      </w:pPr>
    </w:p>
    <w:p>
      <w:pPr>
        <w:ind w:right="180" w:firstLine="656"/>
        <w:spacing w:after="0" w:line="252" w:lineRule="auto"/>
        <w:tabs>
          <w:tab w:leader="none" w:pos="1206"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Limitation on Liability</w:t>
      </w:r>
      <w:r>
        <w:rPr>
          <w:rFonts w:ascii="Times New Roman" w:cs="Times New Roman" w:eastAsia="Times New Roman" w:hAnsi="Times New Roman"/>
          <w:sz w:val="22"/>
          <w:szCs w:val="22"/>
          <w:color w:val="auto"/>
        </w:rPr>
        <w:t>. To the fullest extent that the General Corporation Law of the State of Delaware, as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exists on the date hereof or as it may hereafter be amended, permits the limitation or elimination of the liability of directors or officers (or both directors and officers), no director or officer of the Corporation shall be personally liable to the Corporation or any of its stockholders for monetary damages for breach of fiduciary duty as a director or officer. Solely for purposes of Section B and, as applicable, Section C of Article ELEVENTH, “officer” shall have the meaning provided in Section 102(b)(7) of the General Corporation Law of the State of Delaware,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45" w:name="page46"/>
    <w:bookmarkEnd w:id="45"/>
    <w:p>
      <w:pPr>
        <w:ind w:left="-100" w:firstLine="656"/>
        <w:spacing w:after="0" w:line="269" w:lineRule="auto"/>
        <w:tabs>
          <w:tab w:leader="none" w:pos="1106"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Repeal or Modification of Rights</w:t>
      </w:r>
      <w:r>
        <w:rPr>
          <w:rFonts w:ascii="Times New Roman" w:cs="Times New Roman" w:eastAsia="Times New Roman" w:hAnsi="Times New Roman"/>
          <w:sz w:val="21"/>
          <w:szCs w:val="21"/>
          <w:color w:val="auto"/>
        </w:rPr>
        <w:t>. Any repeal or modification of Section (A) shall not adversely affect any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indemnification and advancement of expenses of a director or officer of the Corporation existing pursuant to Section (A) with respect to any acts or omissions occurring prior to such repeal or modification. Any repeal or modification of Sections (A) or (B) shall not apply to or have any effect on the liability or alleged liability of any director or officer of the Corporation for or with respect to any acts or omissions of such director or officer occurring prior to such repeal or modification.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60"/>
          </w:cols>
          <w:pgMar w:left="420" w:top="1418" w:right="419" w:bottom="1440" w:gutter="0" w:footer="0" w:header="0"/>
        </w:sectPr>
      </w:pPr>
    </w:p>
    <w:bookmarkStart w:id="46" w:name="page47"/>
    <w:bookmarkEnd w:id="46"/>
    <w:p>
      <w:pPr>
        <w:ind w:right="380"/>
        <w:spacing w:after="0" w:line="249" w:lineRule="auto"/>
        <w:rPr>
          <w:sz w:val="20"/>
          <w:szCs w:val="20"/>
          <w:color w:val="auto"/>
        </w:rPr>
      </w:pPr>
      <w:r>
        <w:rPr>
          <w:rFonts w:ascii="Times New Roman" w:cs="Times New Roman" w:eastAsia="Times New Roman" w:hAnsi="Times New Roman"/>
          <w:sz w:val="22"/>
          <w:szCs w:val="22"/>
          <w:color w:val="auto"/>
        </w:rPr>
        <w:t>In witness whereof, Leidos Holdings, Inc. has caused this Restated Certificate of Incorporation to be executed in its corporate name by its duly authorized officer on the date set forth below.</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4"/>
          <w:szCs w:val="24"/>
          <w:b w:val="1"/>
          <w:bCs w:val="1"/>
          <w:color w:val="auto"/>
        </w:rPr>
        <w:t>LEIDOS HOLDINGS, INC.</w:t>
      </w:r>
    </w:p>
    <w:p>
      <w:pPr>
        <w:spacing w:after="0" w:line="23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4"/>
          <w:szCs w:val="24"/>
          <w:color w:val="auto"/>
        </w:rPr>
        <w:t xml:space="preserve">By: </w:t>
      </w:r>
      <w:r>
        <w:rPr>
          <w:rFonts w:ascii="Times New Roman" w:cs="Times New Roman" w:eastAsia="Times New Roman" w:hAnsi="Times New Roman"/>
          <w:sz w:val="24"/>
          <w:szCs w:val="24"/>
          <w:u w:val="single" w:color="auto"/>
          <w:color w:val="auto"/>
        </w:rPr>
        <w:t>/s/ Brian Z. Liss</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4"/>
          <w:szCs w:val="24"/>
          <w:color w:val="auto"/>
        </w:rPr>
        <w:t>Name: Brian Z. Liss</w:t>
      </w:r>
    </w:p>
    <w:p>
      <w:pPr>
        <w:spacing w:after="0" w:line="14" w:lineRule="exact"/>
        <w:rPr>
          <w:sz w:val="20"/>
          <w:szCs w:val="20"/>
          <w:color w:val="auto"/>
        </w:rPr>
      </w:pPr>
    </w:p>
    <w:p>
      <w:pPr>
        <w:ind w:left="3900"/>
        <w:spacing w:after="0" w:line="270" w:lineRule="auto"/>
        <w:rPr>
          <w:sz w:val="20"/>
          <w:szCs w:val="20"/>
          <w:color w:val="auto"/>
        </w:rPr>
      </w:pPr>
      <w:r>
        <w:rPr>
          <w:rFonts w:ascii="Times New Roman" w:cs="Times New Roman" w:eastAsia="Times New Roman" w:hAnsi="Times New Roman"/>
          <w:sz w:val="24"/>
          <w:szCs w:val="24"/>
          <w:color w:val="auto"/>
        </w:rPr>
        <w:t>Title: Senior Vice President, Deputy General Counsel &amp; Corporate Secretary</w:t>
      </w:r>
    </w:p>
    <w:p>
      <w:pPr>
        <w:spacing w:after="0" w:line="1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4"/>
          <w:szCs w:val="24"/>
          <w:color w:val="auto"/>
        </w:rPr>
        <w:t>DATED: 8/1/2025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Thomas A. Bell, certify that:</w:t>
      </w:r>
    </w:p>
    <w:p>
      <w:pPr>
        <w:spacing w:after="0" w:line="171"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July 4, 2025,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Thomas A. Bell</w:t>
      </w:r>
    </w:p>
    <w:p>
      <w:pPr>
        <w:ind w:left="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Cage, certify that:</w:t>
      </w:r>
    </w:p>
    <w:p>
      <w:pPr>
        <w:spacing w:after="0" w:line="171"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July 4, 2025,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Christopher R. Cage</w:t>
      </w:r>
    </w:p>
    <w:p>
      <w:pPr>
        <w:ind w:left="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In connection with the Quarterly Report of Leidos Holdings, Inc. ("Leidos") on Form 10-Q for the period ended July 4, 2025, as filed with the Securities and Exchange Commission on the date hereof (the "Report"), I, Thomas A. Bell, Chief Executive Officer of Leidos Holdings, Inc., certify, pursuant to 18 U.S.C. § 1350, as adopted pursuant to § 906 of the Sarbanes-Oxley Act of 2002, that to the best of my knowledge:</w:t>
      </w:r>
    </w:p>
    <w:p>
      <w:pPr>
        <w:spacing w:after="0" w:line="99"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Thomas A. Bell</w:t>
      </w:r>
    </w:p>
    <w:p>
      <w:pPr>
        <w:ind w:left="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connection with the Quarterly Report of Leidos Holdings, Inc. ("Leidos") on Form 10-Q for the period ended July 4, 2025, as filed with the Securities and Exchange Commission on the date hereof (the "Report"), I, Christopher R. Cage, Executive Vice President and Chief Financial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2025</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Christopher R. Cage</w:t>
      </w:r>
    </w:p>
    <w:p>
      <w:pPr>
        <w:ind w:left="60"/>
        <w:spacing w:after="0"/>
        <w:rPr>
          <w:sz w:val="20"/>
          <w:szCs w:val="20"/>
          <w:color w:val="auto"/>
        </w:rPr>
      </w:pPr>
      <w:r>
        <w:rPr>
          <w:rFonts w:ascii="Arial" w:cs="Arial" w:eastAsia="Arial" w:hAnsi="Arial"/>
          <w:sz w:val="14"/>
          <w:szCs w:val="14"/>
          <w:b w:val="1"/>
          <w:bCs w:val="1"/>
          <w:color w:val="auto"/>
        </w:rPr>
        <w:t>Executive Vice President and 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2"/>
      <w:numFmt w:val="bullet"/>
      <w:start w:val="1"/>
    </w:lvl>
  </w:abstractNum>
  <w:abstractNum w:abstractNumId="3">
    <w:nsid w:val="189A769B"/>
    <w:multiLevelType w:val="hybridMultilevel"/>
    <w:lvl w:ilvl="0">
      <w:lvlJc w:val="left"/>
      <w:lvlText w:val="4"/>
      <w:numFmt w:val="bullet"/>
      <w:start w:val="1"/>
    </w:lvl>
  </w:abstractNum>
  <w:abstractNum w:abstractNumId="4">
    <w:nsid w:val="54E49EB4"/>
    <w:multiLevelType w:val="hybridMultilevel"/>
    <w:lvl w:ilvl="0">
      <w:lvlJc w:val="left"/>
      <w:lvlText w:val="6"/>
      <w:numFmt w:val="bullet"/>
      <w:start w:val="1"/>
    </w:lvl>
  </w:abstractNum>
  <w:abstractNum w:abstractNumId="5">
    <w:nsid w:val="71F32454"/>
    <w:multiLevelType w:val="hybridMultilevel"/>
    <w:lvl w:ilvl="0">
      <w:lvlJc w:val="left"/>
      <w:lvlText w:val="8"/>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0"/>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2"/>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4"/>
    </w:lvl>
  </w:abstractNum>
  <w:abstractNum w:abstractNumId="13">
    <w:nsid w:val="737B8DDC"/>
    <w:multiLevelType w:val="hybridMultilevel"/>
    <w:lvl w:ilvl="0">
      <w:lvlJc w:val="left"/>
      <w:lvlText w:val="%1"/>
      <w:numFmt w:val="decimal"/>
      <w:start w:val="16"/>
    </w:lvl>
  </w:abstractNum>
  <w:abstractNum w:abstractNumId="14">
    <w:nsid w:val="6CEAF087"/>
    <w:multiLevelType w:val="hybridMultilevel"/>
    <w:lvl w:ilvl="0">
      <w:lvlJc w:val="left"/>
      <w:lvlText w:val="%1"/>
      <w:numFmt w:val="decimal"/>
      <w:start w:val="18"/>
    </w:lvl>
  </w:abstractNum>
  <w:abstractNum w:abstractNumId="15">
    <w:nsid w:val="22221A70"/>
    <w:multiLevelType w:val="hybridMultilevel"/>
    <w:lvl w:ilvl="0">
      <w:lvlJc w:val="left"/>
      <w:lvlText w:val="%1"/>
      <w:numFmt w:val="decimal"/>
      <w:start w:val="20"/>
    </w:lvl>
  </w:abstractNum>
  <w:abstractNum w:abstractNumId="16">
    <w:nsid w:val="4516DDE9"/>
    <w:multiLevelType w:val="hybridMultilevel"/>
    <w:lvl w:ilvl="0">
      <w:lvlJc w:val="left"/>
      <w:lvlText w:val="%1"/>
      <w:numFmt w:val="decimal"/>
      <w:start w:val="22"/>
    </w:lvl>
  </w:abstractNum>
  <w:abstractNum w:abstractNumId="17">
    <w:nsid w:val="3006C83E"/>
    <w:multiLevelType w:val="hybridMultilevel"/>
    <w:lvl w:ilvl="0">
      <w:lvlJc w:val="left"/>
      <w:lvlText w:val="%1"/>
      <w:numFmt w:val="decimal"/>
      <w:start w:val="24"/>
    </w:lvl>
  </w:abstractNum>
  <w:abstractNum w:abstractNumId="18">
    <w:nsid w:val="614FD4A1"/>
    <w:multiLevelType w:val="hybridMultilevel"/>
    <w:lvl w:ilvl="0">
      <w:lvlJc w:val="left"/>
      <w:lvlText w:val="%1"/>
      <w:numFmt w:val="decimal"/>
      <w:start w:val="26"/>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28"/>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30"/>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32"/>
    </w:lvl>
  </w:abstractNum>
  <w:abstractNum w:abstractNumId="26">
    <w:nsid w:val="5C482A97"/>
    <w:multiLevelType w:val="hybridMultilevel"/>
    <w:lvl w:ilvl="0">
      <w:lvlJc w:val="left"/>
      <w:lvlText w:val="%1"/>
      <w:numFmt w:val="decimal"/>
      <w:start w:val="22"/>
    </w:lvl>
  </w:abstractNum>
  <w:abstractNum w:abstractNumId="27">
    <w:nsid w:val="2463B9EA"/>
    <w:multiLevelType w:val="hybridMultilevel"/>
    <w:lvl w:ilvl="0">
      <w:lvlJc w:val="left"/>
      <w:lvlText w:val="%1"/>
      <w:numFmt w:val="decimal"/>
      <w:start w:val="101"/>
    </w:lvl>
  </w:abstractNum>
  <w:abstractNum w:abstractNumId="28">
    <w:nsid w:val="5E884ADC"/>
    <w:multiLevelType w:val="hybridMultilevel"/>
    <w:lvl w:ilvl="0">
      <w:lvlJc w:val="left"/>
      <w:lvlText w:val="%1"/>
      <w:numFmt w:val="decimal"/>
      <w:start w:val="104"/>
    </w:lvl>
  </w:abstractNum>
  <w:abstractNum w:abstractNumId="29">
    <w:nsid w:val="51EAD36B"/>
    <w:multiLevelType w:val="hybridMultilevel"/>
    <w:lvl w:ilvl="0">
      <w:lvlJc w:val="left"/>
      <w:lvlText w:val="%1"/>
      <w:numFmt w:val="decimal"/>
      <w:start w:val="34"/>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upperLetter"/>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upperLetter"/>
      <w:start w:val="2"/>
    </w:lvl>
  </w:abstractNum>
  <w:abstractNum w:abstractNumId="34">
    <w:nsid w:val="70A64E2A"/>
    <w:multiLevelType w:val="hybridMultilevel"/>
    <w:lvl w:ilvl="0">
      <w:lvlJc w:val="left"/>
      <w:lvlText w:val="(%1)"/>
      <w:numFmt w:val="upperLetter"/>
      <w:start w:val="1"/>
    </w:lvl>
  </w:abstractNum>
  <w:abstractNum w:abstractNumId="35">
    <w:nsid w:val="6A2342EC"/>
    <w:multiLevelType w:val="hybridMultilevel"/>
    <w:lvl w:ilvl="0">
      <w:lvlJc w:val="left"/>
      <w:lvlText w:val="(%1)"/>
      <w:numFmt w:val="upperLetter"/>
      <w:start w:val="2"/>
    </w:lvl>
  </w:abstractNum>
  <w:abstractNum w:abstractNumId="36">
    <w:nsid w:val="2A487CB0"/>
    <w:multiLevelType w:val="hybridMultilevel"/>
    <w:lvl w:ilvl="0">
      <w:lvlJc w:val="left"/>
      <w:lvlText w:val="(%1)"/>
      <w:numFmt w:val="upperLetter"/>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upperLetter"/>
      <w:start w:val="1"/>
    </w:lvl>
    <w:lvl w:ilvl="1">
      <w:lvlJc w:val="left"/>
      <w:lvlText w:val="(%2)"/>
      <w:numFmt w:val="decimal"/>
      <w:start w:val="7"/>
    </w:lvl>
  </w:abstractNum>
  <w:abstractNum w:abstractNumId="39">
    <w:nsid w:val="2CD89A32"/>
    <w:multiLevelType w:val="hybridMultilevel"/>
    <w:lvl w:ilvl="0">
      <w:lvlJc w:val="left"/>
      <w:lvlText w:val="(%1)"/>
      <w:numFmt w:val="upperLetter"/>
      <w:start w:val="2"/>
    </w:lvl>
    <w:lvl w:ilvl="1">
      <w:lvlJc w:val="left"/>
      <w:lvlText w:val="%2"/>
      <w:numFmt w:val="decimal"/>
      <w:start w:val="1"/>
    </w:lvl>
  </w:abstractNum>
  <w:abstractNum w:abstractNumId="40">
    <w:nsid w:val="57E4CCAF"/>
    <w:multiLevelType w:val="hybridMultilevel"/>
    <w:lvl w:ilvl="0">
      <w:lvlJc w:val="left"/>
      <w:lvlText w:val="(%1)"/>
      <w:numFmt w:val="upperLetter"/>
      <w:start w:val="3"/>
    </w:lvl>
    <w:lvl w:ilvl="1">
      <w:lvlJc w:val="left"/>
      <w:lvlText w:val="(%2)"/>
      <w:numFmt w:val="decimal"/>
      <w:start w:val="1"/>
    </w:lvl>
  </w:abstractNum>
  <w:abstractNum w:abstractNumId="41">
    <w:nsid w:val="7A6D8D3C"/>
    <w:multiLevelType w:val="hybridMultilevel"/>
    <w:lvl w:ilvl="0">
      <w:lvlJc w:val="left"/>
      <w:lvlText w:val="(%1)"/>
      <w:numFmt w:val="upperLetter"/>
      <w:start w:val="7"/>
    </w:lvl>
    <w:lvl w:ilvl="1">
      <w:lvlJc w:val="left"/>
      <w:lvlText w:val="(%2)"/>
      <w:numFmt w:val="decimal"/>
      <w:start w:val="1"/>
    </w:lvl>
  </w:abstractNum>
  <w:abstractNum w:abstractNumId="42">
    <w:nsid w:val="4B588F54"/>
    <w:multiLevelType w:val="hybridMultilevel"/>
    <w:lvl w:ilvl="0">
      <w:lvlJc w:val="left"/>
      <w:lvlText w:val="(%1)"/>
      <w:numFmt w:val="upperLetter"/>
      <w:start w:val="1"/>
    </w:lvl>
    <w:lvl w:ilvl="1">
      <w:lvlJc w:val="left"/>
      <w:lvlText w:val="(%2)"/>
      <w:numFmt w:val="decimal"/>
      <w:start w:val="1"/>
    </w:lvl>
  </w:abstractNum>
  <w:abstractNum w:abstractNumId="43">
    <w:nsid w:val="542289EC"/>
    <w:multiLevelType w:val="hybridMultilevel"/>
    <w:lvl w:ilvl="0">
      <w:lvlJc w:val="left"/>
      <w:lvlText w:val="(%1)"/>
      <w:numFmt w:val="upperLetter"/>
      <w:start w:val="2"/>
    </w:lvl>
  </w:abstractNum>
  <w:abstractNum w:abstractNumId="44">
    <w:nsid w:val="6DE91B18"/>
    <w:multiLevelType w:val="hybridMultilevel"/>
    <w:lvl w:ilvl="0">
      <w:lvlJc w:val="left"/>
      <w:lvlText w:val="(%1)"/>
      <w:numFmt w:val="upperLetter"/>
      <w:start w:val="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97" Type="http://schemas.openxmlformats.org/officeDocument/2006/relationships/hyperlink" Target="https://www.sec.gov/Archives/edgar/data/1336920/000133692025000014/ldos04042025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2025-08-05T10:30:19Z</dcterms:created>
  <dcterms:modified xsi:type="dcterms:W3CDTF">2025-08-05T10:30:19Z</dcterms:modified>
</cp:coreProperties>
</file>