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32"/>
          <w:szCs w:val="32"/>
          <w:b w:val="1"/>
          <w:bCs w:val="1"/>
          <w:color w:val="010202"/>
        </w:rPr>
        <w:t>UNITED STATES</w:t>
      </w:r>
    </w:p>
    <w:p>
      <w:pPr>
        <w:spacing w:after="0" w:line="37"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32"/>
          <w:szCs w:val="32"/>
          <w:b w:val="1"/>
          <w:bCs w:val="1"/>
          <w:color w:val="010202"/>
        </w:rPr>
        <w:t>SECURITIES AND EXCHANGE COMMISSION</w:t>
      </w:r>
    </w:p>
    <w:p>
      <w:pPr>
        <w:jc w:val="center"/>
        <w:ind w:right="-272"/>
        <w:spacing w:after="0"/>
        <w:rPr>
          <w:sz w:val="20"/>
          <w:szCs w:val="20"/>
          <w:color w:val="auto"/>
        </w:rPr>
      </w:pPr>
      <w:r>
        <w:rPr>
          <w:rFonts w:ascii="Times New Roman" w:cs="Times New Roman" w:eastAsia="Times New Roman" w:hAnsi="Times New Roman"/>
          <w:sz w:val="22"/>
          <w:szCs w:val="22"/>
          <w:b w:val="1"/>
          <w:bCs w:val="1"/>
          <w:color w:val="010202"/>
        </w:rPr>
        <w:t>WASHINGTON, D.C. 20549</w:t>
      </w:r>
    </w:p>
    <w:p>
      <w:pPr>
        <w:spacing w:after="0" w:line="203"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32"/>
          <w:szCs w:val="32"/>
          <w:b w:val="1"/>
          <w:bCs w:val="1"/>
          <w:color w:val="010202"/>
        </w:rPr>
        <w:t>FORM 11-K</w:t>
      </w:r>
    </w:p>
    <w:p>
      <w:pPr>
        <w:spacing w:after="0" w:line="200" w:lineRule="exact"/>
        <w:rPr>
          <w:sz w:val="24"/>
          <w:szCs w:val="24"/>
          <w:color w:val="auto"/>
        </w:rPr>
      </w:pPr>
    </w:p>
    <w:p>
      <w:pPr>
        <w:spacing w:after="0" w:line="244" w:lineRule="exact"/>
        <w:rPr>
          <w:sz w:val="24"/>
          <w:szCs w:val="24"/>
          <w:color w:val="auto"/>
        </w:rPr>
      </w:pPr>
    </w:p>
    <w:p>
      <w:pPr>
        <w:ind w:left="613" w:hanging="612"/>
        <w:spacing w:after="0"/>
        <w:tabs>
          <w:tab w:leader="none" w:pos="61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61"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54" w:lineRule="exact"/>
        <w:rPr>
          <w:sz w:val="24"/>
          <w:szCs w:val="24"/>
          <w:color w:val="auto"/>
        </w:rPr>
      </w:pPr>
    </w:p>
    <w:p>
      <w:pPr>
        <w:jc w:val="center"/>
        <w:ind w:right="-272"/>
        <w:spacing w:after="0"/>
        <w:rPr>
          <w:sz w:val="20"/>
          <w:szCs w:val="20"/>
          <w:color w:val="auto"/>
        </w:rPr>
      </w:pPr>
      <w:r>
        <w:rPr>
          <w:rFonts w:ascii="Calibri" w:cs="Calibri" w:eastAsia="Calibri" w:hAnsi="Calibri"/>
          <w:sz w:val="20"/>
          <w:szCs w:val="20"/>
          <w:b w:val="1"/>
          <w:bCs w:val="1"/>
          <w:color w:val="auto"/>
        </w:rPr>
        <w:t>OR</w:t>
      </w:r>
    </w:p>
    <w:p>
      <w:pPr>
        <w:spacing w:after="0" w:line="191" w:lineRule="exact"/>
        <w:rPr>
          <w:sz w:val="24"/>
          <w:szCs w:val="24"/>
          <w:color w:val="auto"/>
        </w:rPr>
      </w:pPr>
    </w:p>
    <w:p>
      <w:pPr>
        <w:ind w:left="613" w:hanging="613"/>
        <w:spacing w:after="0"/>
        <w:tabs>
          <w:tab w:leader="none" w:pos="613"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73" w:lineRule="exact"/>
        <w:rPr>
          <w:sz w:val="24"/>
          <w:szCs w:val="24"/>
          <w:color w:val="auto"/>
        </w:rPr>
      </w:pPr>
    </w:p>
    <w:p>
      <w:pPr>
        <w:ind w:left="4293"/>
        <w:spacing w:after="0"/>
        <w:tabs>
          <w:tab w:leader="none" w:pos="6772" w:val="left"/>
        </w:tabs>
        <w:rPr>
          <w:sz w:val="20"/>
          <w:szCs w:val="20"/>
          <w:color w:val="auto"/>
        </w:rPr>
      </w:pPr>
      <w:r>
        <w:rPr>
          <w:rFonts w:ascii="Times New Roman" w:cs="Times New Roman" w:eastAsia="Times New Roman" w:hAnsi="Times New Roman"/>
          <w:sz w:val="18"/>
          <w:szCs w:val="18"/>
          <w:b w:val="1"/>
          <w:bCs w:val="1"/>
          <w:color w:val="010202"/>
        </w:rPr>
        <w:t>For the transition period from</w:t>
        <w:tab/>
        <w:t>to</w:t>
      </w:r>
    </w:p>
    <w:p>
      <w:pPr>
        <w:spacing w:after="0" w:line="185" w:lineRule="exact"/>
        <w:rPr>
          <w:sz w:val="24"/>
          <w:szCs w:val="24"/>
          <w:color w:val="auto"/>
        </w:rPr>
      </w:pPr>
    </w:p>
    <w:p>
      <w:pPr>
        <w:ind w:left="4233"/>
        <w:spacing w:after="0"/>
        <w:rPr>
          <w:sz w:val="20"/>
          <w:szCs w:val="20"/>
          <w:color w:val="auto"/>
        </w:rPr>
      </w:pPr>
      <w:r>
        <w:rPr>
          <w:rFonts w:ascii="Times New Roman" w:cs="Times New Roman" w:eastAsia="Times New Roman" w:hAnsi="Times New Roman"/>
          <w:sz w:val="18"/>
          <w:szCs w:val="18"/>
          <w:b w:val="1"/>
          <w:bCs w:val="1"/>
          <w:color w:val="010202"/>
        </w:rPr>
        <w:t>Commission file number: 001-33072</w:t>
      </w:r>
    </w:p>
    <w:p>
      <w:pPr>
        <w:spacing w:after="0" w:line="270" w:lineRule="exact"/>
        <w:rPr>
          <w:sz w:val="24"/>
          <w:szCs w:val="24"/>
          <w:color w:val="auto"/>
        </w:rPr>
      </w:pPr>
    </w:p>
    <w:p>
      <w:pPr>
        <w:ind w:left="493"/>
        <w:spacing w:after="0"/>
        <w:rPr>
          <w:sz w:val="20"/>
          <w:szCs w:val="20"/>
          <w:color w:val="auto"/>
        </w:rPr>
      </w:pPr>
      <w:r>
        <w:rPr>
          <w:rFonts w:ascii="Times New Roman" w:cs="Times New Roman" w:eastAsia="Times New Roman" w:hAnsi="Times New Roman"/>
          <w:sz w:val="18"/>
          <w:szCs w:val="18"/>
          <w:color w:val="010202"/>
        </w:rPr>
        <w:t>A. Full title of plan and the address of the plan, if different from that of the issuer named below:</w:t>
      </w:r>
    </w:p>
    <w:p>
      <w:pPr>
        <w:spacing w:after="0" w:line="248"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56" w:lineRule="exact"/>
        <w:rPr>
          <w:sz w:val="24"/>
          <w:szCs w:val="24"/>
          <w:color w:val="auto"/>
        </w:rPr>
      </w:pPr>
    </w:p>
    <w:p>
      <w:pPr>
        <w:ind w:left="493"/>
        <w:spacing w:after="0"/>
        <w:rPr>
          <w:sz w:val="20"/>
          <w:szCs w:val="20"/>
          <w:color w:val="auto"/>
        </w:rPr>
      </w:pPr>
      <w:r>
        <w:rPr>
          <w:rFonts w:ascii="Times New Roman" w:cs="Times New Roman" w:eastAsia="Times New Roman" w:hAnsi="Times New Roman"/>
          <w:sz w:val="18"/>
          <w:szCs w:val="18"/>
          <w:color w:val="010202"/>
        </w:rPr>
        <w:t>B. Name of issuer of the securities held pursuant to the plan and the address of its principal executive office:</w:t>
      </w:r>
    </w:p>
    <w:p>
      <w:pPr>
        <w:spacing w:after="0" w:line="248"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010202"/>
        </w:rPr>
        <w:t>Leidos Holdings, Inc.</w:t>
      </w:r>
    </w:p>
    <w:p>
      <w:pPr>
        <w:spacing w:after="0" w:line="31"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010202"/>
        </w:rPr>
        <w:t>1750 Presidents Street</w:t>
      </w:r>
    </w:p>
    <w:p>
      <w:pPr>
        <w:spacing w:after="0" w:line="9"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010202"/>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228600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3"/>
          </w:cols>
          <w:pgMar w:left="327" w:top="1440" w:right="599"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010202"/>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Borders>
              <w:bottom w:val="single" w:sz="8" w:color="010202"/>
            </w:tcBorders>
            <w:gridSpan w:val="3"/>
          </w:tcPr>
          <w:p>
            <w:pPr>
              <w:spacing w:after="0"/>
              <w:rPr>
                <w:sz w:val="20"/>
                <w:szCs w:val="20"/>
                <w:color w:val="auto"/>
              </w:rPr>
            </w:pPr>
            <w:r>
              <w:rPr>
                <w:rFonts w:ascii="Times New Roman" w:cs="Times New Roman" w:eastAsia="Times New Roman" w:hAnsi="Times New Roman"/>
                <w:sz w:val="18"/>
                <w:szCs w:val="18"/>
                <w:b w:val="1"/>
                <w:bCs w:val="1"/>
                <w:color w:val="010202"/>
                <w:w w:val="97"/>
              </w:rPr>
              <w:t>Page</w:t>
            </w:r>
          </w:p>
        </w:tc>
      </w:tr>
      <w:tr>
        <w:trPr>
          <w:trHeight w:val="277"/>
        </w:trPr>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(SUCCESSOR AUDITOR)</w:t>
            </w:r>
          </w:p>
        </w:tc>
        <w:tc>
          <w:tcPr>
            <w:tcW w:w="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Pr>
          <w:p>
            <w:pPr>
              <w:spacing w:after="0"/>
              <w:rPr>
                <w:sz w:val="24"/>
                <w:szCs w:val="24"/>
                <w:color w:val="auto"/>
              </w:rPr>
            </w:pP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(PREDECESSOR AUDITOR)</w:t>
            </w:r>
          </w:p>
        </w:tc>
        <w:tc>
          <w:tcPr>
            <w:tcW w:w="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24"/>
                <w:szCs w:val="24"/>
                <w:color w:val="auto"/>
              </w:rPr>
            </w:pPr>
          </w:p>
        </w:tc>
      </w:tr>
      <w:tr>
        <w:trPr>
          <w:trHeight w:val="318"/>
        </w:trPr>
        <w:tc>
          <w:tcPr>
            <w:tcW w:w="81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10202"/>
              </w:rPr>
              <w:t>FINANCIAL STATEMENTS:</w:t>
            </w:r>
          </w:p>
        </w:tc>
        <w:tc>
          <w:tcPr>
            <w:tcW w:w="23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57"/>
        </w:trPr>
        <w:tc>
          <w:tcPr>
            <w:tcW w:w="220" w:type="dxa"/>
            <w:vAlign w:val="bottom"/>
          </w:tcPr>
          <w:p>
            <w:pPr>
              <w:spacing w:after="0"/>
              <w:rPr>
                <w:sz w:val="22"/>
                <w:szCs w:val="22"/>
                <w:color w:val="auto"/>
              </w:rPr>
            </w:pPr>
          </w:p>
        </w:tc>
        <w:tc>
          <w:tcPr>
            <w:tcW w:w="6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2023 and 2022</w:t>
            </w:r>
          </w:p>
        </w:tc>
        <w:tc>
          <w:tcPr>
            <w:tcW w:w="4260" w:type="dxa"/>
            <w:vAlign w:val="bottom"/>
            <w:gridSpan w:val="7"/>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2"/>
                <w:szCs w:val="22"/>
                <w:color w:val="auto"/>
              </w:rPr>
            </w:pPr>
          </w:p>
        </w:tc>
      </w:tr>
      <w:tr>
        <w:trPr>
          <w:trHeight w:val="277"/>
        </w:trPr>
        <w:tc>
          <w:tcPr>
            <w:tcW w:w="220" w:type="dxa"/>
            <w:vAlign w:val="bottom"/>
          </w:tcPr>
          <w:p>
            <w:pPr>
              <w:spacing w:after="0"/>
              <w:rPr>
                <w:sz w:val="24"/>
                <w:szCs w:val="24"/>
                <w:color w:val="auto"/>
              </w:rPr>
            </w:pP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2023</w:t>
            </w:r>
          </w:p>
        </w:tc>
        <w:tc>
          <w:tcPr>
            <w:tcW w:w="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rPr>
              <w:t>4</w:t>
            </w:r>
          </w:p>
        </w:tc>
        <w:tc>
          <w:tcPr>
            <w:tcW w:w="14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2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860" w:type="dxa"/>
            <w:vAlign w:val="bottom"/>
            <w:tcBorders>
              <w:top w:val="single" w:sz="8" w:color="0000FF"/>
            </w:tcBorders>
            <w:gridSpan w:val="4"/>
          </w:tcPr>
          <w:p>
            <w:pPr>
              <w:spacing w:after="0"/>
              <w:rPr>
                <w:sz w:val="24"/>
                <w:szCs w:val="24"/>
                <w:color w:val="auto"/>
              </w:rPr>
            </w:pPr>
          </w:p>
        </w:tc>
        <w:tc>
          <w:tcPr>
            <w:tcW w:w="32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40" w:type="dxa"/>
            <w:vAlign w:val="bottom"/>
          </w:tcPr>
          <w:p>
            <w:pPr>
              <w:spacing w:after="0"/>
              <w:rPr>
                <w:sz w:val="24"/>
                <w:szCs w:val="24"/>
                <w:color w:val="auto"/>
              </w:rPr>
            </w:pPr>
          </w:p>
        </w:tc>
      </w:tr>
      <w:tr>
        <w:trPr>
          <w:trHeight w:val="318"/>
        </w:trPr>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10202"/>
              </w:rPr>
              <w:t>SUPPLEMENTAL SCHEDULE: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6"/>
        </w:trPr>
        <w:tc>
          <w:tcPr>
            <w:tcW w:w="220" w:type="dxa"/>
            <w:vAlign w:val="bottom"/>
          </w:tcPr>
          <w:p>
            <w:pPr>
              <w:spacing w:after="0"/>
              <w:rPr>
                <w:sz w:val="22"/>
                <w:szCs w:val="22"/>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Form 5500, Schedule H, Part IV, Line 4a - Schedule of Delinquent Participant Contributions for the Year Ended December 31, 2023</w:t>
            </w:r>
          </w:p>
        </w:tc>
        <w:tc>
          <w:tcPr>
            <w:tcW w:w="740" w:type="dxa"/>
            <w:vAlign w:val="bottom"/>
          </w:tcPr>
          <w:p>
            <w:pPr>
              <w:spacing w:after="0"/>
              <w:rPr>
                <w:sz w:val="22"/>
                <w:szCs w:val="22"/>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Form 5500, Schedule H, Part IV, Line 4i - Schedule of Assets (Held at End of Year) as of December 31, 2023</w:t>
            </w:r>
          </w:p>
        </w:tc>
        <w:tc>
          <w:tcPr>
            <w:tcW w:w="740" w:type="dxa"/>
            <w:vAlign w:val="bottom"/>
          </w:tcPr>
          <w:p>
            <w:pPr>
              <w:spacing w:after="0"/>
              <w:rPr>
                <w:sz w:val="24"/>
                <w:szCs w:val="2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77"/>
        </w:trPr>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SIGNATURE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77"/>
        </w:trPr>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10202"/>
              </w:rPr>
              <w:t>EXHIBIT INDEX:</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r>
      <w:tr>
        <w:trPr>
          <w:trHeight w:val="277"/>
        </w:trPr>
        <w:tc>
          <w:tcPr>
            <w:tcW w:w="220" w:type="dxa"/>
            <w:vAlign w:val="bottom"/>
          </w:tcPr>
          <w:p>
            <w:pPr>
              <w:spacing w:after="0"/>
              <w:rPr>
                <w:sz w:val="24"/>
                <w:szCs w:val="24"/>
                <w:color w:val="auto"/>
              </w:rPr>
            </w:pP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 23.1 - Consent of Independent Registered Public Accounting Firm (Successor Auditor)</w:t>
            </w: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20" w:type="dxa"/>
            <w:vAlign w:val="bottom"/>
            <w:tcBorders>
              <w:right w:val="single" w:sz="8" w:color="0000FF"/>
            </w:tcBorders>
          </w:tcPr>
          <w:p>
            <w:pPr>
              <w:spacing w:after="0" w:line="20" w:lineRule="exact"/>
              <w:rPr>
                <w:sz w:val="1"/>
                <w:szCs w:val="1"/>
                <w:color w:val="auto"/>
              </w:rPr>
            </w:pPr>
          </w:p>
        </w:tc>
        <w:tc>
          <w:tcPr>
            <w:tcW w:w="67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 23.2 - Consent of Independent Registered Public Accounting Firm (Predecessor Auditor)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2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40"/>
        <w:spacing w:after="0" w:line="346" w:lineRule="auto"/>
        <w:rPr>
          <w:sz w:val="20"/>
          <w:szCs w:val="20"/>
          <w:color w:val="auto"/>
        </w:rPr>
      </w:pPr>
      <w:r>
        <w:rPr>
          <w:rFonts w:ascii="Times New Roman" w:cs="Times New Roman" w:eastAsia="Times New Roman" w:hAnsi="Times New Roman"/>
          <w:sz w:val="17"/>
          <w:szCs w:val="17"/>
          <w:color w:val="auto"/>
        </w:rPr>
        <w:t>NOTE: All other schedules required by Section 29 CFR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0860"/>
          </w:cols>
          <w:pgMar w:left="340" w:top="1413" w:right="699" w:bottom="1440" w:gutter="0" w:footer="0" w:header="0"/>
        </w:sectPr>
      </w:pPr>
    </w:p>
    <w:bookmarkStart w:id="2" w:name="page3"/>
    <w:bookmarkEnd w:id="2"/>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Leidos, Inc. Retirement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Leidos, Inc. Retirement Plan (the “Plan”) as of December 31, 2023, the related statement of changes in net assets available for benefits for the year ended December 31, 2023, and the related notes (collectively referred to as the “financial statements”). In our opinion, the financial statements present fairly, in all material respects, the net assets available for benefits of the Plan as of December 31, 2023, and the changes in net assets available for benefits for the year ended December 31, 2023,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supplemental schedules, Schedule H, Line 4a – Schedule of Delinquent Participant Contributions for the year ended December 31, 2023 and Schedule H, Line 4i – Schedule of Assets (Held at End of Year) as of December 31, 2023 (“supplemental information”)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Virginia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20"/>
          </w:cols>
          <w:pgMar w:left="320" w:top="144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Retirement Plans Committee, Plan Administrator and Plan Participants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Leidos, Inc. Retirement Plan</w:t>
      </w:r>
    </w:p>
    <w:p>
      <w:pPr>
        <w:spacing w:after="0"/>
        <w:rPr>
          <w:sz w:val="20"/>
          <w:szCs w:val="20"/>
          <w:color w:val="auto"/>
        </w:rPr>
      </w:pPr>
      <w:r>
        <w:rPr>
          <w:rFonts w:ascii="Times New Roman" w:cs="Times New Roman" w:eastAsia="Times New Roman" w:hAnsi="Times New Roman"/>
          <w:sz w:val="18"/>
          <w:szCs w:val="18"/>
          <w:color w:val="auto"/>
        </w:rPr>
        <w:t>Reston, Virginia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Leidos, Inc. Retirement Plan (the “Plan”) as of December 31, 2022, and the related notes to the financial statement (collectively, the “financial statement”). In our opinion, the financial statement presents fairly, in all material respects, the net assets available for benefits of the Plan as of December 31, 2022,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financial statement is the responsibility of the Plan’s management. Our responsibility is to express an opinion on the Plan’s financial statement based on our audit.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Elliott Davis,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Plan's auditor from 2016 to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Augusta, Georgia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2023</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0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STATEMENTS OF NET ASSETS AVAILABLE FOR BENEFITS</w:t>
      </w:r>
    </w:p>
    <w:p>
      <w:pPr>
        <w:jc w:val="center"/>
        <w:spacing w:after="0"/>
        <w:rPr>
          <w:sz w:val="20"/>
          <w:szCs w:val="20"/>
          <w:color w:val="auto"/>
        </w:rPr>
      </w:pPr>
      <w:r>
        <w:rPr>
          <w:rFonts w:ascii="Times New Roman" w:cs="Times New Roman" w:eastAsia="Times New Roman" w:hAnsi="Times New Roman"/>
          <w:sz w:val="18"/>
          <w:szCs w:val="18"/>
          <w:b w:val="1"/>
          <w:bCs w:val="1"/>
          <w:color w:val="010202"/>
        </w:rPr>
        <w:t>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40"/>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010202"/>
              </w:rPr>
              <w:t>(in thousands)</w:t>
            </w:r>
          </w:p>
        </w:tc>
        <w:tc>
          <w:tcPr>
            <w:tcW w:w="10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r>
      <w:tr>
        <w:trPr>
          <w:trHeight w:val="25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7"/>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010202"/>
              </w:rPr>
              <w:t>Investment in Leidos, Inc. Master Trust at fair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9,859,925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8,019,757</w:t>
            </w:r>
          </w:p>
        </w:tc>
      </w:tr>
      <w:tr>
        <w:trPr>
          <w:trHeight w:val="25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010202"/>
              </w:rPr>
              <w:t>Investment in Leidos, Inc. Master Trust at contract value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652,696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582,851</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91"/>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010202"/>
              </w:rPr>
              <w:t>Total investments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01020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10,512,621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01020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8,602,608</w:t>
            </w:r>
          </w:p>
        </w:tc>
      </w:tr>
      <w:tr>
        <w:trPr>
          <w:trHeight w:val="23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Receivables: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7"/>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010202"/>
              </w:rPr>
              <w:t>Notes receivable from participants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72,490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NET ASSETS AVAILABLE FOR BENEFITS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010202"/>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10,585,111</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010202"/>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8,666,713</w:t>
            </w:r>
          </w:p>
        </w:tc>
      </w:tr>
      <w:tr>
        <w:trPr>
          <w:trHeight w:val="40"/>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202"/>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117"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010202"/>
        </w:rPr>
        <w:t>STATEMENT OF CHANGES IN NET ASSETS AVAILABLE FOR BENEFITS</w:t>
      </w:r>
    </w:p>
    <w:p>
      <w:pPr>
        <w:jc w:val="center"/>
        <w:ind w:right="20"/>
        <w:spacing w:after="0"/>
        <w:rPr>
          <w:sz w:val="20"/>
          <w:szCs w:val="20"/>
          <w:color w:val="auto"/>
        </w:rPr>
      </w:pPr>
      <w:r>
        <w:rPr>
          <w:rFonts w:ascii="Times New Roman" w:cs="Times New Roman" w:eastAsia="Times New Roman" w:hAnsi="Times New Roman"/>
          <w:sz w:val="18"/>
          <w:szCs w:val="18"/>
          <w:b w:val="1"/>
          <w:bCs w:val="1"/>
          <w:color w:val="010202"/>
        </w:rPr>
        <w:t>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9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0"/>
        </w:trPr>
        <w:tc>
          <w:tcPr>
            <w:tcW w:w="9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(in thousands)</w:t>
            </w:r>
          </w:p>
        </w:tc>
      </w:tr>
      <w:tr>
        <w:trPr>
          <w:trHeight w:val="37"/>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7"/>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ADDITIONS: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57"/>
        </w:trPr>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Investment income:</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1"/>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7"/>
        </w:trPr>
        <w:tc>
          <w:tcPr>
            <w:tcW w:w="9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010202"/>
              </w:rPr>
              <w:t>Plan interest in Leidos, Inc. Master Trust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1,525,910</w:t>
            </w:r>
          </w:p>
        </w:tc>
      </w:tr>
      <w:tr>
        <w:trPr>
          <w:trHeight w:val="162"/>
        </w:trPr>
        <w:tc>
          <w:tcPr>
            <w:tcW w:w="9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77"/>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010202"/>
              </w:rPr>
              <w:t>Interest income on notes receivable from participants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4,122</w:t>
            </w:r>
          </w:p>
        </w:tc>
      </w:tr>
      <w:tr>
        <w:trPr>
          <w:trHeight w:val="257"/>
        </w:trPr>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Contributions:</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0"/>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7"/>
        </w:trPr>
        <w:tc>
          <w:tcPr>
            <w:tcW w:w="9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010202"/>
              </w:rPr>
              <w:t>Participants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365,535</w:t>
            </w:r>
          </w:p>
        </w:tc>
      </w:tr>
      <w:tr>
        <w:trPr>
          <w:trHeight w:val="256"/>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010202"/>
              </w:rPr>
              <w:t>Employer</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153,418</w:t>
            </w:r>
          </w:p>
        </w:tc>
      </w:tr>
      <w:tr>
        <w:trPr>
          <w:trHeight w:val="41"/>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7"/>
        </w:trPr>
        <w:tc>
          <w:tcPr>
            <w:tcW w:w="9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010202"/>
              </w:rPr>
              <w:t>Employee rollovers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76,028</w:t>
            </w:r>
          </w:p>
        </w:tc>
      </w:tr>
      <w:tr>
        <w:trPr>
          <w:trHeight w:val="250"/>
        </w:trPr>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Total contributions</w:t>
            </w: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594,981</w:t>
            </w:r>
          </w:p>
        </w:tc>
      </w:tr>
      <w:tr>
        <w:trPr>
          <w:trHeight w:val="41"/>
        </w:trPr>
        <w:tc>
          <w:tcPr>
            <w:tcW w:w="9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90"/>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010202"/>
              </w:rPr>
              <w:t>Total income and contributions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2,125,013</w:t>
            </w:r>
          </w:p>
        </w:tc>
      </w:tr>
      <w:tr>
        <w:trPr>
          <w:trHeight w:val="142"/>
        </w:trPr>
        <w:tc>
          <w:tcPr>
            <w:tcW w:w="9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77"/>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DEDUCTIONS: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57"/>
        </w:trPr>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Distributions paid to participants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765,899</w:t>
            </w:r>
          </w:p>
        </w:tc>
      </w:tr>
      <w:tr>
        <w:trPr>
          <w:trHeight w:val="41"/>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7"/>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010202"/>
              </w:rPr>
              <w:t>Administrative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2,511</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Total deductions</w:t>
            </w: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768,410</w:t>
            </w:r>
          </w:p>
        </w:tc>
      </w:tr>
      <w:tr>
        <w:trPr>
          <w:trHeight w:val="40"/>
        </w:trPr>
        <w:tc>
          <w:tcPr>
            <w:tcW w:w="9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95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INCREASE IN NET ASSETS AVAILABLE FOR BENEFITS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202"/>
              </w:rPr>
              <w:t>1,356,603</w:t>
            </w:r>
          </w:p>
        </w:tc>
      </w:tr>
      <w:tr>
        <w:trPr>
          <w:trHeight w:val="40"/>
        </w:trPr>
        <w:tc>
          <w:tcPr>
            <w:tcW w:w="95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PLAN TO PLAN TRANSFERS IN (NOTE 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561,795</w:t>
            </w:r>
          </w:p>
        </w:tc>
      </w:tr>
      <w:tr>
        <w:trPr>
          <w:trHeight w:val="257"/>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NET ASSETS AVAILABLE FOR BENEFITS:</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0"/>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97"/>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010202"/>
              </w:rPr>
              <w:t>Beginning of year</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8,666,713</w:t>
            </w:r>
          </w:p>
        </w:tc>
      </w:tr>
      <w:tr>
        <w:trPr>
          <w:trHeight w:val="250"/>
        </w:trPr>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010202"/>
              </w:rPr>
              <w:t>End of year</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10,585,111</w:t>
            </w:r>
          </w:p>
        </w:tc>
      </w:tr>
      <w:tr>
        <w:trPr>
          <w:trHeight w:val="40"/>
        </w:trPr>
        <w:tc>
          <w:tcPr>
            <w:tcW w:w="9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9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010202"/>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96" w:right="4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010202"/>
        </w:rPr>
      </w:pPr>
      <w:r>
        <w:rPr>
          <w:rFonts w:ascii="Times New Roman" w:cs="Times New Roman" w:eastAsia="Times New Roman" w:hAnsi="Times New Roman"/>
          <w:sz w:val="18"/>
          <w:szCs w:val="18"/>
          <w:b w:val="1"/>
          <w:bCs w:val="1"/>
          <w:color w:val="010202"/>
        </w:rPr>
        <w:t>DESCRIPTION OF THE PLAN</w:t>
      </w:r>
    </w:p>
    <w:p>
      <w:pPr>
        <w:spacing w:after="0" w:line="2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010202"/>
        </w:rPr>
        <w:t>The following brief description of the Leidos, Inc. Retirement Plan (the “Plan”) is for general information purposes only. Participants should refer to the Plan document amended and restated as of January 3, 2023, for more complete information regarding the Plan. Within these financial statements, Leidos, Inc. (the “Company”) refers to the sponsoring employer, and Leidos Holdings, Inc. (“Leidos”) refers to the publicly-traded parent of the sponsoring employer.</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010202"/>
        </w:rPr>
        <w:t>General</w:t>
      </w:r>
      <w:r>
        <w:rPr>
          <w:rFonts w:ascii="Times New Roman" w:cs="Times New Roman" w:eastAsia="Times New Roman" w:hAnsi="Times New Roman"/>
          <w:sz w:val="18"/>
          <w:szCs w:val="18"/>
          <w:color w:val="010202"/>
        </w:rPr>
        <w:t>—The Plan is a defined contribution plan sponsored by the Company and is subject to the provisions of the Employee Retirement Income Security</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Act of 1974 (“ERISA”), as amended. The Plan is a defined contribution 401(k) plan with profit-sharing and employee stock ownership plan (“ESOP”) features. Contributions to the Plan from participants and the Company are held in a qualified retirement trust fund. The Leidos, Inc. Retirement Plans Committee is the Plan’s named fiduciary for purposes of Section 402(a) of ERISA.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202"/>
        </w:rPr>
        <w:t>Investment Funds</w:t>
      </w:r>
      <w:r>
        <w:rPr>
          <w:rFonts w:ascii="Times New Roman" w:cs="Times New Roman" w:eastAsia="Times New Roman" w:hAnsi="Times New Roman"/>
          <w:sz w:val="18"/>
          <w:szCs w:val="18"/>
          <w:color w:val="010202"/>
        </w:rPr>
        <w:t>—As of December 31, 2023 and 2022, the Plan held an interest in the Leidos, Inc. Master Trust (“Master Trust”).</w:t>
      </w:r>
    </w:p>
    <w:p>
      <w:pPr>
        <w:spacing w:after="0" w:line="252"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010202"/>
        </w:rPr>
        <w:t>Eligibility</w:t>
      </w:r>
      <w:r>
        <w:rPr>
          <w:rFonts w:ascii="Times New Roman" w:cs="Times New Roman" w:eastAsia="Times New Roman" w:hAnsi="Times New Roman"/>
          <w:sz w:val="18"/>
          <w:szCs w:val="18"/>
          <w:color w:val="010202"/>
        </w:rPr>
        <w:t>—Employees of the Company and its subsidiaries that have adopted the Plan are eligible to participate in the Plan. Employees must be in an</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eligible fringe benefit package to be eligible to receive Company matching 401(k) contributions, profit sharing contributions, and ESOP contributions. Employees may make elective contributions and receive Company matching 401(k) contributions upon commencing employment.</w:t>
      </w:r>
    </w:p>
    <w:p>
      <w:pPr>
        <w:spacing w:after="0" w:line="1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010202"/>
        </w:rPr>
        <w:t>Participant Contributions</w:t>
      </w:r>
      <w:r>
        <w:rPr>
          <w:rFonts w:ascii="Times New Roman" w:cs="Times New Roman" w:eastAsia="Times New Roman" w:hAnsi="Times New Roman"/>
          <w:sz w:val="18"/>
          <w:szCs w:val="18"/>
          <w:color w:val="010202"/>
        </w:rPr>
        <w:t>—The Plan permits participants to contribute up to 90% of their eligible compensation, as defined, to the Plan, subject to</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statutory limitations. Participants who have attained the age of 50 before the end of the plan year are eligible to make catch-up contributions. Certain participants within their collective bargaining agreement with the Company may make an additional elective contribution that is deducted from their Cash or Deferral Agreement. Participants may also contribute amounts representing rollovers from other qualified plans. Participant contributions are invested according to participant direction into any of the available investment funds of the Plan. Participant contributions and rollovers to the Leidos Common Stock Fund are limited to a maximum 50% of the employee deferral or rollover, as applicable.</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010202"/>
        </w:rPr>
        <w:t>Plan Transfers</w:t>
      </w:r>
      <w:r>
        <w:rPr>
          <w:rFonts w:ascii="Times New Roman" w:cs="Times New Roman" w:eastAsia="Times New Roman" w:hAnsi="Times New Roman"/>
          <w:sz w:val="18"/>
          <w:szCs w:val="18"/>
          <w:color w:val="010202"/>
        </w:rPr>
        <w:t>—The Company completed the acquisition of</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00000"/>
        </w:rPr>
        <w:t>Dynetics, Inc. ("Dynetics") on January 31, 2020. Assets of the Dynetics 401(k) Plan and the</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00000"/>
        </w:rPr>
        <w:t>Dynetics Savings Plan (collectively referred to as the "Dynetics Plans") were transferred into the Plan in-kind on December 30, 2022, for $201,522,000 with the remaining $561,795,000 of net assets, including notes receivable from participants of $3,200,000, transferred on January 10, 2023. Participants of the Dynetics Plans who were employed with Dynetics as of January 2, 2023, were immediately eligible to participate in the Plan on or after January 3, 2023.</w:t>
      </w:r>
    </w:p>
    <w:p>
      <w:pPr>
        <w:spacing w:after="0" w:line="2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010202"/>
        </w:rPr>
        <w:t>Employer Contributions</w:t>
      </w:r>
      <w:r>
        <w:rPr>
          <w:rFonts w:ascii="Times New Roman" w:cs="Times New Roman" w:eastAsia="Times New Roman" w:hAnsi="Times New Roman"/>
          <w:sz w:val="18"/>
          <w:szCs w:val="18"/>
          <w:color w:val="010202"/>
        </w:rPr>
        <w:t>—The Company may make discretionary contributions, which include matching 401(k) contributions, non-elective contributions,</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and ESOP contributions. Eligible participants may receive Company matching 401(k) contributions based on a maximum match percentage of 100%, depending on fringe level, of the first 5% of eligible compensation contributed to the Plan (up to a maximum match percentage of 5%), which are invested per participant direction. The Company, at its discretion, may also make additional contributions to the Plan for the benefit of non-highly compensated participants in order to comply with Section 401(k)(3) of the Internal Revenue Code. The Company made no additional contributions for the benefit of non-highly compensated participants for the year ended December 31, 2023. Company contributions to the Plan for the year ended December 31, 2023, were made in cash and transfers from the forfeiture account.</w:t>
      </w:r>
    </w:p>
    <w:p>
      <w:pPr>
        <w:spacing w:after="0" w:line="21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010202"/>
        </w:rPr>
        <w:t>Participant Accounts</w:t>
      </w:r>
      <w:r>
        <w:rPr>
          <w:rFonts w:ascii="Times New Roman" w:cs="Times New Roman" w:eastAsia="Times New Roman" w:hAnsi="Times New Roman"/>
          <w:sz w:val="18"/>
          <w:szCs w:val="18"/>
          <w:color w:val="010202"/>
        </w:rPr>
        <w:t>—In accordance with Plan provisions, individual accounts are maintained for each Plan participant. Each participant’s account is</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credited with the participant’s contributions, and if eligible, allocations of Company discretionary contributions. Allocations are based on participant eligible compensation, as defined in the Plan document. Participant accounts also reflect changes from investment income and losses and from distributions. The benefit to which a participant is entitled is the vested balance of his or her account.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17"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010202"/>
        </w:rPr>
        <w:t>Vesting and Forfeitures</w:t>
      </w:r>
      <w:r>
        <w:rPr>
          <w:rFonts w:ascii="Times New Roman" w:cs="Times New Roman" w:eastAsia="Times New Roman" w:hAnsi="Times New Roman"/>
          <w:sz w:val="18"/>
          <w:szCs w:val="18"/>
          <w:color w:val="010202"/>
        </w:rPr>
        <w:t>—Participant’s elective deferrals and rollover contributions together with associated earnings vest immediately. Company</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contributions vest 25% for each of the first two calendar years during which the participant works at least 850 hours and become fully vested after the participant completes three years of vesting service, as defined by the Plan. In addition, participants become fully vested in Company contributions while employed with the Company upon reaching age 59-1/2, permanent disability, or death. Upon termination of employment with the Company, participants forfeit any portion of Company contributions that have not yet vested when they take a full distribution or after five one-year breaks in service. Forfeitures may be applied to future Company matching 401(k) contributions, to provide reinstatement due to military leave, to increase profit sharing contributions, or to pay Plan expenses. During the year ended December 31, 2023, the Company applied forfeited non-vested amounts of approximately $4,962,000 primarily toward Company matching 401(k) contributions. As of December 31, 2023 and 2022, forfeited non-vested accounts available for application by the Company totaled approximately $745,000 and $512,000, respectively.</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010202"/>
        </w:rPr>
        <w:t>Notes Receivable from Participants</w:t>
      </w:r>
      <w:r>
        <w:rPr>
          <w:rFonts w:ascii="Times New Roman" w:cs="Times New Roman" w:eastAsia="Times New Roman" w:hAnsi="Times New Roman"/>
          <w:sz w:val="18"/>
          <w:szCs w:val="18"/>
          <w:color w:val="010202"/>
        </w:rPr>
        <w:t>—Participants may borrow up to 50% of their vested account balance, up to a maximum of $50,000. Loan repayment</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periods may not exceed 60 months except for loans used to acquire a principal residence, in which case the repayment period may not exceed 30 years. The loans are secured by the vested account balance in the participant’s account and bear interest at a rate commensurate with local prevailing rates as determined monthly by the Plan administrator. The loans are recorded at amortized cost, which is the remaining unpaid principal balance plus any accrued but unpaid interest. Principal and interest are collected ratably through payroll deductions or through direct payments from terminated employees who have loans. Delinquent loans are reclassified as distributions based upon the terms of the Plan. As of December 31, 2023, outstanding loans bear interest at rates ranging from 4.25% to 9.50%, and have maturities from January 2024 through October 2053.</w:t>
      </w:r>
    </w:p>
    <w:p>
      <w:pPr>
        <w:spacing w:after="0" w:line="2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010202"/>
        </w:rPr>
        <w:t>Distributions to Participants</w:t>
      </w:r>
      <w:r>
        <w:rPr>
          <w:rFonts w:ascii="Times New Roman" w:cs="Times New Roman" w:eastAsia="Times New Roman" w:hAnsi="Times New Roman"/>
          <w:sz w:val="18"/>
          <w:szCs w:val="18"/>
          <w:color w:val="010202"/>
        </w:rPr>
        <w:t>—For vested account balances less than or equal to $1,000, participants receive their vested account balance in a single lump</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sum within 16 calendar months following termination of employment with the Company. For balances over $1,000 and less than or equal to $5,000, participants have an opportunity to elect a cash distribution or a rollover to another eligible plan within 16 calendar months following termination. Otherwise, the balance will automatically be rolled over to a Vanguard IRA. For vested account balances that exceed $5,000, a participant’s vested account balance is not distributed unless the participant elects to take a distribution following the participant’s termination of employment with the Company. Regardless of the existing account balance, distributions are made to participants who die or become permanently disabled while employed by the Company. After attaining age 59-1/2, a participant may make withdrawals even if still employed by the Company. A participant may make withdrawals from the Plan prior to attaining age 59-1/2 of their rollover account, after-tax account or if the participant incurs a financial hardship, as specified by the Plan. Former employees, regardless of their age, may elect to receive unlimited distributions in any given plan year, of all or a portion of their account balance.</w:t>
      </w:r>
    </w:p>
    <w:p>
      <w:pPr>
        <w:spacing w:after="0" w:line="21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010202"/>
        </w:rPr>
        <w:t>Tax Status</w:t>
      </w:r>
      <w:r>
        <w:rPr>
          <w:rFonts w:ascii="Times New Roman" w:cs="Times New Roman" w:eastAsia="Times New Roman" w:hAnsi="Times New Roman"/>
          <w:sz w:val="18"/>
          <w:szCs w:val="18"/>
          <w:color w:val="010202"/>
        </w:rPr>
        <w:t>—The Internal Revenue Service (“IRS”) has determined and informed the Company by a letter dated February 21, 2024, that the Plan was</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designed in accordance with the applicable requirements of the Internal Revenue Code ("IRC") and that the Plan is exempt from federal income tax under Section 501(a) of the IRC. Accordingly, no provision for income taxes has been included in the Plan’s financial statements.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202"/>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Internal Revenue Service and other taxing authorities. The Plan is subject to routine audits by taxing jurisdictions; however, there are currently no audits for any tax periods in progress.</w:t>
      </w:r>
    </w:p>
    <w:p>
      <w:pPr>
        <w:spacing w:after="0" w:line="2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010202"/>
        </w:rPr>
        <w:t>Related-Party and Party-in-Interest Transactions</w:t>
      </w:r>
      <w:r>
        <w:rPr>
          <w:rFonts w:ascii="Times New Roman" w:cs="Times New Roman" w:eastAsia="Times New Roman" w:hAnsi="Times New Roman"/>
          <w:sz w:val="18"/>
          <w:szCs w:val="18"/>
          <w:color w:val="010202"/>
        </w:rPr>
        <w:t>—Certain Plan investments are managed by The Vanguard Group, the Plan’s trustee and record-keeper;</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therefore, transactions with these investments qualify as party-in-interest transactions. Fees paid to the record-keeper were approximately $2,511,000 for the year ended December 31, 2023. There were no amounts payable to the Plan’s record-keeper as of December 31, 2023 and 2022. Members of the Company’s Retirement Plans Committee also participate in the Plan. The Company pays directly any other fees related to the Plan’s operation. In addition, TD Ameritrade is the custodian of selected assets, and therefore, these transactions represent exempt party-in-interest transactions. Effective September 5, 2023, TD Ameritrade transitioned the Plan's assets to Charles Schwab. All fees and services remain in place subsequent to the transfer.</w:t>
      </w:r>
    </w:p>
    <w:p>
      <w:pPr>
        <w:spacing w:after="0" w:line="21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010202"/>
        </w:rPr>
        <w:t>A portion of the Plan's assets are invested in common stock of the Company. While the holding and acquisition of employer securities is generally prohibited by ERISA, the Plan meets the exception in ERISA section 407(b), which permits the acquisition and holding of employer securities by an eligible individual account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010202"/>
              </w:rPr>
              <w:t>At December 31, 2023 and 2022, Leidos Holdings, Inc. common stock held by the Master Trust were: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7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40"/>
        </w:trPr>
        <w:tc>
          <w:tcPr>
            <w:tcW w:w="7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0"/>
        </w:trPr>
        <w:tc>
          <w:tcPr>
            <w:tcW w:w="7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010202"/>
              </w:rPr>
              <w:t>(in thousands)</w:t>
            </w:r>
          </w:p>
        </w:tc>
        <w:tc>
          <w:tcPr>
            <w:tcW w:w="1140" w:type="dxa"/>
            <w:vAlign w:val="bottom"/>
          </w:tcPr>
          <w:p>
            <w:pPr>
              <w:spacing w:after="0"/>
              <w:rPr>
                <w:sz w:val="20"/>
                <w:szCs w:val="20"/>
                <w:color w:val="auto"/>
              </w:rPr>
            </w:pPr>
          </w:p>
        </w:tc>
      </w:tr>
      <w:tr>
        <w:trPr>
          <w:trHeight w:val="37"/>
        </w:trPr>
        <w:tc>
          <w:tcPr>
            <w:tcW w:w="7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r>
      <w:tr>
        <w:trPr>
          <w:trHeight w:val="25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Basis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286,326</w:t>
            </w:r>
          </w:p>
        </w:tc>
        <w:tc>
          <w:tcPr>
            <w:tcW w:w="12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287,445</w:t>
            </w:r>
          </w:p>
        </w:tc>
      </w:tr>
      <w:tr>
        <w:trPr>
          <w:trHeight w:val="41"/>
        </w:trPr>
        <w:tc>
          <w:tcPr>
            <w:tcW w:w="7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671,432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679,857</w:t>
            </w:r>
          </w:p>
        </w:tc>
      </w:tr>
      <w:tr>
        <w:trPr>
          <w:trHeight w:val="41"/>
        </w:trPr>
        <w:tc>
          <w:tcPr>
            <w:tcW w:w="7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34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010202"/>
        </w:rPr>
        <w:t>Termination of the Plan</w:t>
      </w:r>
      <w:r>
        <w:rPr>
          <w:rFonts w:ascii="Times New Roman" w:cs="Times New Roman" w:eastAsia="Times New Roman" w:hAnsi="Times New Roman"/>
          <w:sz w:val="18"/>
          <w:szCs w:val="18"/>
          <w:color w:val="010202"/>
        </w:rPr>
        <w:t>—Although it has not expressed any intent to do so, the Company has the right under the Plan to discontinue its contributions and</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to terminate the Plan at any time subject to the provisions of ERISA. Upon termination of the Plan, the participants become 100% vested in any unvested portion of their accounts.</w:t>
      </w:r>
    </w:p>
    <w:p>
      <w:pPr>
        <w:spacing w:after="0" w:line="198"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010202"/>
        </w:rPr>
      </w:pPr>
      <w:r>
        <w:rPr>
          <w:rFonts w:ascii="Times New Roman" w:cs="Times New Roman" w:eastAsia="Times New Roman" w:hAnsi="Times New Roman"/>
          <w:sz w:val="18"/>
          <w:szCs w:val="18"/>
          <w:b w:val="1"/>
          <w:bCs w:val="1"/>
          <w:color w:val="010202"/>
        </w:rPr>
        <w:t>SIGNIFICANT ACCOUNTING POLICIES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010202"/>
        </w:rPr>
        <w:t>Basis of Accounting</w:t>
      </w:r>
      <w:r>
        <w:rPr>
          <w:rFonts w:ascii="Times New Roman" w:cs="Times New Roman" w:eastAsia="Times New Roman" w:hAnsi="Times New Roman"/>
          <w:sz w:val="18"/>
          <w:szCs w:val="18"/>
          <w:color w:val="010202"/>
        </w:rPr>
        <w:t>—The Plan’s financial statements are prepared on the accrual basis of accounting in accordance with accounting principles generally</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accepted in the United States of America. Investment transactions are accounted for on their trade dates.</w:t>
      </w:r>
    </w:p>
    <w:p>
      <w:pPr>
        <w:spacing w:after="0" w:line="18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010202"/>
        </w:rPr>
        <w:t>The preparation of financial statements in conformity with generally accepted accounting principles requires Plan management to make estimates and 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19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010202"/>
        </w:rPr>
        <w:t>Investment Valuation and Income Recognition</w:t>
      </w:r>
      <w:r>
        <w:rPr>
          <w:rFonts w:ascii="Times New Roman" w:cs="Times New Roman" w:eastAsia="Times New Roman" w:hAnsi="Times New Roman"/>
          <w:sz w:val="18"/>
          <w:szCs w:val="18"/>
          <w:color w:val="010202"/>
        </w:rPr>
        <w:t>—Investments are held by the Leidos, Inc. Master Trust as of December 31, 2023 and 2022, and are</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primarily reported at fair value. Fair value is the price that would have been received to sell an asset or paid to transfer a liability in an orderly transaction between market participants at the measurement date. As of December 31, 2023, the Master Trust held investments in Mutual Funds, Common Stock, a Self-Directed Brokerage Fund, a Separately Managed Account</w:t>
      </w:r>
      <w:r>
        <w:rPr>
          <w:rFonts w:ascii="Times New Roman" w:cs="Times New Roman" w:eastAsia="Times New Roman" w:hAnsi="Times New Roman"/>
          <w:sz w:val="18"/>
          <w:szCs w:val="18"/>
          <w:i w:val="1"/>
          <w:iCs w:val="1"/>
          <w:color w:val="010202"/>
        </w:rPr>
        <w:t>,</w:t>
      </w:r>
      <w:r>
        <w:rPr>
          <w:rFonts w:ascii="Times New Roman" w:cs="Times New Roman" w:eastAsia="Times New Roman" w:hAnsi="Times New Roman"/>
          <w:sz w:val="18"/>
          <w:szCs w:val="18"/>
          <w:color w:val="010202"/>
        </w:rPr>
        <w:t xml:space="preserve"> Collective Trusts, and a Stable Value Fund.</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010202"/>
        </w:rPr>
        <w:t>Realized gains and losses on sales of investments are calculated as the difference between the fair value of 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at purchase if purchased during the year. Interest income is recorded on the accrual basis of accounting. Dividends are recorded on the ex-dividend date.</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010202"/>
        </w:rPr>
        <w:t>Notes Receivable from Participants</w:t>
      </w:r>
      <w:r>
        <w:rPr>
          <w:rFonts w:ascii="Times New Roman" w:cs="Times New Roman" w:eastAsia="Times New Roman" w:hAnsi="Times New Roman"/>
          <w:sz w:val="18"/>
          <w:szCs w:val="18"/>
          <w:color w:val="010202"/>
        </w:rPr>
        <w:t>—Notes receivable from participants are carried at the aggregate unpaid principal balance of loans outstanding. Interest</w:t>
      </w:r>
      <w:r>
        <w:rPr>
          <w:rFonts w:ascii="Times New Roman" w:cs="Times New Roman" w:eastAsia="Times New Roman" w:hAnsi="Times New Roman"/>
          <w:sz w:val="18"/>
          <w:szCs w:val="18"/>
          <w:b w:val="1"/>
          <w:bCs w:val="1"/>
          <w:i w:val="1"/>
          <w:iCs w:val="1"/>
          <w:color w:val="010202"/>
        </w:rPr>
        <w:t xml:space="preserve"> </w:t>
      </w:r>
      <w:r>
        <w:rPr>
          <w:rFonts w:ascii="Times New Roman" w:cs="Times New Roman" w:eastAsia="Times New Roman" w:hAnsi="Times New Roman"/>
          <w:sz w:val="18"/>
          <w:szCs w:val="18"/>
          <w:color w:val="010202"/>
        </w:rPr>
        <w:t>income is recorded on the accrual basis. Related fees are recorded as administrative expenses and are expensed when incurred. If a participant ceases to make loan repayments and the plan administrator deems the participant loan to be in default, the participant loan balance is reduced and a benefit payment is recorded.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202"/>
        </w:rPr>
        <w:t>Administrative Expenses</w:t>
      </w:r>
      <w:r>
        <w:rPr>
          <w:rFonts w:ascii="Times New Roman" w:cs="Times New Roman" w:eastAsia="Times New Roman" w:hAnsi="Times New Roman"/>
          <w:sz w:val="18"/>
          <w:szCs w:val="18"/>
          <w:color w:val="010202"/>
        </w:rPr>
        <w:t>—Administrative expenses of the Plan are paid by the Plan sponsor or Plan participants as provided in the Plan document.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—The Plan has evaluated subsequent events through the date of this filing and no significant events were identified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010202"/>
        </w:rPr>
        <w:t>3.</w:t>
      </w:r>
      <w:r>
        <w:rPr>
          <w:sz w:val="20"/>
          <w:szCs w:val="20"/>
          <w:color w:val="auto"/>
        </w:rPr>
        <w:tab/>
      </w:r>
      <w:r>
        <w:rPr>
          <w:rFonts w:ascii="Times New Roman" w:cs="Times New Roman" w:eastAsia="Times New Roman" w:hAnsi="Times New Roman"/>
          <w:sz w:val="17"/>
          <w:szCs w:val="17"/>
          <w:b w:val="1"/>
          <w:bCs w:val="1"/>
          <w:color w:val="010202"/>
        </w:rPr>
        <w:t>FAIR VALUE MEASUREMENTS</w:t>
      </w:r>
    </w:p>
    <w:p>
      <w:pPr>
        <w:spacing w:after="0" w:line="2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010202"/>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89" w:lineRule="exact"/>
        <w:rPr>
          <w:sz w:val="20"/>
          <w:szCs w:val="20"/>
          <w:color w:val="auto"/>
        </w:rPr>
      </w:pPr>
    </w:p>
    <w:p>
      <w:pPr>
        <w:ind w:left="540"/>
        <w:spacing w:after="0"/>
        <w:tabs>
          <w:tab w:leader="none" w:pos="1240" w:val="left"/>
        </w:tabs>
        <w:rPr>
          <w:sz w:val="20"/>
          <w:szCs w:val="20"/>
          <w:color w:val="auto"/>
        </w:rPr>
      </w:pPr>
      <w:r>
        <w:rPr>
          <w:rFonts w:ascii="Times New Roman" w:cs="Times New Roman" w:eastAsia="Times New Roman" w:hAnsi="Times New Roman"/>
          <w:sz w:val="18"/>
          <w:szCs w:val="18"/>
          <w:color w:val="010202"/>
        </w:rPr>
        <w:t>Level 1</w:t>
      </w:r>
      <w:r>
        <w:rPr>
          <w:sz w:val="20"/>
          <w:szCs w:val="20"/>
          <w:color w:val="auto"/>
        </w:rPr>
        <w:tab/>
      </w:r>
      <w:r>
        <w:rPr>
          <w:rFonts w:ascii="Times New Roman" w:cs="Times New Roman" w:eastAsia="Times New Roman" w:hAnsi="Times New Roman"/>
          <w:sz w:val="17"/>
          <w:szCs w:val="17"/>
          <w:color w:val="010202"/>
        </w:rPr>
        <w:t>Observable inputs such as quoted prices in active markets.</w:t>
      </w:r>
    </w:p>
    <w:p>
      <w:pPr>
        <w:spacing w:after="0" w:line="252" w:lineRule="exact"/>
        <w:rPr>
          <w:sz w:val="20"/>
          <w:szCs w:val="20"/>
          <w:color w:val="auto"/>
        </w:rPr>
      </w:pPr>
    </w:p>
    <w:p>
      <w:pPr>
        <w:ind w:left="1260" w:right="620" w:hanging="106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010202"/>
        </w:rPr>
        <w:t>Level 2</w:t>
        <w:tab/>
        <w:t>Inputs other than quoted prices in active markets for identical assets or liabilities that are observable either directly or indirectly or quoted prices that are not active.</w:t>
      </w:r>
    </w:p>
    <w:p>
      <w:pPr>
        <w:spacing w:after="0" w:line="189" w:lineRule="exact"/>
        <w:rPr>
          <w:sz w:val="20"/>
          <w:szCs w:val="20"/>
          <w:color w:val="auto"/>
        </w:rPr>
      </w:pPr>
    </w:p>
    <w:p>
      <w:pPr>
        <w:ind w:left="1260" w:hanging="105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010202"/>
        </w:rPr>
        <w:t>Level 3</w:t>
        <w:tab/>
        <w:t>Unobservable inputs in which there is little or no market data (e.g., discounted cash flow and other similar pricing models), which requires us to develop our own assumptions about the assumptions that market participants would use in pricing the asset or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availability of observable market data is monitored to assess the appropriate classification of financial instruments within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Changes in economic conditions or model-based valuation techniques may require the transfer of financial instruments from one fair value level to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In such instances, the transfer is reported at the end of the reporting period.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Following is a description of the valuation methodologies used for assets measured at fair value.</w:t>
      </w:r>
    </w:p>
    <w:p>
      <w:pPr>
        <w:spacing w:after="0" w:line="25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010202"/>
        </w:rPr>
        <w:t>Investment in Mutual Funds</w:t>
      </w:r>
      <w:r>
        <w:rPr>
          <w:rFonts w:ascii="Times New Roman" w:cs="Times New Roman" w:eastAsia="Times New Roman" w:hAnsi="Times New Roman"/>
          <w:sz w:val="18"/>
          <w:szCs w:val="18"/>
          <w:color w:val="010202"/>
        </w:rPr>
        <w:t>—Investments mutual funds are stated at fair value using the closing market price on the last business day of each period</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presented.</w:t>
      </w:r>
    </w:p>
    <w:p>
      <w:pPr>
        <w:spacing w:after="0" w:line="19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010202"/>
        </w:rPr>
        <w:t>Investment in Common Stock</w:t>
      </w:r>
      <w:r>
        <w:rPr>
          <w:rFonts w:ascii="Times New Roman" w:cs="Times New Roman" w:eastAsia="Times New Roman" w:hAnsi="Times New Roman"/>
          <w:sz w:val="18"/>
          <w:szCs w:val="18"/>
          <w:color w:val="010202"/>
        </w:rPr>
        <w:t>—Investments in shares of Leidos Holdings, Inc. common stock which is publicly traded on the New York Stock Exchange,</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is recorded at its publicly-traded quoted market price as of the last business day of the plan year.</w:t>
      </w:r>
    </w:p>
    <w:p>
      <w:pPr>
        <w:spacing w:after="0" w:line="18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010202"/>
        </w:rPr>
        <w:t>Investment in a Self-Directed Brokerage Fund</w:t>
      </w:r>
      <w:r>
        <w:rPr>
          <w:rFonts w:ascii="Times New Roman" w:cs="Times New Roman" w:eastAsia="Times New Roman" w:hAnsi="Times New Roman"/>
          <w:sz w:val="18"/>
          <w:szCs w:val="18"/>
          <w:color w:val="010202"/>
        </w:rPr>
        <w:t>—Investments in the self-directed brokerage fund ("SDBF") are stated at fair value based on quoted market</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prices or market data obtained from external independent sources. The SDBF primarily consists of stocks, cash, mutual funds, bonds, certificate of deposits, and preferred debt.</w:t>
      </w:r>
    </w:p>
    <w:p>
      <w:pPr>
        <w:spacing w:after="0" w:line="20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010202"/>
        </w:rPr>
        <w:t>Investment in Separately Managed Account</w:t>
      </w:r>
      <w:r>
        <w:rPr>
          <w:rFonts w:ascii="Times New Roman" w:cs="Times New Roman" w:eastAsia="Times New Roman" w:hAnsi="Times New Roman"/>
          <w:sz w:val="18"/>
          <w:szCs w:val="18"/>
          <w:color w:val="010202"/>
        </w:rPr>
        <w:t>—A portfolio of individual securities, including short term securities and common stock, that is managed on</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the participant's behalf. Investments in separately managed accounts are stated at fair value based on quoted market prices.</w:t>
      </w:r>
    </w:p>
    <w:p>
      <w:pPr>
        <w:spacing w:after="0" w:line="18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010202"/>
        </w:rPr>
        <w:t>Investment in Collective Trusts</w:t>
      </w:r>
      <w:r>
        <w:rPr>
          <w:rFonts w:ascii="Times New Roman" w:cs="Times New Roman" w:eastAsia="Times New Roman" w:hAnsi="Times New Roman"/>
          <w:sz w:val="18"/>
          <w:szCs w:val="18"/>
          <w:color w:val="010202"/>
        </w:rPr>
        <w:t>—Investments in collective trusts are stated at the net asset value ("NAV"), which is determined by the trustee using the</w:t>
      </w:r>
      <w:r>
        <w:rPr>
          <w:rFonts w:ascii="Times New Roman" w:cs="Times New Roman" w:eastAsia="Times New Roman" w:hAnsi="Times New Roman"/>
          <w:sz w:val="18"/>
          <w:szCs w:val="18"/>
          <w:i w:val="1"/>
          <w:iCs w:val="1"/>
          <w:color w:val="010202"/>
        </w:rPr>
        <w:t xml:space="preserve"> </w:t>
      </w:r>
      <w:r>
        <w:rPr>
          <w:rFonts w:ascii="Times New Roman" w:cs="Times New Roman" w:eastAsia="Times New Roman" w:hAnsi="Times New Roman"/>
          <w:sz w:val="18"/>
          <w:szCs w:val="18"/>
          <w:color w:val="010202"/>
        </w:rPr>
        <w:t>fair value of the underlying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following table sets forth by level, within the fair value hierarchy, the assets at fair value of the Master Trust as of December 31,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60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81"/>
        </w:trPr>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
        </w:trPr>
        <w:tc>
          <w:tcPr>
            <w:tcW w:w="6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920,830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920,830</w:t>
            </w: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Common stock</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671,432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671,432</w:t>
            </w:r>
          </w:p>
        </w:tc>
      </w:tr>
      <w:tr>
        <w:trPr>
          <w:trHeight w:val="40"/>
        </w:trPr>
        <w:tc>
          <w:tcPr>
            <w:tcW w:w="6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fund</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100,840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17,912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118,752</w:t>
            </w: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202"/>
              </w:rPr>
              <w:t>611,097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010202"/>
              </w:rPr>
              <w: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202"/>
              </w:rPr>
              <w:t>611,097</w:t>
            </w:r>
          </w:p>
        </w:tc>
      </w:tr>
      <w:tr>
        <w:trPr>
          <w:trHeight w:val="40"/>
        </w:trPr>
        <w:tc>
          <w:tcPr>
            <w:tcW w:w="60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9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01020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2,304,199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010202"/>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17,912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2,322,111</w:t>
            </w:r>
          </w:p>
        </w:tc>
      </w:tr>
      <w:tr>
        <w:trPr>
          <w:trHeight w:val="29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010202"/>
              </w:rPr>
              <w:t>Investments measured at NAV</w:t>
            </w:r>
            <w:r>
              <w:rPr>
                <w:rFonts w:ascii="Times New Roman" w:cs="Times New Roman" w:eastAsia="Times New Roman" w:hAnsi="Times New Roman"/>
                <w:sz w:val="23"/>
                <w:szCs w:val="23"/>
                <w:color w:val="010202"/>
                <w:vertAlign w:val="superscript"/>
              </w:rPr>
              <w:t>(1)</w:t>
            </w:r>
          </w:p>
        </w:tc>
        <w:tc>
          <w:tcPr>
            <w:tcW w:w="30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13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8,133,763</w:t>
            </w:r>
          </w:p>
        </w:tc>
      </w:tr>
      <w:tr>
        <w:trPr>
          <w:trHeight w:val="31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Investments at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10,455,874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following table sets forth by level, within the fair value hierarchy, the assets at fair value of the Master Trust as of December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41"/>
        </w:trPr>
        <w:tc>
          <w:tcPr>
            <w:tcW w:w="78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1"/>
        </w:trPr>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24"/>
                <w:szCs w:val="24"/>
                <w:color w:val="auto"/>
              </w:rPr>
            </w:pPr>
          </w:p>
        </w:tc>
      </w:tr>
      <w:tr>
        <w:trPr>
          <w:trHeight w:val="37"/>
        </w:trPr>
        <w:tc>
          <w:tcPr>
            <w:tcW w:w="7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804,786</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804,786</w:t>
            </w:r>
          </w:p>
        </w:tc>
      </w:tr>
      <w:tr>
        <w:trPr>
          <w:trHeight w:val="25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Common stock</w:t>
            </w: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679,857</w:t>
            </w:r>
          </w:p>
        </w:tc>
      </w:tr>
      <w:tr>
        <w:trPr>
          <w:trHeight w:val="40"/>
        </w:trPr>
        <w:tc>
          <w:tcPr>
            <w:tcW w:w="7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fund</w:t>
            </w: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17,770</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17,770</w:t>
            </w:r>
          </w:p>
        </w:tc>
      </w:tr>
      <w:tr>
        <w:trPr>
          <w:trHeight w:val="25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010202"/>
              </w:rPr>
              <w:t>404,084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202"/>
              </w:rPr>
              <w:t>404,084</w:t>
            </w:r>
          </w:p>
        </w:tc>
      </w:tr>
      <w:tr>
        <w:trPr>
          <w:trHeight w:val="40"/>
        </w:trPr>
        <w:tc>
          <w:tcPr>
            <w:tcW w:w="78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9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010202"/>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1,906,497</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010202"/>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1,906,497</w:t>
            </w:r>
          </w:p>
        </w:tc>
      </w:tr>
      <w:tr>
        <w:trPr>
          <w:trHeight w:val="29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010202"/>
              </w:rPr>
              <w:t>Investments measured at NAV</w:t>
            </w:r>
            <w:r>
              <w:rPr>
                <w:rFonts w:ascii="Times New Roman" w:cs="Times New Roman" w:eastAsia="Times New Roman" w:hAnsi="Times New Roman"/>
                <w:sz w:val="23"/>
                <w:szCs w:val="23"/>
                <w:color w:val="010202"/>
                <w:vertAlign w:val="superscript"/>
              </w:rPr>
              <w:t>(1)</w:t>
            </w:r>
          </w:p>
        </w:tc>
        <w:tc>
          <w:tcPr>
            <w:tcW w:w="300" w:type="dxa"/>
            <w:vAlign w:val="bottom"/>
            <w:tcBorders>
              <w:top w:val="single" w:sz="8" w:color="auto"/>
              <w:bottom w:val="single" w:sz="8" w:color="CCEEFF"/>
            </w:tcBorders>
          </w:tcPr>
          <w:p>
            <w:pPr>
              <w:spacing w:after="0"/>
              <w:rPr>
                <w:sz w:val="24"/>
                <w:szCs w:val="24"/>
                <w:color w:val="auto"/>
              </w:rPr>
            </w:pPr>
          </w:p>
        </w:tc>
        <w:tc>
          <w:tcPr>
            <w:tcW w:w="134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6,594,104</w:t>
            </w:r>
          </w:p>
        </w:tc>
      </w:tr>
      <w:tr>
        <w:trPr>
          <w:trHeight w:val="31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Investments at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010202"/>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8,500,601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20" w:right="20" w:hanging="412"/>
        <w:spacing w:after="0" w:line="271" w:lineRule="auto"/>
        <w:tabs>
          <w:tab w:leader="none" w:pos="4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10202"/>
        </w:rPr>
        <w:t>Investments measured at NAV per share or its equivalent are not classified in the fair value hierarchy. The fair value amounts presented in this table are intended to permit reconciliation of the fair value hierarchy to the line items presented in the statements of net assets available for benefits. These investments, which represent the Master Trust’s investments in collective trusts, have no unfunded commitments, have a daily redemption frequency and do not have a redemption notice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availability of observable market data is monitored to assess the appropriate classification of financial instruments within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Changes in economic conditions or model-based valuation techniques may require the transfer of financial instruments from one fair value level to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In such instances, the transfer is reported at the beginning of the reporting period.</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010202"/>
        </w:rPr>
        <w:t>We evaluate the significance of transfers between levels based upon the nature of the financial instrument and size of the transfer relative to total net assets available for benefits. For the years ended December 31, 2023 and 2022, there were no significant transfers in or out of levels 1, 2, or 3. The Plan did not have any Level 3 investments for the years ended December 31, 2023 and 2022.</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010202"/>
        </w:rPr>
        <w:t>4.</w:t>
        <w:tab/>
        <w:t>PLAN INTEREST IN MASTER TRUST</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010202"/>
        </w:rPr>
        <w:t>The Plan’s investments are included in the investments of the Leidos, Inc. Master Trust. Each participant in the retirement plan directs their investments into the funds within the Master Trust. The Plan’s record keeper maintains supporting records for the purpose of allocating net assets and net gains and losses of each of the investments of the Plans and to each participant’s account based on participant direction. The Master Trust also includes investment assets of the QTC Management, Inc. Retirement Savings Plan, Leidos BioMedical Research Capital Accumulation Plan and the Leidos BioMedical Research Employee Savings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following table presents the investments of the Master Trust and the Plan's interest in the Master Trust, as of December 31, 2023 and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010202"/>
              </w:rPr>
              <w:t>Master Trust Balances</w:t>
            </w:r>
          </w:p>
        </w:tc>
        <w:tc>
          <w:tcPr>
            <w:tcW w:w="100" w:type="dxa"/>
            <w:vAlign w:val="bottom"/>
          </w:tcPr>
          <w:p>
            <w:pPr>
              <w:spacing w:after="0"/>
              <w:rPr>
                <w:sz w:val="20"/>
                <w:szCs w:val="20"/>
                <w:color w:val="auto"/>
              </w:rPr>
            </w:pPr>
          </w:p>
        </w:tc>
        <w:tc>
          <w:tcPr>
            <w:tcW w:w="32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010202"/>
                <w:w w:val="98"/>
              </w:rPr>
              <w:t>Plan’s Interest in Master Trust Balances</w:t>
            </w:r>
          </w:p>
        </w:tc>
      </w:tr>
      <w:tr>
        <w:trPr>
          <w:trHeight w:val="27"/>
        </w:trPr>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40"/>
        </w:trPr>
        <w:tc>
          <w:tcPr>
            <w:tcW w:w="4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4"/>
        </w:trPr>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5"/>
          </w:tcPr>
          <w:p>
            <w:pPr>
              <w:ind w:left="880"/>
              <w:spacing w:after="0"/>
              <w:rPr>
                <w:sz w:val="20"/>
                <w:szCs w:val="20"/>
                <w:color w:val="auto"/>
              </w:rPr>
            </w:pPr>
            <w:r>
              <w:rPr>
                <w:rFonts w:ascii="Times New Roman" w:cs="Times New Roman" w:eastAsia="Times New Roman" w:hAnsi="Times New Roman"/>
                <w:sz w:val="14"/>
                <w:szCs w:val="14"/>
                <w:color w:val="010202"/>
              </w:rPr>
              <w:t>(in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
        </w:trPr>
        <w:tc>
          <w:tcPr>
            <w:tcW w:w="4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Mutual funds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920,830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010202"/>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804,786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894,763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781,076</w:t>
            </w:r>
          </w:p>
        </w:tc>
      </w:tr>
      <w:tr>
        <w:trPr>
          <w:trHeight w:val="25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Leidos Holdings, Inc. common stock</w:t>
            </w: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671,432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010202"/>
              </w:rPr>
              <w:t>679,857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202"/>
              </w:rPr>
              <w:t>671,432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679,857</w:t>
            </w:r>
          </w:p>
        </w:tc>
      </w:tr>
      <w:tr>
        <w:trPr>
          <w:trHeight w:val="40"/>
        </w:trPr>
        <w:tc>
          <w:tcPr>
            <w:tcW w:w="4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Collective trusts</w:t>
            </w: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8,133,763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6,594,104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7,592,995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6,154,601</w:t>
            </w:r>
          </w:p>
        </w:tc>
      </w:tr>
      <w:tr>
        <w:trPr>
          <w:trHeight w:val="25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010202"/>
              </w:rPr>
              <w:t>Self-directed brokerage fund</w:t>
            </w: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010202"/>
              </w:rPr>
              <w:t>17,770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202"/>
              </w:rPr>
              <w:t>116,263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r>
      <w:tr>
        <w:trPr>
          <w:trHeight w:val="40"/>
        </w:trPr>
        <w:tc>
          <w:tcPr>
            <w:tcW w:w="4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Separately managed account</w:t>
            </w: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611,097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404,084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584,472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386,809</w:t>
            </w:r>
          </w:p>
        </w:tc>
      </w:tr>
      <w:tr>
        <w:trPr>
          <w:trHeight w:val="25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010202"/>
              </w:rPr>
              <w:t>Total investments at fair value</w:t>
            </w: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10,455,874</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8,500,601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9,859,925</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8,019,757</w:t>
            </w:r>
          </w:p>
        </w:tc>
      </w:tr>
      <w:tr>
        <w:trPr>
          <w:trHeight w:val="40"/>
        </w:trPr>
        <w:tc>
          <w:tcPr>
            <w:tcW w:w="4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202"/>
              </w:rPr>
              <w:t>Stable value fund at contract value</w:t>
            </w: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700,944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631,038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202"/>
              </w:rPr>
              <w:t>652,696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202"/>
              </w:rPr>
              <w:t>582,851</w:t>
            </w:r>
          </w:p>
        </w:tc>
      </w:tr>
      <w:tr>
        <w:trPr>
          <w:trHeight w:val="25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010202"/>
              </w:rPr>
              <w:t>Total investments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11,156,818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010202"/>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9,131,639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202"/>
              </w:rPr>
              <w:t>10,512,621</w:t>
            </w: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010202"/>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202"/>
              </w:rPr>
              <w:t>8,602,608</w:t>
            </w:r>
          </w:p>
        </w:tc>
      </w:tr>
      <w:tr>
        <w:trPr>
          <w:trHeight w:val="40"/>
        </w:trPr>
        <w:tc>
          <w:tcPr>
            <w:tcW w:w="4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00"/>
          </w:cols>
          <w:pgMar w:left="320" w:top="117" w:right="37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9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010202"/>
                <w:w w:val="98"/>
              </w:rPr>
              <w:t>NOTES TO FINANCIAL STATEMENTS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8"/>
        </w:trPr>
        <w:tc>
          <w:tcPr>
            <w:tcW w:w="934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78"/>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010202"/>
              </w:rPr>
              <w:t>The following table represents the changes in net assets in the Master Trust for the year ended December 31, 2023:</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3"/>
        </w:trPr>
        <w:tc>
          <w:tcPr>
            <w:tcW w:w="9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93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0"/>
        </w:trPr>
        <w:tc>
          <w:tcPr>
            <w:tcW w:w="9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(in thousands)</w:t>
            </w:r>
          </w:p>
        </w:tc>
      </w:tr>
      <w:tr>
        <w:trPr>
          <w:trHeight w:val="37"/>
        </w:trPr>
        <w:tc>
          <w:tcPr>
            <w:tcW w:w="9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1,583,811</w:t>
            </w:r>
          </w:p>
        </w:tc>
      </w:tr>
      <w:tr>
        <w:trPr>
          <w:trHeight w:val="25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30,070</w:t>
            </w:r>
          </w:p>
        </w:tc>
      </w:tr>
      <w:tr>
        <w:trPr>
          <w:trHeight w:val="40"/>
        </w:trPr>
        <w:tc>
          <w:tcPr>
            <w:tcW w:w="9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1"/>
        </w:trPr>
        <w:tc>
          <w:tcPr>
            <w:tcW w:w="9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1,613,881</w:t>
            </w:r>
          </w:p>
        </w:tc>
      </w:tr>
      <w:tr>
        <w:trPr>
          <w:trHeight w:val="202"/>
        </w:trPr>
        <w:tc>
          <w:tcPr>
            <w:tcW w:w="9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into Master Trust</w:t>
            </w:r>
          </w:p>
        </w:tc>
        <w:tc>
          <w:tcPr>
            <w:tcW w:w="2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411,298</w:t>
            </w:r>
          </w:p>
        </w:tc>
      </w:tr>
      <w:tr>
        <w:trPr>
          <w:trHeight w:val="203"/>
        </w:trPr>
        <w:tc>
          <w:tcPr>
            <w:tcW w:w="9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Master Trust net assets:</w:t>
            </w:r>
          </w:p>
        </w:tc>
        <w:tc>
          <w:tcPr>
            <w:tcW w:w="2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r>
      <w:tr>
        <w:trPr>
          <w:trHeight w:val="257"/>
        </w:trPr>
        <w:tc>
          <w:tcPr>
            <w:tcW w:w="9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w:t>
            </w: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9,131,639</w:t>
            </w:r>
          </w:p>
        </w:tc>
      </w:tr>
      <w:tr>
        <w:trPr>
          <w:trHeight w:val="41"/>
        </w:trPr>
        <w:tc>
          <w:tcPr>
            <w:tcW w:w="9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15"/>
        </w:trPr>
        <w:tc>
          <w:tcPr>
            <w:tcW w:w="9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Ending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11,156,818</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10202"/>
        </w:rPr>
        <w:t xml:space="preserve">During 2023, the Plan received an allocation of </w:t>
      </w:r>
      <w:r>
        <w:rPr>
          <w:rFonts w:ascii="Times New Roman" w:cs="Times New Roman" w:eastAsia="Times New Roman" w:hAnsi="Times New Roman"/>
          <w:sz w:val="18"/>
          <w:szCs w:val="18"/>
          <w:color w:val="000000"/>
        </w:rPr>
        <w:t>94.5</w:t>
      </w:r>
      <w:r>
        <w:rPr>
          <w:rFonts w:ascii="Times New Roman" w:cs="Times New Roman" w:eastAsia="Times New Roman" w:hAnsi="Times New Roman"/>
          <w:sz w:val="18"/>
          <w:szCs w:val="18"/>
          <w:color w:val="010202"/>
        </w:rPr>
        <w:t>% on the net investment income in the Master Trust. Investment income is allocated to each plan based on the plan’s specific interest attributed to the underlying assets of the Master Trust.</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010202"/>
        </w:rPr>
        <w:t>5.</w:t>
      </w:r>
      <w:r>
        <w:rPr>
          <w:sz w:val="20"/>
          <w:szCs w:val="20"/>
          <w:color w:val="auto"/>
        </w:rPr>
        <w:tab/>
      </w:r>
      <w:r>
        <w:rPr>
          <w:rFonts w:ascii="Times New Roman" w:cs="Times New Roman" w:eastAsia="Times New Roman" w:hAnsi="Times New Roman"/>
          <w:sz w:val="17"/>
          <w:szCs w:val="17"/>
          <w:b w:val="1"/>
          <w:bCs w:val="1"/>
          <w:color w:val="010202"/>
        </w:rPr>
        <w:t>FULLY BENEFIT-RESPONSIVE INVESTMENT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010202"/>
        </w:rPr>
        <w:t>The Master Trust invests in a stable value fund which holds traditional and synthetic guaranteed investment contracts ("GICs") that are reported at contract value. Managed separate account GICs are investment contracts invested in insurance company separate accounts, established for the sole benefit of the stable value fund participants. Investment contracts accrue interest based on credit rates established by contract issuers. The synthetic GICs simulate the performance of guaranteed investment contracts through an issuer’s guarant</w:t>
      </w:r>
      <w:r>
        <w:rPr>
          <w:rFonts w:ascii="Times New Roman" w:cs="Times New Roman" w:eastAsia="Times New Roman" w:hAnsi="Times New Roman"/>
          <w:sz w:val="18"/>
          <w:szCs w:val="18"/>
          <w:color w:val="000000"/>
        </w:rPr>
        <w:t>ee of a specific interest rate (the wrapper contract) and a portfolio of financial</w:t>
      </w:r>
      <w:r>
        <w:rPr>
          <w:rFonts w:ascii="Times New Roman" w:cs="Times New Roman" w:eastAsia="Times New Roman" w:hAnsi="Times New Roman"/>
          <w:sz w:val="18"/>
          <w:szCs w:val="18"/>
          <w:color w:val="010202"/>
        </w:rPr>
        <w:t xml:space="preserve"> </w:t>
      </w:r>
      <w:r>
        <w:rPr>
          <w:rFonts w:ascii="Times New Roman" w:cs="Times New Roman" w:eastAsia="Times New Roman" w:hAnsi="Times New Roman"/>
          <w:sz w:val="18"/>
          <w:szCs w:val="18"/>
          <w:color w:val="000000"/>
        </w:rPr>
        <w:t xml:space="preserve">instruments which include intermediate bond funds and money market funds. </w:t>
      </w:r>
      <w:r>
        <w:rPr>
          <w:rFonts w:ascii="Times New Roman" w:cs="Times New Roman" w:eastAsia="Times New Roman" w:hAnsi="Times New Roman"/>
          <w:sz w:val="18"/>
          <w:szCs w:val="18"/>
          <w:color w:val="010202"/>
        </w:rPr>
        <w:t>Contract value is the relevant measurement attributable to a GIC because it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10202"/>
        </w:rPr>
        <w:t>the amount participants would receive if they were to initiate permitted transactions under the terms of the plan.</w:t>
      </w: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Certain events can limit the ability of the Plan to transact at contract value. Such events include, but not limited to, complete or partial termination of the Plan or merger with another plan, divestitures of a subsidiary that cause a significant withdrawal from the Plan, or failure of the Plan or Master Trust to qualify for exemption from federal income taxes or any required prohibited transaction exemption under ERISA.</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Investment contracts generally impose conditions on the Plan. If an event of default occurs and is not cured, the issuer may terminate the contract. These events may include a breach of material obligation under the contract or a material amendment to the Plan agreement that is not approved and accepted by the issuer. These events may limit the ability of the plan to transact at contract value. Plan management believes that the occurrence of an event that would cause the Master Trust to transact at less than contract value is not probable.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3" w:right="37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spacing w:after="0" w:line="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10202"/>
        </w:rPr>
        <w:t>NOTES TO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10202"/>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were investment contracts held by the Master Trust:</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7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41"/>
        </w:trPr>
        <w:tc>
          <w:tcPr>
            <w:tcW w:w="76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0"/>
        </w:trPr>
        <w:tc>
          <w:tcPr>
            <w:tcW w:w="7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20"/>
                <w:szCs w:val="20"/>
                <w:color w:val="auto"/>
              </w:rPr>
            </w:pPr>
          </w:p>
        </w:tc>
      </w:tr>
      <w:tr>
        <w:trPr>
          <w:trHeight w:val="37"/>
        </w:trPr>
        <w:tc>
          <w:tcPr>
            <w:tcW w:w="7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Investment Contracts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31,553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37,094</w:t>
            </w:r>
          </w:p>
        </w:tc>
      </w:tr>
      <w:tr>
        <w:trPr>
          <w:trHeight w:val="25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Synthetic GICs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669,391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593,944</w:t>
            </w:r>
          </w:p>
        </w:tc>
      </w:tr>
      <w:tr>
        <w:trPr>
          <w:trHeight w:val="40"/>
        </w:trPr>
        <w:tc>
          <w:tcPr>
            <w:tcW w:w="7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700,944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010202"/>
        </w:rPr>
        <w:t>6.</w:t>
      </w:r>
      <w:r>
        <w:rPr>
          <w:sz w:val="20"/>
          <w:szCs w:val="20"/>
          <w:color w:val="auto"/>
        </w:rPr>
        <w:tab/>
      </w:r>
      <w:r>
        <w:rPr>
          <w:rFonts w:ascii="Times New Roman" w:cs="Times New Roman" w:eastAsia="Times New Roman" w:hAnsi="Times New Roman"/>
          <w:sz w:val="17"/>
          <w:szCs w:val="17"/>
          <w:b w:val="1"/>
          <w:bCs w:val="1"/>
          <w:color w:val="010202"/>
        </w:rPr>
        <w:t>RECONCILIATION OF FINANCIAL STATEMENTS TO FORM 5500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following is a reconciliation of net assets available for benefits as reported in the financial statements to Schedule H on Form 5500: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41"/>
        </w:trPr>
        <w:tc>
          <w:tcPr>
            <w:tcW w:w="75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0"/>
        </w:trPr>
        <w:tc>
          <w:tcPr>
            <w:tcW w:w="7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20"/>
                <w:szCs w:val="20"/>
                <w:color w:val="auto"/>
              </w:rPr>
            </w:pPr>
          </w:p>
        </w:tc>
      </w:tr>
      <w:tr>
        <w:trPr>
          <w:trHeight w:val="37"/>
        </w:trPr>
        <w:tc>
          <w:tcPr>
            <w:tcW w:w="7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as reported in financial statements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10,585,111</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8,666,713</w:t>
            </w:r>
          </w:p>
        </w:tc>
      </w:tr>
      <w:tr>
        <w:trPr>
          <w:trHeight w:val="25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40"/>
        </w:trPr>
        <w:tc>
          <w:tcPr>
            <w:tcW w:w="7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loans repaid</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8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reported on Schedule H on Form 5500</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10,583,899</w:t>
            </w:r>
          </w:p>
        </w:tc>
        <w:tc>
          <w:tcPr>
            <w:tcW w:w="12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8,665,679</w:t>
            </w:r>
          </w:p>
        </w:tc>
      </w:tr>
      <w:tr>
        <w:trPr>
          <w:trHeight w:val="27"/>
        </w:trPr>
        <w:tc>
          <w:tcPr>
            <w:tcW w:w="7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202"/>
        </w:rPr>
        <w:t>The following is a reconciliation of changes in net assets available for benefits as reported in the financial statements to Schedule H on Form 5500: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9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0"/>
        </w:trPr>
        <w:tc>
          <w:tcPr>
            <w:tcW w:w="9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(in thousands)</w:t>
            </w:r>
          </w:p>
        </w:tc>
      </w:tr>
      <w:tr>
        <w:trPr>
          <w:trHeight w:val="37"/>
        </w:trPr>
        <w:tc>
          <w:tcPr>
            <w:tcW w:w="9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assets available for benefits per the financial statements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1,356,603</w:t>
            </w:r>
          </w:p>
        </w:tc>
      </w:tr>
      <w:tr>
        <w:trPr>
          <w:trHeight w:val="25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participant loans deemed distributed</w:t>
            </w: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r>
      <w:tr>
        <w:trPr>
          <w:trHeight w:val="40"/>
        </w:trPr>
        <w:tc>
          <w:tcPr>
            <w:tcW w:w="9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7"/>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deemed loans repaid</w:t>
            </w:r>
          </w:p>
        </w:tc>
        <w:tc>
          <w:tcPr>
            <w:tcW w:w="2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r>
      <w:tr>
        <w:trPr>
          <w:trHeight w:val="28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Schedule H on Form 5500</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1,356,425</w:t>
            </w:r>
          </w:p>
        </w:tc>
      </w:tr>
      <w:tr>
        <w:trPr>
          <w:trHeight w:val="27"/>
        </w:trPr>
        <w:tc>
          <w:tcPr>
            <w:tcW w:w="9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010202"/>
        </w:rPr>
        <w:t>7.</w:t>
      </w:r>
      <w:r>
        <w:rPr>
          <w:sz w:val="20"/>
          <w:szCs w:val="20"/>
          <w:color w:val="auto"/>
        </w:rPr>
        <w:tab/>
      </w:r>
      <w:r>
        <w:rPr>
          <w:rFonts w:ascii="Times New Roman" w:cs="Times New Roman" w:eastAsia="Times New Roman" w:hAnsi="Times New Roman"/>
          <w:sz w:val="17"/>
          <w:szCs w:val="17"/>
          <w:b w:val="1"/>
          <w:bCs w:val="1"/>
          <w:color w:val="010202"/>
        </w:rPr>
        <w:t>RISKS AND UNCERTAINTIES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010202"/>
        </w:rPr>
        <w:t>The Plan invests in various securities. Investment securities, in general, are exposed to various risks, such as interest rate risk, credit risk, and overall market volatility. The Plan attempts to limit these risks by authorizing and offering participants a broad range of investment options that are invested in high quality securities or are offered and administered by reputable and known investment companies. Due to the level of risk associated with investment securities, it is reasonably possible that changes in the values of certain investment securities will occur in the near term and that such change could materially affect the amounts reported in the statements of net assets available for benefits. The Plan's exposure to a concentration of risk is limited by the diversification of investments across multiple investment fund options. Additionally, the investments within each investment fund option are further diversified into varied financial instruments. See Note 2 – Significant Accounting Policies.</w:t>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117" w:right="4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010202"/>
        </w:rPr>
        <w:t>SUPPLEMENTAL SCHEDULE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jc w:val="center"/>
        <w:ind w:right="20"/>
        <w:spacing w:after="0"/>
        <w:rPr>
          <w:sz w:val="20"/>
          <w:szCs w:val="20"/>
          <w:color w:val="auto"/>
        </w:rPr>
      </w:pPr>
      <w:r>
        <w:rPr>
          <w:rFonts w:ascii="Times New Roman" w:cs="Times New Roman" w:eastAsia="Times New Roman" w:hAnsi="Times New Roman"/>
          <w:sz w:val="16"/>
          <w:szCs w:val="16"/>
          <w:b w:val="1"/>
          <w:bCs w:val="1"/>
          <w:color w:val="010202"/>
        </w:rPr>
        <w:t>FORM 5500, SCHEDULE H, PART IV, LINE 4a—SCHEDULE OF DELINQUENT PARTICIPANT CONTRIBUTIONS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010202"/>
        </w:rPr>
        <w:t>YEAR ENDED DECEMBER 31, 2023 (in thousands)</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EIN: 95-3630868 Plan #004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7"/>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Totals That Constitute Nonexempt Prohibited Transactions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 Fully Corrected</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3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Participant Contributions Transferred</w:t>
            </w:r>
          </w:p>
        </w:tc>
        <w:tc>
          <w:tcPr>
            <w:tcW w:w="5300" w:type="dxa"/>
            <w:vAlign w:val="bottom"/>
            <w:tcBorders>
              <w:bottom w:val="single" w:sz="8" w:color="auto"/>
            </w:tcBorders>
            <w:gridSpan w:val="7"/>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Voluntary Fiduciary</w:t>
            </w: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322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Correction Program</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Late to the Plan (Participant Loan</w:t>
            </w: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322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4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(VFCP) and Prohibited</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3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Repayments are Included)</w:t>
            </w:r>
          </w:p>
        </w:tc>
        <w:tc>
          <w:tcPr>
            <w:tcW w:w="1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Contributions Not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3220" w:type="dxa"/>
            <w:vAlign w:val="bottom"/>
            <w:gridSpan w:val="2"/>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Corrected Outside</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Pending Correction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Transition Exemption</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Corrected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VFCP</w:t>
            </w: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in VFCP</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2002-51</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40" w:type="dxa"/>
            <w:vAlign w:val="bottom"/>
            <w:shd w:val="clear" w:color="auto" w:fill="CCEEFF"/>
          </w:tcPr>
          <w:p>
            <w:pPr>
              <w:spacing w:after="0"/>
              <w:rPr>
                <w:sz w:val="3"/>
                <w:szCs w:val="3"/>
                <w:color w:val="auto"/>
              </w:rPr>
            </w:pPr>
          </w:p>
        </w:tc>
        <w:tc>
          <w:tcPr>
            <w:tcW w:w="3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40" w:top="13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010202"/>
        </w:rPr>
        <w:t>SUPPLEMENTAL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202"/>
        </w:rPr>
        <w:t>LEIDOS, INC. RETIREMENT PLAN</w:t>
      </w:r>
    </w:p>
    <w:p>
      <w:pPr>
        <w:jc w:val="center"/>
        <w:spacing w:after="0"/>
        <w:rPr>
          <w:sz w:val="20"/>
          <w:szCs w:val="20"/>
          <w:color w:val="auto"/>
        </w:rPr>
      </w:pPr>
      <w:r>
        <w:rPr>
          <w:rFonts w:ascii="Times New Roman" w:cs="Times New Roman" w:eastAsia="Times New Roman" w:hAnsi="Times New Roman"/>
          <w:sz w:val="16"/>
          <w:szCs w:val="16"/>
          <w:b w:val="1"/>
          <w:bCs w:val="1"/>
          <w:color w:val="010202"/>
        </w:rPr>
        <w:t>FORM 5500, SCHEDULE H, PART IV, LINE 4i—SCHEDULE OF ASSETS (HELD AT END OF YEAR) AS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202"/>
        </w:rPr>
        <w:t>DECEMBER 31, 2023 (in thousands)</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EIN: 95-3630868 Plan #004</w:t>
      </w:r>
    </w:p>
    <w:p>
      <w:pPr>
        <w:sectPr>
          <w:pgSz w:w="11900" w:h="16838" w:orient="portrait"/>
          <w:cols w:equalWidth="0" w:num="1">
            <w:col w:w="11240"/>
          </w:cols>
          <w:pgMar w:left="320" w:top="131" w:right="33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Identity of Issue, Borrower, Lessor or Similar</w:t>
            </w:r>
          </w:p>
        </w:tc>
      </w:tr>
      <w:tr>
        <w:trPr>
          <w:trHeight w:val="238"/>
        </w:trPr>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r>
      <w:tr>
        <w:trPr>
          <w:trHeight w:val="40"/>
        </w:trPr>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580" w:hanging="394"/>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Receivable from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40" w:right="3100" w:firstLine="310"/>
        <w:spacing w:after="0" w:line="290" w:lineRule="auto"/>
        <w:tabs>
          <w:tab w:leader="none" w:pos="58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Investment Including Maturity Date, Rate of Interest, Collateral, Par</w:t>
      </w: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or Maturity Value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 Current Value</w:t>
            </w: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Loans/Interest rates from 4.25% to 9.50%;</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from January 2024 to October 2053</w:t>
            </w: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72,490</w:t>
            </w:r>
          </w:p>
        </w:tc>
      </w:tr>
      <w:tr>
        <w:trPr>
          <w:trHeight w:val="40"/>
        </w:trPr>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0"/>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72,490</w:t>
            </w:r>
          </w:p>
        </w:tc>
      </w:tr>
      <w:tr>
        <w:trPr>
          <w:trHeight w:val="41"/>
        </w:trPr>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-582295</wp:posOffset>
            </wp:positionV>
            <wp:extent cx="713232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120"/>
            <w:col w:w="676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010202"/>
        </w:rPr>
        <w:t>*</w:t>
        <w:tab/>
        <w:t>Indicates party-in-interest to the Plan.</w:t>
      </w:r>
    </w:p>
    <w:p>
      <w:pPr>
        <w:spacing w:after="0" w:line="50"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010202"/>
        </w:rPr>
      </w:pPr>
      <w:r>
        <w:rPr>
          <w:rFonts w:ascii="Times New Roman" w:cs="Times New Roman" w:eastAsia="Times New Roman" w:hAnsi="Times New Roman"/>
          <w:sz w:val="18"/>
          <w:szCs w:val="18"/>
          <w:color w:val="010202"/>
        </w:rPr>
        <w:t>Not applicable—participant-directed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1" w:right="339" w:bottom="1440" w:gutter="0" w:footer="0" w:header="0"/>
          <w:type w:val="continuous"/>
        </w:sectPr>
      </w:pPr>
    </w:p>
    <w:bookmarkStart w:id="15" w:name="page16"/>
    <w:bookmarkEnd w:id="15"/>
    <w:p>
      <w:pPr>
        <w:spacing w:after="0" w:line="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010202"/>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010202"/>
        </w:rPr>
        <w:t>Pursuant to the requirements of the Securities Exchange Act of 1934, the Leidos, Inc. Retirement Plans Committee as Plan Administrator has duly caused this annual report to be signed on its behalf by the undersigned hereunto duly authorized.</w:t>
      </w:r>
    </w:p>
    <w:p>
      <w:pPr>
        <w:spacing w:after="0" w:line="25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LEIDOS, INC. RETIREMENT PLAN</w:t>
      </w:r>
    </w:p>
    <w:p>
      <w:pPr>
        <w:spacing w:after="0" w:line="360" w:lineRule="exact"/>
        <w:rPr>
          <w:sz w:val="20"/>
          <w:szCs w:val="20"/>
          <w:color w:val="auto"/>
        </w:rPr>
      </w:pPr>
    </w:p>
    <w:p>
      <w:pPr>
        <w:ind w:left="20"/>
        <w:spacing w:after="0"/>
        <w:tabs>
          <w:tab w:leader="none" w:pos="8400" w:val="left"/>
        </w:tabs>
        <w:rPr>
          <w:sz w:val="20"/>
          <w:szCs w:val="20"/>
          <w:color w:val="auto"/>
        </w:rPr>
      </w:pPr>
      <w:r>
        <w:rPr>
          <w:rFonts w:ascii="Times New Roman" w:cs="Times New Roman" w:eastAsia="Times New Roman" w:hAnsi="Times New Roman"/>
          <w:sz w:val="18"/>
          <w:szCs w:val="18"/>
          <w:color w:val="auto"/>
        </w:rPr>
        <w:t>Date: June 21, 2024</w:t>
      </w:r>
      <w:r>
        <w:rPr>
          <w:sz w:val="20"/>
          <w:szCs w:val="20"/>
          <w:color w:val="auto"/>
        </w:rPr>
        <w:tab/>
      </w:r>
      <w:r>
        <w:rPr>
          <w:rFonts w:ascii="Times New Roman" w:cs="Times New Roman" w:eastAsia="Times New Roman" w:hAnsi="Times New Roman"/>
          <w:sz w:val="17"/>
          <w:szCs w:val="17"/>
          <w:color w:val="auto"/>
        </w:rPr>
        <w:t>/s/ J. Councill Leak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43180</wp:posOffset>
            </wp:positionV>
            <wp:extent cx="2691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8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J. Councill Leak</w:t>
      </w:r>
    </w:p>
    <w:p>
      <w:pPr>
        <w:spacing w:after="0" w:line="9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1440" w:right="499" w:bottom="1440" w:gutter="0" w:footer="0" w:header="0"/>
        </w:sectPr>
      </w:pPr>
    </w:p>
    <w:bookmarkStart w:id="16" w:name="page17"/>
    <w:bookmarkEnd w:id="16"/>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050707"/>
        </w:rPr>
        <w:t>Exhibit Index</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0707"/>
        </w:rPr>
        <w:t>Exhibit No.</w:t>
      </w:r>
    </w:p>
    <w:p>
      <w:pPr>
        <w:spacing w:after="0" w:line="20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050707"/>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 (Successor Auditor)</w:t>
      </w:r>
    </w:p>
    <w:p>
      <w:pPr>
        <w:spacing w:after="0" w:line="2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050707"/>
        </w:rPr>
        <w:t>23</w:t>
      </w:r>
      <w:r>
        <w:rPr>
          <w:rFonts w:ascii="Times New Roman" w:cs="Times New Roman" w:eastAsia="Times New Roman" w:hAnsi="Times New Roman"/>
          <w:sz w:val="18"/>
          <w:szCs w:val="18"/>
          <w:color w:val="000000"/>
        </w:rPr>
        <w:t>.2</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144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issued our report dated June 21, 2024, with respect to the financial statements and supplemental information included in the Annual Report of Leidos, Inc. Retirement Plan on Form 11-K for the year ended December 31, 2023. We consent to the incorporation by reference of said report in the Registration Statements of Leidos Holdings, Inc. in Forms S-8 (File Nos. 333-138095, 333-153360, 333-169693, and 333-218435).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1089" w:right="6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333-138095, 333-153360, 333-169693, and 333-218435 on Forms S-8 of Leidos Holdings, Inc. of our report dated June 28, 2023, relating to our audit of the financial statement of Leidos, Inc. Retirement Plan as of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which appears in this Annual Report on Form 11-K of Leidos, Inc. Retirement Plan for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Elliott Davis, LLC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Augusta, Georgia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2024-06-21T14:39:42Z</dcterms:created>
  <dcterms:modified xsi:type="dcterms:W3CDTF">2024-06-21T14:39:42Z</dcterms:modified>
</cp:coreProperties>
</file>