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4"/>
          <w:szCs w:val="24"/>
          <w:color w:val="auto"/>
        </w:rPr>
      </w:pPr>
    </w:p>
    <w:p>
      <w:pPr>
        <w:jc w:val="center"/>
        <w:ind w:right="-279"/>
        <w:spacing w:after="0"/>
        <w:rPr>
          <w:sz w:val="20"/>
          <w:szCs w:val="20"/>
          <w:color w:val="auto"/>
        </w:rPr>
      </w:pPr>
      <w:r>
        <w:rPr>
          <w:rFonts w:ascii="Arial" w:cs="Arial" w:eastAsia="Arial" w:hAnsi="Arial"/>
          <w:sz w:val="18"/>
          <w:szCs w:val="18"/>
          <w:b w:val="1"/>
          <w:bCs w:val="1"/>
          <w:color w:val="auto"/>
        </w:rPr>
        <w:t>UNITED STATES</w:t>
      </w:r>
    </w:p>
    <w:p>
      <w:pPr>
        <w:spacing w:after="0" w:line="13" w:lineRule="exact"/>
        <w:rPr>
          <w:sz w:val="24"/>
          <w:szCs w:val="24"/>
          <w:color w:val="auto"/>
        </w:rPr>
      </w:pPr>
    </w:p>
    <w:p>
      <w:pPr>
        <w:jc w:val="center"/>
        <w:ind w:right="-279"/>
        <w:spacing w:after="0"/>
        <w:rPr>
          <w:sz w:val="20"/>
          <w:szCs w:val="20"/>
          <w:color w:val="auto"/>
        </w:rPr>
      </w:pPr>
      <w:r>
        <w:rPr>
          <w:rFonts w:ascii="Arial" w:cs="Arial" w:eastAsia="Arial" w:hAnsi="Arial"/>
          <w:sz w:val="18"/>
          <w:szCs w:val="18"/>
          <w:b w:val="1"/>
          <w:bCs w:val="1"/>
          <w:color w:val="auto"/>
        </w:rPr>
        <w:t>SECURITIES AND EXCHANGE COMMISSION</w:t>
      </w:r>
    </w:p>
    <w:p>
      <w:pPr>
        <w:jc w:val="center"/>
        <w:ind w:right="-279"/>
        <w:spacing w:after="0"/>
        <w:rPr>
          <w:sz w:val="20"/>
          <w:szCs w:val="20"/>
          <w:color w:val="auto"/>
        </w:rPr>
      </w:pPr>
      <w:r>
        <w:rPr>
          <w:rFonts w:ascii="Arial" w:cs="Arial" w:eastAsia="Arial" w:hAnsi="Arial"/>
          <w:sz w:val="18"/>
          <w:szCs w:val="18"/>
          <w:b w:val="1"/>
          <w:bCs w:val="1"/>
          <w:color w:val="auto"/>
        </w:rPr>
        <w:t>WASHINGTON, DC 20549</w:t>
      </w:r>
    </w:p>
    <w:p>
      <w:pPr>
        <w:spacing w:after="0" w:line="136" w:lineRule="exact"/>
        <w:rPr>
          <w:sz w:val="24"/>
          <w:szCs w:val="24"/>
          <w:color w:val="auto"/>
        </w:rPr>
      </w:pPr>
    </w:p>
    <w:p>
      <w:pPr>
        <w:jc w:val="center"/>
        <w:ind w:right="-279"/>
        <w:spacing w:after="0"/>
        <w:rPr>
          <w:sz w:val="20"/>
          <w:szCs w:val="20"/>
          <w:color w:val="auto"/>
        </w:rPr>
      </w:pPr>
      <w:r>
        <w:rPr>
          <w:rFonts w:ascii="Arial" w:cs="Arial" w:eastAsia="Arial" w:hAnsi="Arial"/>
          <w:sz w:val="18"/>
          <w:szCs w:val="18"/>
          <w:b w:val="1"/>
          <w:bCs w:val="1"/>
          <w:color w:val="auto"/>
        </w:rPr>
        <w:t>SCHEDULE 14A</w:t>
      </w:r>
    </w:p>
    <w:p>
      <w:pPr>
        <w:spacing w:after="0" w:line="18" w:lineRule="exact"/>
        <w:rPr>
          <w:sz w:val="24"/>
          <w:szCs w:val="24"/>
          <w:color w:val="auto"/>
        </w:rPr>
      </w:pPr>
    </w:p>
    <w:p>
      <w:pPr>
        <w:jc w:val="center"/>
        <w:ind w:right="-279"/>
        <w:spacing w:after="0"/>
        <w:rPr>
          <w:sz w:val="20"/>
          <w:szCs w:val="20"/>
          <w:color w:val="auto"/>
        </w:rPr>
      </w:pPr>
      <w:r>
        <w:rPr>
          <w:rFonts w:ascii="Arial" w:cs="Arial" w:eastAsia="Arial" w:hAnsi="Arial"/>
          <w:sz w:val="18"/>
          <w:szCs w:val="18"/>
          <w:color w:val="auto"/>
        </w:rPr>
        <w:t>Proxy Statement Pursuant to Section 14(a) of the Securities Exchange Act of 1934</w:t>
      </w:r>
    </w:p>
    <w:p>
      <w:pPr>
        <w:spacing w:after="0" w:line="114"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49"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175" w:lineRule="exact"/>
        <w:rPr>
          <w:sz w:val="24"/>
          <w:szCs w:val="24"/>
          <w:color w:val="auto"/>
        </w:rPr>
      </w:pPr>
    </w:p>
    <w:p>
      <w:pPr>
        <w:ind w:left="20"/>
        <w:spacing w:after="0"/>
        <w:rPr>
          <w:sz w:val="20"/>
          <w:szCs w:val="20"/>
          <w:color w:val="auto"/>
        </w:rPr>
      </w:pPr>
      <w:r>
        <w:rPr>
          <w:rFonts w:ascii="Arial" w:cs="Arial" w:eastAsia="Arial" w:hAnsi="Arial"/>
          <w:sz w:val="18"/>
          <w:szCs w:val="18"/>
          <w:color w:val="auto"/>
        </w:rPr>
        <w:t>Check the appropriate box:</w:t>
      </w:r>
    </w:p>
    <w:p>
      <w:pPr>
        <w:spacing w:after="0" w:line="158" w:lineRule="exact"/>
        <w:rPr>
          <w:sz w:val="24"/>
          <w:szCs w:val="24"/>
          <w:color w:val="auto"/>
        </w:rPr>
      </w:pPr>
    </w:p>
    <w:p>
      <w:pPr>
        <w:ind w:left="220" w:hanging="207"/>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9" w:lineRule="exact"/>
        <w:rPr>
          <w:rFonts w:ascii="MS PGothic" w:cs="MS PGothic" w:eastAsia="MS PGothic" w:hAnsi="MS PGothic"/>
          <w:sz w:val="18"/>
          <w:szCs w:val="18"/>
          <w:color w:val="auto"/>
        </w:rPr>
      </w:pPr>
    </w:p>
    <w:p>
      <w:pPr>
        <w:ind w:left="20" w:right="4720" w:hanging="7"/>
        <w:spacing w:after="0" w:line="216" w:lineRule="exact"/>
        <w:tabs>
          <w:tab w:leader="none" w:pos="231"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 xml:space="preserve">Confidential, for Use of the Commission Only (as permitted by Rule 14a-6(e)(2)) </w:t>
      </w:r>
      <w:r>
        <w:rPr>
          <w:rFonts w:ascii="MS PGothic" w:cs="MS PGothic" w:eastAsia="MS PGothic" w:hAnsi="MS PGothic"/>
          <w:sz w:val="18"/>
          <w:szCs w:val="18"/>
          <w:color w:val="auto"/>
        </w:rPr>
        <w:t>☒</w:t>
      </w:r>
      <w:r>
        <w:rPr>
          <w:rFonts w:ascii="Arial" w:cs="Arial" w:eastAsia="Arial" w:hAnsi="Arial"/>
          <w:sz w:val="18"/>
          <w:szCs w:val="18"/>
          <w:color w:val="auto"/>
        </w:rPr>
        <w:t xml:space="preserve"> Definitive Proxy Statement</w:t>
      </w:r>
    </w:p>
    <w:p>
      <w:pPr>
        <w:ind w:left="220" w:hanging="207"/>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9" w:lineRule="exact"/>
        <w:rPr>
          <w:rFonts w:ascii="MS PGothic" w:cs="MS PGothic" w:eastAsia="MS PGothic" w:hAnsi="MS PGothic"/>
          <w:sz w:val="18"/>
          <w:szCs w:val="18"/>
          <w:color w:val="auto"/>
        </w:rPr>
      </w:pPr>
    </w:p>
    <w:p>
      <w:pPr>
        <w:ind w:left="220" w:hanging="207"/>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 240.14a-12</w:t>
      </w:r>
    </w:p>
    <w:p>
      <w:pPr>
        <w:spacing w:after="0" w:line="149" w:lineRule="exact"/>
        <w:rPr>
          <w:sz w:val="24"/>
          <w:szCs w:val="24"/>
          <w:color w:val="auto"/>
        </w:rPr>
      </w:pPr>
    </w:p>
    <w:p>
      <w:pPr>
        <w:jc w:val="center"/>
        <w:ind w:right="-279"/>
        <w:spacing w:after="0"/>
        <w:rPr>
          <w:sz w:val="20"/>
          <w:szCs w:val="20"/>
          <w:color w:val="auto"/>
        </w:rPr>
      </w:pPr>
      <w:r>
        <w:rPr>
          <w:rFonts w:ascii="Arial" w:cs="Arial" w:eastAsia="Arial" w:hAnsi="Arial"/>
          <w:sz w:val="18"/>
          <w:szCs w:val="18"/>
          <w:b w:val="1"/>
          <w:bCs w:val="1"/>
          <w:color w:val="auto"/>
        </w:rPr>
        <w:t>Leidos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7" w:lineRule="exact"/>
        <w:rPr>
          <w:sz w:val="24"/>
          <w:szCs w:val="24"/>
          <w:color w:val="auto"/>
        </w:rPr>
      </w:pPr>
    </w:p>
    <w:p>
      <w:pPr>
        <w:jc w:val="center"/>
        <w:ind w:right="-279"/>
        <w:spacing w:after="0"/>
        <w:rPr>
          <w:sz w:val="20"/>
          <w:szCs w:val="20"/>
          <w:color w:val="auto"/>
        </w:rPr>
      </w:pPr>
      <w:r>
        <w:rPr>
          <w:rFonts w:ascii="Arial" w:cs="Arial" w:eastAsia="Arial" w:hAnsi="Arial"/>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295275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70" w:lineRule="exact"/>
        <w:rPr>
          <w:sz w:val="24"/>
          <w:szCs w:val="24"/>
          <w:color w:val="auto"/>
        </w:rPr>
      </w:pPr>
    </w:p>
    <w:p>
      <w:pPr>
        <w:ind w:left="288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158"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198"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9" w:lineRule="exact"/>
        <w:rPr>
          <w:sz w:val="24"/>
          <w:szCs w:val="24"/>
          <w:color w:val="auto"/>
        </w:rPr>
      </w:pPr>
    </w:p>
    <w:p>
      <w:pPr>
        <w:ind w:left="340" w:hanging="332"/>
        <w:spacing w:after="0"/>
        <w:tabs>
          <w:tab w:leader="none" w:pos="34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11" w:lineRule="exact"/>
        <w:rPr>
          <w:rFonts w:ascii="MS PGothic" w:cs="MS PGothic" w:eastAsia="MS PGothic" w:hAnsi="MS PGothic"/>
          <w:sz w:val="18"/>
          <w:szCs w:val="18"/>
          <w:color w:val="auto"/>
        </w:rPr>
      </w:pPr>
    </w:p>
    <w:p>
      <w:pPr>
        <w:ind w:left="900" w:hanging="446"/>
        <w:spacing w:after="0"/>
        <w:tabs>
          <w:tab w:leader="none" w:pos="900" w:val="left"/>
        </w:tabs>
        <w:numPr>
          <w:ilvl w:val="1"/>
          <w:numId w:val="3"/>
        </w:numPr>
        <w:rPr>
          <w:rFonts w:ascii="Arial" w:cs="Arial" w:eastAsia="Arial" w:hAnsi="Arial"/>
          <w:sz w:val="18"/>
          <w:szCs w:val="18"/>
          <w:b w:val="1"/>
          <w:bCs w:val="1"/>
          <w:color w:val="auto"/>
        </w:rPr>
      </w:pPr>
      <w:r>
        <w:rPr>
          <w:rFonts w:ascii="Arial" w:cs="Arial" w:eastAsia="Arial" w:hAnsi="Arial"/>
          <w:sz w:val="18"/>
          <w:szCs w:val="18"/>
          <w:color w:val="auto"/>
        </w:rPr>
        <w:t>Title of each class of securities to which transaction applies:</w:t>
      </w:r>
    </w:p>
    <w:p>
      <w:pPr>
        <w:spacing w:after="0" w:line="346" w:lineRule="exact"/>
        <w:rPr>
          <w:rFonts w:ascii="Arial" w:cs="Arial" w:eastAsia="Arial" w:hAnsi="Arial"/>
          <w:sz w:val="18"/>
          <w:szCs w:val="18"/>
          <w:b w:val="1"/>
          <w:bCs w:val="1"/>
          <w:color w:val="auto"/>
        </w:rPr>
      </w:pPr>
    </w:p>
    <w:p>
      <w:pPr>
        <w:ind w:left="900" w:hanging="446"/>
        <w:spacing w:after="0"/>
        <w:tabs>
          <w:tab w:leader="none" w:pos="900" w:val="left"/>
        </w:tabs>
        <w:numPr>
          <w:ilvl w:val="1"/>
          <w:numId w:val="3"/>
        </w:numPr>
        <w:rPr>
          <w:rFonts w:ascii="Arial" w:cs="Arial" w:eastAsia="Arial" w:hAnsi="Arial"/>
          <w:sz w:val="18"/>
          <w:szCs w:val="18"/>
          <w:b w:val="1"/>
          <w:bCs w:val="1"/>
          <w:color w:val="auto"/>
        </w:rPr>
      </w:pPr>
      <w:r>
        <w:rPr>
          <w:rFonts w:ascii="Arial" w:cs="Arial" w:eastAsia="Arial" w:hAnsi="Arial"/>
          <w:sz w:val="18"/>
          <w:szCs w:val="18"/>
          <w:color w:val="auto"/>
        </w:rPr>
        <w:t>Aggregate number of securities to which transaction applies:</w:t>
      </w:r>
    </w:p>
    <w:p>
      <w:pPr>
        <w:spacing w:after="0" w:line="333" w:lineRule="exact"/>
        <w:rPr>
          <w:rFonts w:ascii="Arial" w:cs="Arial" w:eastAsia="Arial" w:hAnsi="Arial"/>
          <w:sz w:val="18"/>
          <w:szCs w:val="18"/>
          <w:b w:val="1"/>
          <w:bCs w:val="1"/>
          <w:color w:val="auto"/>
        </w:rPr>
      </w:pPr>
    </w:p>
    <w:p>
      <w:pPr>
        <w:ind w:left="900" w:hanging="446"/>
        <w:spacing w:after="0" w:line="239" w:lineRule="auto"/>
        <w:tabs>
          <w:tab w:leader="none" w:pos="900" w:val="left"/>
        </w:tabs>
        <w:numPr>
          <w:ilvl w:val="1"/>
          <w:numId w:val="3"/>
        </w:numPr>
        <w:rPr>
          <w:rFonts w:ascii="Arial" w:cs="Arial" w:eastAsia="Arial" w:hAnsi="Arial"/>
          <w:sz w:val="18"/>
          <w:szCs w:val="18"/>
          <w:b w:val="1"/>
          <w:bCs w:val="1"/>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344" w:lineRule="exact"/>
        <w:rPr>
          <w:rFonts w:ascii="Arial" w:cs="Arial" w:eastAsia="Arial" w:hAnsi="Arial"/>
          <w:sz w:val="18"/>
          <w:szCs w:val="18"/>
          <w:b w:val="1"/>
          <w:bCs w:val="1"/>
          <w:color w:val="auto"/>
        </w:rPr>
      </w:pPr>
    </w:p>
    <w:p>
      <w:pPr>
        <w:ind w:left="900" w:hanging="446"/>
        <w:spacing w:after="0"/>
        <w:tabs>
          <w:tab w:leader="none" w:pos="900" w:val="left"/>
        </w:tabs>
        <w:numPr>
          <w:ilvl w:val="1"/>
          <w:numId w:val="3"/>
        </w:numPr>
        <w:rPr>
          <w:rFonts w:ascii="Arial" w:cs="Arial" w:eastAsia="Arial" w:hAnsi="Arial"/>
          <w:sz w:val="18"/>
          <w:szCs w:val="18"/>
          <w:b w:val="1"/>
          <w:bCs w:val="1"/>
          <w:color w:val="auto"/>
        </w:rPr>
      </w:pPr>
      <w:r>
        <w:rPr>
          <w:rFonts w:ascii="Arial" w:cs="Arial" w:eastAsia="Arial" w:hAnsi="Arial"/>
          <w:sz w:val="18"/>
          <w:szCs w:val="18"/>
          <w:color w:val="auto"/>
        </w:rPr>
        <w:t>Proposed maximum aggregate value of transaction:</w:t>
      </w:r>
    </w:p>
    <w:p>
      <w:pPr>
        <w:spacing w:after="0" w:line="346" w:lineRule="exact"/>
        <w:rPr>
          <w:rFonts w:ascii="Arial" w:cs="Arial" w:eastAsia="Arial" w:hAnsi="Arial"/>
          <w:sz w:val="18"/>
          <w:szCs w:val="18"/>
          <w:b w:val="1"/>
          <w:bCs w:val="1"/>
          <w:color w:val="auto"/>
        </w:rPr>
      </w:pPr>
    </w:p>
    <w:p>
      <w:pPr>
        <w:ind w:left="900" w:hanging="446"/>
        <w:spacing w:after="0"/>
        <w:tabs>
          <w:tab w:leader="none" w:pos="900" w:val="left"/>
        </w:tabs>
        <w:numPr>
          <w:ilvl w:val="1"/>
          <w:numId w:val="3"/>
        </w:numPr>
        <w:rPr>
          <w:rFonts w:ascii="Arial" w:cs="Arial" w:eastAsia="Arial" w:hAnsi="Arial"/>
          <w:sz w:val="18"/>
          <w:szCs w:val="18"/>
          <w:b w:val="1"/>
          <w:bCs w:val="1"/>
          <w:color w:val="auto"/>
        </w:rPr>
      </w:pPr>
      <w:r>
        <w:rPr>
          <w:rFonts w:ascii="Arial" w:cs="Arial" w:eastAsia="Arial" w:hAnsi="Arial"/>
          <w:sz w:val="18"/>
          <w:szCs w:val="18"/>
          <w:color w:val="auto"/>
        </w:rPr>
        <w:t>Total fee paid:</w:t>
      </w:r>
    </w:p>
    <w:p>
      <w:pPr>
        <w:spacing w:after="0" w:line="265" w:lineRule="exact"/>
        <w:rPr>
          <w:rFonts w:ascii="Arial" w:cs="Arial" w:eastAsia="Arial" w:hAnsi="Arial"/>
          <w:sz w:val="18"/>
          <w:szCs w:val="18"/>
          <w:b w:val="1"/>
          <w:bCs w:val="1"/>
          <w:color w:val="auto"/>
        </w:rPr>
      </w:pPr>
    </w:p>
    <w:p>
      <w:pPr>
        <w:ind w:left="340" w:hanging="332"/>
        <w:spacing w:after="0"/>
        <w:tabs>
          <w:tab w:leader="none" w:pos="34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9" w:lineRule="exact"/>
        <w:rPr>
          <w:rFonts w:ascii="MS PGothic" w:cs="MS PGothic" w:eastAsia="MS PGothic" w:hAnsi="MS PGothic"/>
          <w:sz w:val="18"/>
          <w:szCs w:val="18"/>
          <w:color w:val="auto"/>
        </w:rPr>
      </w:pPr>
    </w:p>
    <w:p>
      <w:pPr>
        <w:ind w:left="340" w:right="40" w:hanging="332"/>
        <w:spacing w:after="0" w:line="239" w:lineRule="auto"/>
        <w:tabs>
          <w:tab w:leader="none" w:pos="34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9" w:lineRule="exact"/>
        <w:rPr>
          <w:rFonts w:ascii="MS PGothic" w:cs="MS PGothic" w:eastAsia="MS PGothic" w:hAnsi="MS PGothic"/>
          <w:sz w:val="18"/>
          <w:szCs w:val="18"/>
          <w:color w:val="auto"/>
        </w:rPr>
      </w:pPr>
    </w:p>
    <w:p>
      <w:pPr>
        <w:ind w:left="900" w:hanging="446"/>
        <w:spacing w:after="0"/>
        <w:tabs>
          <w:tab w:leader="none" w:pos="900" w:val="left"/>
        </w:tabs>
        <w:numPr>
          <w:ilvl w:val="1"/>
          <w:numId w:val="3"/>
        </w:numPr>
        <w:rPr>
          <w:rFonts w:ascii="Arial" w:cs="Arial" w:eastAsia="Arial" w:hAnsi="Arial"/>
          <w:sz w:val="18"/>
          <w:szCs w:val="18"/>
          <w:b w:val="1"/>
          <w:bCs w:val="1"/>
          <w:color w:val="auto"/>
        </w:rPr>
      </w:pPr>
      <w:r>
        <w:rPr>
          <w:rFonts w:ascii="Arial" w:cs="Arial" w:eastAsia="Arial" w:hAnsi="Arial"/>
          <w:sz w:val="18"/>
          <w:szCs w:val="18"/>
          <w:color w:val="auto"/>
        </w:rPr>
        <w:t>Amount Previously Paid:</w:t>
      </w:r>
    </w:p>
    <w:p>
      <w:pPr>
        <w:spacing w:after="0" w:line="346" w:lineRule="exact"/>
        <w:rPr>
          <w:rFonts w:ascii="Arial" w:cs="Arial" w:eastAsia="Arial" w:hAnsi="Arial"/>
          <w:sz w:val="18"/>
          <w:szCs w:val="18"/>
          <w:b w:val="1"/>
          <w:bCs w:val="1"/>
          <w:color w:val="auto"/>
        </w:rPr>
      </w:pPr>
    </w:p>
    <w:p>
      <w:pPr>
        <w:ind w:left="900" w:hanging="446"/>
        <w:spacing w:after="0"/>
        <w:tabs>
          <w:tab w:leader="none" w:pos="900" w:val="left"/>
        </w:tabs>
        <w:numPr>
          <w:ilvl w:val="1"/>
          <w:numId w:val="3"/>
        </w:numPr>
        <w:rPr>
          <w:rFonts w:ascii="Arial" w:cs="Arial" w:eastAsia="Arial" w:hAnsi="Arial"/>
          <w:sz w:val="18"/>
          <w:szCs w:val="18"/>
          <w:b w:val="1"/>
          <w:bCs w:val="1"/>
          <w:color w:val="auto"/>
        </w:rPr>
      </w:pPr>
      <w:r>
        <w:rPr>
          <w:rFonts w:ascii="Arial" w:cs="Arial" w:eastAsia="Arial" w:hAnsi="Arial"/>
          <w:sz w:val="18"/>
          <w:szCs w:val="18"/>
          <w:color w:val="auto"/>
        </w:rPr>
        <w:t>Form, Schedule or Registration Statement No.:</w:t>
      </w:r>
    </w:p>
    <w:p>
      <w:pPr>
        <w:spacing w:after="0" w:line="346" w:lineRule="exact"/>
        <w:rPr>
          <w:rFonts w:ascii="Arial" w:cs="Arial" w:eastAsia="Arial" w:hAnsi="Arial"/>
          <w:sz w:val="18"/>
          <w:szCs w:val="18"/>
          <w:b w:val="1"/>
          <w:bCs w:val="1"/>
          <w:color w:val="auto"/>
        </w:rPr>
      </w:pPr>
    </w:p>
    <w:p>
      <w:pPr>
        <w:ind w:left="900" w:hanging="446"/>
        <w:spacing w:after="0"/>
        <w:tabs>
          <w:tab w:leader="none" w:pos="900" w:val="left"/>
        </w:tabs>
        <w:numPr>
          <w:ilvl w:val="1"/>
          <w:numId w:val="3"/>
        </w:numPr>
        <w:rPr>
          <w:rFonts w:ascii="Arial" w:cs="Arial" w:eastAsia="Arial" w:hAnsi="Arial"/>
          <w:sz w:val="18"/>
          <w:szCs w:val="18"/>
          <w:b w:val="1"/>
          <w:bCs w:val="1"/>
          <w:color w:val="auto"/>
        </w:rPr>
      </w:pPr>
      <w:r>
        <w:rPr>
          <w:rFonts w:ascii="Arial" w:cs="Arial" w:eastAsia="Arial" w:hAnsi="Arial"/>
          <w:sz w:val="18"/>
          <w:szCs w:val="18"/>
          <w:color w:val="auto"/>
        </w:rPr>
        <w:t>Filing Party:</w:t>
      </w:r>
    </w:p>
    <w:p>
      <w:pPr>
        <w:spacing w:after="0" w:line="333" w:lineRule="exact"/>
        <w:rPr>
          <w:rFonts w:ascii="Arial" w:cs="Arial" w:eastAsia="Arial" w:hAnsi="Arial"/>
          <w:sz w:val="18"/>
          <w:szCs w:val="18"/>
          <w:b w:val="1"/>
          <w:bCs w:val="1"/>
          <w:color w:val="auto"/>
        </w:rPr>
      </w:pPr>
    </w:p>
    <w:p>
      <w:pPr>
        <w:ind w:left="900" w:hanging="446"/>
        <w:spacing w:after="0"/>
        <w:tabs>
          <w:tab w:leader="none" w:pos="900" w:val="left"/>
        </w:tabs>
        <w:numPr>
          <w:ilvl w:val="1"/>
          <w:numId w:val="3"/>
        </w:numPr>
        <w:rPr>
          <w:rFonts w:ascii="Arial" w:cs="Arial" w:eastAsia="Arial" w:hAnsi="Arial"/>
          <w:sz w:val="18"/>
          <w:szCs w:val="18"/>
          <w:b w:val="1"/>
          <w:bCs w:val="1"/>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296545</wp:posOffset>
            </wp:positionH>
            <wp:positionV relativeFrom="paragraph">
              <wp:posOffset>-3108325</wp:posOffset>
            </wp:positionV>
            <wp:extent cx="69551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55155" cy="8890"/>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-2765425</wp:posOffset>
            </wp:positionV>
            <wp:extent cx="69551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55155" cy="8890"/>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-2285365</wp:posOffset>
            </wp:positionV>
            <wp:extent cx="69551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55155" cy="8890"/>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-1933575</wp:posOffset>
            </wp:positionV>
            <wp:extent cx="69551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55155" cy="8890"/>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-1616710</wp:posOffset>
            </wp:positionV>
            <wp:extent cx="69551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55155" cy="8890"/>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-870585</wp:posOffset>
            </wp:positionV>
            <wp:extent cx="69551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55155" cy="8890"/>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-518795</wp:posOffset>
            </wp:positionV>
            <wp:extent cx="69551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55155" cy="8890"/>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-175895</wp:posOffset>
            </wp:positionV>
            <wp:extent cx="695515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55155" cy="8890"/>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175260</wp:posOffset>
            </wp:positionV>
            <wp:extent cx="695515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sectPr>
          <w:pgSz w:w="11900" w:h="16838" w:orient="portrait"/>
          <w:cols w:equalWidth="0" w:num="1">
            <w:col w:w="11140"/>
          </w:cols>
          <w:pgMar w:left="240" w:top="230" w:right="51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6920"/>
        <w:spacing w:after="0"/>
        <w:rPr>
          <w:sz w:val="20"/>
          <w:szCs w:val="20"/>
          <w:color w:val="auto"/>
        </w:rPr>
      </w:pPr>
      <w:r>
        <w:rPr>
          <w:rFonts w:ascii="Arial" w:cs="Arial" w:eastAsia="Arial" w:hAnsi="Arial"/>
          <w:sz w:val="35"/>
          <w:szCs w:val="35"/>
          <w:color w:val="483E65"/>
        </w:rPr>
        <w:t xml:space="preserve">LEIDOS </w:t>
      </w:r>
      <w:r>
        <w:rPr>
          <w:rFonts w:ascii="Arial" w:cs="Arial" w:eastAsia="Arial" w:hAnsi="Arial"/>
          <w:sz w:val="35"/>
          <w:szCs w:val="35"/>
          <w:b w:val="1"/>
          <w:bCs w:val="1"/>
          <w:color w:val="77387A"/>
        </w:rPr>
        <w:t>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579755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97550" cy="8890"/>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jc w:val="right"/>
        <w:ind w:left="3700" w:right="1079"/>
        <w:spacing w:after="0" w:line="246" w:lineRule="auto"/>
        <w:rPr>
          <w:sz w:val="20"/>
          <w:szCs w:val="20"/>
          <w:color w:val="auto"/>
        </w:rPr>
      </w:pPr>
      <w:r>
        <w:rPr>
          <w:rFonts w:ascii="Arial" w:cs="Arial" w:eastAsia="Arial" w:hAnsi="Arial"/>
          <w:sz w:val="49"/>
          <w:szCs w:val="49"/>
          <w:color w:val="483E65"/>
        </w:rPr>
        <w:t>Notice of Annual Meeting of Stockholders and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200660</wp:posOffset>
            </wp:positionV>
            <wp:extent cx="579755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975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right"/>
        <w:ind w:right="1079"/>
        <w:spacing w:after="0"/>
        <w:rPr>
          <w:sz w:val="20"/>
          <w:szCs w:val="20"/>
          <w:color w:val="auto"/>
        </w:rPr>
      </w:pPr>
      <w:r>
        <w:rPr>
          <w:rFonts w:ascii="Arial" w:cs="Arial" w:eastAsia="Arial" w:hAnsi="Arial"/>
          <w:sz w:val="25"/>
          <w:szCs w:val="25"/>
          <w:b w:val="1"/>
          <w:bCs w:val="1"/>
          <w:color w:val="483E65"/>
        </w:rPr>
        <w:t>Friday, May 12, 2017 at 9:00 a.m., ET</w:t>
      </w:r>
    </w:p>
    <w:p>
      <w:pPr>
        <w:spacing w:after="0" w:line="42" w:lineRule="exact"/>
        <w:rPr>
          <w:sz w:val="20"/>
          <w:szCs w:val="20"/>
          <w:color w:val="auto"/>
        </w:rPr>
      </w:pPr>
    </w:p>
    <w:p>
      <w:pPr>
        <w:jc w:val="right"/>
        <w:ind w:right="1079"/>
        <w:spacing w:after="0"/>
        <w:rPr>
          <w:sz w:val="20"/>
          <w:szCs w:val="20"/>
          <w:color w:val="auto"/>
        </w:rPr>
      </w:pPr>
      <w:r>
        <w:rPr>
          <w:rFonts w:ascii="Arial" w:cs="Arial" w:eastAsia="Arial" w:hAnsi="Arial"/>
          <w:sz w:val="25"/>
          <w:szCs w:val="25"/>
          <w:color w:val="77387A"/>
        </w:rPr>
        <w:t>Leidos Holdings, Inc.</w:t>
      </w:r>
    </w:p>
    <w:p>
      <w:pPr>
        <w:spacing w:after="0" w:line="10" w:lineRule="exact"/>
        <w:rPr>
          <w:sz w:val="20"/>
          <w:szCs w:val="20"/>
          <w:color w:val="auto"/>
        </w:rPr>
      </w:pPr>
    </w:p>
    <w:p>
      <w:pPr>
        <w:jc w:val="right"/>
        <w:ind w:right="1079"/>
        <w:spacing w:after="0"/>
        <w:rPr>
          <w:sz w:val="20"/>
          <w:szCs w:val="20"/>
          <w:color w:val="auto"/>
        </w:rPr>
      </w:pPr>
      <w:r>
        <w:rPr>
          <w:rFonts w:ascii="Arial" w:cs="Arial" w:eastAsia="Arial" w:hAnsi="Arial"/>
          <w:sz w:val="25"/>
          <w:szCs w:val="25"/>
          <w:color w:val="77387A"/>
        </w:rPr>
        <w:t>700 N. Frederick Avenue</w:t>
      </w:r>
    </w:p>
    <w:p>
      <w:pPr>
        <w:spacing w:after="0" w:line="10" w:lineRule="exact"/>
        <w:rPr>
          <w:sz w:val="20"/>
          <w:szCs w:val="20"/>
          <w:color w:val="auto"/>
        </w:rPr>
      </w:pPr>
    </w:p>
    <w:p>
      <w:pPr>
        <w:jc w:val="right"/>
        <w:ind w:right="1079"/>
        <w:spacing w:after="0"/>
        <w:rPr>
          <w:sz w:val="20"/>
          <w:szCs w:val="20"/>
          <w:color w:val="auto"/>
        </w:rPr>
      </w:pPr>
      <w:r>
        <w:rPr>
          <w:rFonts w:ascii="Arial" w:cs="Arial" w:eastAsia="Arial" w:hAnsi="Arial"/>
          <w:sz w:val="25"/>
          <w:szCs w:val="25"/>
          <w:color w:val="77387A"/>
        </w:rPr>
        <w:t>Gaithersburg, Maryland 20879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3966845</wp:posOffset>
            </wp:positionH>
            <wp:positionV relativeFrom="paragraph">
              <wp:posOffset>2475230</wp:posOffset>
            </wp:positionV>
            <wp:extent cx="1835150" cy="4457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835150" cy="445770"/>
                    </a:xfrm>
                    <a:prstGeom prst="rect">
                      <a:avLst/>
                    </a:prstGeom>
                    <a:noFill/>
                  </pic:spPr>
                </pic:pic>
              </a:graphicData>
            </a:graphic>
          </wp:anchor>
        </w:drawing>
      </w:r>
    </w:p>
    <w:p>
      <w:pPr>
        <w:sectPr>
          <w:pgSz w:w="11900" w:h="16838" w:orient="portrait"/>
          <w:cols w:equalWidth="0" w:num="1">
            <w:col w:w="10219"/>
          </w:cols>
          <w:pgMar w:left="240" w:top="459" w:right="1440"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30" w:lineRule="exact"/>
        <w:rPr>
          <w:sz w:val="20"/>
          <w:szCs w:val="20"/>
          <w:color w:val="auto"/>
        </w:rPr>
      </w:pPr>
    </w:p>
    <w:p>
      <w:pPr>
        <w:ind w:left="240"/>
        <w:spacing w:after="0"/>
        <w:rPr>
          <w:sz w:val="20"/>
          <w:szCs w:val="20"/>
          <w:color w:val="auto"/>
        </w:rPr>
      </w:pPr>
      <w:r>
        <w:rPr>
          <w:rFonts w:ascii="Arial" w:cs="Arial" w:eastAsia="Arial" w:hAnsi="Arial"/>
          <w:sz w:val="40"/>
          <w:szCs w:val="40"/>
          <w:color w:val="483E65"/>
        </w:rPr>
        <w:t>Notice of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141605</wp:posOffset>
            </wp:positionV>
            <wp:extent cx="710057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00570" cy="8890"/>
                    </a:xfrm>
                    <a:prstGeom prst="rect">
                      <a:avLst/>
                    </a:prstGeom>
                    <a:noFill/>
                  </pic:spPr>
                </pic:pic>
              </a:graphicData>
            </a:graphic>
          </wp:anchor>
        </w:drawing>
      </w:r>
    </w:p>
    <w:p>
      <w:pPr>
        <w:spacing w:after="0" w:line="200" w:lineRule="exact"/>
        <w:rPr>
          <w:sz w:val="20"/>
          <w:szCs w:val="20"/>
          <w:color w:val="auto"/>
        </w:rPr>
      </w:pPr>
    </w:p>
    <w:p>
      <w:pPr>
        <w:spacing w:after="0" w:line="249" w:lineRule="exact"/>
        <w:rPr>
          <w:sz w:val="20"/>
          <w:szCs w:val="20"/>
          <w:color w:val="auto"/>
        </w:rPr>
      </w:pPr>
    </w:p>
    <w:tbl>
      <w:tblPr>
        <w:tblLayout w:type="fixed"/>
        <w:tblInd w:w="240" w:type="dxa"/>
        <w:tblCellMar>
          <w:top w:w="0" w:type="dxa"/>
          <w:left w:w="0" w:type="dxa"/>
          <w:bottom w:w="0" w:type="dxa"/>
          <w:right w:w="0" w:type="dxa"/>
        </w:tblCellMar>
      </w:tblPr>
      <w:tr>
        <w:trPr>
          <w:trHeight w:val="253"/>
        </w:trPr>
        <w:tc>
          <w:tcPr>
            <w:tcW w:w="3560" w:type="dxa"/>
            <w:vAlign w:val="bottom"/>
          </w:tcPr>
          <w:p>
            <w:pPr>
              <w:ind w:left="120"/>
              <w:spacing w:after="0"/>
              <w:rPr>
                <w:sz w:val="20"/>
                <w:szCs w:val="20"/>
                <w:color w:val="auto"/>
              </w:rPr>
            </w:pPr>
            <w:r>
              <w:rPr>
                <w:rFonts w:ascii="Arial" w:cs="Arial" w:eastAsia="Arial" w:hAnsi="Arial"/>
                <w:sz w:val="22"/>
                <w:szCs w:val="22"/>
                <w:b w:val="1"/>
                <w:bCs w:val="1"/>
                <w:color w:val="483E65"/>
              </w:rPr>
              <w:t>Friday, May 12, 2017</w:t>
            </w:r>
          </w:p>
        </w:tc>
        <w:tc>
          <w:tcPr>
            <w:tcW w:w="7620" w:type="dxa"/>
            <w:vAlign w:val="bottom"/>
          </w:tcPr>
          <w:p>
            <w:pPr>
              <w:ind w:left="1360"/>
              <w:spacing w:after="0"/>
              <w:rPr>
                <w:sz w:val="20"/>
                <w:szCs w:val="20"/>
                <w:color w:val="auto"/>
              </w:rPr>
            </w:pPr>
            <w:r>
              <w:rPr>
                <w:rFonts w:ascii="Arial" w:cs="Arial" w:eastAsia="Arial" w:hAnsi="Arial"/>
                <w:sz w:val="18"/>
                <w:szCs w:val="18"/>
                <w:color w:val="483E65"/>
              </w:rPr>
              <w:t>Leidos Holdings, Inc.</w:t>
            </w:r>
          </w:p>
        </w:tc>
      </w:tr>
      <w:tr>
        <w:trPr>
          <w:trHeight w:val="230"/>
        </w:trPr>
        <w:tc>
          <w:tcPr>
            <w:tcW w:w="3560" w:type="dxa"/>
            <w:vAlign w:val="bottom"/>
          </w:tcPr>
          <w:p>
            <w:pPr>
              <w:ind w:left="120"/>
              <w:spacing w:after="0" w:line="230" w:lineRule="exact"/>
              <w:rPr>
                <w:sz w:val="20"/>
                <w:szCs w:val="20"/>
                <w:color w:val="auto"/>
              </w:rPr>
            </w:pPr>
            <w:r>
              <w:rPr>
                <w:rFonts w:ascii="Arial" w:cs="Arial" w:eastAsia="Arial" w:hAnsi="Arial"/>
                <w:sz w:val="22"/>
                <w:szCs w:val="22"/>
                <w:b w:val="1"/>
                <w:bCs w:val="1"/>
                <w:color w:val="483E65"/>
              </w:rPr>
              <w:t>9:00 a.m., ET</w:t>
            </w:r>
          </w:p>
        </w:tc>
        <w:tc>
          <w:tcPr>
            <w:tcW w:w="7620" w:type="dxa"/>
            <w:vAlign w:val="bottom"/>
          </w:tcPr>
          <w:p>
            <w:pPr>
              <w:ind w:left="1360"/>
              <w:spacing w:after="0"/>
              <w:rPr>
                <w:sz w:val="20"/>
                <w:szCs w:val="20"/>
                <w:color w:val="auto"/>
              </w:rPr>
            </w:pPr>
            <w:r>
              <w:rPr>
                <w:rFonts w:ascii="Arial" w:cs="Arial" w:eastAsia="Arial" w:hAnsi="Arial"/>
                <w:sz w:val="18"/>
                <w:szCs w:val="18"/>
                <w:color w:val="483E65"/>
              </w:rPr>
              <w:t>700 N. Frederick Avenue</w:t>
            </w:r>
          </w:p>
        </w:tc>
      </w:tr>
      <w:tr>
        <w:trPr>
          <w:trHeight w:val="217"/>
        </w:trPr>
        <w:tc>
          <w:tcPr>
            <w:tcW w:w="3560" w:type="dxa"/>
            <w:vAlign w:val="bottom"/>
          </w:tcPr>
          <w:p>
            <w:pPr>
              <w:spacing w:after="0"/>
              <w:rPr>
                <w:sz w:val="18"/>
                <w:szCs w:val="18"/>
                <w:color w:val="auto"/>
              </w:rPr>
            </w:pPr>
          </w:p>
        </w:tc>
        <w:tc>
          <w:tcPr>
            <w:tcW w:w="7620" w:type="dxa"/>
            <w:vAlign w:val="bottom"/>
          </w:tcPr>
          <w:p>
            <w:pPr>
              <w:ind w:left="1360"/>
              <w:spacing w:after="0"/>
              <w:rPr>
                <w:sz w:val="20"/>
                <w:szCs w:val="20"/>
                <w:color w:val="auto"/>
              </w:rPr>
            </w:pPr>
            <w:r>
              <w:rPr>
                <w:rFonts w:ascii="Arial" w:cs="Arial" w:eastAsia="Arial" w:hAnsi="Arial"/>
                <w:sz w:val="18"/>
                <w:szCs w:val="18"/>
                <w:color w:val="483E65"/>
              </w:rPr>
              <w:t>Gaithersburg, Maryland 20879</w:t>
            </w:r>
          </w:p>
        </w:tc>
      </w:tr>
      <w:tr>
        <w:trPr>
          <w:trHeight w:val="404"/>
        </w:trPr>
        <w:tc>
          <w:tcPr>
            <w:tcW w:w="3560" w:type="dxa"/>
            <w:vAlign w:val="bottom"/>
          </w:tcPr>
          <w:p>
            <w:pPr>
              <w:spacing w:after="0"/>
              <w:rPr>
                <w:sz w:val="20"/>
                <w:szCs w:val="20"/>
                <w:color w:val="auto"/>
              </w:rPr>
            </w:pPr>
            <w:r>
              <w:rPr>
                <w:rFonts w:ascii="Arial" w:cs="Arial" w:eastAsia="Arial" w:hAnsi="Arial"/>
                <w:sz w:val="18"/>
                <w:szCs w:val="18"/>
                <w:b w:val="1"/>
                <w:bCs w:val="1"/>
                <w:color w:val="483E65"/>
              </w:rPr>
              <w:t>Items of Business:</w:t>
            </w:r>
          </w:p>
        </w:tc>
        <w:tc>
          <w:tcPr>
            <w:tcW w:w="7620" w:type="dxa"/>
            <w:vAlign w:val="bottom"/>
          </w:tcPr>
          <w:p>
            <w:pPr>
              <w:spacing w:after="0"/>
              <w:rPr>
                <w:sz w:val="24"/>
                <w:szCs w:val="24"/>
                <w:color w:val="auto"/>
              </w:rPr>
            </w:pPr>
          </w:p>
        </w:tc>
      </w:tr>
      <w:tr>
        <w:trPr>
          <w:trHeight w:val="122"/>
        </w:trPr>
        <w:tc>
          <w:tcPr>
            <w:tcW w:w="3560" w:type="dxa"/>
            <w:vAlign w:val="bottom"/>
            <w:tcBorders>
              <w:bottom w:val="single" w:sz="8" w:color="483E65"/>
            </w:tcBorders>
          </w:tcPr>
          <w:p>
            <w:pPr>
              <w:spacing w:after="0"/>
              <w:rPr>
                <w:sz w:val="10"/>
                <w:szCs w:val="10"/>
                <w:color w:val="auto"/>
              </w:rPr>
            </w:pPr>
          </w:p>
        </w:tc>
        <w:tc>
          <w:tcPr>
            <w:tcW w:w="7620" w:type="dxa"/>
            <w:vAlign w:val="bottom"/>
            <w:tcBorders>
              <w:bottom w:val="single" w:sz="8" w:color="483E65"/>
            </w:tcBorders>
          </w:tcPr>
          <w:p>
            <w:pPr>
              <w:spacing w:after="0"/>
              <w:rPr>
                <w:sz w:val="10"/>
                <w:szCs w:val="10"/>
                <w:color w:val="auto"/>
              </w:rPr>
            </w:pPr>
          </w:p>
        </w:tc>
      </w:tr>
    </w:tbl>
    <w:p>
      <w:pPr>
        <w:spacing w:after="0" w:line="283" w:lineRule="exact"/>
        <w:rPr>
          <w:sz w:val="20"/>
          <w:szCs w:val="20"/>
          <w:color w:val="auto"/>
        </w:rPr>
      </w:pPr>
    </w:p>
    <w:p>
      <w:pPr>
        <w:ind w:left="220" w:hanging="212"/>
        <w:spacing w:after="0"/>
        <w:tabs>
          <w:tab w:leader="none" w:pos="2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elect twelve directors;</w:t>
      </w:r>
    </w:p>
    <w:p>
      <w:pPr>
        <w:spacing w:after="0" w:line="238" w:lineRule="exact"/>
        <w:rPr>
          <w:rFonts w:ascii="Arial" w:cs="Arial" w:eastAsia="Arial" w:hAnsi="Arial"/>
          <w:sz w:val="18"/>
          <w:szCs w:val="18"/>
          <w:color w:val="auto"/>
        </w:rPr>
      </w:pPr>
    </w:p>
    <w:p>
      <w:pPr>
        <w:ind w:left="220" w:hanging="212"/>
        <w:spacing w:after="0"/>
        <w:tabs>
          <w:tab w:leader="none" w:pos="2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approve, by an advisory vote, executive compensation;</w:t>
      </w:r>
    </w:p>
    <w:p>
      <w:pPr>
        <w:spacing w:after="0" w:line="238" w:lineRule="exact"/>
        <w:rPr>
          <w:rFonts w:ascii="Arial" w:cs="Arial" w:eastAsia="Arial" w:hAnsi="Arial"/>
          <w:sz w:val="18"/>
          <w:szCs w:val="18"/>
          <w:color w:val="auto"/>
        </w:rPr>
      </w:pPr>
    </w:p>
    <w:p>
      <w:pPr>
        <w:ind w:left="220" w:hanging="212"/>
        <w:spacing w:after="0"/>
        <w:tabs>
          <w:tab w:leader="none" w:pos="2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conduct an advisory vote on the frequency of future advisory votes on executive compensation;</w:t>
      </w:r>
    </w:p>
    <w:p>
      <w:pPr>
        <w:spacing w:after="0" w:line="238" w:lineRule="exact"/>
        <w:rPr>
          <w:rFonts w:ascii="Arial" w:cs="Arial" w:eastAsia="Arial" w:hAnsi="Arial"/>
          <w:sz w:val="18"/>
          <w:szCs w:val="18"/>
          <w:color w:val="auto"/>
        </w:rPr>
      </w:pPr>
    </w:p>
    <w:p>
      <w:pPr>
        <w:ind w:left="220" w:hanging="212"/>
        <w:spacing w:after="0"/>
        <w:tabs>
          <w:tab w:leader="none" w:pos="2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approve the Amended and Restated 2006 Employee Stock Purchase Plan;</w:t>
      </w:r>
    </w:p>
    <w:p>
      <w:pPr>
        <w:spacing w:after="0" w:line="238" w:lineRule="exact"/>
        <w:rPr>
          <w:rFonts w:ascii="Arial" w:cs="Arial" w:eastAsia="Arial" w:hAnsi="Arial"/>
          <w:sz w:val="18"/>
          <w:szCs w:val="18"/>
          <w:color w:val="auto"/>
        </w:rPr>
      </w:pPr>
    </w:p>
    <w:p>
      <w:pPr>
        <w:ind w:left="220" w:hanging="212"/>
        <w:spacing w:after="0"/>
        <w:tabs>
          <w:tab w:leader="none" w:pos="2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approve the 2017 Omnibus Incentive Plan;</w:t>
      </w:r>
    </w:p>
    <w:p>
      <w:pPr>
        <w:spacing w:after="0" w:line="238" w:lineRule="exact"/>
        <w:rPr>
          <w:rFonts w:ascii="Arial" w:cs="Arial" w:eastAsia="Arial" w:hAnsi="Arial"/>
          <w:sz w:val="18"/>
          <w:szCs w:val="18"/>
          <w:color w:val="auto"/>
        </w:rPr>
      </w:pPr>
    </w:p>
    <w:p>
      <w:pPr>
        <w:ind w:left="220" w:right="940" w:hanging="212"/>
        <w:spacing w:after="0" w:line="246" w:lineRule="auto"/>
        <w:tabs>
          <w:tab w:leader="none" w:pos="2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ratify the appointment of Deloitte &amp; Touche LLP as our independent registered public accounting firm for the fiscal year ending December 29, 2017; and</w:t>
      </w:r>
    </w:p>
    <w:p>
      <w:pPr>
        <w:spacing w:after="0" w:line="223" w:lineRule="exact"/>
        <w:rPr>
          <w:rFonts w:ascii="Arial" w:cs="Arial" w:eastAsia="Arial" w:hAnsi="Arial"/>
          <w:sz w:val="18"/>
          <w:szCs w:val="18"/>
          <w:color w:val="auto"/>
        </w:rPr>
      </w:pPr>
    </w:p>
    <w:p>
      <w:pPr>
        <w:ind w:left="220" w:right="440" w:hanging="212"/>
        <w:spacing w:after="0" w:line="246" w:lineRule="auto"/>
        <w:tabs>
          <w:tab w:leader="none" w:pos="2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transact such other business as may properly come before the meeting or any adjournments, postponements or continuations of the meeting.</w:t>
      </w:r>
    </w:p>
    <w:p>
      <w:pPr>
        <w:spacing w:after="0" w:line="174" w:lineRule="exact"/>
        <w:rPr>
          <w:rFonts w:ascii="Arial" w:cs="Arial" w:eastAsia="Arial" w:hAnsi="Arial"/>
          <w:sz w:val="18"/>
          <w:szCs w:val="18"/>
          <w:color w:val="auto"/>
        </w:rPr>
      </w:pPr>
    </w:p>
    <w:p>
      <w:pPr>
        <w:ind w:left="240"/>
        <w:spacing w:after="0"/>
        <w:rPr>
          <w:rFonts w:ascii="Arial" w:cs="Arial" w:eastAsia="Arial" w:hAnsi="Arial"/>
          <w:sz w:val="18"/>
          <w:szCs w:val="18"/>
          <w:color w:val="auto"/>
        </w:rPr>
      </w:pPr>
      <w:r>
        <w:rPr>
          <w:rFonts w:ascii="Arial" w:cs="Arial" w:eastAsia="Arial" w:hAnsi="Arial"/>
          <w:sz w:val="18"/>
          <w:szCs w:val="18"/>
          <w:b w:val="1"/>
          <w:bCs w:val="1"/>
          <w:color w:val="483E65"/>
        </w:rPr>
        <w:t>Record Date: March 13,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97790</wp:posOffset>
            </wp:positionV>
            <wp:extent cx="710057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00570" cy="8890"/>
                    </a:xfrm>
                    <a:prstGeom prst="rect">
                      <a:avLst/>
                    </a:prstGeom>
                    <a:noFill/>
                  </pic:spPr>
                </pic:pic>
              </a:graphicData>
            </a:graphic>
          </wp:anchor>
        </w:drawing>
      </w:r>
    </w:p>
    <w:p>
      <w:pPr>
        <w:spacing w:after="0" w:line="394" w:lineRule="exact"/>
        <w:rPr>
          <w:sz w:val="20"/>
          <w:szCs w:val="20"/>
          <w:color w:val="auto"/>
        </w:rPr>
      </w:pPr>
    </w:p>
    <w:p>
      <w:pPr>
        <w:ind w:left="1880" w:right="160" w:hanging="1569"/>
        <w:spacing w:after="0" w:line="246" w:lineRule="auto"/>
        <w:tabs>
          <w:tab w:leader="none" w:pos="1860" w:val="left"/>
        </w:tabs>
        <w:rPr>
          <w:sz w:val="20"/>
          <w:szCs w:val="20"/>
          <w:color w:val="auto"/>
        </w:rPr>
      </w:pPr>
      <w:r>
        <w:rPr>
          <w:rFonts w:ascii="Arial" w:cs="Arial" w:eastAsia="Arial" w:hAnsi="Arial"/>
          <w:sz w:val="18"/>
          <w:szCs w:val="18"/>
          <w:b w:val="1"/>
          <w:bCs w:val="1"/>
          <w:color w:val="483E65"/>
        </w:rPr>
        <w:t>Audio Webcast:</w:t>
      </w:r>
      <w:r>
        <w:rPr>
          <w:sz w:val="20"/>
          <w:szCs w:val="20"/>
          <w:color w:val="auto"/>
        </w:rPr>
        <w:tab/>
      </w:r>
      <w:r>
        <w:rPr>
          <w:rFonts w:ascii="Arial" w:cs="Arial" w:eastAsia="Arial" w:hAnsi="Arial"/>
          <w:sz w:val="18"/>
          <w:szCs w:val="18"/>
          <w:color w:val="auto"/>
        </w:rPr>
        <w:t>The meeting will also be audio webcast simultaneously to the public through a link on the Investor Relations section of our website at www.leidos.com.</w:t>
      </w:r>
    </w:p>
    <w:p>
      <w:pPr>
        <w:spacing w:after="0" w:line="197" w:lineRule="exact"/>
        <w:rPr>
          <w:sz w:val="20"/>
          <w:szCs w:val="20"/>
          <w:color w:val="auto"/>
        </w:rPr>
      </w:pPr>
    </w:p>
    <w:p>
      <w:pPr>
        <w:jc w:val="center"/>
        <w:ind w:right="-19"/>
        <w:spacing w:after="0"/>
        <w:tabs>
          <w:tab w:leader="none" w:pos="260" w:val="left"/>
        </w:tabs>
        <w:rPr>
          <w:sz w:val="20"/>
          <w:szCs w:val="20"/>
          <w:color w:val="auto"/>
        </w:rPr>
      </w:pPr>
      <w:r>
        <w:rPr>
          <w:rFonts w:ascii="Arial" w:cs="Arial" w:eastAsia="Arial" w:hAnsi="Arial"/>
          <w:sz w:val="18"/>
          <w:szCs w:val="18"/>
          <w:b w:val="1"/>
          <w:bCs w:val="1"/>
          <w:color w:val="483E65"/>
        </w:rPr>
        <w:t>Annual Report:</w:t>
      </w:r>
      <w:r>
        <w:rPr>
          <w:sz w:val="20"/>
          <w:szCs w:val="20"/>
          <w:color w:val="auto"/>
        </w:rPr>
        <w:tab/>
      </w:r>
      <w:r>
        <w:rPr>
          <w:rFonts w:ascii="Arial" w:cs="Arial" w:eastAsia="Arial" w:hAnsi="Arial"/>
          <w:sz w:val="17"/>
          <w:szCs w:val="17"/>
          <w:color w:val="auto"/>
        </w:rPr>
        <w:t>The Leidos 2016 Annual Report on Form 10-K and the Leidos Proxy Statement are available at www.proxyvote.com.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97790</wp:posOffset>
            </wp:positionV>
            <wp:extent cx="710057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00570" cy="8890"/>
                    </a:xfrm>
                    <a:prstGeom prst="rect">
                      <a:avLst/>
                    </a:prstGeom>
                    <a:noFill/>
                  </pic:spPr>
                </pic:pic>
              </a:graphicData>
            </a:graphic>
          </wp:anchor>
        </w:drawing>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YOUR VOTE IS IMPORTANT!</w:t>
      </w:r>
    </w:p>
    <w:p>
      <w:pPr>
        <w:spacing w:after="0" w:line="212" w:lineRule="exact"/>
        <w:rPr>
          <w:sz w:val="20"/>
          <w:szCs w:val="20"/>
          <w:color w:val="auto"/>
        </w:rPr>
      </w:pPr>
    </w:p>
    <w:p>
      <w:pPr>
        <w:ind w:left="2600"/>
        <w:spacing w:after="0"/>
        <w:rPr>
          <w:sz w:val="20"/>
          <w:szCs w:val="20"/>
          <w:color w:val="auto"/>
        </w:rPr>
      </w:pPr>
      <w:r>
        <w:rPr>
          <w:rFonts w:ascii="Arial" w:cs="Arial" w:eastAsia="Arial" w:hAnsi="Arial"/>
          <w:sz w:val="18"/>
          <w:szCs w:val="18"/>
          <w:b w:val="1"/>
          <w:bCs w:val="1"/>
          <w:color w:val="auto"/>
        </w:rPr>
        <w:t>REVIEW YOUR PROXY STATEMENT AND VOTE IN ONE OF FOUR WAYS:</w:t>
      </w:r>
    </w:p>
    <w:p>
      <w:pPr>
        <w:spacing w:after="0" w:line="239" w:lineRule="exact"/>
        <w:rPr>
          <w:sz w:val="20"/>
          <w:szCs w:val="20"/>
          <w:color w:val="auto"/>
        </w:rPr>
      </w:pPr>
    </w:p>
    <w:p>
      <w:pPr>
        <w:ind w:left="1220"/>
        <w:spacing w:after="0"/>
        <w:tabs>
          <w:tab w:leader="none" w:pos="6960" w:val="left"/>
        </w:tabs>
        <w:rPr>
          <w:sz w:val="20"/>
          <w:szCs w:val="20"/>
          <w:color w:val="auto"/>
        </w:rPr>
      </w:pPr>
      <w:r>
        <w:rPr>
          <w:rFonts w:ascii="Arial" w:cs="Arial" w:eastAsia="Arial" w:hAnsi="Arial"/>
          <w:sz w:val="18"/>
          <w:szCs w:val="18"/>
          <w:b w:val="1"/>
          <w:bCs w:val="1"/>
          <w:color w:val="483E65"/>
        </w:rPr>
        <w:t>VIA THE INTERNET</w:t>
      </w:r>
      <w:r>
        <w:rPr>
          <w:sz w:val="20"/>
          <w:szCs w:val="20"/>
          <w:color w:val="auto"/>
        </w:rPr>
        <w:tab/>
      </w:r>
      <w:r>
        <w:rPr>
          <w:rFonts w:ascii="Arial" w:cs="Arial" w:eastAsia="Arial" w:hAnsi="Arial"/>
          <w:sz w:val="17"/>
          <w:szCs w:val="17"/>
          <w:b w:val="1"/>
          <w:bCs w:val="1"/>
          <w:color w:val="483E65"/>
        </w:rPr>
        <w:t>BY 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-116205</wp:posOffset>
            </wp:positionV>
            <wp:extent cx="308610" cy="2228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08610" cy="222885"/>
                    </a:xfrm>
                    <a:prstGeom prst="rect">
                      <a:avLst/>
                    </a:prstGeom>
                    <a:noFill/>
                  </pic:spPr>
                </pic:pic>
              </a:graphicData>
            </a:graphic>
          </wp:anchor>
        </w:drawing>
        <w:drawing>
          <wp:anchor simplePos="0" relativeHeight="251657728" behindDoc="1" locked="0" layoutInCell="0" allowOverlap="1">
            <wp:simplePos x="0" y="0"/>
            <wp:positionH relativeFrom="column">
              <wp:posOffset>3667125</wp:posOffset>
            </wp:positionH>
            <wp:positionV relativeFrom="paragraph">
              <wp:posOffset>-116205</wp:posOffset>
            </wp:positionV>
            <wp:extent cx="300355" cy="2057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00355" cy="205740"/>
                    </a:xfrm>
                    <a:prstGeom prst="rect">
                      <a:avLst/>
                    </a:prstGeom>
                    <a:noFill/>
                  </pic:spPr>
                </pic:pic>
              </a:graphicData>
            </a:graphic>
          </wp:anchor>
        </w:drawing>
      </w:r>
    </w:p>
    <w:p>
      <w:pPr>
        <w:ind w:left="1220"/>
        <w:spacing w:after="0"/>
        <w:tabs>
          <w:tab w:leader="none" w:pos="6960" w:val="left"/>
        </w:tabs>
        <w:rPr>
          <w:sz w:val="20"/>
          <w:szCs w:val="20"/>
          <w:color w:val="auto"/>
        </w:rPr>
      </w:pPr>
      <w:r>
        <w:rPr>
          <w:rFonts w:ascii="Arial" w:cs="Arial" w:eastAsia="Arial" w:hAnsi="Arial"/>
          <w:sz w:val="18"/>
          <w:szCs w:val="18"/>
          <w:color w:val="auto"/>
        </w:rPr>
        <w:t>Go to www.proxyvote.com or scan the QR code on</w:t>
      </w:r>
      <w:r>
        <w:rPr>
          <w:sz w:val="20"/>
          <w:szCs w:val="20"/>
          <w:color w:val="auto"/>
        </w:rPr>
        <w:tab/>
      </w:r>
      <w:r>
        <w:rPr>
          <w:rFonts w:ascii="Arial" w:cs="Arial" w:eastAsia="Arial" w:hAnsi="Arial"/>
          <w:sz w:val="17"/>
          <w:szCs w:val="17"/>
          <w:color w:val="auto"/>
        </w:rPr>
        <w:t>Sign, date and return your proxy card in the enclosed</w:t>
      </w:r>
    </w:p>
    <w:p>
      <w:pPr>
        <w:ind w:left="1220"/>
        <w:spacing w:after="0"/>
        <w:tabs>
          <w:tab w:leader="none" w:pos="6960" w:val="left"/>
        </w:tabs>
        <w:rPr>
          <w:sz w:val="20"/>
          <w:szCs w:val="20"/>
          <w:color w:val="auto"/>
        </w:rPr>
      </w:pPr>
      <w:r>
        <w:rPr>
          <w:rFonts w:ascii="Arial" w:cs="Arial" w:eastAsia="Arial" w:hAnsi="Arial"/>
          <w:sz w:val="18"/>
          <w:szCs w:val="18"/>
          <w:color w:val="auto"/>
        </w:rPr>
        <w:t>your proxy and voting instruction card with a smart</w:t>
      </w:r>
      <w:r>
        <w:rPr>
          <w:sz w:val="20"/>
          <w:szCs w:val="20"/>
          <w:color w:val="auto"/>
        </w:rPr>
        <w:tab/>
      </w:r>
      <w:r>
        <w:rPr>
          <w:rFonts w:ascii="Arial" w:cs="Arial" w:eastAsia="Arial" w:hAnsi="Arial"/>
          <w:sz w:val="17"/>
          <w:szCs w:val="17"/>
          <w:color w:val="auto"/>
        </w:rPr>
        <w:t>envelope.</w:t>
      </w:r>
    </w:p>
    <w:p>
      <w:pPr>
        <w:spacing w:after="0" w:line="1"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phone.</w:t>
      </w:r>
    </w:p>
    <w:p>
      <w:pPr>
        <w:sectPr>
          <w:pgSz w:w="11900" w:h="16838" w:orient="portrait"/>
          <w:cols w:equalWidth="0" w:num="1">
            <w:col w:w="11420"/>
          </w:cols>
          <w:pgMar w:left="240" w:top="459" w:right="239" w:bottom="1440" w:gutter="0" w:footer="0" w:header="0"/>
        </w:sectPr>
      </w:pPr>
    </w:p>
    <w:p>
      <w:pPr>
        <w:spacing w:after="0" w:line="352" w:lineRule="exact"/>
        <w:rPr>
          <w:sz w:val="20"/>
          <w:szCs w:val="20"/>
          <w:color w:val="auto"/>
        </w:rPr>
      </w:pPr>
    </w:p>
    <w:p>
      <w:pPr>
        <w:ind w:left="1220"/>
        <w:spacing w:after="0"/>
        <w:rPr>
          <w:sz w:val="20"/>
          <w:szCs w:val="20"/>
          <w:color w:val="auto"/>
        </w:rPr>
      </w:pPr>
      <w:r>
        <w:rPr>
          <w:rFonts w:ascii="Arial" w:cs="Arial" w:eastAsia="Arial" w:hAnsi="Arial"/>
          <w:sz w:val="18"/>
          <w:szCs w:val="18"/>
          <w:b w:val="1"/>
          <w:bCs w:val="1"/>
          <w:color w:val="483E65"/>
        </w:rPr>
        <w:t>BY TELEPHONE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-81915</wp:posOffset>
            </wp:positionV>
            <wp:extent cx="197485" cy="2489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97485" cy="248920"/>
                    </a:xfrm>
                    <a:prstGeom prst="rect">
                      <a:avLst/>
                    </a:prstGeom>
                    <a:noFill/>
                  </pic:spPr>
                </pic:pic>
              </a:graphicData>
            </a:graphic>
          </wp:anchor>
        </w:drawing>
      </w:r>
    </w:p>
    <w:p>
      <w:pPr>
        <w:ind w:left="1220"/>
        <w:spacing w:after="0"/>
        <w:rPr>
          <w:sz w:val="20"/>
          <w:szCs w:val="20"/>
          <w:color w:val="auto"/>
        </w:rPr>
      </w:pPr>
      <w:r>
        <w:rPr>
          <w:rFonts w:ascii="Arial" w:cs="Arial" w:eastAsia="Arial" w:hAnsi="Arial"/>
          <w:sz w:val="18"/>
          <w:szCs w:val="18"/>
          <w:color w:val="auto"/>
        </w:rPr>
        <w:t>Call 1-800-690-6903.</w:t>
      </w:r>
    </w:p>
    <w:p>
      <w:pPr>
        <w:spacing w:after="0" w:line="20" w:lineRule="exact"/>
        <w:rPr>
          <w:sz w:val="20"/>
          <w:szCs w:val="20"/>
          <w:color w:val="auto"/>
        </w:rPr>
      </w:pPr>
      <w:r>
        <w:rPr>
          <w:sz w:val="20"/>
          <w:szCs w:val="20"/>
          <w:color w:val="auto"/>
        </w:rPr>
        <w:br w:type="column"/>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color w:val="483E65"/>
        </w:rPr>
        <w:t>IN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-661670</wp:posOffset>
            </wp:positionH>
            <wp:positionV relativeFrom="paragraph">
              <wp:posOffset>-116205</wp:posOffset>
            </wp:positionV>
            <wp:extent cx="197485" cy="2832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97485" cy="283210"/>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rPr>
        <w:t>Attend the Annual Meeting in Gaithersburg, MD.</w:t>
      </w:r>
    </w:p>
    <w:p>
      <w:pPr>
        <w:spacing w:after="0" w:line="211" w:lineRule="exact"/>
        <w:rPr>
          <w:sz w:val="20"/>
          <w:szCs w:val="20"/>
          <w:color w:val="auto"/>
        </w:rPr>
      </w:pPr>
    </w:p>
    <w:p>
      <w:pPr>
        <w:sectPr>
          <w:pgSz w:w="11900" w:h="16838" w:orient="portrait"/>
          <w:cols w:equalWidth="0" w:num="2">
            <w:col w:w="6260" w:space="720"/>
            <w:col w:w="4440"/>
          </w:cols>
          <w:pgMar w:left="240" w:top="459" w:right="239" w:bottom="1440" w:gutter="0" w:footer="0" w:header="0"/>
          <w:type w:val="continuous"/>
        </w:sectPr>
      </w:pPr>
    </w:p>
    <w:p>
      <w:pPr>
        <w:spacing w:after="0" w:line="79" w:lineRule="exact"/>
        <w:rPr>
          <w:sz w:val="20"/>
          <w:szCs w:val="20"/>
          <w:color w:val="auto"/>
        </w:rPr>
      </w:pPr>
    </w:p>
    <w:p>
      <w:pPr>
        <w:ind w:left="7520"/>
        <w:spacing w:after="0"/>
        <w:rPr>
          <w:sz w:val="20"/>
          <w:szCs w:val="20"/>
          <w:color w:val="auto"/>
        </w:rPr>
      </w:pPr>
      <w:r>
        <w:rPr>
          <w:rFonts w:ascii="Arial" w:cs="Arial" w:eastAsia="Arial" w:hAnsi="Arial"/>
          <w:sz w:val="17"/>
          <w:szCs w:val="17"/>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4773295</wp:posOffset>
            </wp:positionH>
            <wp:positionV relativeFrom="paragraph">
              <wp:posOffset>142240</wp:posOffset>
            </wp:positionV>
            <wp:extent cx="1646555" cy="6858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646555" cy="68580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7520"/>
        <w:spacing w:after="0"/>
        <w:rPr>
          <w:sz w:val="20"/>
          <w:szCs w:val="20"/>
          <w:color w:val="auto"/>
        </w:rPr>
      </w:pPr>
      <w:r>
        <w:rPr>
          <w:rFonts w:ascii="Arial" w:cs="Arial" w:eastAsia="Arial" w:hAnsi="Arial"/>
          <w:sz w:val="18"/>
          <w:szCs w:val="18"/>
          <w:color w:val="auto"/>
        </w:rPr>
        <w:t>Daniel J. Antal</w:t>
      </w:r>
    </w:p>
    <w:p>
      <w:pPr>
        <w:ind w:left="7520"/>
        <w:spacing w:after="0"/>
        <w:rPr>
          <w:sz w:val="20"/>
          <w:szCs w:val="20"/>
          <w:color w:val="auto"/>
        </w:rPr>
      </w:pPr>
      <w:r>
        <w:rPr>
          <w:rFonts w:ascii="Arial" w:cs="Arial" w:eastAsia="Arial" w:hAnsi="Arial"/>
          <w:sz w:val="17"/>
          <w:szCs w:val="17"/>
          <w:color w:val="auto"/>
        </w:rPr>
        <w:t>Corporate Secretary</w:t>
      </w:r>
    </w:p>
    <w:p>
      <w:pPr>
        <w:spacing w:after="0" w:line="7" w:lineRule="exact"/>
        <w:rPr>
          <w:sz w:val="20"/>
          <w:szCs w:val="20"/>
          <w:color w:val="auto"/>
        </w:rPr>
      </w:pPr>
    </w:p>
    <w:p>
      <w:pPr>
        <w:ind w:left="7520"/>
        <w:spacing w:after="0"/>
        <w:rPr>
          <w:sz w:val="20"/>
          <w:szCs w:val="20"/>
          <w:color w:val="auto"/>
        </w:rPr>
      </w:pPr>
      <w:r>
        <w:rPr>
          <w:rFonts w:ascii="Arial" w:cs="Arial" w:eastAsia="Arial" w:hAnsi="Arial"/>
          <w:sz w:val="18"/>
          <w:szCs w:val="18"/>
          <w:color w:val="auto"/>
        </w:rPr>
        <w:t>March 31, 2017</w:t>
      </w:r>
    </w:p>
    <w:p>
      <w:pPr>
        <w:sectPr>
          <w:pgSz w:w="11900" w:h="16838" w:orient="portrait"/>
          <w:cols w:equalWidth="0" w:num="1">
            <w:col w:w="11420"/>
          </w:cols>
          <w:pgMar w:left="240" w:top="459" w:right="239" w:bottom="1440" w:gutter="0" w:footer="0" w:header="0"/>
          <w:type w:val="continuous"/>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207645</wp:posOffset>
            </wp:positionV>
            <wp:extent cx="7276465" cy="71475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76465" cy="7147560"/>
                    </a:xfrm>
                    <a:prstGeom prst="rect">
                      <a:avLst/>
                    </a:prstGeom>
                    <a:noFill/>
                  </pic:spPr>
                </pic:pic>
              </a:graphicData>
            </a:graphic>
          </wp:anchor>
        </w:drawing>
      </w:r>
    </w:p>
    <w:p>
      <w:pPr>
        <w:spacing w:after="0" w:line="200" w:lineRule="exact"/>
        <w:rPr>
          <w:sz w:val="20"/>
          <w:szCs w:val="20"/>
          <w:color w:val="auto"/>
        </w:rPr>
      </w:pPr>
    </w:p>
    <w:p>
      <w:pPr>
        <w:spacing w:after="0" w:line="313" w:lineRule="exact"/>
        <w:rPr>
          <w:sz w:val="20"/>
          <w:szCs w:val="20"/>
          <w:color w:val="auto"/>
        </w:rPr>
      </w:pPr>
    </w:p>
    <w:p>
      <w:pPr>
        <w:ind w:left="200"/>
        <w:spacing w:after="0"/>
        <w:rPr>
          <w:sz w:val="20"/>
          <w:szCs w:val="20"/>
          <w:color w:val="auto"/>
        </w:rPr>
      </w:pPr>
      <w:r>
        <w:rPr>
          <w:rFonts w:ascii="Arial" w:cs="Arial" w:eastAsia="Arial" w:hAnsi="Arial"/>
          <w:sz w:val="40"/>
          <w:szCs w:val="40"/>
          <w:color w:val="483E65"/>
        </w:rPr>
        <w:t>Summary Information</w:t>
      </w:r>
    </w:p>
    <w:p>
      <w:pPr>
        <w:spacing w:after="0" w:line="249" w:lineRule="exact"/>
        <w:rPr>
          <w:sz w:val="20"/>
          <w:szCs w:val="20"/>
          <w:color w:val="auto"/>
        </w:rPr>
      </w:pPr>
    </w:p>
    <w:p>
      <w:pPr>
        <w:ind w:left="200" w:right="620"/>
        <w:spacing w:after="0" w:line="246" w:lineRule="auto"/>
        <w:rPr>
          <w:sz w:val="20"/>
          <w:szCs w:val="20"/>
          <w:color w:val="auto"/>
        </w:rPr>
      </w:pPr>
      <w:r>
        <w:rPr>
          <w:rFonts w:ascii="Arial" w:cs="Arial" w:eastAsia="Arial" w:hAnsi="Arial"/>
          <w:sz w:val="18"/>
          <w:szCs w:val="18"/>
          <w:color w:val="auto"/>
        </w:rPr>
        <w:t>This summary highlights information contained elsewhere in this proxy statement. It does not contain all information that you should consider, and you should read the entire proxy statement carefully before voting.</w:t>
      </w:r>
    </w:p>
    <w:p>
      <w:pPr>
        <w:spacing w:after="0" w:line="175" w:lineRule="exact"/>
        <w:rPr>
          <w:sz w:val="20"/>
          <w:szCs w:val="20"/>
          <w:color w:val="auto"/>
        </w:rPr>
      </w:pPr>
    </w:p>
    <w:tbl>
      <w:tblPr>
        <w:tblLayout w:type="fixed"/>
        <w:tblInd w:w="200" w:type="dxa"/>
        <w:tblCellMar>
          <w:top w:w="0" w:type="dxa"/>
          <w:left w:w="0" w:type="dxa"/>
          <w:bottom w:w="0" w:type="dxa"/>
          <w:right w:w="0" w:type="dxa"/>
        </w:tblCellMar>
      </w:tblPr>
      <w:tr>
        <w:trPr>
          <w:trHeight w:val="239"/>
        </w:trPr>
        <w:tc>
          <w:tcPr>
            <w:tcW w:w="2940" w:type="dxa"/>
            <w:vAlign w:val="bottom"/>
          </w:tcPr>
          <w:p>
            <w:pPr>
              <w:spacing w:after="0"/>
              <w:rPr>
                <w:sz w:val="20"/>
                <w:szCs w:val="20"/>
                <w:color w:val="auto"/>
              </w:rPr>
            </w:pPr>
            <w:r>
              <w:rPr>
                <w:rFonts w:ascii="Arial" w:cs="Arial" w:eastAsia="Arial" w:hAnsi="Arial"/>
                <w:sz w:val="18"/>
                <w:szCs w:val="18"/>
                <w:b w:val="1"/>
                <w:bCs w:val="1"/>
                <w:color w:val="483E65"/>
              </w:rPr>
              <w:t>Annual Meeting of Stockholders</w:t>
            </w:r>
          </w:p>
        </w:tc>
        <w:tc>
          <w:tcPr>
            <w:tcW w:w="6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7"/>
        </w:trPr>
        <w:tc>
          <w:tcPr>
            <w:tcW w:w="2940" w:type="dxa"/>
            <w:vAlign w:val="bottom"/>
          </w:tcPr>
          <w:p>
            <w:pPr>
              <w:ind w:left="220"/>
              <w:spacing w:after="0"/>
              <w:rPr>
                <w:sz w:val="20"/>
                <w:szCs w:val="20"/>
                <w:color w:val="auto"/>
              </w:rPr>
            </w:pPr>
            <w:r>
              <w:rPr>
                <w:rFonts w:ascii="Arial" w:cs="Arial" w:eastAsia="Arial" w:hAnsi="Arial"/>
                <w:sz w:val="18"/>
                <w:szCs w:val="18"/>
                <w:b w:val="1"/>
                <w:bCs w:val="1"/>
                <w:color w:val="auto"/>
              </w:rPr>
              <w:t>Time and Date:</w:t>
            </w:r>
          </w:p>
        </w:tc>
        <w:tc>
          <w:tcPr>
            <w:tcW w:w="6020" w:type="dxa"/>
            <w:vAlign w:val="bottom"/>
          </w:tcPr>
          <w:p>
            <w:pPr>
              <w:ind w:left="180"/>
              <w:spacing w:after="0"/>
              <w:rPr>
                <w:sz w:val="20"/>
                <w:szCs w:val="20"/>
                <w:color w:val="auto"/>
              </w:rPr>
            </w:pPr>
            <w:r>
              <w:rPr>
                <w:rFonts w:ascii="Arial" w:cs="Arial" w:eastAsia="Arial" w:hAnsi="Arial"/>
                <w:sz w:val="18"/>
                <w:szCs w:val="18"/>
                <w:color w:val="auto"/>
              </w:rPr>
              <w:t>9:00 a.m. (ET) on May 12, 2017</w:t>
            </w:r>
          </w:p>
        </w:tc>
        <w:tc>
          <w:tcPr>
            <w:tcW w:w="0" w:type="dxa"/>
            <w:vAlign w:val="bottom"/>
          </w:tcPr>
          <w:p>
            <w:pPr>
              <w:spacing w:after="0"/>
              <w:rPr>
                <w:sz w:val="1"/>
                <w:szCs w:val="1"/>
                <w:color w:val="auto"/>
              </w:rPr>
            </w:pPr>
          </w:p>
        </w:tc>
      </w:tr>
      <w:tr>
        <w:trPr>
          <w:trHeight w:val="203"/>
        </w:trPr>
        <w:tc>
          <w:tcPr>
            <w:tcW w:w="2940" w:type="dxa"/>
            <w:vAlign w:val="bottom"/>
            <w:vMerge w:val="restart"/>
          </w:tcPr>
          <w:p>
            <w:pPr>
              <w:ind w:left="220"/>
              <w:spacing w:after="0"/>
              <w:rPr>
                <w:sz w:val="20"/>
                <w:szCs w:val="20"/>
                <w:color w:val="auto"/>
              </w:rPr>
            </w:pPr>
            <w:r>
              <w:rPr>
                <w:rFonts w:ascii="Arial" w:cs="Arial" w:eastAsia="Arial" w:hAnsi="Arial"/>
                <w:sz w:val="18"/>
                <w:szCs w:val="18"/>
                <w:b w:val="1"/>
                <w:bCs w:val="1"/>
                <w:color w:val="auto"/>
              </w:rPr>
              <w:t>Place:</w:t>
            </w:r>
          </w:p>
        </w:tc>
        <w:tc>
          <w:tcPr>
            <w:tcW w:w="6020" w:type="dxa"/>
            <w:vAlign w:val="bottom"/>
          </w:tcPr>
          <w:p>
            <w:pPr>
              <w:ind w:left="180"/>
              <w:spacing w:after="0" w:line="202" w:lineRule="exact"/>
              <w:rPr>
                <w:sz w:val="20"/>
                <w:szCs w:val="20"/>
                <w:color w:val="auto"/>
              </w:rPr>
            </w:pPr>
            <w:r>
              <w:rPr>
                <w:rFonts w:ascii="Arial" w:cs="Arial" w:eastAsia="Arial" w:hAnsi="Arial"/>
                <w:sz w:val="18"/>
                <w:szCs w:val="18"/>
                <w:color w:val="auto"/>
              </w:rPr>
              <w:t>Leidos Holdings, Inc.</w:t>
            </w:r>
          </w:p>
        </w:tc>
        <w:tc>
          <w:tcPr>
            <w:tcW w:w="0" w:type="dxa"/>
            <w:vAlign w:val="bottom"/>
          </w:tcPr>
          <w:p>
            <w:pPr>
              <w:spacing w:after="0"/>
              <w:rPr>
                <w:sz w:val="1"/>
                <w:szCs w:val="1"/>
                <w:color w:val="auto"/>
              </w:rPr>
            </w:pPr>
          </w:p>
        </w:tc>
      </w:tr>
      <w:tr>
        <w:trPr>
          <w:trHeight w:val="203"/>
        </w:trPr>
        <w:tc>
          <w:tcPr>
            <w:tcW w:w="2940" w:type="dxa"/>
            <w:vAlign w:val="bottom"/>
            <w:vMerge w:val="continue"/>
          </w:tcPr>
          <w:p>
            <w:pPr>
              <w:spacing w:after="0"/>
              <w:rPr>
                <w:sz w:val="17"/>
                <w:szCs w:val="17"/>
                <w:color w:val="auto"/>
              </w:rPr>
            </w:pPr>
          </w:p>
        </w:tc>
        <w:tc>
          <w:tcPr>
            <w:tcW w:w="6020" w:type="dxa"/>
            <w:vAlign w:val="bottom"/>
          </w:tcPr>
          <w:p>
            <w:pPr>
              <w:ind w:left="180"/>
              <w:spacing w:after="0" w:line="202" w:lineRule="exact"/>
              <w:rPr>
                <w:sz w:val="20"/>
                <w:szCs w:val="20"/>
                <w:color w:val="auto"/>
              </w:rPr>
            </w:pPr>
            <w:r>
              <w:rPr>
                <w:rFonts w:ascii="Arial" w:cs="Arial" w:eastAsia="Arial" w:hAnsi="Arial"/>
                <w:sz w:val="18"/>
                <w:szCs w:val="18"/>
                <w:color w:val="auto"/>
              </w:rPr>
              <w:t>700 N. Frederick Avenue</w:t>
            </w:r>
          </w:p>
        </w:tc>
        <w:tc>
          <w:tcPr>
            <w:tcW w:w="0" w:type="dxa"/>
            <w:vAlign w:val="bottom"/>
          </w:tcPr>
          <w:p>
            <w:pPr>
              <w:spacing w:after="0"/>
              <w:rPr>
                <w:sz w:val="1"/>
                <w:szCs w:val="1"/>
                <w:color w:val="auto"/>
              </w:rPr>
            </w:pPr>
          </w:p>
        </w:tc>
      </w:tr>
      <w:tr>
        <w:trPr>
          <w:trHeight w:val="216"/>
        </w:trPr>
        <w:tc>
          <w:tcPr>
            <w:tcW w:w="2940" w:type="dxa"/>
            <w:vAlign w:val="bottom"/>
            <w:vMerge w:val="restart"/>
          </w:tcPr>
          <w:p>
            <w:pPr>
              <w:ind w:left="220"/>
              <w:spacing w:after="0"/>
              <w:rPr>
                <w:sz w:val="20"/>
                <w:szCs w:val="20"/>
                <w:color w:val="auto"/>
              </w:rPr>
            </w:pPr>
            <w:r>
              <w:rPr>
                <w:rFonts w:ascii="Arial" w:cs="Arial" w:eastAsia="Arial" w:hAnsi="Arial"/>
                <w:sz w:val="18"/>
                <w:szCs w:val="18"/>
                <w:b w:val="1"/>
                <w:bCs w:val="1"/>
                <w:color w:val="auto"/>
              </w:rPr>
              <w:t>Record Date:</w:t>
            </w:r>
          </w:p>
        </w:tc>
        <w:tc>
          <w:tcPr>
            <w:tcW w:w="6020" w:type="dxa"/>
            <w:vAlign w:val="bottom"/>
          </w:tcPr>
          <w:p>
            <w:pPr>
              <w:ind w:left="180"/>
              <w:spacing w:after="0"/>
              <w:rPr>
                <w:sz w:val="20"/>
                <w:szCs w:val="20"/>
                <w:color w:val="auto"/>
              </w:rPr>
            </w:pPr>
            <w:r>
              <w:rPr>
                <w:rFonts w:ascii="Arial" w:cs="Arial" w:eastAsia="Arial" w:hAnsi="Arial"/>
                <w:sz w:val="18"/>
                <w:szCs w:val="18"/>
                <w:color w:val="auto"/>
              </w:rPr>
              <w:t>Gaithersburg, Maryland 20879</w:t>
            </w:r>
          </w:p>
        </w:tc>
        <w:tc>
          <w:tcPr>
            <w:tcW w:w="0" w:type="dxa"/>
            <w:vAlign w:val="bottom"/>
          </w:tcPr>
          <w:p>
            <w:pPr>
              <w:spacing w:after="0"/>
              <w:rPr>
                <w:sz w:val="1"/>
                <w:szCs w:val="1"/>
                <w:color w:val="auto"/>
              </w:rPr>
            </w:pPr>
          </w:p>
        </w:tc>
      </w:tr>
      <w:tr>
        <w:trPr>
          <w:trHeight w:val="181"/>
        </w:trPr>
        <w:tc>
          <w:tcPr>
            <w:tcW w:w="2940" w:type="dxa"/>
            <w:vAlign w:val="bottom"/>
            <w:vMerge w:val="continue"/>
          </w:tcPr>
          <w:p>
            <w:pPr>
              <w:spacing w:after="0"/>
              <w:rPr>
                <w:sz w:val="15"/>
                <w:szCs w:val="15"/>
                <w:color w:val="auto"/>
              </w:rPr>
            </w:pPr>
          </w:p>
        </w:tc>
        <w:tc>
          <w:tcPr>
            <w:tcW w:w="6020" w:type="dxa"/>
            <w:vAlign w:val="bottom"/>
          </w:tcPr>
          <w:p>
            <w:pPr>
              <w:ind w:left="180"/>
              <w:spacing w:after="0" w:line="181" w:lineRule="exact"/>
              <w:rPr>
                <w:sz w:val="20"/>
                <w:szCs w:val="20"/>
                <w:color w:val="auto"/>
              </w:rPr>
            </w:pPr>
            <w:r>
              <w:rPr>
                <w:rFonts w:ascii="Arial" w:cs="Arial" w:eastAsia="Arial" w:hAnsi="Arial"/>
                <w:sz w:val="18"/>
                <w:szCs w:val="18"/>
                <w:color w:val="auto"/>
              </w:rPr>
              <w:t>March 13, 2017</w:t>
            </w:r>
          </w:p>
        </w:tc>
        <w:tc>
          <w:tcPr>
            <w:tcW w:w="0" w:type="dxa"/>
            <w:vAlign w:val="bottom"/>
          </w:tcPr>
          <w:p>
            <w:pPr>
              <w:spacing w:after="0"/>
              <w:rPr>
                <w:sz w:val="1"/>
                <w:szCs w:val="1"/>
                <w:color w:val="auto"/>
              </w:rPr>
            </w:pPr>
          </w:p>
        </w:tc>
      </w:tr>
      <w:tr>
        <w:trPr>
          <w:trHeight w:val="203"/>
        </w:trPr>
        <w:tc>
          <w:tcPr>
            <w:tcW w:w="2940" w:type="dxa"/>
            <w:vAlign w:val="bottom"/>
          </w:tcPr>
          <w:p>
            <w:pPr>
              <w:ind w:left="220"/>
              <w:spacing w:after="0" w:line="202" w:lineRule="exact"/>
              <w:rPr>
                <w:sz w:val="20"/>
                <w:szCs w:val="20"/>
                <w:color w:val="auto"/>
              </w:rPr>
            </w:pPr>
            <w:r>
              <w:rPr>
                <w:rFonts w:ascii="Arial" w:cs="Arial" w:eastAsia="Arial" w:hAnsi="Arial"/>
                <w:sz w:val="18"/>
                <w:szCs w:val="18"/>
                <w:b w:val="1"/>
                <w:bCs w:val="1"/>
                <w:color w:val="auto"/>
              </w:rPr>
              <w:t>Voting:</w:t>
            </w:r>
          </w:p>
        </w:tc>
        <w:tc>
          <w:tcPr>
            <w:tcW w:w="6020" w:type="dxa"/>
            <w:vAlign w:val="bottom"/>
          </w:tcPr>
          <w:p>
            <w:pPr>
              <w:ind w:left="180"/>
              <w:spacing w:after="0" w:line="202" w:lineRule="exact"/>
              <w:rPr>
                <w:sz w:val="20"/>
                <w:szCs w:val="20"/>
                <w:color w:val="auto"/>
              </w:rPr>
            </w:pPr>
            <w:r>
              <w:rPr>
                <w:rFonts w:ascii="Arial" w:cs="Arial" w:eastAsia="Arial" w:hAnsi="Arial"/>
                <w:sz w:val="18"/>
                <w:szCs w:val="18"/>
                <w:color w:val="auto"/>
              </w:rPr>
              <w:t>Stockholders as of the record date are entitled to vote.</w:t>
            </w:r>
          </w:p>
        </w:tc>
        <w:tc>
          <w:tcPr>
            <w:tcW w:w="0" w:type="dxa"/>
            <w:vAlign w:val="bottom"/>
          </w:tcPr>
          <w:p>
            <w:pPr>
              <w:spacing w:after="0"/>
              <w:rPr>
                <w:sz w:val="1"/>
                <w:szCs w:val="1"/>
                <w:color w:val="auto"/>
              </w:rPr>
            </w:pPr>
          </w:p>
        </w:tc>
      </w:tr>
      <w:tr>
        <w:trPr>
          <w:trHeight w:val="239"/>
        </w:trPr>
        <w:tc>
          <w:tcPr>
            <w:tcW w:w="2940" w:type="dxa"/>
            <w:vAlign w:val="bottom"/>
          </w:tcPr>
          <w:p>
            <w:pPr>
              <w:ind w:left="200"/>
              <w:spacing w:after="0"/>
              <w:rPr>
                <w:sz w:val="20"/>
                <w:szCs w:val="20"/>
                <w:color w:val="auto"/>
              </w:rPr>
            </w:pPr>
            <w:r>
              <w:rPr>
                <w:rFonts w:ascii="Arial" w:cs="Arial" w:eastAsia="Arial" w:hAnsi="Arial"/>
                <w:sz w:val="18"/>
                <w:szCs w:val="18"/>
                <w:b w:val="1"/>
                <w:bCs w:val="1"/>
                <w:color w:val="auto"/>
              </w:rPr>
              <w:t>Attendance:</w:t>
            </w:r>
          </w:p>
        </w:tc>
        <w:tc>
          <w:tcPr>
            <w:tcW w:w="6020" w:type="dxa"/>
            <w:vAlign w:val="bottom"/>
          </w:tcPr>
          <w:p>
            <w:pPr>
              <w:ind w:left="180"/>
              <w:spacing w:after="0"/>
              <w:rPr>
                <w:sz w:val="20"/>
                <w:szCs w:val="20"/>
                <w:color w:val="auto"/>
              </w:rPr>
            </w:pPr>
            <w:r>
              <w:rPr>
                <w:rFonts w:ascii="Arial" w:cs="Arial" w:eastAsia="Arial" w:hAnsi="Arial"/>
                <w:sz w:val="18"/>
                <w:szCs w:val="18"/>
                <w:color w:val="auto"/>
                <w:w w:val="99"/>
              </w:rPr>
              <w:t>All stockholders and their duly appointed proxies may attend the meeting.</w:t>
            </w:r>
          </w:p>
        </w:tc>
        <w:tc>
          <w:tcPr>
            <w:tcW w:w="0" w:type="dxa"/>
            <w:vAlign w:val="bottom"/>
          </w:tcPr>
          <w:p>
            <w:pPr>
              <w:spacing w:after="0"/>
              <w:rPr>
                <w:sz w:val="1"/>
                <w:szCs w:val="1"/>
                <w:color w:val="auto"/>
              </w:rPr>
            </w:pPr>
          </w:p>
        </w:tc>
      </w:tr>
    </w:tbl>
    <w:p>
      <w:pPr>
        <w:spacing w:after="0" w:line="180" w:lineRule="exact"/>
        <w:rPr>
          <w:sz w:val="20"/>
          <w:szCs w:val="20"/>
          <w:color w:val="auto"/>
        </w:rPr>
      </w:pPr>
    </w:p>
    <w:tbl>
      <w:tblPr>
        <w:tblLayout w:type="fixed"/>
        <w:tblInd w:w="200" w:type="dxa"/>
        <w:tblCellMar>
          <w:top w:w="0" w:type="dxa"/>
          <w:left w:w="0" w:type="dxa"/>
          <w:bottom w:w="0" w:type="dxa"/>
          <w:right w:w="0" w:type="dxa"/>
        </w:tblCellMar>
      </w:tblPr>
      <w:tr>
        <w:trPr>
          <w:trHeight w:val="239"/>
        </w:trPr>
        <w:tc>
          <w:tcPr>
            <w:tcW w:w="7000" w:type="dxa"/>
            <w:vAlign w:val="bottom"/>
            <w:gridSpan w:val="2"/>
          </w:tcPr>
          <w:p>
            <w:pPr>
              <w:spacing w:after="0"/>
              <w:rPr>
                <w:sz w:val="20"/>
                <w:szCs w:val="20"/>
                <w:color w:val="auto"/>
              </w:rPr>
            </w:pPr>
            <w:r>
              <w:rPr>
                <w:rFonts w:ascii="Arial" w:cs="Arial" w:eastAsia="Arial" w:hAnsi="Arial"/>
                <w:sz w:val="18"/>
                <w:szCs w:val="18"/>
                <w:b w:val="1"/>
                <w:bCs w:val="1"/>
                <w:color w:val="483E65"/>
              </w:rPr>
              <w:t>Meeting Agenda and Voting Recommendations</w:t>
            </w:r>
          </w:p>
        </w:tc>
        <w:tc>
          <w:tcPr>
            <w:tcW w:w="288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135"/>
        </w:trPr>
        <w:tc>
          <w:tcPr>
            <w:tcW w:w="20" w:type="dxa"/>
            <w:vAlign w:val="bottom"/>
          </w:tcPr>
          <w:p>
            <w:pPr>
              <w:spacing w:after="0"/>
              <w:rPr>
                <w:sz w:val="11"/>
                <w:szCs w:val="11"/>
                <w:color w:val="auto"/>
              </w:rPr>
            </w:pPr>
          </w:p>
        </w:tc>
        <w:tc>
          <w:tcPr>
            <w:tcW w:w="6980" w:type="dxa"/>
            <w:vAlign w:val="bottom"/>
          </w:tcPr>
          <w:p>
            <w:pPr>
              <w:spacing w:after="0"/>
              <w:rPr>
                <w:sz w:val="11"/>
                <w:szCs w:val="11"/>
                <w:color w:val="auto"/>
              </w:rPr>
            </w:pPr>
          </w:p>
        </w:tc>
        <w:tc>
          <w:tcPr>
            <w:tcW w:w="2880" w:type="dxa"/>
            <w:vAlign w:val="bottom"/>
          </w:tcPr>
          <w:p>
            <w:pPr>
              <w:spacing w:after="0"/>
              <w:rPr>
                <w:sz w:val="11"/>
                <w:szCs w:val="11"/>
                <w:color w:val="auto"/>
              </w:rPr>
            </w:pPr>
          </w:p>
        </w:tc>
        <w:tc>
          <w:tcPr>
            <w:tcW w:w="1200" w:type="dxa"/>
            <w:vAlign w:val="bottom"/>
          </w:tcPr>
          <w:p>
            <w:pPr>
              <w:spacing w:after="0"/>
              <w:rPr>
                <w:sz w:val="11"/>
                <w:szCs w:val="11"/>
                <w:color w:val="auto"/>
              </w:rPr>
            </w:pPr>
          </w:p>
        </w:tc>
      </w:tr>
      <w:tr>
        <w:trPr>
          <w:trHeight w:val="203"/>
        </w:trPr>
        <w:tc>
          <w:tcPr>
            <w:tcW w:w="20" w:type="dxa"/>
            <w:vAlign w:val="bottom"/>
          </w:tcPr>
          <w:p>
            <w:pPr>
              <w:spacing w:after="0"/>
              <w:rPr>
                <w:sz w:val="17"/>
                <w:szCs w:val="17"/>
                <w:color w:val="auto"/>
              </w:rPr>
            </w:pPr>
          </w:p>
        </w:tc>
        <w:tc>
          <w:tcPr>
            <w:tcW w:w="6980" w:type="dxa"/>
            <w:vAlign w:val="bottom"/>
            <w:tcBorders>
              <w:right w:val="single" w:sz="8" w:color="483E65"/>
            </w:tcBorders>
            <w:shd w:val="clear" w:color="auto" w:fill="483E65"/>
          </w:tcPr>
          <w:p>
            <w:pPr>
              <w:ind w:left="180"/>
              <w:spacing w:after="0" w:line="202" w:lineRule="exact"/>
              <w:rPr>
                <w:sz w:val="20"/>
                <w:szCs w:val="20"/>
                <w:color w:val="auto"/>
              </w:rPr>
            </w:pPr>
            <w:r>
              <w:rPr>
                <w:rFonts w:ascii="Arial" w:cs="Arial" w:eastAsia="Arial" w:hAnsi="Arial"/>
                <w:sz w:val="18"/>
                <w:szCs w:val="18"/>
                <w:b w:val="1"/>
                <w:bCs w:val="1"/>
                <w:color w:val="FFFFFF"/>
              </w:rPr>
              <w:t>Agenda Item</w:t>
            </w:r>
          </w:p>
        </w:tc>
        <w:tc>
          <w:tcPr>
            <w:tcW w:w="2880" w:type="dxa"/>
            <w:vAlign w:val="bottom"/>
            <w:tcBorders>
              <w:right w:val="single" w:sz="8" w:color="483E65"/>
            </w:tcBorders>
            <w:shd w:val="clear" w:color="auto" w:fill="483E65"/>
          </w:tcPr>
          <w:p>
            <w:pPr>
              <w:jc w:val="center"/>
              <w:spacing w:after="0" w:line="202" w:lineRule="exact"/>
              <w:rPr>
                <w:sz w:val="20"/>
                <w:szCs w:val="20"/>
                <w:color w:val="auto"/>
              </w:rPr>
            </w:pPr>
            <w:r>
              <w:rPr>
                <w:rFonts w:ascii="Arial" w:cs="Arial" w:eastAsia="Arial" w:hAnsi="Arial"/>
                <w:sz w:val="18"/>
                <w:szCs w:val="18"/>
                <w:b w:val="1"/>
                <w:bCs w:val="1"/>
                <w:color w:val="FFFFFF"/>
                <w:w w:val="99"/>
              </w:rPr>
              <w:t>Board Recommendation</w:t>
            </w:r>
          </w:p>
        </w:tc>
        <w:tc>
          <w:tcPr>
            <w:tcW w:w="1200" w:type="dxa"/>
            <w:vAlign w:val="bottom"/>
            <w:shd w:val="clear" w:color="auto" w:fill="483E65"/>
          </w:tcPr>
          <w:p>
            <w:pPr>
              <w:ind w:left="420"/>
              <w:spacing w:after="0" w:line="202" w:lineRule="exact"/>
              <w:rPr>
                <w:sz w:val="20"/>
                <w:szCs w:val="20"/>
                <w:color w:val="auto"/>
              </w:rPr>
            </w:pPr>
            <w:r>
              <w:rPr>
                <w:rFonts w:ascii="Arial" w:cs="Arial" w:eastAsia="Arial" w:hAnsi="Arial"/>
                <w:sz w:val="18"/>
                <w:szCs w:val="18"/>
                <w:b w:val="1"/>
                <w:bCs w:val="1"/>
                <w:color w:val="FFFFFF"/>
              </w:rPr>
              <w:t>Page</w:t>
            </w:r>
          </w:p>
        </w:tc>
      </w:tr>
      <w:tr>
        <w:trPr>
          <w:trHeight w:val="203"/>
        </w:trPr>
        <w:tc>
          <w:tcPr>
            <w:tcW w:w="20" w:type="dxa"/>
            <w:vAlign w:val="bottom"/>
          </w:tcPr>
          <w:p>
            <w:pPr>
              <w:spacing w:after="0"/>
              <w:rPr>
                <w:sz w:val="17"/>
                <w:szCs w:val="17"/>
                <w:color w:val="auto"/>
              </w:rPr>
            </w:pPr>
          </w:p>
        </w:tc>
        <w:tc>
          <w:tcPr>
            <w:tcW w:w="6980" w:type="dxa"/>
            <w:vAlign w:val="bottom"/>
            <w:tcBorders>
              <w:right w:val="single" w:sz="8" w:color="483E65"/>
            </w:tcBorders>
          </w:tcPr>
          <w:p>
            <w:pPr>
              <w:ind w:left="200"/>
              <w:spacing w:after="0" w:line="202" w:lineRule="exact"/>
              <w:rPr>
                <w:sz w:val="20"/>
                <w:szCs w:val="20"/>
                <w:color w:val="auto"/>
              </w:rPr>
            </w:pPr>
            <w:r>
              <w:rPr>
                <w:rFonts w:ascii="Arial" w:cs="Arial" w:eastAsia="Arial" w:hAnsi="Arial"/>
                <w:sz w:val="18"/>
                <w:szCs w:val="18"/>
                <w:color w:val="auto"/>
              </w:rPr>
              <w:t>Election of twelve directors</w:t>
            </w:r>
          </w:p>
        </w:tc>
        <w:tc>
          <w:tcPr>
            <w:tcW w:w="2880" w:type="dxa"/>
            <w:vAlign w:val="bottom"/>
            <w:tcBorders>
              <w:right w:val="single" w:sz="8" w:color="483E65"/>
            </w:tcBorders>
          </w:tcPr>
          <w:p>
            <w:pPr>
              <w:jc w:val="center"/>
              <w:ind w:left="10"/>
              <w:spacing w:after="0" w:line="202" w:lineRule="exact"/>
              <w:rPr>
                <w:sz w:val="20"/>
                <w:szCs w:val="20"/>
                <w:color w:val="auto"/>
              </w:rPr>
            </w:pPr>
            <w:r>
              <w:rPr>
                <w:rFonts w:ascii="Arial" w:cs="Arial" w:eastAsia="Arial" w:hAnsi="Arial"/>
                <w:sz w:val="18"/>
                <w:szCs w:val="18"/>
                <w:color w:val="auto"/>
                <w:w w:val="99"/>
              </w:rPr>
              <w:t>FOR EACH NOMINEE</w:t>
            </w:r>
          </w:p>
        </w:tc>
        <w:tc>
          <w:tcPr>
            <w:tcW w:w="1200" w:type="dxa"/>
            <w:vAlign w:val="bottom"/>
          </w:tcPr>
          <w:p>
            <w:pPr>
              <w:jc w:val="center"/>
              <w:ind w:left="10"/>
              <w:spacing w:after="0" w:line="202" w:lineRule="exact"/>
              <w:rPr>
                <w:sz w:val="20"/>
                <w:szCs w:val="20"/>
                <w:color w:val="auto"/>
              </w:rPr>
            </w:pPr>
            <w:r>
              <w:rPr>
                <w:rFonts w:ascii="Arial" w:cs="Arial" w:eastAsia="Arial" w:hAnsi="Arial"/>
                <w:sz w:val="18"/>
                <w:szCs w:val="18"/>
                <w:color w:val="auto"/>
                <w:w w:val="99"/>
              </w:rPr>
              <w:t>5</w:t>
            </w:r>
          </w:p>
        </w:tc>
      </w:tr>
      <w:tr>
        <w:trPr>
          <w:trHeight w:val="203"/>
        </w:trPr>
        <w:tc>
          <w:tcPr>
            <w:tcW w:w="20" w:type="dxa"/>
            <w:vAlign w:val="bottom"/>
          </w:tcPr>
          <w:p>
            <w:pPr>
              <w:spacing w:after="0"/>
              <w:rPr>
                <w:sz w:val="17"/>
                <w:szCs w:val="17"/>
                <w:color w:val="auto"/>
              </w:rPr>
            </w:pPr>
          </w:p>
        </w:tc>
        <w:tc>
          <w:tcPr>
            <w:tcW w:w="6980" w:type="dxa"/>
            <w:vAlign w:val="bottom"/>
            <w:tcBorders>
              <w:right w:val="single" w:sz="8" w:color="483E65"/>
            </w:tcBorders>
            <w:shd w:val="clear" w:color="auto" w:fill="ACABA7"/>
          </w:tcPr>
          <w:p>
            <w:pPr>
              <w:ind w:left="180"/>
              <w:spacing w:after="0" w:line="202" w:lineRule="exact"/>
              <w:rPr>
                <w:sz w:val="20"/>
                <w:szCs w:val="20"/>
                <w:color w:val="auto"/>
              </w:rPr>
            </w:pPr>
            <w:r>
              <w:rPr>
                <w:rFonts w:ascii="Arial" w:cs="Arial" w:eastAsia="Arial" w:hAnsi="Arial"/>
                <w:sz w:val="18"/>
                <w:szCs w:val="18"/>
                <w:color w:val="auto"/>
              </w:rPr>
              <w:t>Advisory vote on executive compensation</w:t>
            </w:r>
          </w:p>
        </w:tc>
        <w:tc>
          <w:tcPr>
            <w:tcW w:w="2880" w:type="dxa"/>
            <w:vAlign w:val="bottom"/>
            <w:tcBorders>
              <w:right w:val="single" w:sz="8" w:color="483E65"/>
            </w:tcBorders>
            <w:shd w:val="clear" w:color="auto" w:fill="ACABA7"/>
          </w:tcPr>
          <w:p>
            <w:pPr>
              <w:jc w:val="center"/>
              <w:ind w:left="10"/>
              <w:spacing w:after="0" w:line="202" w:lineRule="exact"/>
              <w:rPr>
                <w:sz w:val="20"/>
                <w:szCs w:val="20"/>
                <w:color w:val="auto"/>
              </w:rPr>
            </w:pPr>
            <w:r>
              <w:rPr>
                <w:rFonts w:ascii="Arial" w:cs="Arial" w:eastAsia="Arial" w:hAnsi="Arial"/>
                <w:sz w:val="18"/>
                <w:szCs w:val="18"/>
                <w:color w:val="auto"/>
                <w:w w:val="99"/>
              </w:rPr>
              <w:t>FOR</w:t>
            </w:r>
          </w:p>
        </w:tc>
        <w:tc>
          <w:tcPr>
            <w:tcW w:w="1200" w:type="dxa"/>
            <w:vAlign w:val="bottom"/>
            <w:shd w:val="clear" w:color="auto" w:fill="ACABA7"/>
          </w:tcPr>
          <w:p>
            <w:pPr>
              <w:jc w:val="center"/>
              <w:spacing w:after="0" w:line="202" w:lineRule="exact"/>
              <w:rPr>
                <w:sz w:val="20"/>
                <w:szCs w:val="20"/>
                <w:color w:val="auto"/>
              </w:rPr>
            </w:pPr>
            <w:r>
              <w:rPr>
                <w:rFonts w:ascii="Arial" w:cs="Arial" w:eastAsia="Arial" w:hAnsi="Arial"/>
                <w:sz w:val="18"/>
                <w:szCs w:val="18"/>
                <w:color w:val="auto"/>
                <w:w w:val="99"/>
              </w:rPr>
              <w:t>22</w:t>
            </w:r>
          </w:p>
        </w:tc>
      </w:tr>
      <w:tr>
        <w:trPr>
          <w:trHeight w:val="203"/>
        </w:trPr>
        <w:tc>
          <w:tcPr>
            <w:tcW w:w="20" w:type="dxa"/>
            <w:vAlign w:val="bottom"/>
          </w:tcPr>
          <w:p>
            <w:pPr>
              <w:spacing w:after="0"/>
              <w:rPr>
                <w:sz w:val="17"/>
                <w:szCs w:val="17"/>
                <w:color w:val="auto"/>
              </w:rPr>
            </w:pPr>
          </w:p>
        </w:tc>
        <w:tc>
          <w:tcPr>
            <w:tcW w:w="6980" w:type="dxa"/>
            <w:vAlign w:val="bottom"/>
            <w:tcBorders>
              <w:right w:val="single" w:sz="8" w:color="483E65"/>
            </w:tcBorders>
          </w:tcPr>
          <w:p>
            <w:pPr>
              <w:ind w:left="180"/>
              <w:spacing w:after="0" w:line="202" w:lineRule="exact"/>
              <w:rPr>
                <w:sz w:val="20"/>
                <w:szCs w:val="20"/>
                <w:color w:val="auto"/>
              </w:rPr>
            </w:pPr>
            <w:r>
              <w:rPr>
                <w:rFonts w:ascii="Arial" w:cs="Arial" w:eastAsia="Arial" w:hAnsi="Arial"/>
                <w:sz w:val="18"/>
                <w:szCs w:val="18"/>
                <w:color w:val="auto"/>
              </w:rPr>
              <w:t>Advisory vote on the frequency of vote on executive compensation</w:t>
            </w:r>
          </w:p>
        </w:tc>
        <w:tc>
          <w:tcPr>
            <w:tcW w:w="2880" w:type="dxa"/>
            <w:vAlign w:val="bottom"/>
            <w:tcBorders>
              <w:right w:val="single" w:sz="8" w:color="483E65"/>
            </w:tcBorders>
          </w:tcPr>
          <w:p>
            <w:pPr>
              <w:jc w:val="center"/>
              <w:ind w:left="10"/>
              <w:spacing w:after="0" w:line="202" w:lineRule="exact"/>
              <w:rPr>
                <w:sz w:val="20"/>
                <w:szCs w:val="20"/>
                <w:color w:val="auto"/>
              </w:rPr>
            </w:pPr>
            <w:r>
              <w:rPr>
                <w:rFonts w:ascii="Arial" w:cs="Arial" w:eastAsia="Arial" w:hAnsi="Arial"/>
                <w:sz w:val="18"/>
                <w:szCs w:val="18"/>
                <w:color w:val="auto"/>
                <w:w w:val="99"/>
              </w:rPr>
              <w:t>FOR EVERY YEAR</w:t>
            </w:r>
          </w:p>
        </w:tc>
        <w:tc>
          <w:tcPr>
            <w:tcW w:w="1200" w:type="dxa"/>
            <w:vAlign w:val="bottom"/>
          </w:tcPr>
          <w:p>
            <w:pPr>
              <w:jc w:val="center"/>
              <w:spacing w:after="0" w:line="202" w:lineRule="exact"/>
              <w:rPr>
                <w:sz w:val="20"/>
                <w:szCs w:val="20"/>
                <w:color w:val="auto"/>
              </w:rPr>
            </w:pPr>
            <w:r>
              <w:rPr>
                <w:rFonts w:ascii="Arial" w:cs="Arial" w:eastAsia="Arial" w:hAnsi="Arial"/>
                <w:sz w:val="18"/>
                <w:szCs w:val="18"/>
                <w:color w:val="auto"/>
                <w:w w:val="99"/>
              </w:rPr>
              <w:t>55</w:t>
            </w:r>
          </w:p>
        </w:tc>
      </w:tr>
      <w:tr>
        <w:trPr>
          <w:trHeight w:val="203"/>
        </w:trPr>
        <w:tc>
          <w:tcPr>
            <w:tcW w:w="20" w:type="dxa"/>
            <w:vAlign w:val="bottom"/>
          </w:tcPr>
          <w:p>
            <w:pPr>
              <w:spacing w:after="0"/>
              <w:rPr>
                <w:sz w:val="17"/>
                <w:szCs w:val="17"/>
                <w:color w:val="auto"/>
              </w:rPr>
            </w:pPr>
          </w:p>
        </w:tc>
        <w:tc>
          <w:tcPr>
            <w:tcW w:w="6980" w:type="dxa"/>
            <w:vAlign w:val="bottom"/>
            <w:tcBorders>
              <w:right w:val="single" w:sz="8" w:color="483E65"/>
            </w:tcBorders>
            <w:shd w:val="clear" w:color="auto" w:fill="ACABA7"/>
          </w:tcPr>
          <w:p>
            <w:pPr>
              <w:ind w:left="180"/>
              <w:spacing w:after="0" w:line="202" w:lineRule="exact"/>
              <w:rPr>
                <w:sz w:val="20"/>
                <w:szCs w:val="20"/>
                <w:color w:val="auto"/>
              </w:rPr>
            </w:pPr>
            <w:r>
              <w:rPr>
                <w:rFonts w:ascii="Arial" w:cs="Arial" w:eastAsia="Arial" w:hAnsi="Arial"/>
                <w:sz w:val="18"/>
                <w:szCs w:val="18"/>
                <w:color w:val="auto"/>
              </w:rPr>
              <w:t>Approve the amended and restated 2006 Employee Stock Purchase Plan</w:t>
            </w:r>
          </w:p>
        </w:tc>
        <w:tc>
          <w:tcPr>
            <w:tcW w:w="2880" w:type="dxa"/>
            <w:vAlign w:val="bottom"/>
            <w:tcBorders>
              <w:right w:val="single" w:sz="8" w:color="483E65"/>
            </w:tcBorders>
            <w:shd w:val="clear" w:color="auto" w:fill="ACABA7"/>
          </w:tcPr>
          <w:p>
            <w:pPr>
              <w:jc w:val="center"/>
              <w:ind w:left="10"/>
              <w:spacing w:after="0" w:line="202" w:lineRule="exact"/>
              <w:rPr>
                <w:sz w:val="20"/>
                <w:szCs w:val="20"/>
                <w:color w:val="auto"/>
              </w:rPr>
            </w:pPr>
            <w:r>
              <w:rPr>
                <w:rFonts w:ascii="Arial" w:cs="Arial" w:eastAsia="Arial" w:hAnsi="Arial"/>
                <w:sz w:val="18"/>
                <w:szCs w:val="18"/>
                <w:color w:val="auto"/>
                <w:w w:val="99"/>
              </w:rPr>
              <w:t>FOR</w:t>
            </w:r>
          </w:p>
        </w:tc>
        <w:tc>
          <w:tcPr>
            <w:tcW w:w="1200" w:type="dxa"/>
            <w:vAlign w:val="bottom"/>
            <w:shd w:val="clear" w:color="auto" w:fill="ACABA7"/>
          </w:tcPr>
          <w:p>
            <w:pPr>
              <w:jc w:val="center"/>
              <w:spacing w:after="0" w:line="202" w:lineRule="exact"/>
              <w:rPr>
                <w:sz w:val="20"/>
                <w:szCs w:val="20"/>
                <w:color w:val="auto"/>
              </w:rPr>
            </w:pPr>
            <w:r>
              <w:rPr>
                <w:rFonts w:ascii="Arial" w:cs="Arial" w:eastAsia="Arial" w:hAnsi="Arial"/>
                <w:sz w:val="18"/>
                <w:szCs w:val="18"/>
                <w:color w:val="auto"/>
                <w:w w:val="99"/>
              </w:rPr>
              <w:t>56</w:t>
            </w:r>
          </w:p>
        </w:tc>
      </w:tr>
      <w:tr>
        <w:trPr>
          <w:trHeight w:val="203"/>
        </w:trPr>
        <w:tc>
          <w:tcPr>
            <w:tcW w:w="20" w:type="dxa"/>
            <w:vAlign w:val="bottom"/>
          </w:tcPr>
          <w:p>
            <w:pPr>
              <w:spacing w:after="0"/>
              <w:rPr>
                <w:sz w:val="17"/>
                <w:szCs w:val="17"/>
                <w:color w:val="auto"/>
              </w:rPr>
            </w:pPr>
          </w:p>
        </w:tc>
        <w:tc>
          <w:tcPr>
            <w:tcW w:w="6980" w:type="dxa"/>
            <w:vAlign w:val="bottom"/>
            <w:tcBorders>
              <w:right w:val="single" w:sz="8" w:color="483E65"/>
            </w:tcBorders>
          </w:tcPr>
          <w:p>
            <w:pPr>
              <w:ind w:left="180"/>
              <w:spacing w:after="0" w:line="202" w:lineRule="exact"/>
              <w:rPr>
                <w:sz w:val="20"/>
                <w:szCs w:val="20"/>
                <w:color w:val="auto"/>
              </w:rPr>
            </w:pPr>
            <w:r>
              <w:rPr>
                <w:rFonts w:ascii="Arial" w:cs="Arial" w:eastAsia="Arial" w:hAnsi="Arial"/>
                <w:sz w:val="18"/>
                <w:szCs w:val="18"/>
                <w:color w:val="auto"/>
              </w:rPr>
              <w:t>Approve the 2017 Omnibus Incentive Plan</w:t>
            </w:r>
          </w:p>
        </w:tc>
        <w:tc>
          <w:tcPr>
            <w:tcW w:w="2880" w:type="dxa"/>
            <w:vAlign w:val="bottom"/>
            <w:tcBorders>
              <w:right w:val="single" w:sz="8" w:color="483E65"/>
            </w:tcBorders>
          </w:tcPr>
          <w:p>
            <w:pPr>
              <w:jc w:val="center"/>
              <w:ind w:left="10"/>
              <w:spacing w:after="0" w:line="202" w:lineRule="exact"/>
              <w:rPr>
                <w:sz w:val="20"/>
                <w:szCs w:val="20"/>
                <w:color w:val="auto"/>
              </w:rPr>
            </w:pPr>
            <w:r>
              <w:rPr>
                <w:rFonts w:ascii="Arial" w:cs="Arial" w:eastAsia="Arial" w:hAnsi="Arial"/>
                <w:sz w:val="18"/>
                <w:szCs w:val="18"/>
                <w:color w:val="auto"/>
                <w:w w:val="99"/>
              </w:rPr>
              <w:t>FOR</w:t>
            </w:r>
          </w:p>
        </w:tc>
        <w:tc>
          <w:tcPr>
            <w:tcW w:w="1200" w:type="dxa"/>
            <w:vAlign w:val="bottom"/>
          </w:tcPr>
          <w:p>
            <w:pPr>
              <w:jc w:val="center"/>
              <w:spacing w:after="0" w:line="202" w:lineRule="exact"/>
              <w:rPr>
                <w:sz w:val="20"/>
                <w:szCs w:val="20"/>
                <w:color w:val="auto"/>
              </w:rPr>
            </w:pPr>
            <w:r>
              <w:rPr>
                <w:rFonts w:ascii="Arial" w:cs="Arial" w:eastAsia="Arial" w:hAnsi="Arial"/>
                <w:sz w:val="18"/>
                <w:szCs w:val="18"/>
                <w:color w:val="auto"/>
                <w:w w:val="99"/>
              </w:rPr>
              <w:t>61</w:t>
            </w:r>
          </w:p>
        </w:tc>
      </w:tr>
      <w:tr>
        <w:trPr>
          <w:trHeight w:val="203"/>
        </w:trPr>
        <w:tc>
          <w:tcPr>
            <w:tcW w:w="20" w:type="dxa"/>
            <w:vAlign w:val="bottom"/>
          </w:tcPr>
          <w:p>
            <w:pPr>
              <w:spacing w:after="0"/>
              <w:rPr>
                <w:sz w:val="17"/>
                <w:szCs w:val="17"/>
                <w:color w:val="auto"/>
              </w:rPr>
            </w:pPr>
          </w:p>
        </w:tc>
        <w:tc>
          <w:tcPr>
            <w:tcW w:w="6980" w:type="dxa"/>
            <w:vAlign w:val="bottom"/>
            <w:tcBorders>
              <w:right w:val="single" w:sz="8" w:color="483E65"/>
            </w:tcBorders>
            <w:shd w:val="clear" w:color="auto" w:fill="ACABA7"/>
          </w:tcPr>
          <w:p>
            <w:pPr>
              <w:ind w:left="200"/>
              <w:spacing w:after="0" w:line="202" w:lineRule="exact"/>
              <w:rPr>
                <w:sz w:val="20"/>
                <w:szCs w:val="20"/>
                <w:color w:val="auto"/>
              </w:rPr>
            </w:pPr>
            <w:r>
              <w:rPr>
                <w:rFonts w:ascii="Arial" w:cs="Arial" w:eastAsia="Arial" w:hAnsi="Arial"/>
                <w:sz w:val="18"/>
                <w:szCs w:val="18"/>
                <w:color w:val="auto"/>
              </w:rPr>
              <w:t>Ratification of independent registered public accounting firm</w:t>
            </w:r>
          </w:p>
        </w:tc>
        <w:tc>
          <w:tcPr>
            <w:tcW w:w="2880" w:type="dxa"/>
            <w:vAlign w:val="bottom"/>
            <w:tcBorders>
              <w:right w:val="single" w:sz="8" w:color="483E65"/>
            </w:tcBorders>
            <w:shd w:val="clear" w:color="auto" w:fill="ACABA7"/>
          </w:tcPr>
          <w:p>
            <w:pPr>
              <w:jc w:val="center"/>
              <w:ind w:left="10"/>
              <w:spacing w:after="0" w:line="202" w:lineRule="exact"/>
              <w:rPr>
                <w:sz w:val="20"/>
                <w:szCs w:val="20"/>
                <w:color w:val="auto"/>
              </w:rPr>
            </w:pPr>
            <w:r>
              <w:rPr>
                <w:rFonts w:ascii="Arial" w:cs="Arial" w:eastAsia="Arial" w:hAnsi="Arial"/>
                <w:sz w:val="18"/>
                <w:szCs w:val="18"/>
                <w:color w:val="auto"/>
                <w:w w:val="99"/>
              </w:rPr>
              <w:t>FOR</w:t>
            </w:r>
          </w:p>
        </w:tc>
        <w:tc>
          <w:tcPr>
            <w:tcW w:w="1200" w:type="dxa"/>
            <w:vAlign w:val="bottom"/>
            <w:shd w:val="clear" w:color="auto" w:fill="ACABA7"/>
          </w:tcPr>
          <w:p>
            <w:pPr>
              <w:jc w:val="center"/>
              <w:spacing w:after="0" w:line="202" w:lineRule="exact"/>
              <w:rPr>
                <w:sz w:val="20"/>
                <w:szCs w:val="20"/>
                <w:color w:val="auto"/>
              </w:rPr>
            </w:pPr>
            <w:r>
              <w:rPr>
                <w:rFonts w:ascii="Arial" w:cs="Arial" w:eastAsia="Arial" w:hAnsi="Arial"/>
                <w:sz w:val="18"/>
                <w:szCs w:val="18"/>
                <w:color w:val="auto"/>
                <w:w w:val="99"/>
              </w:rPr>
              <w:t>69</w:t>
            </w:r>
          </w:p>
        </w:tc>
      </w:tr>
    </w:tbl>
    <w:p>
      <w:pPr>
        <w:spacing w:after="0" w:line="19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483E65"/>
        </w:rPr>
        <w:t>Board Nominees</w:t>
      </w:r>
    </w:p>
    <w:p>
      <w:pPr>
        <w:spacing w:after="0" w:line="166" w:lineRule="exact"/>
        <w:rPr>
          <w:sz w:val="20"/>
          <w:szCs w:val="20"/>
          <w:color w:val="auto"/>
        </w:rPr>
      </w:pPr>
    </w:p>
    <w:p>
      <w:pPr>
        <w:ind w:left="200" w:right="80"/>
        <w:spacing w:after="0" w:line="246" w:lineRule="auto"/>
        <w:rPr>
          <w:sz w:val="20"/>
          <w:szCs w:val="20"/>
          <w:color w:val="auto"/>
        </w:rPr>
      </w:pPr>
      <w:r>
        <w:rPr>
          <w:rFonts w:ascii="Arial" w:cs="Arial" w:eastAsia="Arial" w:hAnsi="Arial"/>
          <w:sz w:val="18"/>
          <w:szCs w:val="18"/>
          <w:color w:val="auto"/>
        </w:rPr>
        <w:t>The following table provides summary information about each director nominee. Each director nominee is elected annually by a majority of votes cast.</w:t>
      </w:r>
    </w:p>
    <w:p>
      <w:pPr>
        <w:sectPr>
          <w:pgSz w:w="11900" w:h="16838" w:orient="portrait"/>
          <w:cols w:equalWidth="0" w:num="1">
            <w:col w:w="11280"/>
          </w:cols>
          <w:pgMar w:left="240" w:top="459" w:right="379" w:bottom="1440" w:gutter="0" w:footer="0" w:header="0"/>
        </w:sectPr>
      </w:pPr>
    </w:p>
    <w:p>
      <w:pPr>
        <w:spacing w:after="0" w:line="198" w:lineRule="exact"/>
        <w:rPr>
          <w:sz w:val="20"/>
          <w:szCs w:val="20"/>
          <w:color w:val="auto"/>
        </w:rPr>
      </w:pPr>
    </w:p>
    <w:tbl>
      <w:tblPr>
        <w:tblLayout w:type="fixed"/>
        <w:tblInd w:w="320" w:type="dxa"/>
        <w:tblCellMar>
          <w:top w:w="0" w:type="dxa"/>
          <w:left w:w="0" w:type="dxa"/>
          <w:bottom w:w="0" w:type="dxa"/>
          <w:right w:w="0" w:type="dxa"/>
        </w:tblCellMar>
      </w:tblPr>
      <w:tr>
        <w:trPr>
          <w:trHeight w:val="207"/>
        </w:trPr>
        <w:tc>
          <w:tcPr>
            <w:tcW w:w="20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380" w:type="dxa"/>
            <w:vAlign w:val="bottom"/>
          </w:tcPr>
          <w:p>
            <w:pPr>
              <w:ind w:left="680"/>
              <w:spacing w:after="0"/>
              <w:rPr>
                <w:sz w:val="20"/>
                <w:szCs w:val="20"/>
                <w:color w:val="auto"/>
              </w:rPr>
            </w:pPr>
            <w:r>
              <w:rPr>
                <w:rFonts w:ascii="Arial" w:cs="Arial" w:eastAsia="Arial" w:hAnsi="Arial"/>
                <w:sz w:val="18"/>
                <w:szCs w:val="18"/>
                <w:b w:val="1"/>
                <w:bCs w:val="1"/>
                <w:color w:val="FFFFFF"/>
                <w:w w:val="98"/>
              </w:rPr>
              <w:t>Director</w:t>
            </w:r>
          </w:p>
        </w:tc>
      </w:tr>
      <w:tr>
        <w:trPr>
          <w:trHeight w:val="239"/>
        </w:trPr>
        <w:tc>
          <w:tcPr>
            <w:tcW w:w="2080" w:type="dxa"/>
            <w:vAlign w:val="bottom"/>
          </w:tcPr>
          <w:p>
            <w:pPr>
              <w:spacing w:after="0"/>
              <w:rPr>
                <w:sz w:val="20"/>
                <w:szCs w:val="20"/>
                <w:color w:val="auto"/>
              </w:rPr>
            </w:pPr>
            <w:r>
              <w:rPr>
                <w:rFonts w:ascii="Arial" w:cs="Arial" w:eastAsia="Arial" w:hAnsi="Arial"/>
                <w:sz w:val="18"/>
                <w:szCs w:val="18"/>
                <w:b w:val="1"/>
                <w:bCs w:val="1"/>
                <w:color w:val="FFFFFF"/>
              </w:rPr>
              <w:t>Nominee</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FFFFFF"/>
              </w:rPr>
              <w:t>Age</w:t>
            </w:r>
          </w:p>
        </w:tc>
        <w:tc>
          <w:tcPr>
            <w:tcW w:w="1380" w:type="dxa"/>
            <w:vAlign w:val="bottom"/>
          </w:tcPr>
          <w:p>
            <w:pPr>
              <w:jc w:val="center"/>
              <w:ind w:left="370"/>
              <w:spacing w:after="0"/>
              <w:rPr>
                <w:sz w:val="20"/>
                <w:szCs w:val="20"/>
                <w:color w:val="auto"/>
              </w:rPr>
            </w:pPr>
            <w:r>
              <w:rPr>
                <w:rFonts w:ascii="Arial" w:cs="Arial" w:eastAsia="Arial" w:hAnsi="Arial"/>
                <w:sz w:val="18"/>
                <w:szCs w:val="18"/>
                <w:b w:val="1"/>
                <w:bCs w:val="1"/>
                <w:color w:val="FFFFFF"/>
                <w:w w:val="99"/>
              </w:rPr>
              <w:t>Since</w:t>
            </w:r>
          </w:p>
        </w:tc>
      </w:tr>
      <w:tr>
        <w:trPr>
          <w:trHeight w:val="311"/>
        </w:trPr>
        <w:tc>
          <w:tcPr>
            <w:tcW w:w="20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Gregory R. Dahlberg</w:t>
            </w:r>
          </w:p>
        </w:tc>
        <w:tc>
          <w:tcPr>
            <w:tcW w:w="78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65</w:t>
            </w:r>
          </w:p>
        </w:tc>
        <w:tc>
          <w:tcPr>
            <w:tcW w:w="1380" w:type="dxa"/>
            <w:vAlign w:val="bottom"/>
          </w:tcPr>
          <w:p>
            <w:pPr>
              <w:jc w:val="center"/>
              <w:ind w:left="330"/>
              <w:spacing w:after="0"/>
              <w:rPr>
                <w:sz w:val="20"/>
                <w:szCs w:val="20"/>
                <w:color w:val="auto"/>
              </w:rPr>
            </w:pPr>
            <w:r>
              <w:rPr>
                <w:rFonts w:ascii="Arial" w:cs="Arial" w:eastAsia="Arial" w:hAnsi="Arial"/>
                <w:sz w:val="18"/>
                <w:szCs w:val="18"/>
                <w:color w:val="auto"/>
                <w:w w:val="99"/>
              </w:rPr>
              <w:t>2016</w:t>
            </w:r>
          </w:p>
        </w:tc>
      </w:tr>
      <w:tr>
        <w:trPr>
          <w:trHeight w:val="405"/>
        </w:trPr>
        <w:tc>
          <w:tcPr>
            <w:tcW w:w="20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David G. Fubini</w:t>
            </w:r>
          </w:p>
        </w:tc>
        <w:tc>
          <w:tcPr>
            <w:tcW w:w="78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63</w:t>
            </w:r>
          </w:p>
        </w:tc>
        <w:tc>
          <w:tcPr>
            <w:tcW w:w="1380" w:type="dxa"/>
            <w:vAlign w:val="bottom"/>
          </w:tcPr>
          <w:p>
            <w:pPr>
              <w:jc w:val="center"/>
              <w:ind w:left="330"/>
              <w:spacing w:after="0"/>
              <w:rPr>
                <w:sz w:val="20"/>
                <w:szCs w:val="20"/>
                <w:color w:val="auto"/>
              </w:rPr>
            </w:pPr>
            <w:r>
              <w:rPr>
                <w:rFonts w:ascii="Arial" w:cs="Arial" w:eastAsia="Arial" w:hAnsi="Arial"/>
                <w:sz w:val="18"/>
                <w:szCs w:val="18"/>
                <w:color w:val="auto"/>
                <w:w w:val="99"/>
              </w:rPr>
              <w:t>2013</w:t>
            </w:r>
          </w:p>
        </w:tc>
      </w:tr>
      <w:tr>
        <w:trPr>
          <w:trHeight w:val="405"/>
        </w:trPr>
        <w:tc>
          <w:tcPr>
            <w:tcW w:w="20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Miriam E. John</w:t>
            </w:r>
          </w:p>
        </w:tc>
        <w:tc>
          <w:tcPr>
            <w:tcW w:w="78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68</w:t>
            </w:r>
          </w:p>
        </w:tc>
        <w:tc>
          <w:tcPr>
            <w:tcW w:w="1380" w:type="dxa"/>
            <w:vAlign w:val="bottom"/>
          </w:tcPr>
          <w:p>
            <w:pPr>
              <w:jc w:val="center"/>
              <w:ind w:left="330"/>
              <w:spacing w:after="0"/>
              <w:rPr>
                <w:sz w:val="20"/>
                <w:szCs w:val="20"/>
                <w:color w:val="auto"/>
              </w:rPr>
            </w:pPr>
            <w:r>
              <w:rPr>
                <w:rFonts w:ascii="Arial" w:cs="Arial" w:eastAsia="Arial" w:hAnsi="Arial"/>
                <w:sz w:val="18"/>
                <w:szCs w:val="18"/>
                <w:color w:val="auto"/>
                <w:w w:val="99"/>
              </w:rPr>
              <w:t>2007</w:t>
            </w:r>
          </w:p>
        </w:tc>
      </w:tr>
      <w:tr>
        <w:trPr>
          <w:trHeight w:val="513"/>
        </w:trPr>
        <w:tc>
          <w:tcPr>
            <w:tcW w:w="20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John P. Jumper</w:t>
            </w:r>
          </w:p>
        </w:tc>
        <w:tc>
          <w:tcPr>
            <w:tcW w:w="78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72</w:t>
            </w:r>
          </w:p>
        </w:tc>
        <w:tc>
          <w:tcPr>
            <w:tcW w:w="1380" w:type="dxa"/>
            <w:vAlign w:val="bottom"/>
          </w:tcPr>
          <w:p>
            <w:pPr>
              <w:jc w:val="center"/>
              <w:ind w:left="330"/>
              <w:spacing w:after="0"/>
              <w:rPr>
                <w:sz w:val="20"/>
                <w:szCs w:val="20"/>
                <w:color w:val="auto"/>
              </w:rPr>
            </w:pPr>
            <w:r>
              <w:rPr>
                <w:rFonts w:ascii="Arial" w:cs="Arial" w:eastAsia="Arial" w:hAnsi="Arial"/>
                <w:sz w:val="18"/>
                <w:szCs w:val="18"/>
                <w:color w:val="auto"/>
                <w:w w:val="99"/>
              </w:rPr>
              <w:t>2007</w:t>
            </w:r>
          </w:p>
        </w:tc>
      </w:tr>
      <w:tr>
        <w:trPr>
          <w:trHeight w:val="500"/>
        </w:trPr>
        <w:tc>
          <w:tcPr>
            <w:tcW w:w="20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Harry M.J. Kraemer, Jr.</w:t>
            </w:r>
          </w:p>
        </w:tc>
        <w:tc>
          <w:tcPr>
            <w:tcW w:w="78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62</w:t>
            </w:r>
          </w:p>
        </w:tc>
        <w:tc>
          <w:tcPr>
            <w:tcW w:w="1380" w:type="dxa"/>
            <w:vAlign w:val="bottom"/>
          </w:tcPr>
          <w:p>
            <w:pPr>
              <w:jc w:val="center"/>
              <w:ind w:left="330"/>
              <w:spacing w:after="0"/>
              <w:rPr>
                <w:sz w:val="20"/>
                <w:szCs w:val="20"/>
                <w:color w:val="auto"/>
              </w:rPr>
            </w:pPr>
            <w:r>
              <w:rPr>
                <w:rFonts w:ascii="Arial" w:cs="Arial" w:eastAsia="Arial" w:hAnsi="Arial"/>
                <w:sz w:val="18"/>
                <w:szCs w:val="18"/>
                <w:color w:val="auto"/>
                <w:w w:val="99"/>
              </w:rPr>
              <w:t>1997</w:t>
            </w:r>
          </w:p>
        </w:tc>
      </w:tr>
      <w:tr>
        <w:trPr>
          <w:trHeight w:val="296"/>
        </w:trPr>
        <w:tc>
          <w:tcPr>
            <w:tcW w:w="20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Roger A. Krone</w:t>
            </w:r>
          </w:p>
        </w:tc>
        <w:tc>
          <w:tcPr>
            <w:tcW w:w="78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60</w:t>
            </w:r>
          </w:p>
        </w:tc>
        <w:tc>
          <w:tcPr>
            <w:tcW w:w="1380" w:type="dxa"/>
            <w:vAlign w:val="bottom"/>
          </w:tcPr>
          <w:p>
            <w:pPr>
              <w:jc w:val="center"/>
              <w:ind w:left="330"/>
              <w:spacing w:after="0"/>
              <w:rPr>
                <w:sz w:val="20"/>
                <w:szCs w:val="20"/>
                <w:color w:val="auto"/>
              </w:rPr>
            </w:pPr>
            <w:r>
              <w:rPr>
                <w:rFonts w:ascii="Arial" w:cs="Arial" w:eastAsia="Arial" w:hAnsi="Arial"/>
                <w:sz w:val="18"/>
                <w:szCs w:val="18"/>
                <w:color w:val="auto"/>
                <w:w w:val="99"/>
              </w:rPr>
              <w:t>2014</w:t>
            </w:r>
          </w:p>
        </w:tc>
      </w:tr>
      <w:tr>
        <w:trPr>
          <w:trHeight w:val="217"/>
        </w:trPr>
        <w:tc>
          <w:tcPr>
            <w:tcW w:w="20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Gary S. May</w:t>
            </w:r>
          </w:p>
        </w:tc>
        <w:tc>
          <w:tcPr>
            <w:tcW w:w="78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52</w:t>
            </w:r>
          </w:p>
        </w:tc>
        <w:tc>
          <w:tcPr>
            <w:tcW w:w="1380" w:type="dxa"/>
            <w:vAlign w:val="bottom"/>
          </w:tcPr>
          <w:p>
            <w:pPr>
              <w:jc w:val="center"/>
              <w:ind w:left="330"/>
              <w:spacing w:after="0"/>
              <w:rPr>
                <w:sz w:val="20"/>
                <w:szCs w:val="20"/>
                <w:color w:val="auto"/>
              </w:rPr>
            </w:pPr>
            <w:r>
              <w:rPr>
                <w:rFonts w:ascii="Arial" w:cs="Arial" w:eastAsia="Arial" w:hAnsi="Arial"/>
                <w:sz w:val="18"/>
                <w:szCs w:val="18"/>
                <w:color w:val="auto"/>
                <w:w w:val="99"/>
              </w:rPr>
              <w:t>2015</w:t>
            </w:r>
          </w:p>
        </w:tc>
      </w:tr>
      <w:tr>
        <w:trPr>
          <w:trHeight w:val="297"/>
        </w:trPr>
        <w:tc>
          <w:tcPr>
            <w:tcW w:w="20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Surya N. Mohapatra</w:t>
            </w:r>
          </w:p>
        </w:tc>
        <w:tc>
          <w:tcPr>
            <w:tcW w:w="78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67</w:t>
            </w:r>
          </w:p>
        </w:tc>
        <w:tc>
          <w:tcPr>
            <w:tcW w:w="1380" w:type="dxa"/>
            <w:vAlign w:val="bottom"/>
          </w:tcPr>
          <w:p>
            <w:pPr>
              <w:jc w:val="center"/>
              <w:ind w:left="330"/>
              <w:spacing w:after="0"/>
              <w:rPr>
                <w:sz w:val="20"/>
                <w:szCs w:val="20"/>
                <w:color w:val="auto"/>
              </w:rPr>
            </w:pPr>
            <w:r>
              <w:rPr>
                <w:rFonts w:ascii="Arial" w:cs="Arial" w:eastAsia="Arial" w:hAnsi="Arial"/>
                <w:sz w:val="18"/>
                <w:szCs w:val="18"/>
                <w:color w:val="auto"/>
                <w:w w:val="99"/>
              </w:rPr>
              <w:t>2016</w:t>
            </w:r>
          </w:p>
        </w:tc>
      </w:tr>
      <w:tr>
        <w:trPr>
          <w:trHeight w:val="296"/>
        </w:trPr>
        <w:tc>
          <w:tcPr>
            <w:tcW w:w="20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Lawrence C. Nussdorf</w:t>
            </w:r>
          </w:p>
        </w:tc>
        <w:tc>
          <w:tcPr>
            <w:tcW w:w="78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70</w:t>
            </w:r>
          </w:p>
        </w:tc>
        <w:tc>
          <w:tcPr>
            <w:tcW w:w="1380" w:type="dxa"/>
            <w:vAlign w:val="bottom"/>
          </w:tcPr>
          <w:p>
            <w:pPr>
              <w:jc w:val="center"/>
              <w:ind w:left="330"/>
              <w:spacing w:after="0"/>
              <w:rPr>
                <w:sz w:val="20"/>
                <w:szCs w:val="20"/>
                <w:color w:val="auto"/>
              </w:rPr>
            </w:pPr>
            <w:r>
              <w:rPr>
                <w:rFonts w:ascii="Arial" w:cs="Arial" w:eastAsia="Arial" w:hAnsi="Arial"/>
                <w:sz w:val="18"/>
                <w:szCs w:val="18"/>
                <w:color w:val="auto"/>
                <w:w w:val="99"/>
              </w:rPr>
              <w:t>2010</w:t>
            </w:r>
          </w:p>
        </w:tc>
      </w:tr>
      <w:tr>
        <w:trPr>
          <w:trHeight w:val="217"/>
        </w:trPr>
        <w:tc>
          <w:tcPr>
            <w:tcW w:w="20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Robert S. Shapard</w:t>
            </w:r>
          </w:p>
        </w:tc>
        <w:tc>
          <w:tcPr>
            <w:tcW w:w="78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61</w:t>
            </w:r>
          </w:p>
        </w:tc>
        <w:tc>
          <w:tcPr>
            <w:tcW w:w="1380" w:type="dxa"/>
            <w:vAlign w:val="bottom"/>
          </w:tcPr>
          <w:p>
            <w:pPr>
              <w:jc w:val="center"/>
              <w:ind w:left="330"/>
              <w:spacing w:after="0"/>
              <w:rPr>
                <w:sz w:val="20"/>
                <w:szCs w:val="20"/>
                <w:color w:val="auto"/>
              </w:rPr>
            </w:pPr>
            <w:r>
              <w:rPr>
                <w:rFonts w:ascii="Arial" w:cs="Arial" w:eastAsia="Arial" w:hAnsi="Arial"/>
                <w:sz w:val="18"/>
                <w:szCs w:val="18"/>
                <w:color w:val="auto"/>
                <w:w w:val="99"/>
              </w:rPr>
              <w:t>2013</w:t>
            </w:r>
          </w:p>
        </w:tc>
      </w:tr>
      <w:tr>
        <w:trPr>
          <w:trHeight w:val="297"/>
        </w:trPr>
        <w:tc>
          <w:tcPr>
            <w:tcW w:w="20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Susan M. Stalnecker</w:t>
            </w:r>
          </w:p>
        </w:tc>
        <w:tc>
          <w:tcPr>
            <w:tcW w:w="78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64</w:t>
            </w:r>
          </w:p>
        </w:tc>
        <w:tc>
          <w:tcPr>
            <w:tcW w:w="1380" w:type="dxa"/>
            <w:vAlign w:val="bottom"/>
          </w:tcPr>
          <w:p>
            <w:pPr>
              <w:jc w:val="center"/>
              <w:ind w:left="330"/>
              <w:spacing w:after="0"/>
              <w:rPr>
                <w:sz w:val="20"/>
                <w:szCs w:val="20"/>
                <w:color w:val="auto"/>
              </w:rPr>
            </w:pPr>
            <w:r>
              <w:rPr>
                <w:rFonts w:ascii="Arial" w:cs="Arial" w:eastAsia="Arial" w:hAnsi="Arial"/>
                <w:sz w:val="18"/>
                <w:szCs w:val="18"/>
                <w:color w:val="auto"/>
                <w:w w:val="99"/>
              </w:rPr>
              <w:t>2016</w:t>
            </w:r>
          </w:p>
        </w:tc>
      </w:tr>
      <w:tr>
        <w:trPr>
          <w:trHeight w:val="297"/>
        </w:trPr>
        <w:tc>
          <w:tcPr>
            <w:tcW w:w="20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Noel B. Williams</w:t>
            </w:r>
          </w:p>
        </w:tc>
        <w:tc>
          <w:tcPr>
            <w:tcW w:w="78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62</w:t>
            </w:r>
          </w:p>
        </w:tc>
        <w:tc>
          <w:tcPr>
            <w:tcW w:w="1380" w:type="dxa"/>
            <w:vAlign w:val="bottom"/>
          </w:tcPr>
          <w:p>
            <w:pPr>
              <w:jc w:val="center"/>
              <w:ind w:left="330"/>
              <w:spacing w:after="0"/>
              <w:rPr>
                <w:sz w:val="20"/>
                <w:szCs w:val="20"/>
                <w:color w:val="auto"/>
              </w:rPr>
            </w:pPr>
            <w:r>
              <w:rPr>
                <w:rFonts w:ascii="Arial" w:cs="Arial" w:eastAsia="Arial" w:hAnsi="Arial"/>
                <w:sz w:val="18"/>
                <w:szCs w:val="18"/>
                <w:color w:val="auto"/>
                <w:w w:val="99"/>
              </w:rPr>
              <w:t>2013</w:t>
            </w:r>
          </w:p>
        </w:tc>
      </w:tr>
    </w:tbl>
    <w:p>
      <w:pPr>
        <w:spacing w:after="0" w:line="20" w:lineRule="exact"/>
        <w:rPr>
          <w:sz w:val="20"/>
          <w:szCs w:val="20"/>
          <w:color w:val="auto"/>
        </w:rPr>
      </w:pPr>
      <w:r>
        <w:rPr>
          <w:sz w:val="20"/>
          <w:szCs w:val="20"/>
          <w:color w:val="auto"/>
        </w:rPr>
        <w:br w:type="column"/>
      </w:r>
    </w:p>
    <w:p>
      <w:pPr>
        <w:spacing w:after="0" w:line="39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FFFFFF"/>
        </w:rPr>
        <w:t>Principal Occupation</w:t>
      </w:r>
    </w:p>
    <w:p>
      <w:pPr>
        <w:spacing w:after="0" w:line="18" w:lineRule="exact"/>
        <w:rPr>
          <w:sz w:val="20"/>
          <w:szCs w:val="20"/>
          <w:color w:val="auto"/>
        </w:rPr>
      </w:pPr>
    </w:p>
    <w:p>
      <w:pPr>
        <w:ind w:right="500"/>
        <w:spacing w:after="0" w:line="234" w:lineRule="auto"/>
        <w:rPr>
          <w:sz w:val="20"/>
          <w:szCs w:val="20"/>
          <w:color w:val="auto"/>
        </w:rPr>
      </w:pPr>
      <w:r>
        <w:rPr>
          <w:rFonts w:ascii="Arial" w:cs="Arial" w:eastAsia="Arial" w:hAnsi="Arial"/>
          <w:sz w:val="18"/>
          <w:szCs w:val="18"/>
          <w:color w:val="auto"/>
        </w:rPr>
        <w:t>Former Senior Vice President, Washington Operations, Lockheed Martin Corporation; 26th Under Secretary of the Army</w:t>
      </w:r>
    </w:p>
    <w:p>
      <w:pPr>
        <w:spacing w:after="0" w:line="2" w:lineRule="exact"/>
        <w:rPr>
          <w:sz w:val="20"/>
          <w:szCs w:val="20"/>
          <w:color w:val="auto"/>
        </w:rPr>
      </w:pPr>
    </w:p>
    <w:p>
      <w:pPr>
        <w:ind w:right="420"/>
        <w:spacing w:after="0" w:line="234" w:lineRule="auto"/>
        <w:rPr>
          <w:sz w:val="20"/>
          <w:szCs w:val="20"/>
          <w:color w:val="auto"/>
        </w:rPr>
      </w:pPr>
      <w:r>
        <w:rPr>
          <w:rFonts w:ascii="Arial" w:cs="Arial" w:eastAsia="Arial" w:hAnsi="Arial"/>
          <w:sz w:val="18"/>
          <w:szCs w:val="18"/>
          <w:color w:val="auto"/>
        </w:rPr>
        <w:t>Director Emeritus of McKinsey &amp; Company, Inc.; Senior Lecturer, Harvard Business School</w:t>
      </w:r>
    </w:p>
    <w:p>
      <w:pPr>
        <w:spacing w:after="0" w:line="2" w:lineRule="exact"/>
        <w:rPr>
          <w:sz w:val="20"/>
          <w:szCs w:val="20"/>
          <w:color w:val="auto"/>
        </w:rPr>
      </w:pPr>
    </w:p>
    <w:p>
      <w:pPr>
        <w:ind w:right="380"/>
        <w:spacing w:after="0" w:line="234" w:lineRule="auto"/>
        <w:rPr>
          <w:sz w:val="20"/>
          <w:szCs w:val="20"/>
          <w:color w:val="auto"/>
        </w:rPr>
      </w:pPr>
      <w:r>
        <w:rPr>
          <w:rFonts w:ascii="Arial" w:cs="Arial" w:eastAsia="Arial" w:hAnsi="Arial"/>
          <w:sz w:val="18"/>
          <w:szCs w:val="18"/>
          <w:color w:val="auto"/>
        </w:rPr>
        <w:t>Former Vice President of Sandia National Laboratories; Member, Defense Science Board</w:t>
      </w:r>
    </w:p>
    <w:p>
      <w:pPr>
        <w:spacing w:after="0" w:line="2" w:lineRule="exact"/>
        <w:rPr>
          <w:sz w:val="20"/>
          <w:szCs w:val="20"/>
          <w:color w:val="auto"/>
        </w:rPr>
      </w:pPr>
    </w:p>
    <w:p>
      <w:pPr>
        <w:jc w:val="both"/>
        <w:ind w:right="180"/>
        <w:spacing w:after="0" w:line="234" w:lineRule="auto"/>
        <w:rPr>
          <w:sz w:val="20"/>
          <w:szCs w:val="20"/>
          <w:color w:val="auto"/>
        </w:rPr>
      </w:pPr>
      <w:r>
        <w:rPr>
          <w:rFonts w:ascii="Arial" w:cs="Arial" w:eastAsia="Arial" w:hAnsi="Arial"/>
          <w:sz w:val="18"/>
          <w:szCs w:val="18"/>
          <w:color w:val="auto"/>
        </w:rPr>
        <w:t>Former Chief Executive Officer and Chair of the Board; Retired U.S. Airforce General; Former Chief of Staff of the U.S. Air Force and member of the Joint Chiefs of Staff</w:t>
      </w:r>
    </w:p>
    <w:p>
      <w:pPr>
        <w:spacing w:after="0" w:line="2" w:lineRule="exact"/>
        <w:rPr>
          <w:sz w:val="20"/>
          <w:szCs w:val="20"/>
          <w:color w:val="auto"/>
        </w:rPr>
      </w:pPr>
    </w:p>
    <w:p>
      <w:pPr>
        <w:ind w:right="540"/>
        <w:spacing w:after="0" w:line="234" w:lineRule="auto"/>
        <w:rPr>
          <w:sz w:val="20"/>
          <w:szCs w:val="20"/>
          <w:color w:val="auto"/>
        </w:rPr>
      </w:pPr>
      <w:r>
        <w:rPr>
          <w:rFonts w:ascii="Arial" w:cs="Arial" w:eastAsia="Arial" w:hAnsi="Arial"/>
          <w:sz w:val="18"/>
          <w:szCs w:val="18"/>
          <w:color w:val="auto"/>
        </w:rPr>
        <w:t>Executive Partner, Madison Dearborn Partners, LLC; Professor, Kellogg School of Management at Northwestern University Chief Executive Officer and Chair of the Board</w:t>
      </w:r>
    </w:p>
    <w:p>
      <w:pPr>
        <w:spacing w:after="0" w:line="2" w:lineRule="exact"/>
        <w:rPr>
          <w:sz w:val="20"/>
          <w:szCs w:val="20"/>
          <w:color w:val="auto"/>
        </w:rPr>
      </w:pPr>
    </w:p>
    <w:p>
      <w:pPr>
        <w:ind w:right="300"/>
        <w:spacing w:after="0" w:line="234" w:lineRule="auto"/>
        <w:rPr>
          <w:sz w:val="20"/>
          <w:szCs w:val="20"/>
          <w:color w:val="auto"/>
        </w:rPr>
      </w:pPr>
      <w:r>
        <w:rPr>
          <w:rFonts w:ascii="Arial" w:cs="Arial" w:eastAsia="Arial" w:hAnsi="Arial"/>
          <w:sz w:val="18"/>
          <w:szCs w:val="18"/>
          <w:color w:val="auto"/>
        </w:rPr>
        <w:t>Dean of the College of Engineering, Georgia Institute of Technology Former Chairman, President and Chief Executive Officer, Quest Diagnostic Incorporated</w:t>
      </w:r>
    </w:p>
    <w:p>
      <w:pPr>
        <w:spacing w:after="0" w:line="237" w:lineRule="auto"/>
        <w:rPr>
          <w:sz w:val="20"/>
          <w:szCs w:val="20"/>
          <w:color w:val="auto"/>
        </w:rPr>
      </w:pPr>
      <w:r>
        <w:rPr>
          <w:rFonts w:ascii="Arial" w:cs="Arial" w:eastAsia="Arial" w:hAnsi="Arial"/>
          <w:sz w:val="18"/>
          <w:szCs w:val="18"/>
          <w:color w:val="auto"/>
        </w:rPr>
        <w:t>Chairman and Chief Executive Officer, Clark Enterprises, Inc.</w:t>
      </w:r>
    </w:p>
    <w:p>
      <w:pPr>
        <w:jc w:val="both"/>
        <w:ind w:right="80"/>
        <w:spacing w:after="0" w:line="234" w:lineRule="auto"/>
        <w:rPr>
          <w:sz w:val="20"/>
          <w:szCs w:val="20"/>
          <w:color w:val="auto"/>
        </w:rPr>
      </w:pPr>
      <w:r>
        <w:rPr>
          <w:rFonts w:ascii="Arial" w:cs="Arial" w:eastAsia="Arial" w:hAnsi="Arial"/>
          <w:sz w:val="18"/>
          <w:szCs w:val="18"/>
          <w:color w:val="auto"/>
        </w:rPr>
        <w:t>Chairman and Chief Executive Officer, Oncor Electric Delivery Company LLC Former Vice President, Corporate Productivity and Hospitality, E.I. du Pont de Nemours &amp; Co.</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Former President of HCA Information Technology &amp; Services, Inc.</w:t>
      </w:r>
    </w:p>
    <w:p>
      <w:pPr>
        <w:sectPr>
          <w:pgSz w:w="11900" w:h="16838" w:orient="portrait"/>
          <w:cols w:equalWidth="0" w:num="2">
            <w:col w:w="4560" w:space="460"/>
            <w:col w:w="6260"/>
          </w:cols>
          <w:pgMar w:left="240" w:top="459" w:right="379" w:bottom="1440" w:gutter="0" w:footer="0" w:header="0"/>
          <w:type w:val="continuous"/>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207645</wp:posOffset>
            </wp:positionV>
            <wp:extent cx="7276465" cy="67792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76465" cy="6779260"/>
                    </a:xfrm>
                    <a:prstGeom prst="rect">
                      <a:avLst/>
                    </a:prstGeom>
                    <a:noFill/>
                  </pic:spPr>
                </pic:pic>
              </a:graphicData>
            </a:graphic>
          </wp:anchor>
        </w:drawing>
      </w:r>
    </w:p>
    <w:p>
      <w:pPr>
        <w:spacing w:after="0" w:line="200" w:lineRule="exact"/>
        <w:rPr>
          <w:sz w:val="20"/>
          <w:szCs w:val="20"/>
          <w:color w:val="auto"/>
        </w:rPr>
      </w:pPr>
    </w:p>
    <w:p>
      <w:pPr>
        <w:spacing w:after="0" w:line="313" w:lineRule="exact"/>
        <w:rPr>
          <w:sz w:val="20"/>
          <w:szCs w:val="20"/>
          <w:color w:val="auto"/>
        </w:rPr>
      </w:pPr>
    </w:p>
    <w:p>
      <w:pPr>
        <w:ind w:left="200"/>
        <w:spacing w:after="0"/>
        <w:rPr>
          <w:sz w:val="20"/>
          <w:szCs w:val="20"/>
          <w:color w:val="auto"/>
        </w:rPr>
      </w:pPr>
      <w:r>
        <w:rPr>
          <w:rFonts w:ascii="Arial" w:cs="Arial" w:eastAsia="Arial" w:hAnsi="Arial"/>
          <w:sz w:val="39"/>
          <w:szCs w:val="39"/>
          <w:color w:val="483E65"/>
        </w:rPr>
        <w:t>Summary Information</w:t>
      </w:r>
    </w:p>
    <w:p>
      <w:pPr>
        <w:sectPr>
          <w:pgSz w:w="11900" w:h="16838" w:orient="portrait"/>
          <w:cols w:equalWidth="0" w:num="1">
            <w:col w:w="11240"/>
          </w:cols>
          <w:pgMar w:left="240" w:top="459" w:right="419" w:bottom="1440" w:gutter="0" w:footer="0" w:header="0"/>
        </w:sectPr>
      </w:pPr>
    </w:p>
    <w:p>
      <w:pPr>
        <w:spacing w:after="0" w:line="369" w:lineRule="exact"/>
        <w:rPr>
          <w:sz w:val="20"/>
          <w:szCs w:val="20"/>
          <w:color w:val="auto"/>
        </w:rPr>
      </w:pPr>
    </w:p>
    <w:p>
      <w:pPr>
        <w:ind w:left="220"/>
        <w:spacing w:after="0"/>
        <w:rPr>
          <w:sz w:val="20"/>
          <w:szCs w:val="20"/>
          <w:color w:val="auto"/>
        </w:rPr>
      </w:pPr>
      <w:r>
        <w:rPr>
          <w:rFonts w:ascii="Arial" w:cs="Arial" w:eastAsia="Arial" w:hAnsi="Arial"/>
          <w:sz w:val="14"/>
          <w:szCs w:val="14"/>
          <w:b w:val="1"/>
          <w:bCs w:val="1"/>
          <w:color w:val="FFFFFF"/>
        </w:rPr>
        <w:t>Corporate Governance Highlights</w:t>
      </w:r>
    </w:p>
    <w:p>
      <w:pPr>
        <w:spacing w:after="0" w:line="204" w:lineRule="exact"/>
        <w:rPr>
          <w:sz w:val="20"/>
          <w:szCs w:val="20"/>
          <w:color w:val="auto"/>
        </w:rPr>
      </w:pPr>
    </w:p>
    <w:p>
      <w:pPr>
        <w:ind w:left="220"/>
        <w:spacing w:after="0"/>
        <w:rPr>
          <w:sz w:val="20"/>
          <w:szCs w:val="20"/>
          <w:color w:val="auto"/>
        </w:rPr>
      </w:pPr>
      <w:r>
        <w:rPr>
          <w:rFonts w:ascii="Arial" w:cs="Arial" w:eastAsia="Arial" w:hAnsi="Arial"/>
          <w:sz w:val="14"/>
          <w:szCs w:val="14"/>
          <w:b w:val="1"/>
          <w:bCs w:val="1"/>
          <w:color w:val="auto"/>
        </w:rPr>
        <w:t>Board Independence</w:t>
      </w:r>
    </w:p>
    <w:p>
      <w:pPr>
        <w:spacing w:after="0" w:line="19" w:lineRule="exact"/>
        <w:rPr>
          <w:sz w:val="20"/>
          <w:szCs w:val="20"/>
          <w:color w:val="auto"/>
        </w:rPr>
      </w:pPr>
    </w:p>
    <w:p>
      <w:pPr>
        <w:ind w:left="520" w:hanging="217"/>
        <w:spacing w:after="0"/>
        <w:tabs>
          <w:tab w:leader="none" w:pos="520" w:val="left"/>
        </w:tabs>
        <w:numPr>
          <w:ilvl w:val="0"/>
          <w:numId w:val="5"/>
        </w:numPr>
        <w:rPr>
          <w:rFonts w:ascii="Arial" w:cs="Arial" w:eastAsia="Arial" w:hAnsi="Arial"/>
          <w:sz w:val="12"/>
          <w:szCs w:val="12"/>
          <w:color w:val="77387A"/>
        </w:rPr>
      </w:pPr>
      <w:r>
        <w:rPr>
          <w:rFonts w:ascii="Arial" w:cs="Arial" w:eastAsia="Arial" w:hAnsi="Arial"/>
          <w:sz w:val="14"/>
          <w:szCs w:val="14"/>
          <w:color w:val="auto"/>
        </w:rPr>
        <w:t>Independent Directors</w:t>
      </w:r>
    </w:p>
    <w:p>
      <w:pPr>
        <w:spacing w:after="0" w:line="41" w:lineRule="exact"/>
        <w:rPr>
          <w:rFonts w:ascii="Arial" w:cs="Arial" w:eastAsia="Arial" w:hAnsi="Arial"/>
          <w:sz w:val="12"/>
          <w:szCs w:val="12"/>
          <w:color w:val="77387A"/>
        </w:rPr>
      </w:pPr>
    </w:p>
    <w:p>
      <w:pPr>
        <w:ind w:left="520" w:hanging="217"/>
        <w:spacing w:after="0"/>
        <w:tabs>
          <w:tab w:leader="none" w:pos="520" w:val="left"/>
        </w:tabs>
        <w:numPr>
          <w:ilvl w:val="0"/>
          <w:numId w:val="5"/>
        </w:numPr>
        <w:rPr>
          <w:rFonts w:ascii="Arial" w:cs="Arial" w:eastAsia="Arial" w:hAnsi="Arial"/>
          <w:sz w:val="12"/>
          <w:szCs w:val="12"/>
          <w:color w:val="77387A"/>
        </w:rPr>
      </w:pPr>
      <w:r>
        <w:rPr>
          <w:rFonts w:ascii="Arial" w:cs="Arial" w:eastAsia="Arial" w:hAnsi="Arial"/>
          <w:sz w:val="14"/>
          <w:szCs w:val="14"/>
          <w:color w:val="auto"/>
        </w:rPr>
        <w:t>Lead Director</w:t>
      </w:r>
    </w:p>
    <w:p>
      <w:pPr>
        <w:spacing w:after="0" w:line="41" w:lineRule="exact"/>
        <w:rPr>
          <w:rFonts w:ascii="Arial" w:cs="Arial" w:eastAsia="Arial" w:hAnsi="Arial"/>
          <w:sz w:val="12"/>
          <w:szCs w:val="12"/>
          <w:color w:val="77387A"/>
        </w:rPr>
      </w:pPr>
    </w:p>
    <w:p>
      <w:pPr>
        <w:ind w:left="520" w:hanging="217"/>
        <w:spacing w:after="0"/>
        <w:tabs>
          <w:tab w:leader="none" w:pos="520" w:val="left"/>
        </w:tabs>
        <w:numPr>
          <w:ilvl w:val="0"/>
          <w:numId w:val="5"/>
        </w:numPr>
        <w:rPr>
          <w:rFonts w:ascii="Arial" w:cs="Arial" w:eastAsia="Arial" w:hAnsi="Arial"/>
          <w:sz w:val="12"/>
          <w:szCs w:val="12"/>
          <w:color w:val="77387A"/>
        </w:rPr>
      </w:pPr>
      <w:r>
        <w:rPr>
          <w:rFonts w:ascii="Arial" w:cs="Arial" w:eastAsia="Arial" w:hAnsi="Arial"/>
          <w:sz w:val="14"/>
          <w:szCs w:val="14"/>
          <w:color w:val="auto"/>
        </w:rPr>
        <w:t>Mandatory Retirement Age</w:t>
      </w:r>
    </w:p>
    <w:p>
      <w:pPr>
        <w:spacing w:after="0" w:line="23" w:lineRule="exact"/>
        <w:rPr>
          <w:rFonts w:ascii="Arial" w:cs="Arial" w:eastAsia="Arial" w:hAnsi="Arial"/>
          <w:sz w:val="12"/>
          <w:szCs w:val="12"/>
          <w:color w:val="77387A"/>
        </w:rPr>
      </w:pPr>
    </w:p>
    <w:p>
      <w:pPr>
        <w:ind w:left="220"/>
        <w:spacing w:after="0"/>
        <w:rPr>
          <w:rFonts w:ascii="Arial" w:cs="Arial" w:eastAsia="Arial" w:hAnsi="Arial"/>
          <w:sz w:val="12"/>
          <w:szCs w:val="12"/>
          <w:color w:val="77387A"/>
        </w:rPr>
      </w:pPr>
      <w:r>
        <w:rPr>
          <w:rFonts w:ascii="Arial" w:cs="Arial" w:eastAsia="Arial" w:hAnsi="Arial"/>
          <w:sz w:val="14"/>
          <w:szCs w:val="14"/>
          <w:b w:val="1"/>
          <w:bCs w:val="1"/>
          <w:color w:val="auto"/>
        </w:rPr>
        <w:t>Director Elections</w:t>
      </w:r>
    </w:p>
    <w:p>
      <w:pPr>
        <w:spacing w:after="0" w:line="59" w:lineRule="exact"/>
        <w:rPr>
          <w:rFonts w:ascii="Arial" w:cs="Arial" w:eastAsia="Arial" w:hAnsi="Arial"/>
          <w:sz w:val="12"/>
          <w:szCs w:val="12"/>
          <w:color w:val="77387A"/>
        </w:rPr>
      </w:pPr>
    </w:p>
    <w:p>
      <w:pPr>
        <w:ind w:left="520" w:hanging="217"/>
        <w:spacing w:after="0"/>
        <w:tabs>
          <w:tab w:leader="none" w:pos="520" w:val="left"/>
        </w:tabs>
        <w:numPr>
          <w:ilvl w:val="0"/>
          <w:numId w:val="5"/>
        </w:numPr>
        <w:rPr>
          <w:rFonts w:ascii="Arial" w:cs="Arial" w:eastAsia="Arial" w:hAnsi="Arial"/>
          <w:sz w:val="12"/>
          <w:szCs w:val="12"/>
          <w:color w:val="77387A"/>
        </w:rPr>
      </w:pPr>
      <w:r>
        <w:rPr>
          <w:rFonts w:ascii="Arial" w:cs="Arial" w:eastAsia="Arial" w:hAnsi="Arial"/>
          <w:sz w:val="14"/>
          <w:szCs w:val="14"/>
          <w:color w:val="auto"/>
        </w:rPr>
        <w:t>Annual Board Elections</w:t>
      </w:r>
    </w:p>
    <w:p>
      <w:pPr>
        <w:spacing w:after="0" w:line="41" w:lineRule="exact"/>
        <w:rPr>
          <w:rFonts w:ascii="Arial" w:cs="Arial" w:eastAsia="Arial" w:hAnsi="Arial"/>
          <w:sz w:val="12"/>
          <w:szCs w:val="12"/>
          <w:color w:val="77387A"/>
        </w:rPr>
      </w:pPr>
    </w:p>
    <w:p>
      <w:pPr>
        <w:ind w:left="520" w:hanging="217"/>
        <w:spacing w:after="0"/>
        <w:tabs>
          <w:tab w:leader="none" w:pos="520" w:val="left"/>
        </w:tabs>
        <w:numPr>
          <w:ilvl w:val="0"/>
          <w:numId w:val="5"/>
        </w:numPr>
        <w:rPr>
          <w:rFonts w:ascii="Arial" w:cs="Arial" w:eastAsia="Arial" w:hAnsi="Arial"/>
          <w:sz w:val="12"/>
          <w:szCs w:val="12"/>
          <w:color w:val="77387A"/>
        </w:rPr>
      </w:pPr>
      <w:r>
        <w:rPr>
          <w:rFonts w:ascii="Arial" w:cs="Arial" w:eastAsia="Arial" w:hAnsi="Arial"/>
          <w:sz w:val="14"/>
          <w:szCs w:val="14"/>
          <w:color w:val="auto"/>
        </w:rPr>
        <w:t>Directors Elected by a Majority of Votes Cast</w:t>
      </w:r>
    </w:p>
    <w:p>
      <w:pPr>
        <w:spacing w:after="0" w:line="23" w:lineRule="exact"/>
        <w:rPr>
          <w:rFonts w:ascii="Arial" w:cs="Arial" w:eastAsia="Arial" w:hAnsi="Arial"/>
          <w:sz w:val="12"/>
          <w:szCs w:val="12"/>
          <w:color w:val="77387A"/>
        </w:rPr>
      </w:pPr>
    </w:p>
    <w:p>
      <w:pPr>
        <w:ind w:left="220"/>
        <w:spacing w:after="0"/>
        <w:rPr>
          <w:rFonts w:ascii="Arial" w:cs="Arial" w:eastAsia="Arial" w:hAnsi="Arial"/>
          <w:sz w:val="12"/>
          <w:szCs w:val="12"/>
          <w:color w:val="77387A"/>
        </w:rPr>
      </w:pPr>
      <w:r>
        <w:rPr>
          <w:rFonts w:ascii="Arial" w:cs="Arial" w:eastAsia="Arial" w:hAnsi="Arial"/>
          <w:sz w:val="14"/>
          <w:szCs w:val="14"/>
          <w:b w:val="1"/>
          <w:bCs w:val="1"/>
          <w:color w:val="auto"/>
        </w:rPr>
        <w:t>Board Meetings in Last Fiscal Year</w:t>
      </w:r>
    </w:p>
    <w:p>
      <w:pPr>
        <w:spacing w:after="0" w:line="59" w:lineRule="exact"/>
        <w:rPr>
          <w:rFonts w:ascii="Arial" w:cs="Arial" w:eastAsia="Arial" w:hAnsi="Arial"/>
          <w:sz w:val="12"/>
          <w:szCs w:val="12"/>
          <w:color w:val="77387A"/>
        </w:rPr>
      </w:pPr>
    </w:p>
    <w:p>
      <w:pPr>
        <w:ind w:left="520" w:hanging="217"/>
        <w:spacing w:after="0"/>
        <w:tabs>
          <w:tab w:leader="none" w:pos="520" w:val="left"/>
        </w:tabs>
        <w:numPr>
          <w:ilvl w:val="0"/>
          <w:numId w:val="5"/>
        </w:numPr>
        <w:rPr>
          <w:rFonts w:ascii="Arial" w:cs="Arial" w:eastAsia="Arial" w:hAnsi="Arial"/>
          <w:sz w:val="12"/>
          <w:szCs w:val="12"/>
          <w:color w:val="77387A"/>
        </w:rPr>
      </w:pPr>
      <w:r>
        <w:rPr>
          <w:rFonts w:ascii="Arial" w:cs="Arial" w:eastAsia="Arial" w:hAnsi="Arial"/>
          <w:sz w:val="14"/>
          <w:szCs w:val="14"/>
          <w:color w:val="auto"/>
        </w:rPr>
        <w:t>Full Board Meetings</w:t>
      </w:r>
    </w:p>
    <w:p>
      <w:pPr>
        <w:spacing w:after="0" w:line="41" w:lineRule="exact"/>
        <w:rPr>
          <w:rFonts w:ascii="Arial" w:cs="Arial" w:eastAsia="Arial" w:hAnsi="Arial"/>
          <w:sz w:val="12"/>
          <w:szCs w:val="12"/>
          <w:color w:val="77387A"/>
        </w:rPr>
      </w:pPr>
    </w:p>
    <w:p>
      <w:pPr>
        <w:ind w:left="520" w:hanging="217"/>
        <w:spacing w:after="0"/>
        <w:tabs>
          <w:tab w:leader="none" w:pos="520" w:val="left"/>
        </w:tabs>
        <w:numPr>
          <w:ilvl w:val="0"/>
          <w:numId w:val="5"/>
        </w:numPr>
        <w:rPr>
          <w:rFonts w:ascii="Arial" w:cs="Arial" w:eastAsia="Arial" w:hAnsi="Arial"/>
          <w:sz w:val="12"/>
          <w:szCs w:val="12"/>
          <w:color w:val="77387A"/>
        </w:rPr>
      </w:pPr>
      <w:r>
        <w:rPr>
          <w:rFonts w:ascii="Arial" w:cs="Arial" w:eastAsia="Arial" w:hAnsi="Arial"/>
          <w:sz w:val="14"/>
          <w:szCs w:val="14"/>
          <w:color w:val="auto"/>
        </w:rPr>
        <w:t>Independent Director Only Sessions</w:t>
      </w:r>
    </w:p>
    <w:p>
      <w:pPr>
        <w:spacing w:after="0" w:line="24" w:lineRule="exact"/>
        <w:rPr>
          <w:sz w:val="20"/>
          <w:szCs w:val="20"/>
          <w:color w:val="auto"/>
        </w:rPr>
      </w:pPr>
    </w:p>
    <w:p>
      <w:pPr>
        <w:ind w:left="220"/>
        <w:spacing w:after="0"/>
        <w:rPr>
          <w:sz w:val="20"/>
          <w:szCs w:val="20"/>
          <w:color w:val="auto"/>
        </w:rPr>
      </w:pPr>
      <w:r>
        <w:rPr>
          <w:rFonts w:ascii="Arial" w:cs="Arial" w:eastAsia="Arial" w:hAnsi="Arial"/>
          <w:sz w:val="14"/>
          <w:szCs w:val="14"/>
          <w:b w:val="1"/>
          <w:bCs w:val="1"/>
          <w:color w:val="auto"/>
        </w:rPr>
        <w:t>Board Committee Meetings in Last Fiscal Year</w:t>
      </w:r>
    </w:p>
    <w:p>
      <w:pPr>
        <w:spacing w:after="0" w:line="60" w:lineRule="exact"/>
        <w:rPr>
          <w:sz w:val="20"/>
          <w:szCs w:val="20"/>
          <w:color w:val="auto"/>
        </w:rPr>
      </w:pPr>
    </w:p>
    <w:p>
      <w:pPr>
        <w:ind w:left="520" w:hanging="217"/>
        <w:spacing w:after="0"/>
        <w:tabs>
          <w:tab w:leader="none" w:pos="520" w:val="left"/>
        </w:tabs>
        <w:numPr>
          <w:ilvl w:val="0"/>
          <w:numId w:val="6"/>
        </w:numPr>
        <w:rPr>
          <w:rFonts w:ascii="Arial" w:cs="Arial" w:eastAsia="Arial" w:hAnsi="Arial"/>
          <w:sz w:val="12"/>
          <w:szCs w:val="12"/>
          <w:color w:val="77387A"/>
        </w:rPr>
      </w:pPr>
      <w:r>
        <w:rPr>
          <w:rFonts w:ascii="Arial" w:cs="Arial" w:eastAsia="Arial" w:hAnsi="Arial"/>
          <w:sz w:val="14"/>
          <w:szCs w:val="14"/>
          <w:color w:val="auto"/>
        </w:rPr>
        <w:t>Audit</w:t>
      </w:r>
    </w:p>
    <w:p>
      <w:pPr>
        <w:spacing w:after="0" w:line="41" w:lineRule="exact"/>
        <w:rPr>
          <w:rFonts w:ascii="Arial" w:cs="Arial" w:eastAsia="Arial" w:hAnsi="Arial"/>
          <w:sz w:val="12"/>
          <w:szCs w:val="12"/>
          <w:color w:val="77387A"/>
        </w:rPr>
      </w:pPr>
    </w:p>
    <w:p>
      <w:pPr>
        <w:ind w:left="520" w:hanging="217"/>
        <w:spacing w:after="0"/>
        <w:tabs>
          <w:tab w:leader="none" w:pos="520" w:val="left"/>
        </w:tabs>
        <w:numPr>
          <w:ilvl w:val="0"/>
          <w:numId w:val="6"/>
        </w:numPr>
        <w:rPr>
          <w:rFonts w:ascii="Arial" w:cs="Arial" w:eastAsia="Arial" w:hAnsi="Arial"/>
          <w:sz w:val="12"/>
          <w:szCs w:val="12"/>
          <w:color w:val="77387A"/>
        </w:rPr>
      </w:pPr>
      <w:r>
        <w:rPr>
          <w:rFonts w:ascii="Arial" w:cs="Arial" w:eastAsia="Arial" w:hAnsi="Arial"/>
          <w:sz w:val="14"/>
          <w:szCs w:val="14"/>
          <w:color w:val="auto"/>
        </w:rPr>
        <w:t>Classified Business Oversight</w:t>
      </w:r>
    </w:p>
    <w:p>
      <w:pPr>
        <w:spacing w:after="0" w:line="41" w:lineRule="exact"/>
        <w:rPr>
          <w:rFonts w:ascii="Arial" w:cs="Arial" w:eastAsia="Arial" w:hAnsi="Arial"/>
          <w:sz w:val="12"/>
          <w:szCs w:val="12"/>
          <w:color w:val="77387A"/>
        </w:rPr>
      </w:pPr>
    </w:p>
    <w:p>
      <w:pPr>
        <w:ind w:left="520" w:hanging="217"/>
        <w:spacing w:after="0"/>
        <w:tabs>
          <w:tab w:leader="none" w:pos="520" w:val="left"/>
        </w:tabs>
        <w:numPr>
          <w:ilvl w:val="0"/>
          <w:numId w:val="6"/>
        </w:numPr>
        <w:rPr>
          <w:rFonts w:ascii="Arial" w:cs="Arial" w:eastAsia="Arial" w:hAnsi="Arial"/>
          <w:sz w:val="12"/>
          <w:szCs w:val="12"/>
          <w:color w:val="77387A"/>
        </w:rPr>
      </w:pPr>
      <w:r>
        <w:rPr>
          <w:rFonts w:ascii="Arial" w:cs="Arial" w:eastAsia="Arial" w:hAnsi="Arial"/>
          <w:sz w:val="14"/>
          <w:szCs w:val="14"/>
          <w:color w:val="auto"/>
        </w:rPr>
        <w:t>Ethics &amp; Corporate Responsibility</w:t>
      </w:r>
    </w:p>
    <w:p>
      <w:pPr>
        <w:spacing w:after="0" w:line="41" w:lineRule="exact"/>
        <w:rPr>
          <w:rFonts w:ascii="Arial" w:cs="Arial" w:eastAsia="Arial" w:hAnsi="Arial"/>
          <w:sz w:val="12"/>
          <w:szCs w:val="12"/>
          <w:color w:val="77387A"/>
        </w:rPr>
      </w:pPr>
    </w:p>
    <w:p>
      <w:pPr>
        <w:ind w:left="520" w:hanging="217"/>
        <w:spacing w:after="0"/>
        <w:tabs>
          <w:tab w:leader="none" w:pos="520" w:val="left"/>
        </w:tabs>
        <w:numPr>
          <w:ilvl w:val="0"/>
          <w:numId w:val="6"/>
        </w:numPr>
        <w:rPr>
          <w:rFonts w:ascii="Arial" w:cs="Arial" w:eastAsia="Arial" w:hAnsi="Arial"/>
          <w:sz w:val="12"/>
          <w:szCs w:val="12"/>
          <w:color w:val="77387A"/>
        </w:rPr>
      </w:pPr>
      <w:r>
        <w:rPr>
          <w:rFonts w:ascii="Arial" w:cs="Arial" w:eastAsia="Arial" w:hAnsi="Arial"/>
          <w:sz w:val="14"/>
          <w:szCs w:val="14"/>
          <w:color w:val="auto"/>
        </w:rPr>
        <w:t>Finance</w:t>
      </w:r>
    </w:p>
    <w:p>
      <w:pPr>
        <w:spacing w:after="0" w:line="41" w:lineRule="exact"/>
        <w:rPr>
          <w:rFonts w:ascii="Arial" w:cs="Arial" w:eastAsia="Arial" w:hAnsi="Arial"/>
          <w:sz w:val="12"/>
          <w:szCs w:val="12"/>
          <w:color w:val="77387A"/>
        </w:rPr>
      </w:pPr>
    </w:p>
    <w:p>
      <w:pPr>
        <w:ind w:left="520" w:hanging="217"/>
        <w:spacing w:after="0"/>
        <w:tabs>
          <w:tab w:leader="none" w:pos="520" w:val="left"/>
        </w:tabs>
        <w:numPr>
          <w:ilvl w:val="0"/>
          <w:numId w:val="6"/>
        </w:numPr>
        <w:rPr>
          <w:rFonts w:ascii="Arial" w:cs="Arial" w:eastAsia="Arial" w:hAnsi="Arial"/>
          <w:sz w:val="12"/>
          <w:szCs w:val="12"/>
          <w:color w:val="77387A"/>
        </w:rPr>
      </w:pPr>
      <w:r>
        <w:rPr>
          <w:rFonts w:ascii="Arial" w:cs="Arial" w:eastAsia="Arial" w:hAnsi="Arial"/>
          <w:sz w:val="14"/>
          <w:szCs w:val="14"/>
          <w:color w:val="auto"/>
        </w:rPr>
        <w:t>Human Resources &amp; Compensation</w:t>
      </w:r>
    </w:p>
    <w:p>
      <w:pPr>
        <w:spacing w:after="0" w:line="41" w:lineRule="exact"/>
        <w:rPr>
          <w:rFonts w:ascii="Arial" w:cs="Arial" w:eastAsia="Arial" w:hAnsi="Arial"/>
          <w:sz w:val="12"/>
          <w:szCs w:val="12"/>
          <w:color w:val="77387A"/>
        </w:rPr>
      </w:pPr>
    </w:p>
    <w:p>
      <w:pPr>
        <w:ind w:left="520" w:hanging="217"/>
        <w:spacing w:after="0"/>
        <w:tabs>
          <w:tab w:leader="none" w:pos="520" w:val="left"/>
        </w:tabs>
        <w:numPr>
          <w:ilvl w:val="0"/>
          <w:numId w:val="6"/>
        </w:numPr>
        <w:rPr>
          <w:rFonts w:ascii="Arial" w:cs="Arial" w:eastAsia="Arial" w:hAnsi="Arial"/>
          <w:sz w:val="12"/>
          <w:szCs w:val="12"/>
          <w:color w:val="77387A"/>
        </w:rPr>
      </w:pPr>
      <w:r>
        <w:rPr>
          <w:rFonts w:ascii="Arial" w:cs="Arial" w:eastAsia="Arial" w:hAnsi="Arial"/>
          <w:sz w:val="14"/>
          <w:szCs w:val="14"/>
          <w:color w:val="auto"/>
        </w:rPr>
        <w:t>Nominating &amp; Corporate Governance</w:t>
      </w:r>
    </w:p>
    <w:p>
      <w:pPr>
        <w:spacing w:after="0" w:line="23" w:lineRule="exact"/>
        <w:rPr>
          <w:rFonts w:ascii="Arial" w:cs="Arial" w:eastAsia="Arial" w:hAnsi="Arial"/>
          <w:sz w:val="12"/>
          <w:szCs w:val="12"/>
          <w:color w:val="77387A"/>
        </w:rPr>
      </w:pPr>
    </w:p>
    <w:p>
      <w:pPr>
        <w:ind w:left="220"/>
        <w:spacing w:after="0"/>
        <w:rPr>
          <w:rFonts w:ascii="Arial" w:cs="Arial" w:eastAsia="Arial" w:hAnsi="Arial"/>
          <w:sz w:val="12"/>
          <w:szCs w:val="12"/>
          <w:color w:val="77387A"/>
        </w:rPr>
      </w:pPr>
      <w:r>
        <w:rPr>
          <w:rFonts w:ascii="Arial" w:cs="Arial" w:eastAsia="Arial" w:hAnsi="Arial"/>
          <w:sz w:val="14"/>
          <w:szCs w:val="14"/>
          <w:b w:val="1"/>
          <w:bCs w:val="1"/>
          <w:color w:val="auto"/>
        </w:rPr>
        <w:t>Evaluating and Improving Board Performance</w:t>
      </w:r>
    </w:p>
    <w:p>
      <w:pPr>
        <w:spacing w:after="0" w:line="59" w:lineRule="exact"/>
        <w:rPr>
          <w:rFonts w:ascii="Arial" w:cs="Arial" w:eastAsia="Arial" w:hAnsi="Arial"/>
          <w:sz w:val="12"/>
          <w:szCs w:val="12"/>
          <w:color w:val="77387A"/>
        </w:rPr>
      </w:pPr>
    </w:p>
    <w:p>
      <w:pPr>
        <w:ind w:left="520" w:hanging="217"/>
        <w:spacing w:after="0"/>
        <w:tabs>
          <w:tab w:leader="none" w:pos="520" w:val="left"/>
        </w:tabs>
        <w:numPr>
          <w:ilvl w:val="0"/>
          <w:numId w:val="6"/>
        </w:numPr>
        <w:rPr>
          <w:rFonts w:ascii="Arial" w:cs="Arial" w:eastAsia="Arial" w:hAnsi="Arial"/>
          <w:sz w:val="12"/>
          <w:szCs w:val="12"/>
          <w:color w:val="77387A"/>
        </w:rPr>
      </w:pPr>
      <w:r>
        <w:rPr>
          <w:rFonts w:ascii="Arial" w:cs="Arial" w:eastAsia="Arial" w:hAnsi="Arial"/>
          <w:sz w:val="14"/>
          <w:szCs w:val="14"/>
          <w:color w:val="auto"/>
        </w:rPr>
        <w:t>Annual Board Self-Evaluation Required</w:t>
      </w:r>
    </w:p>
    <w:p>
      <w:pPr>
        <w:spacing w:after="0" w:line="41" w:lineRule="exact"/>
        <w:rPr>
          <w:rFonts w:ascii="Arial" w:cs="Arial" w:eastAsia="Arial" w:hAnsi="Arial"/>
          <w:sz w:val="12"/>
          <w:szCs w:val="12"/>
          <w:color w:val="77387A"/>
        </w:rPr>
      </w:pPr>
    </w:p>
    <w:p>
      <w:pPr>
        <w:ind w:left="520" w:hanging="217"/>
        <w:spacing w:after="0"/>
        <w:tabs>
          <w:tab w:leader="none" w:pos="520" w:val="left"/>
        </w:tabs>
        <w:numPr>
          <w:ilvl w:val="0"/>
          <w:numId w:val="6"/>
        </w:numPr>
        <w:rPr>
          <w:rFonts w:ascii="Arial" w:cs="Arial" w:eastAsia="Arial" w:hAnsi="Arial"/>
          <w:sz w:val="12"/>
          <w:szCs w:val="12"/>
          <w:color w:val="77387A"/>
        </w:rPr>
      </w:pPr>
      <w:r>
        <w:rPr>
          <w:rFonts w:ascii="Arial" w:cs="Arial" w:eastAsia="Arial" w:hAnsi="Arial"/>
          <w:sz w:val="14"/>
          <w:szCs w:val="14"/>
          <w:color w:val="auto"/>
        </w:rPr>
        <w:t>Annual Review of Independence of Board</w:t>
      </w:r>
    </w:p>
    <w:p>
      <w:pPr>
        <w:spacing w:after="0" w:line="41" w:lineRule="exact"/>
        <w:rPr>
          <w:rFonts w:ascii="Arial" w:cs="Arial" w:eastAsia="Arial" w:hAnsi="Arial"/>
          <w:sz w:val="12"/>
          <w:szCs w:val="12"/>
          <w:color w:val="77387A"/>
        </w:rPr>
      </w:pPr>
    </w:p>
    <w:p>
      <w:pPr>
        <w:ind w:left="520" w:hanging="217"/>
        <w:spacing w:after="0"/>
        <w:tabs>
          <w:tab w:leader="none" w:pos="520" w:val="left"/>
        </w:tabs>
        <w:numPr>
          <w:ilvl w:val="0"/>
          <w:numId w:val="6"/>
        </w:numPr>
        <w:rPr>
          <w:rFonts w:ascii="Arial" w:cs="Arial" w:eastAsia="Arial" w:hAnsi="Arial"/>
          <w:sz w:val="12"/>
          <w:szCs w:val="12"/>
          <w:color w:val="77387A"/>
        </w:rPr>
      </w:pPr>
      <w:r>
        <w:rPr>
          <w:rFonts w:ascii="Arial" w:cs="Arial" w:eastAsia="Arial" w:hAnsi="Arial"/>
          <w:sz w:val="14"/>
          <w:szCs w:val="14"/>
          <w:color w:val="auto"/>
        </w:rPr>
        <w:t>Committee Self Evaluations Required</w:t>
      </w:r>
    </w:p>
    <w:p>
      <w:pPr>
        <w:spacing w:after="0" w:line="41" w:lineRule="exact"/>
        <w:rPr>
          <w:rFonts w:ascii="Arial" w:cs="Arial" w:eastAsia="Arial" w:hAnsi="Arial"/>
          <w:sz w:val="12"/>
          <w:szCs w:val="12"/>
          <w:color w:val="77387A"/>
        </w:rPr>
      </w:pPr>
    </w:p>
    <w:p>
      <w:pPr>
        <w:ind w:left="520" w:hanging="217"/>
        <w:spacing w:after="0"/>
        <w:tabs>
          <w:tab w:leader="none" w:pos="520" w:val="left"/>
        </w:tabs>
        <w:numPr>
          <w:ilvl w:val="0"/>
          <w:numId w:val="6"/>
        </w:numPr>
        <w:rPr>
          <w:rFonts w:ascii="Arial" w:cs="Arial" w:eastAsia="Arial" w:hAnsi="Arial"/>
          <w:sz w:val="12"/>
          <w:szCs w:val="12"/>
          <w:color w:val="77387A"/>
        </w:rPr>
      </w:pPr>
      <w:r>
        <w:rPr>
          <w:rFonts w:ascii="Arial" w:cs="Arial" w:eastAsia="Arial" w:hAnsi="Arial"/>
          <w:sz w:val="14"/>
          <w:szCs w:val="14"/>
          <w:color w:val="auto"/>
        </w:rPr>
        <w:t>Board Orientation/Education Programs</w:t>
      </w:r>
    </w:p>
    <w:p>
      <w:pPr>
        <w:spacing w:after="0" w:line="23" w:lineRule="exact"/>
        <w:rPr>
          <w:rFonts w:ascii="Arial" w:cs="Arial" w:eastAsia="Arial" w:hAnsi="Arial"/>
          <w:sz w:val="12"/>
          <w:szCs w:val="12"/>
          <w:color w:val="77387A"/>
        </w:rPr>
      </w:pPr>
    </w:p>
    <w:p>
      <w:pPr>
        <w:ind w:left="220"/>
        <w:spacing w:after="0"/>
        <w:rPr>
          <w:rFonts w:ascii="Arial" w:cs="Arial" w:eastAsia="Arial" w:hAnsi="Arial"/>
          <w:sz w:val="12"/>
          <w:szCs w:val="12"/>
          <w:color w:val="77387A"/>
        </w:rPr>
      </w:pPr>
      <w:r>
        <w:rPr>
          <w:rFonts w:ascii="Arial" w:cs="Arial" w:eastAsia="Arial" w:hAnsi="Arial"/>
          <w:sz w:val="14"/>
          <w:szCs w:val="14"/>
          <w:b w:val="1"/>
          <w:bCs w:val="1"/>
          <w:color w:val="auto"/>
        </w:rPr>
        <w:t>Aligning Director and Stockholder Interests</w:t>
      </w:r>
    </w:p>
    <w:p>
      <w:pPr>
        <w:spacing w:after="0" w:line="59" w:lineRule="exact"/>
        <w:rPr>
          <w:rFonts w:ascii="Arial" w:cs="Arial" w:eastAsia="Arial" w:hAnsi="Arial"/>
          <w:sz w:val="12"/>
          <w:szCs w:val="12"/>
          <w:color w:val="77387A"/>
        </w:rPr>
      </w:pPr>
    </w:p>
    <w:p>
      <w:pPr>
        <w:ind w:left="520" w:hanging="217"/>
        <w:spacing w:after="0"/>
        <w:tabs>
          <w:tab w:leader="none" w:pos="520" w:val="left"/>
        </w:tabs>
        <w:numPr>
          <w:ilvl w:val="0"/>
          <w:numId w:val="6"/>
        </w:numPr>
        <w:rPr>
          <w:rFonts w:ascii="Arial" w:cs="Arial" w:eastAsia="Arial" w:hAnsi="Arial"/>
          <w:sz w:val="12"/>
          <w:szCs w:val="12"/>
          <w:color w:val="77387A"/>
        </w:rPr>
      </w:pPr>
      <w:r>
        <w:rPr>
          <w:rFonts w:ascii="Arial" w:cs="Arial" w:eastAsia="Arial" w:hAnsi="Arial"/>
          <w:sz w:val="14"/>
          <w:szCs w:val="14"/>
          <w:color w:val="auto"/>
        </w:rPr>
        <w:t>Director and Executive Stock Ownership Guidelines</w:t>
      </w:r>
    </w:p>
    <w:p>
      <w:pPr>
        <w:spacing w:after="0" w:line="41" w:lineRule="exact"/>
        <w:rPr>
          <w:rFonts w:ascii="Arial" w:cs="Arial" w:eastAsia="Arial" w:hAnsi="Arial"/>
          <w:sz w:val="12"/>
          <w:szCs w:val="12"/>
          <w:color w:val="77387A"/>
        </w:rPr>
      </w:pPr>
    </w:p>
    <w:p>
      <w:pPr>
        <w:ind w:left="520" w:hanging="217"/>
        <w:spacing w:after="0"/>
        <w:tabs>
          <w:tab w:leader="none" w:pos="520" w:val="left"/>
        </w:tabs>
        <w:numPr>
          <w:ilvl w:val="0"/>
          <w:numId w:val="6"/>
        </w:numPr>
        <w:rPr>
          <w:rFonts w:ascii="Arial" w:cs="Arial" w:eastAsia="Arial" w:hAnsi="Arial"/>
          <w:sz w:val="12"/>
          <w:szCs w:val="12"/>
          <w:color w:val="77387A"/>
        </w:rPr>
      </w:pPr>
      <w:r>
        <w:rPr>
          <w:rFonts w:ascii="Arial" w:cs="Arial" w:eastAsia="Arial" w:hAnsi="Arial"/>
          <w:sz w:val="14"/>
          <w:szCs w:val="14"/>
          <w:color w:val="auto"/>
        </w:rPr>
        <w:t>Annual Equity Grant to Non-Employee Directors</w:t>
      </w:r>
    </w:p>
    <w:p>
      <w:pPr>
        <w:spacing w:after="0" w:line="23" w:lineRule="exact"/>
        <w:rPr>
          <w:rFonts w:ascii="Arial" w:cs="Arial" w:eastAsia="Arial" w:hAnsi="Arial"/>
          <w:sz w:val="12"/>
          <w:szCs w:val="12"/>
          <w:color w:val="77387A"/>
        </w:rPr>
      </w:pPr>
    </w:p>
    <w:p>
      <w:pPr>
        <w:ind w:left="220" w:right="1220"/>
        <w:spacing w:after="0" w:line="315" w:lineRule="auto"/>
        <w:rPr>
          <w:rFonts w:ascii="Arial" w:cs="Arial" w:eastAsia="Arial" w:hAnsi="Arial"/>
          <w:sz w:val="12"/>
          <w:szCs w:val="12"/>
          <w:color w:val="77387A"/>
        </w:rPr>
      </w:pPr>
      <w:r>
        <w:rPr>
          <w:rFonts w:ascii="Arial" w:cs="Arial" w:eastAsia="Arial" w:hAnsi="Arial"/>
          <w:sz w:val="14"/>
          <w:szCs w:val="14"/>
          <w:b w:val="1"/>
          <w:bCs w:val="1"/>
          <w:color w:val="auto"/>
        </w:rPr>
        <w:t xml:space="preserve">Governance Policies and Practices </w:t>
      </w:r>
      <w:r>
        <w:rPr>
          <w:rFonts w:ascii="Arial" w:cs="Arial" w:eastAsia="Arial" w:hAnsi="Arial"/>
          <w:sz w:val="14"/>
          <w:szCs w:val="14"/>
          <w:color w:val="auto"/>
        </w:rPr>
        <w:t>(available at www.leidos.com)</w:t>
      </w:r>
    </w:p>
    <w:p>
      <w:pPr>
        <w:ind w:left="520" w:hanging="217"/>
        <w:spacing w:after="0"/>
        <w:tabs>
          <w:tab w:leader="none" w:pos="520" w:val="left"/>
        </w:tabs>
        <w:numPr>
          <w:ilvl w:val="0"/>
          <w:numId w:val="6"/>
        </w:numPr>
        <w:rPr>
          <w:rFonts w:ascii="Arial" w:cs="Arial" w:eastAsia="Arial" w:hAnsi="Arial"/>
          <w:sz w:val="12"/>
          <w:szCs w:val="12"/>
          <w:color w:val="77387A"/>
        </w:rPr>
      </w:pPr>
      <w:r>
        <w:rPr>
          <w:rFonts w:ascii="Arial" w:cs="Arial" w:eastAsia="Arial" w:hAnsi="Arial"/>
          <w:sz w:val="14"/>
          <w:szCs w:val="14"/>
          <w:color w:val="auto"/>
        </w:rPr>
        <w:t>Corporate Governance Guidelines</w:t>
      </w:r>
    </w:p>
    <w:p>
      <w:pPr>
        <w:spacing w:after="0" w:line="41" w:lineRule="exact"/>
        <w:rPr>
          <w:rFonts w:ascii="Arial" w:cs="Arial" w:eastAsia="Arial" w:hAnsi="Arial"/>
          <w:sz w:val="12"/>
          <w:szCs w:val="12"/>
          <w:color w:val="77387A"/>
        </w:rPr>
      </w:pPr>
    </w:p>
    <w:p>
      <w:pPr>
        <w:ind w:left="520" w:hanging="217"/>
        <w:spacing w:after="0"/>
        <w:tabs>
          <w:tab w:leader="none" w:pos="520" w:val="left"/>
        </w:tabs>
        <w:numPr>
          <w:ilvl w:val="0"/>
          <w:numId w:val="6"/>
        </w:numPr>
        <w:rPr>
          <w:rFonts w:ascii="Arial" w:cs="Arial" w:eastAsia="Arial" w:hAnsi="Arial"/>
          <w:sz w:val="12"/>
          <w:szCs w:val="12"/>
          <w:color w:val="77387A"/>
        </w:rPr>
      </w:pPr>
      <w:r>
        <w:rPr>
          <w:rFonts w:ascii="Arial" w:cs="Arial" w:eastAsia="Arial" w:hAnsi="Arial"/>
          <w:sz w:val="14"/>
          <w:szCs w:val="14"/>
          <w:color w:val="auto"/>
        </w:rPr>
        <w:t>Code of Business Conduct of the Board of Directors</w:t>
      </w:r>
    </w:p>
    <w:p>
      <w:pPr>
        <w:spacing w:after="0" w:line="41" w:lineRule="exact"/>
        <w:rPr>
          <w:rFonts w:ascii="Arial" w:cs="Arial" w:eastAsia="Arial" w:hAnsi="Arial"/>
          <w:sz w:val="12"/>
          <w:szCs w:val="12"/>
          <w:color w:val="77387A"/>
        </w:rPr>
      </w:pPr>
    </w:p>
    <w:p>
      <w:pPr>
        <w:ind w:left="520" w:hanging="217"/>
        <w:spacing w:after="0"/>
        <w:tabs>
          <w:tab w:leader="none" w:pos="520" w:val="left"/>
        </w:tabs>
        <w:numPr>
          <w:ilvl w:val="0"/>
          <w:numId w:val="6"/>
        </w:numPr>
        <w:rPr>
          <w:rFonts w:ascii="Arial" w:cs="Arial" w:eastAsia="Arial" w:hAnsi="Arial"/>
          <w:sz w:val="12"/>
          <w:szCs w:val="12"/>
          <w:color w:val="77387A"/>
        </w:rPr>
      </w:pPr>
      <w:r>
        <w:rPr>
          <w:rFonts w:ascii="Arial" w:cs="Arial" w:eastAsia="Arial" w:hAnsi="Arial"/>
          <w:sz w:val="14"/>
          <w:szCs w:val="14"/>
          <w:color w:val="auto"/>
        </w:rPr>
        <w:t>Code of Conduct for Employees</w:t>
      </w:r>
    </w:p>
    <w:p>
      <w:pPr>
        <w:spacing w:after="0" w:line="41" w:lineRule="exact"/>
        <w:rPr>
          <w:rFonts w:ascii="Arial" w:cs="Arial" w:eastAsia="Arial" w:hAnsi="Arial"/>
          <w:sz w:val="12"/>
          <w:szCs w:val="12"/>
          <w:color w:val="77387A"/>
        </w:rPr>
      </w:pPr>
    </w:p>
    <w:p>
      <w:pPr>
        <w:ind w:left="520" w:hanging="217"/>
        <w:spacing w:after="0"/>
        <w:tabs>
          <w:tab w:leader="none" w:pos="520" w:val="left"/>
        </w:tabs>
        <w:numPr>
          <w:ilvl w:val="0"/>
          <w:numId w:val="6"/>
        </w:numPr>
        <w:rPr>
          <w:rFonts w:ascii="Arial" w:cs="Arial" w:eastAsia="Arial" w:hAnsi="Arial"/>
          <w:sz w:val="12"/>
          <w:szCs w:val="12"/>
          <w:color w:val="77387A"/>
        </w:rPr>
      </w:pPr>
      <w:r>
        <w:rPr>
          <w:rFonts w:ascii="Arial" w:cs="Arial" w:eastAsia="Arial" w:hAnsi="Arial"/>
          <w:sz w:val="14"/>
          <w:szCs w:val="14"/>
          <w:color w:val="auto"/>
        </w:rPr>
        <w:t>Charters for Board Committees</w:t>
      </w:r>
    </w:p>
    <w:p>
      <w:pPr>
        <w:spacing w:after="0" w:line="41" w:lineRule="exact"/>
        <w:rPr>
          <w:rFonts w:ascii="Arial" w:cs="Arial" w:eastAsia="Arial" w:hAnsi="Arial"/>
          <w:sz w:val="12"/>
          <w:szCs w:val="12"/>
          <w:color w:val="77387A"/>
        </w:rPr>
      </w:pPr>
    </w:p>
    <w:p>
      <w:pPr>
        <w:ind w:left="520" w:hanging="217"/>
        <w:spacing w:after="0"/>
        <w:tabs>
          <w:tab w:leader="none" w:pos="520" w:val="left"/>
        </w:tabs>
        <w:numPr>
          <w:ilvl w:val="0"/>
          <w:numId w:val="6"/>
        </w:numPr>
        <w:rPr>
          <w:rFonts w:ascii="Arial" w:cs="Arial" w:eastAsia="Arial" w:hAnsi="Arial"/>
          <w:sz w:val="12"/>
          <w:szCs w:val="12"/>
          <w:color w:val="77387A"/>
        </w:rPr>
      </w:pPr>
      <w:r>
        <w:rPr>
          <w:rFonts w:ascii="Arial" w:cs="Arial" w:eastAsia="Arial" w:hAnsi="Arial"/>
          <w:sz w:val="14"/>
          <w:szCs w:val="14"/>
          <w:color w:val="auto"/>
        </w:rPr>
        <w:t>Chair of the Board Position Description</w:t>
      </w:r>
    </w:p>
    <w:p>
      <w:pPr>
        <w:spacing w:after="0" w:line="41" w:lineRule="exact"/>
        <w:rPr>
          <w:rFonts w:ascii="Arial" w:cs="Arial" w:eastAsia="Arial" w:hAnsi="Arial"/>
          <w:sz w:val="12"/>
          <w:szCs w:val="12"/>
          <w:color w:val="77387A"/>
        </w:rPr>
      </w:pPr>
    </w:p>
    <w:p>
      <w:pPr>
        <w:ind w:left="520" w:hanging="217"/>
        <w:spacing w:after="0"/>
        <w:tabs>
          <w:tab w:leader="none" w:pos="520" w:val="left"/>
        </w:tabs>
        <w:numPr>
          <w:ilvl w:val="0"/>
          <w:numId w:val="6"/>
        </w:numPr>
        <w:rPr>
          <w:rFonts w:ascii="Arial" w:cs="Arial" w:eastAsia="Arial" w:hAnsi="Arial"/>
          <w:sz w:val="12"/>
          <w:szCs w:val="12"/>
          <w:color w:val="77387A"/>
        </w:rPr>
      </w:pPr>
      <w:r>
        <w:rPr>
          <w:rFonts w:ascii="Arial" w:cs="Arial" w:eastAsia="Arial" w:hAnsi="Arial"/>
          <w:sz w:val="14"/>
          <w:szCs w:val="14"/>
          <w:color w:val="auto"/>
        </w:rPr>
        <w:t>Independent Lead Director Position Description</w:t>
      </w:r>
    </w:p>
    <w:p>
      <w:pPr>
        <w:spacing w:after="0" w:line="294" w:lineRule="exact"/>
        <w:rPr>
          <w:sz w:val="20"/>
          <w:szCs w:val="20"/>
          <w:color w:val="auto"/>
        </w:rPr>
      </w:pPr>
    </w:p>
    <w:p>
      <w:pPr>
        <w:ind w:left="220"/>
        <w:spacing w:after="0"/>
        <w:rPr>
          <w:sz w:val="20"/>
          <w:szCs w:val="20"/>
          <w:color w:val="auto"/>
        </w:rPr>
      </w:pPr>
      <w:r>
        <w:rPr>
          <w:rFonts w:ascii="Arial" w:cs="Arial" w:eastAsia="Arial" w:hAnsi="Arial"/>
          <w:sz w:val="14"/>
          <w:szCs w:val="14"/>
          <w:b w:val="1"/>
          <w:bCs w:val="1"/>
          <w:color w:val="FFFFFF"/>
        </w:rPr>
        <w:t>Compensation Philosophy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10 of 12</w:t>
      </w:r>
    </w:p>
    <w:p>
      <w:pPr>
        <w:spacing w:after="0" w:line="4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Lawrence C. Nussdorf</w:t>
      </w:r>
    </w:p>
    <w:p>
      <w:pPr>
        <w:spacing w:after="0" w:line="4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75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11</w:t>
      </w:r>
    </w:p>
    <w:p>
      <w:pPr>
        <w:spacing w:after="0" w:line="4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7</w:t>
      </w:r>
    </w:p>
    <w:p>
      <w:pPr>
        <w:spacing w:after="0" w:line="24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6</w:t>
      </w:r>
    </w:p>
    <w:p>
      <w:pPr>
        <w:spacing w:after="0" w:line="4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w:t>
      </w:r>
    </w:p>
    <w:p>
      <w:pPr>
        <w:spacing w:after="0" w:line="4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4</w:t>
      </w:r>
    </w:p>
    <w:p>
      <w:pPr>
        <w:spacing w:after="0" w:line="4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5</w:t>
      </w:r>
    </w:p>
    <w:p>
      <w:pPr>
        <w:spacing w:after="0" w:line="4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6</w:t>
      </w:r>
    </w:p>
    <w:p>
      <w:pPr>
        <w:spacing w:after="0" w:line="4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br w:type="column"/>
      </w:r>
    </w:p>
    <w:p>
      <w:pPr>
        <w:spacing w:after="0" w:line="376" w:lineRule="exact"/>
        <w:rPr>
          <w:sz w:val="20"/>
          <w:szCs w:val="20"/>
          <w:color w:val="auto"/>
        </w:rPr>
      </w:pPr>
    </w:p>
    <w:p>
      <w:pPr>
        <w:ind w:left="160"/>
        <w:spacing w:after="0"/>
        <w:rPr>
          <w:sz w:val="20"/>
          <w:szCs w:val="20"/>
          <w:color w:val="auto"/>
        </w:rPr>
      </w:pPr>
      <w:r>
        <w:rPr>
          <w:rFonts w:ascii="Arial" w:cs="Arial" w:eastAsia="Arial" w:hAnsi="Arial"/>
          <w:sz w:val="14"/>
          <w:szCs w:val="14"/>
          <w:b w:val="1"/>
          <w:bCs w:val="1"/>
          <w:color w:val="FFFFFF"/>
        </w:rPr>
        <w:t>Ethics And Corporate Responsibility Highlights</w:t>
      </w:r>
    </w:p>
    <w:p>
      <w:pPr>
        <w:spacing w:after="0" w:line="262" w:lineRule="exact"/>
        <w:rPr>
          <w:sz w:val="20"/>
          <w:szCs w:val="20"/>
          <w:color w:val="auto"/>
        </w:rPr>
      </w:pPr>
    </w:p>
    <w:p>
      <w:pPr>
        <w:spacing w:after="0" w:line="243" w:lineRule="auto"/>
        <w:rPr>
          <w:sz w:val="20"/>
          <w:szCs w:val="20"/>
          <w:color w:val="auto"/>
        </w:rPr>
      </w:pPr>
      <w:r>
        <w:rPr>
          <w:rFonts w:ascii="Arial" w:cs="Arial" w:eastAsia="Arial" w:hAnsi="Arial"/>
          <w:sz w:val="14"/>
          <w:szCs w:val="14"/>
          <w:color w:val="auto"/>
        </w:rPr>
        <w:t>The Leidos Board of Directors has long recognized the importance of creating and maintaining a strong ethical culture and being a good corporate citizen. We are committed to using our time and resources to support people, enrich communities and protect the environment. Leidos maintains an industry-leading ethics and compliance program with comprehensive policies, procedures, training and communications. Since founding the Employee Ethics Council in 1984, our leadership team has placed a premium on behavior and values and our employees proudly reflect these standards through their work and interactions.</w:t>
      </w:r>
    </w:p>
    <w:p>
      <w:pPr>
        <w:spacing w:after="0" w:line="114" w:lineRule="exact"/>
        <w:rPr>
          <w:sz w:val="20"/>
          <w:szCs w:val="20"/>
          <w:color w:val="auto"/>
        </w:rPr>
      </w:pPr>
    </w:p>
    <w:p>
      <w:pPr>
        <w:ind w:right="60"/>
        <w:spacing w:after="0" w:line="245" w:lineRule="auto"/>
        <w:rPr>
          <w:sz w:val="20"/>
          <w:szCs w:val="20"/>
          <w:color w:val="auto"/>
        </w:rPr>
      </w:pPr>
      <w:r>
        <w:rPr>
          <w:rFonts w:ascii="Arial" w:cs="Arial" w:eastAsia="Arial" w:hAnsi="Arial"/>
          <w:sz w:val="14"/>
          <w:szCs w:val="14"/>
          <w:color w:val="auto"/>
        </w:rPr>
        <w:t>Every year, we review progress and impact in areas important to our growth and sustainability, with an emphasis on strengthening our workforce, hiring veterans, reducing our carbon footprint, enhancing our already strong ethics programs and increasing our outreach in the communities where we live and work. We are focused on:</w:t>
      </w:r>
    </w:p>
    <w:p>
      <w:pPr>
        <w:spacing w:after="0" w:line="92" w:lineRule="exact"/>
        <w:rPr>
          <w:sz w:val="20"/>
          <w:szCs w:val="20"/>
          <w:color w:val="auto"/>
        </w:rPr>
      </w:pPr>
    </w:p>
    <w:p>
      <w:pPr>
        <w:ind w:left="340" w:right="120" w:hanging="250"/>
        <w:spacing w:after="0" w:line="285" w:lineRule="auto"/>
        <w:tabs>
          <w:tab w:leader="none" w:pos="319" w:val="left"/>
        </w:tabs>
        <w:numPr>
          <w:ilvl w:val="0"/>
          <w:numId w:val="7"/>
        </w:numPr>
        <w:rPr>
          <w:rFonts w:ascii="Arial" w:cs="Arial" w:eastAsia="Arial" w:hAnsi="Arial"/>
          <w:sz w:val="12"/>
          <w:szCs w:val="12"/>
          <w:color w:val="77387A"/>
        </w:rPr>
      </w:pPr>
      <w:r>
        <w:rPr>
          <w:rFonts w:ascii="Arial" w:cs="Arial" w:eastAsia="Arial" w:hAnsi="Arial"/>
          <w:sz w:val="14"/>
          <w:szCs w:val="14"/>
          <w:b w:val="1"/>
          <w:bCs w:val="1"/>
          <w:color w:val="auto"/>
        </w:rPr>
        <w:t xml:space="preserve">Community: </w:t>
      </w:r>
      <w:r>
        <w:rPr>
          <w:rFonts w:ascii="Arial" w:cs="Arial" w:eastAsia="Arial" w:hAnsi="Arial"/>
          <w:sz w:val="14"/>
          <w:szCs w:val="14"/>
          <w:color w:val="auto"/>
        </w:rPr>
        <w:t>Our strong nonprofit relationships and philanthropic outreach</w:t>
      </w:r>
      <w:r>
        <w:rPr>
          <w:rFonts w:ascii="Arial" w:cs="Arial" w:eastAsia="Arial" w:hAnsi="Arial"/>
          <w:sz w:val="14"/>
          <w:szCs w:val="14"/>
          <w:b w:val="1"/>
          <w:bCs w:val="1"/>
          <w:color w:val="auto"/>
        </w:rPr>
        <w:t xml:space="preserve"> </w:t>
      </w:r>
      <w:r>
        <w:rPr>
          <w:rFonts w:ascii="Arial" w:cs="Arial" w:eastAsia="Arial" w:hAnsi="Arial"/>
          <w:sz w:val="14"/>
          <w:szCs w:val="14"/>
          <w:color w:val="auto"/>
        </w:rPr>
        <w:t>programs are creating more sustainable communities.</w:t>
      </w:r>
    </w:p>
    <w:p>
      <w:pPr>
        <w:spacing w:after="0" w:line="63" w:lineRule="exact"/>
        <w:rPr>
          <w:rFonts w:ascii="Arial" w:cs="Arial" w:eastAsia="Arial" w:hAnsi="Arial"/>
          <w:sz w:val="12"/>
          <w:szCs w:val="12"/>
          <w:color w:val="77387A"/>
        </w:rPr>
      </w:pPr>
    </w:p>
    <w:p>
      <w:pPr>
        <w:ind w:left="340" w:right="200" w:hanging="250"/>
        <w:spacing w:after="0" w:line="263" w:lineRule="auto"/>
        <w:tabs>
          <w:tab w:leader="none" w:pos="319" w:val="left"/>
        </w:tabs>
        <w:numPr>
          <w:ilvl w:val="0"/>
          <w:numId w:val="7"/>
        </w:numPr>
        <w:rPr>
          <w:rFonts w:ascii="Arial" w:cs="Arial" w:eastAsia="Arial" w:hAnsi="Arial"/>
          <w:sz w:val="12"/>
          <w:szCs w:val="12"/>
          <w:color w:val="77387A"/>
        </w:rPr>
      </w:pPr>
      <w:r>
        <w:rPr>
          <w:rFonts w:ascii="Arial" w:cs="Arial" w:eastAsia="Arial" w:hAnsi="Arial"/>
          <w:sz w:val="14"/>
          <w:szCs w:val="14"/>
          <w:b w:val="1"/>
          <w:bCs w:val="1"/>
          <w:color w:val="auto"/>
        </w:rPr>
        <w:t xml:space="preserve">Environment: </w:t>
      </w:r>
      <w:r>
        <w:rPr>
          <w:rFonts w:ascii="Arial" w:cs="Arial" w:eastAsia="Arial" w:hAnsi="Arial"/>
          <w:sz w:val="14"/>
          <w:szCs w:val="14"/>
          <w:color w:val="auto"/>
        </w:rPr>
        <w:t>Our environmental services, coupled with our internal</w:t>
      </w:r>
      <w:r>
        <w:rPr>
          <w:rFonts w:ascii="Arial" w:cs="Arial" w:eastAsia="Arial" w:hAnsi="Arial"/>
          <w:sz w:val="14"/>
          <w:szCs w:val="14"/>
          <w:b w:val="1"/>
          <w:bCs w:val="1"/>
          <w:color w:val="auto"/>
        </w:rPr>
        <w:t xml:space="preserve"> </w:t>
      </w:r>
      <w:r>
        <w:rPr>
          <w:rFonts w:ascii="Arial" w:cs="Arial" w:eastAsia="Arial" w:hAnsi="Arial"/>
          <w:sz w:val="14"/>
          <w:szCs w:val="14"/>
          <w:color w:val="auto"/>
        </w:rPr>
        <w:t>stewardship and GHG emission reduction efforts, are creating a healthier world.</w:t>
      </w:r>
    </w:p>
    <w:p>
      <w:pPr>
        <w:spacing w:after="0" w:line="78" w:lineRule="exact"/>
        <w:rPr>
          <w:rFonts w:ascii="Arial" w:cs="Arial" w:eastAsia="Arial" w:hAnsi="Arial"/>
          <w:sz w:val="12"/>
          <w:szCs w:val="12"/>
          <w:color w:val="77387A"/>
        </w:rPr>
      </w:pPr>
    </w:p>
    <w:p>
      <w:pPr>
        <w:ind w:left="340" w:right="580" w:hanging="250"/>
        <w:spacing w:after="0" w:line="285" w:lineRule="auto"/>
        <w:tabs>
          <w:tab w:leader="none" w:pos="319" w:val="left"/>
        </w:tabs>
        <w:numPr>
          <w:ilvl w:val="0"/>
          <w:numId w:val="7"/>
        </w:numPr>
        <w:rPr>
          <w:rFonts w:ascii="Arial" w:cs="Arial" w:eastAsia="Arial" w:hAnsi="Arial"/>
          <w:sz w:val="12"/>
          <w:szCs w:val="12"/>
          <w:color w:val="77387A"/>
        </w:rPr>
      </w:pPr>
      <w:r>
        <w:rPr>
          <w:rFonts w:ascii="Arial" w:cs="Arial" w:eastAsia="Arial" w:hAnsi="Arial"/>
          <w:sz w:val="14"/>
          <w:szCs w:val="14"/>
          <w:b w:val="1"/>
          <w:bCs w:val="1"/>
          <w:color w:val="auto"/>
        </w:rPr>
        <w:t xml:space="preserve">Ethics and Compliance: </w:t>
      </w:r>
      <w:r>
        <w:rPr>
          <w:rFonts w:ascii="Arial" w:cs="Arial" w:eastAsia="Arial" w:hAnsi="Arial"/>
          <w:sz w:val="14"/>
          <w:szCs w:val="14"/>
          <w:color w:val="auto"/>
        </w:rPr>
        <w:t>Our strong employee ethical conduct is a</w:t>
      </w:r>
      <w:r>
        <w:rPr>
          <w:rFonts w:ascii="Arial" w:cs="Arial" w:eastAsia="Arial" w:hAnsi="Arial"/>
          <w:sz w:val="14"/>
          <w:szCs w:val="14"/>
          <w:b w:val="1"/>
          <w:bCs w:val="1"/>
          <w:color w:val="auto"/>
        </w:rPr>
        <w:t xml:space="preserve"> </w:t>
      </w:r>
      <w:r>
        <w:rPr>
          <w:rFonts w:ascii="Arial" w:cs="Arial" w:eastAsia="Arial" w:hAnsi="Arial"/>
          <w:sz w:val="14"/>
          <w:szCs w:val="14"/>
          <w:color w:val="auto"/>
        </w:rPr>
        <w:t>cornerstone of our culture and how we operate as a company.</w:t>
      </w:r>
    </w:p>
    <w:p>
      <w:pPr>
        <w:spacing w:after="0" w:line="63" w:lineRule="exact"/>
        <w:rPr>
          <w:rFonts w:ascii="Arial" w:cs="Arial" w:eastAsia="Arial" w:hAnsi="Arial"/>
          <w:sz w:val="12"/>
          <w:szCs w:val="12"/>
          <w:color w:val="77387A"/>
        </w:rPr>
      </w:pPr>
    </w:p>
    <w:p>
      <w:pPr>
        <w:ind w:left="340" w:right="400" w:hanging="250"/>
        <w:spacing w:after="0" w:line="285" w:lineRule="auto"/>
        <w:tabs>
          <w:tab w:leader="none" w:pos="319" w:val="left"/>
        </w:tabs>
        <w:numPr>
          <w:ilvl w:val="0"/>
          <w:numId w:val="7"/>
        </w:numPr>
        <w:rPr>
          <w:rFonts w:ascii="Arial" w:cs="Arial" w:eastAsia="Arial" w:hAnsi="Arial"/>
          <w:sz w:val="12"/>
          <w:szCs w:val="12"/>
          <w:color w:val="77387A"/>
        </w:rPr>
      </w:pPr>
      <w:r>
        <w:rPr>
          <w:rFonts w:ascii="Arial" w:cs="Arial" w:eastAsia="Arial" w:hAnsi="Arial"/>
          <w:sz w:val="14"/>
          <w:szCs w:val="14"/>
          <w:b w:val="1"/>
          <w:bCs w:val="1"/>
          <w:color w:val="auto"/>
        </w:rPr>
        <w:t xml:space="preserve">People: </w:t>
      </w:r>
      <w:r>
        <w:rPr>
          <w:rFonts w:ascii="Arial" w:cs="Arial" w:eastAsia="Arial" w:hAnsi="Arial"/>
          <w:sz w:val="14"/>
          <w:szCs w:val="14"/>
          <w:color w:val="auto"/>
        </w:rPr>
        <w:t>Our development and training programs are creating a strong</w:t>
      </w:r>
      <w:r>
        <w:rPr>
          <w:rFonts w:ascii="Arial" w:cs="Arial" w:eastAsia="Arial" w:hAnsi="Arial"/>
          <w:sz w:val="14"/>
          <w:szCs w:val="14"/>
          <w:b w:val="1"/>
          <w:bCs w:val="1"/>
          <w:color w:val="auto"/>
        </w:rPr>
        <w:t xml:space="preserve"> </w:t>
      </w:r>
      <w:r>
        <w:rPr>
          <w:rFonts w:ascii="Arial" w:cs="Arial" w:eastAsia="Arial" w:hAnsi="Arial"/>
          <w:sz w:val="14"/>
          <w:szCs w:val="14"/>
          <w:color w:val="auto"/>
        </w:rPr>
        <w:t>workforce focused on solving the worlds most daunting challenges.</w:t>
      </w:r>
    </w:p>
    <w:p>
      <w:pPr>
        <w:spacing w:after="0" w:line="63" w:lineRule="exact"/>
        <w:rPr>
          <w:rFonts w:ascii="Arial" w:cs="Arial" w:eastAsia="Arial" w:hAnsi="Arial"/>
          <w:sz w:val="12"/>
          <w:szCs w:val="12"/>
          <w:color w:val="77387A"/>
        </w:rPr>
      </w:pPr>
    </w:p>
    <w:p>
      <w:pPr>
        <w:jc w:val="both"/>
        <w:ind w:left="340" w:right="360" w:hanging="250"/>
        <w:spacing w:after="0" w:line="263" w:lineRule="auto"/>
        <w:tabs>
          <w:tab w:leader="none" w:pos="319" w:val="left"/>
        </w:tabs>
        <w:numPr>
          <w:ilvl w:val="0"/>
          <w:numId w:val="7"/>
        </w:numPr>
        <w:rPr>
          <w:rFonts w:ascii="Arial" w:cs="Arial" w:eastAsia="Arial" w:hAnsi="Arial"/>
          <w:sz w:val="12"/>
          <w:szCs w:val="12"/>
          <w:color w:val="77387A"/>
        </w:rPr>
      </w:pPr>
      <w:r>
        <w:rPr>
          <w:rFonts w:ascii="Arial" w:cs="Arial" w:eastAsia="Arial" w:hAnsi="Arial"/>
          <w:sz w:val="14"/>
          <w:szCs w:val="14"/>
          <w:b w:val="1"/>
          <w:bCs w:val="1"/>
          <w:color w:val="auto"/>
        </w:rPr>
        <w:t>Suppliers and Small Business</w:t>
      </w:r>
      <w:r>
        <w:rPr>
          <w:rFonts w:ascii="Arial" w:cs="Arial" w:eastAsia="Arial" w:hAnsi="Arial"/>
          <w:sz w:val="14"/>
          <w:szCs w:val="14"/>
          <w:color w:val="auto"/>
        </w:rPr>
        <w:t>: Our thousands of suppliers and small</w:t>
      </w:r>
      <w:r>
        <w:rPr>
          <w:rFonts w:ascii="Arial" w:cs="Arial" w:eastAsia="Arial" w:hAnsi="Arial"/>
          <w:sz w:val="14"/>
          <w:szCs w:val="14"/>
          <w:b w:val="1"/>
          <w:bCs w:val="1"/>
          <w:color w:val="auto"/>
        </w:rPr>
        <w:t xml:space="preserve"> </w:t>
      </w:r>
      <w:r>
        <w:rPr>
          <w:rFonts w:ascii="Arial" w:cs="Arial" w:eastAsia="Arial" w:hAnsi="Arial"/>
          <w:sz w:val="14"/>
          <w:szCs w:val="14"/>
          <w:color w:val="auto"/>
        </w:rPr>
        <w:t>businesses are crucial to our success as well as economic growth and prosperity.</w:t>
      </w: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For more information, visit</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https://www.leidos.com/about/corporate-responsibility</w:t>
      </w:r>
    </w:p>
    <w:p>
      <w:pPr>
        <w:spacing w:after="0" w:line="1843" w:lineRule="exact"/>
        <w:rPr>
          <w:sz w:val="20"/>
          <w:szCs w:val="20"/>
          <w:color w:val="auto"/>
        </w:rPr>
      </w:pPr>
    </w:p>
    <w:p>
      <w:pPr>
        <w:sectPr>
          <w:pgSz w:w="11900" w:h="16838" w:orient="portrait"/>
          <w:cols w:equalWidth="0" w:num="3">
            <w:col w:w="3820" w:space="660"/>
            <w:col w:w="1440" w:space="140"/>
            <w:col w:w="5180"/>
          </w:cols>
          <w:pgMar w:left="240" w:top="459" w:right="419" w:bottom="1440" w:gutter="0" w:footer="0" w:header="0"/>
          <w:type w:val="continuous"/>
        </w:sectPr>
      </w:pPr>
    </w:p>
    <w:p>
      <w:pPr>
        <w:spacing w:after="0" w:line="62" w:lineRule="exact"/>
        <w:rPr>
          <w:sz w:val="20"/>
          <w:szCs w:val="20"/>
          <w:color w:val="auto"/>
        </w:rPr>
      </w:pPr>
    </w:p>
    <w:p>
      <w:pPr>
        <w:ind w:left="220"/>
        <w:spacing w:after="0"/>
        <w:rPr>
          <w:sz w:val="20"/>
          <w:szCs w:val="20"/>
          <w:color w:val="auto"/>
        </w:rPr>
      </w:pPr>
      <w:r>
        <w:rPr>
          <w:rFonts w:ascii="Arial" w:cs="Arial" w:eastAsia="Arial" w:hAnsi="Arial"/>
          <w:sz w:val="14"/>
          <w:szCs w:val="14"/>
          <w:color w:val="auto"/>
        </w:rPr>
        <w:t>We seek to closely align the interests of our executives with the interests of our stockholders. Our compensation programs are designed to:</w:t>
      </w:r>
    </w:p>
    <w:p>
      <w:pPr>
        <w:sectPr>
          <w:pgSz w:w="11900" w:h="16838" w:orient="portrait"/>
          <w:cols w:equalWidth="0" w:num="1">
            <w:col w:w="11240"/>
          </w:cols>
          <w:pgMar w:left="240" w:top="459" w:right="419" w:bottom="1440" w:gutter="0" w:footer="0" w:header="0"/>
          <w:type w:val="continuous"/>
        </w:sectPr>
      </w:pPr>
    </w:p>
    <w:p>
      <w:pPr>
        <w:spacing w:after="0" w:line="136" w:lineRule="exact"/>
        <w:rPr>
          <w:sz w:val="20"/>
          <w:szCs w:val="20"/>
          <w:color w:val="auto"/>
        </w:rPr>
      </w:pPr>
    </w:p>
    <w:p>
      <w:pPr>
        <w:ind w:left="540" w:right="420" w:hanging="237"/>
        <w:spacing w:after="0" w:line="258" w:lineRule="auto"/>
        <w:tabs>
          <w:tab w:leader="none" w:pos="519" w:val="left"/>
        </w:tabs>
        <w:numPr>
          <w:ilvl w:val="0"/>
          <w:numId w:val="8"/>
        </w:numPr>
        <w:rPr>
          <w:rFonts w:ascii="Arial" w:cs="Arial" w:eastAsia="Arial" w:hAnsi="Arial"/>
          <w:sz w:val="12"/>
          <w:szCs w:val="12"/>
          <w:color w:val="77387A"/>
        </w:rPr>
      </w:pPr>
      <w:r>
        <w:rPr>
          <w:rFonts w:ascii="Arial" w:cs="Arial" w:eastAsia="Arial" w:hAnsi="Arial"/>
          <w:sz w:val="14"/>
          <w:szCs w:val="14"/>
          <w:color w:val="auto"/>
        </w:rPr>
        <w:t>pay for performance by tying a substantial majority of an executive’s compensation to the achievement of specific performance measures;</w:t>
      </w:r>
    </w:p>
    <w:p>
      <w:pPr>
        <w:spacing w:after="0" w:line="59" w:lineRule="exact"/>
        <w:rPr>
          <w:rFonts w:ascii="Arial" w:cs="Arial" w:eastAsia="Arial" w:hAnsi="Arial"/>
          <w:sz w:val="12"/>
          <w:szCs w:val="12"/>
          <w:color w:val="77387A"/>
        </w:rPr>
      </w:pPr>
    </w:p>
    <w:p>
      <w:pPr>
        <w:ind w:left="540" w:hanging="237"/>
        <w:spacing w:after="0" w:line="258" w:lineRule="auto"/>
        <w:tabs>
          <w:tab w:leader="none" w:pos="519" w:val="left"/>
        </w:tabs>
        <w:numPr>
          <w:ilvl w:val="0"/>
          <w:numId w:val="8"/>
        </w:numPr>
        <w:rPr>
          <w:rFonts w:ascii="Arial" w:cs="Arial" w:eastAsia="Arial" w:hAnsi="Arial"/>
          <w:sz w:val="12"/>
          <w:szCs w:val="12"/>
          <w:color w:val="77387A"/>
        </w:rPr>
      </w:pPr>
      <w:r>
        <w:rPr>
          <w:rFonts w:ascii="Arial" w:cs="Arial" w:eastAsia="Arial" w:hAnsi="Arial"/>
          <w:sz w:val="14"/>
          <w:szCs w:val="14"/>
          <w:color w:val="auto"/>
        </w:rPr>
        <w:t>provide the same types of benefits for executives as other employees, with no special or supplemental pension, health or death benefits for executives;</w:t>
      </w:r>
    </w:p>
    <w:p>
      <w:pPr>
        <w:spacing w:after="0" w:line="59" w:lineRule="exact"/>
        <w:rPr>
          <w:rFonts w:ascii="Arial" w:cs="Arial" w:eastAsia="Arial" w:hAnsi="Arial"/>
          <w:sz w:val="12"/>
          <w:szCs w:val="12"/>
          <w:color w:val="77387A"/>
        </w:rPr>
      </w:pPr>
    </w:p>
    <w:p>
      <w:pPr>
        <w:ind w:left="540" w:right="500" w:hanging="237"/>
        <w:spacing w:after="0" w:line="258" w:lineRule="auto"/>
        <w:tabs>
          <w:tab w:leader="none" w:pos="519" w:val="left"/>
        </w:tabs>
        <w:numPr>
          <w:ilvl w:val="0"/>
          <w:numId w:val="8"/>
        </w:numPr>
        <w:rPr>
          <w:rFonts w:ascii="Arial" w:cs="Arial" w:eastAsia="Arial" w:hAnsi="Arial"/>
          <w:sz w:val="12"/>
          <w:szCs w:val="12"/>
          <w:color w:val="77387A"/>
        </w:rPr>
      </w:pPr>
      <w:r>
        <w:rPr>
          <w:rFonts w:ascii="Arial" w:cs="Arial" w:eastAsia="Arial" w:hAnsi="Arial"/>
          <w:sz w:val="14"/>
          <w:szCs w:val="14"/>
          <w:color w:val="auto"/>
        </w:rPr>
        <w:t>target total direct compensation at approximately the median among companies with which we compete for executive talent;</w:t>
      </w:r>
    </w:p>
    <w:p>
      <w:pPr>
        <w:spacing w:after="0" w:line="20" w:lineRule="exact"/>
        <w:rPr>
          <w:sz w:val="20"/>
          <w:szCs w:val="20"/>
          <w:color w:val="auto"/>
        </w:rPr>
      </w:pPr>
      <w:r>
        <w:rPr>
          <w:sz w:val="20"/>
          <w:szCs w:val="20"/>
          <w:color w:val="auto"/>
        </w:rPr>
        <w:br w:type="column"/>
      </w:r>
    </w:p>
    <w:p>
      <w:pPr>
        <w:spacing w:after="0" w:line="116" w:lineRule="exact"/>
        <w:rPr>
          <w:sz w:val="20"/>
          <w:szCs w:val="20"/>
          <w:color w:val="auto"/>
        </w:rPr>
      </w:pPr>
    </w:p>
    <w:p>
      <w:pPr>
        <w:jc w:val="both"/>
        <w:ind w:left="232" w:right="300" w:hanging="232"/>
        <w:spacing w:after="0" w:line="250" w:lineRule="auto"/>
        <w:tabs>
          <w:tab w:leader="none" w:pos="211" w:val="left"/>
        </w:tabs>
        <w:numPr>
          <w:ilvl w:val="0"/>
          <w:numId w:val="9"/>
        </w:numPr>
        <w:rPr>
          <w:rFonts w:ascii="Arial" w:cs="Arial" w:eastAsia="Arial" w:hAnsi="Arial"/>
          <w:sz w:val="12"/>
          <w:szCs w:val="12"/>
          <w:color w:val="77387A"/>
        </w:rPr>
      </w:pPr>
      <w:r>
        <w:rPr>
          <w:rFonts w:ascii="Arial" w:cs="Arial" w:eastAsia="Arial" w:hAnsi="Arial"/>
          <w:sz w:val="14"/>
          <w:szCs w:val="14"/>
          <w:color w:val="auto"/>
        </w:rPr>
        <w:t>enable us to recover, or “clawback,” incentive compensation if there is any material restatement of our financial results or if an executive is involved in misconduct;</w:t>
      </w:r>
    </w:p>
    <w:p>
      <w:pPr>
        <w:spacing w:after="0" w:line="64" w:lineRule="exact"/>
        <w:rPr>
          <w:rFonts w:ascii="Arial" w:cs="Arial" w:eastAsia="Arial" w:hAnsi="Arial"/>
          <w:sz w:val="12"/>
          <w:szCs w:val="12"/>
          <w:color w:val="77387A"/>
        </w:rPr>
      </w:pPr>
    </w:p>
    <w:p>
      <w:pPr>
        <w:ind w:left="212" w:hanging="212"/>
        <w:spacing w:after="0"/>
        <w:tabs>
          <w:tab w:leader="none" w:pos="212" w:val="left"/>
        </w:tabs>
        <w:numPr>
          <w:ilvl w:val="0"/>
          <w:numId w:val="9"/>
        </w:numPr>
        <w:rPr>
          <w:rFonts w:ascii="Arial" w:cs="Arial" w:eastAsia="Arial" w:hAnsi="Arial"/>
          <w:sz w:val="12"/>
          <w:szCs w:val="12"/>
          <w:color w:val="77387A"/>
        </w:rPr>
      </w:pPr>
      <w:r>
        <w:rPr>
          <w:rFonts w:ascii="Arial" w:cs="Arial" w:eastAsia="Arial" w:hAnsi="Arial"/>
          <w:sz w:val="14"/>
          <w:szCs w:val="14"/>
          <w:color w:val="auto"/>
        </w:rPr>
        <w:t>require our executives to own a significant amount of our stock;</w:t>
      </w:r>
    </w:p>
    <w:p>
      <w:pPr>
        <w:spacing w:after="0" w:line="82" w:lineRule="exact"/>
        <w:rPr>
          <w:rFonts w:ascii="Arial" w:cs="Arial" w:eastAsia="Arial" w:hAnsi="Arial"/>
          <w:sz w:val="12"/>
          <w:szCs w:val="12"/>
          <w:color w:val="77387A"/>
        </w:rPr>
      </w:pPr>
    </w:p>
    <w:p>
      <w:pPr>
        <w:ind w:left="212" w:hanging="212"/>
        <w:spacing w:after="0"/>
        <w:tabs>
          <w:tab w:leader="none" w:pos="212" w:val="left"/>
        </w:tabs>
        <w:numPr>
          <w:ilvl w:val="0"/>
          <w:numId w:val="9"/>
        </w:numPr>
        <w:rPr>
          <w:rFonts w:ascii="Arial" w:cs="Arial" w:eastAsia="Arial" w:hAnsi="Arial"/>
          <w:sz w:val="12"/>
          <w:szCs w:val="12"/>
          <w:color w:val="77387A"/>
        </w:rPr>
      </w:pPr>
      <w:r>
        <w:rPr>
          <w:rFonts w:ascii="Arial" w:cs="Arial" w:eastAsia="Arial" w:hAnsi="Arial"/>
          <w:sz w:val="14"/>
          <w:szCs w:val="14"/>
          <w:color w:val="auto"/>
        </w:rPr>
        <w:t>avoid incentives that encourage unnecessary or excessive risk-taking; and</w:t>
      </w:r>
    </w:p>
    <w:p>
      <w:pPr>
        <w:spacing w:after="0" w:line="82" w:lineRule="exact"/>
        <w:rPr>
          <w:rFonts w:ascii="Arial" w:cs="Arial" w:eastAsia="Arial" w:hAnsi="Arial"/>
          <w:sz w:val="12"/>
          <w:szCs w:val="12"/>
          <w:color w:val="77387A"/>
        </w:rPr>
      </w:pPr>
    </w:p>
    <w:p>
      <w:pPr>
        <w:ind w:left="232" w:right="100" w:hanging="232"/>
        <w:spacing w:after="0" w:line="258" w:lineRule="auto"/>
        <w:tabs>
          <w:tab w:leader="none" w:pos="211" w:val="left"/>
        </w:tabs>
        <w:numPr>
          <w:ilvl w:val="0"/>
          <w:numId w:val="9"/>
        </w:numPr>
        <w:rPr>
          <w:rFonts w:ascii="Arial" w:cs="Arial" w:eastAsia="Arial" w:hAnsi="Arial"/>
          <w:sz w:val="12"/>
          <w:szCs w:val="12"/>
          <w:color w:val="77387A"/>
        </w:rPr>
      </w:pPr>
      <w:r>
        <w:rPr>
          <w:rFonts w:ascii="Arial" w:cs="Arial" w:eastAsia="Arial" w:hAnsi="Arial"/>
          <w:sz w:val="14"/>
          <w:szCs w:val="14"/>
          <w:color w:val="auto"/>
        </w:rPr>
        <w:t>compete effectively for talented executives who will contribute to our long-term success.</w:t>
      </w:r>
    </w:p>
    <w:p>
      <w:pPr>
        <w:sectPr>
          <w:pgSz w:w="11900" w:h="16838" w:orient="portrait"/>
          <w:cols w:equalWidth="0" w:num="2">
            <w:col w:w="5360" w:space="588"/>
            <w:col w:w="5292"/>
          </w:cols>
          <w:pgMar w:left="240" w:top="459" w:right="419" w:bottom="1440" w:gutter="0" w:footer="0" w:header="0"/>
          <w:type w:val="continuous"/>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483E65"/>
        </w:rPr>
        <w:t>LEIDOS HOLDINGS, INC.</w:t>
      </w:r>
    </w:p>
    <w:p>
      <w:pPr>
        <w:spacing w:after="0" w:line="211" w:lineRule="exact"/>
        <w:rPr>
          <w:sz w:val="20"/>
          <w:szCs w:val="20"/>
          <w:color w:val="auto"/>
        </w:rPr>
      </w:pPr>
    </w:p>
    <w:p>
      <w:pPr>
        <w:ind w:left="4940"/>
        <w:spacing w:after="0"/>
        <w:rPr>
          <w:sz w:val="20"/>
          <w:szCs w:val="20"/>
          <w:color w:val="auto"/>
        </w:rPr>
      </w:pPr>
      <w:r>
        <w:rPr>
          <w:rFonts w:ascii="Arial" w:cs="Arial" w:eastAsia="Arial" w:hAnsi="Arial"/>
          <w:sz w:val="20"/>
          <w:szCs w:val="20"/>
          <w:b w:val="1"/>
          <w:bCs w:val="1"/>
          <w:color w:val="483E65"/>
        </w:rPr>
        <w:t>Proxy Statement</w:t>
      </w:r>
    </w:p>
    <w:p>
      <w:pPr>
        <w:spacing w:after="0" w:line="31" w:lineRule="exact"/>
        <w:rPr>
          <w:sz w:val="20"/>
          <w:szCs w:val="20"/>
          <w:color w:val="auto"/>
        </w:rPr>
      </w:pPr>
    </w:p>
    <w:p>
      <w:pPr>
        <w:ind w:left="4880"/>
        <w:spacing w:after="0"/>
        <w:rPr>
          <w:sz w:val="20"/>
          <w:szCs w:val="20"/>
          <w:color w:val="auto"/>
        </w:rPr>
      </w:pPr>
      <w:r>
        <w:rPr>
          <w:rFonts w:ascii="Arial" w:cs="Arial" w:eastAsia="Arial" w:hAnsi="Arial"/>
          <w:sz w:val="20"/>
          <w:szCs w:val="20"/>
          <w:b w:val="1"/>
          <w:bCs w:val="1"/>
          <w:color w:val="483E65"/>
        </w:rPr>
        <w:t>Table of Contents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000" w:type="dxa"/>
            <w:vAlign w:val="bottom"/>
            <w:gridSpan w:val="45"/>
          </w:tcPr>
          <w:p>
            <w:pPr>
              <w:spacing w:after="0"/>
              <w:rPr>
                <w:rFonts w:ascii="Arial" w:cs="Arial" w:eastAsia="Arial" w:hAnsi="Arial"/>
                <w:sz w:val="18"/>
                <w:szCs w:val="18"/>
                <w:b w:val="1"/>
                <w:bCs w:val="1"/>
                <w:color w:val="0000EE"/>
              </w:rPr>
            </w:pPr>
            <w:hyperlink w:anchor="page7">
              <w:r>
                <w:rPr>
                  <w:rFonts w:ascii="Arial" w:cs="Arial" w:eastAsia="Arial" w:hAnsi="Arial"/>
                  <w:sz w:val="18"/>
                  <w:szCs w:val="18"/>
                  <w:b w:val="1"/>
                  <w:bCs w:val="1"/>
                  <w:color w:val="0000EE"/>
                </w:rPr>
                <w:t>Information About Voting Rights and Solicitation of Proxies</w:t>
              </w:r>
            </w:hyperlink>
          </w:p>
        </w:tc>
        <w:tc>
          <w:tcPr>
            <w:tcW w:w="3360" w:type="dxa"/>
            <w:vAlign w:val="bottom"/>
          </w:tcPr>
          <w:p>
            <w:pPr>
              <w:jc w:val="right"/>
              <w:spacing w:after="0"/>
              <w:rPr>
                <w:sz w:val="20"/>
                <w:szCs w:val="20"/>
                <w:color w:val="auto"/>
              </w:rPr>
            </w:pPr>
            <w:r>
              <w:rPr>
                <w:rFonts w:ascii="Arial" w:cs="Arial" w:eastAsia="Arial" w:hAnsi="Arial"/>
                <w:sz w:val="18"/>
                <w:szCs w:val="18"/>
                <w:b w:val="1"/>
                <w:bCs w:val="1"/>
                <w:color w:val="auto"/>
              </w:rPr>
              <w:t>1</w:t>
            </w:r>
          </w:p>
        </w:tc>
      </w:tr>
      <w:tr>
        <w:trPr>
          <w:trHeight w:val="183"/>
        </w:trPr>
        <w:tc>
          <w:tcPr>
            <w:tcW w:w="5080" w:type="dxa"/>
            <w:vAlign w:val="bottom"/>
            <w:tcBorders>
              <w:top w:val="single" w:sz="8" w:color="0000EE"/>
            </w:tcBorders>
            <w:gridSpan w:val="40"/>
          </w:tcPr>
          <w:p>
            <w:pPr>
              <w:spacing w:after="0" w:line="182" w:lineRule="exact"/>
              <w:rPr>
                <w:rFonts w:ascii="Arial" w:cs="Arial" w:eastAsia="Arial" w:hAnsi="Arial"/>
                <w:sz w:val="18"/>
                <w:szCs w:val="18"/>
                <w:b w:val="1"/>
                <w:bCs w:val="1"/>
                <w:color w:val="0000EE"/>
              </w:rPr>
            </w:pPr>
            <w:hyperlink w:anchor="page11">
              <w:r>
                <w:rPr>
                  <w:rFonts w:ascii="Arial" w:cs="Arial" w:eastAsia="Arial" w:hAnsi="Arial"/>
                  <w:sz w:val="18"/>
                  <w:szCs w:val="18"/>
                  <w:b w:val="1"/>
                  <w:bCs w:val="1"/>
                  <w:color w:val="0000EE"/>
                </w:rPr>
                <w:t>Internet Availability of Proxy Materials</w:t>
              </w:r>
            </w:hyperlink>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360" w:type="dxa"/>
            <w:vAlign w:val="bottom"/>
          </w:tcPr>
          <w:p>
            <w:pPr>
              <w:jc w:val="right"/>
              <w:spacing w:after="0" w:line="182" w:lineRule="exact"/>
              <w:rPr>
                <w:sz w:val="20"/>
                <w:szCs w:val="20"/>
                <w:color w:val="auto"/>
              </w:rPr>
            </w:pPr>
            <w:r>
              <w:rPr>
                <w:rFonts w:ascii="Arial" w:cs="Arial" w:eastAsia="Arial" w:hAnsi="Arial"/>
                <w:sz w:val="18"/>
                <w:szCs w:val="18"/>
                <w:b w:val="1"/>
                <w:bCs w:val="1"/>
                <w:color w:val="auto"/>
              </w:rPr>
              <w:t>4</w:t>
            </w:r>
          </w:p>
        </w:tc>
      </w:tr>
      <w:tr>
        <w:trPr>
          <w:trHeight w:val="250"/>
        </w:trPr>
        <w:tc>
          <w:tcPr>
            <w:tcW w:w="3260" w:type="dxa"/>
            <w:vAlign w:val="bottom"/>
            <w:tcBorders>
              <w:top w:val="single" w:sz="8" w:color="0000EE"/>
            </w:tcBorders>
            <w:gridSpan w:val="25"/>
          </w:tcPr>
          <w:p>
            <w:pPr>
              <w:spacing w:after="0"/>
              <w:rPr>
                <w:rFonts w:ascii="Arial" w:cs="Arial" w:eastAsia="Arial" w:hAnsi="Arial"/>
                <w:sz w:val="18"/>
                <w:szCs w:val="18"/>
                <w:b w:val="1"/>
                <w:bCs w:val="1"/>
                <w:color w:val="0000EE"/>
              </w:rPr>
            </w:pPr>
            <w:hyperlink w:anchor="page12">
              <w:r>
                <w:rPr>
                  <w:rFonts w:ascii="Arial" w:cs="Arial" w:eastAsia="Arial" w:hAnsi="Arial"/>
                  <w:sz w:val="18"/>
                  <w:szCs w:val="18"/>
                  <w:b w:val="1"/>
                  <w:bCs w:val="1"/>
                  <w:color w:val="0000EE"/>
                </w:rPr>
                <w:t>Proposal 1 — Election of Directors</w:t>
              </w:r>
            </w:hyperlink>
          </w:p>
        </w:tc>
        <w:tc>
          <w:tcPr>
            <w:tcW w:w="4740" w:type="dxa"/>
            <w:vAlign w:val="bottom"/>
            <w:gridSpan w:val="20"/>
          </w:tcPr>
          <w:p>
            <w:pPr>
              <w:spacing w:after="0"/>
              <w:rPr>
                <w:sz w:val="21"/>
                <w:szCs w:val="21"/>
                <w:color w:val="auto"/>
              </w:rPr>
            </w:pPr>
          </w:p>
        </w:tc>
        <w:tc>
          <w:tcPr>
            <w:tcW w:w="3360" w:type="dxa"/>
            <w:vAlign w:val="bottom"/>
          </w:tcPr>
          <w:p>
            <w:pPr>
              <w:jc w:val="right"/>
              <w:spacing w:after="0"/>
              <w:rPr>
                <w:sz w:val="20"/>
                <w:szCs w:val="20"/>
                <w:color w:val="auto"/>
              </w:rPr>
            </w:pPr>
            <w:r>
              <w:rPr>
                <w:rFonts w:ascii="Arial" w:cs="Arial" w:eastAsia="Arial" w:hAnsi="Arial"/>
                <w:sz w:val="18"/>
                <w:szCs w:val="18"/>
                <w:b w:val="1"/>
                <w:bCs w:val="1"/>
                <w:color w:val="auto"/>
              </w:rPr>
              <w:t>5</w:t>
            </w:r>
          </w:p>
        </w:tc>
      </w:tr>
      <w:tr>
        <w:trPr>
          <w:trHeight w:val="20"/>
        </w:trPr>
        <w:tc>
          <w:tcPr>
            <w:tcW w:w="24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r>
      <w:tr>
        <w:trPr>
          <w:trHeight w:val="183"/>
        </w:trPr>
        <w:tc>
          <w:tcPr>
            <w:tcW w:w="240" w:type="dxa"/>
            <w:vAlign w:val="bottom"/>
          </w:tcPr>
          <w:p>
            <w:pPr>
              <w:spacing w:after="0"/>
              <w:rPr>
                <w:sz w:val="15"/>
                <w:szCs w:val="15"/>
                <w:color w:val="auto"/>
              </w:rPr>
            </w:pPr>
          </w:p>
        </w:tc>
        <w:tc>
          <w:tcPr>
            <w:tcW w:w="4680" w:type="dxa"/>
            <w:vAlign w:val="bottom"/>
            <w:tcBorders>
              <w:bottom w:val="single" w:sz="8" w:color="0000EE"/>
            </w:tcBorders>
            <w:gridSpan w:val="38"/>
          </w:tcPr>
          <w:p>
            <w:pPr>
              <w:spacing w:after="0" w:line="182" w:lineRule="exact"/>
              <w:rPr>
                <w:rFonts w:ascii="Arial" w:cs="Arial" w:eastAsia="Arial" w:hAnsi="Arial"/>
                <w:sz w:val="18"/>
                <w:szCs w:val="18"/>
                <w:color w:val="0000EE"/>
                <w:w w:val="99"/>
              </w:rPr>
            </w:pPr>
            <w:hyperlink w:anchor="page12">
              <w:r>
                <w:rPr>
                  <w:rFonts w:ascii="Arial" w:cs="Arial" w:eastAsia="Arial" w:hAnsi="Arial"/>
                  <w:sz w:val="18"/>
                  <w:szCs w:val="18"/>
                  <w:color w:val="0000EE"/>
                  <w:w w:val="99"/>
                </w:rPr>
                <w:t>Majority Voting Standard in Uncontested Director Elections</w:t>
              </w:r>
            </w:hyperlink>
          </w:p>
        </w:tc>
        <w:tc>
          <w:tcPr>
            <w:tcW w:w="3080" w:type="dxa"/>
            <w:vAlign w:val="bottom"/>
            <w:gridSpan w:val="6"/>
          </w:tcPr>
          <w:p>
            <w:pPr>
              <w:spacing w:after="0"/>
              <w:rPr>
                <w:sz w:val="15"/>
                <w:szCs w:val="15"/>
                <w:color w:val="auto"/>
              </w:rPr>
            </w:pPr>
          </w:p>
        </w:tc>
        <w:tc>
          <w:tcPr>
            <w:tcW w:w="3360" w:type="dxa"/>
            <w:vAlign w:val="bottom"/>
          </w:tcPr>
          <w:p>
            <w:pPr>
              <w:jc w:val="right"/>
              <w:spacing w:after="0" w:line="182" w:lineRule="exact"/>
              <w:rPr>
                <w:sz w:val="20"/>
                <w:szCs w:val="20"/>
                <w:color w:val="auto"/>
              </w:rPr>
            </w:pPr>
            <w:r>
              <w:rPr>
                <w:rFonts w:ascii="Arial" w:cs="Arial" w:eastAsia="Arial" w:hAnsi="Arial"/>
                <w:sz w:val="18"/>
                <w:szCs w:val="18"/>
                <w:color w:val="auto"/>
              </w:rPr>
              <w:t>5</w:t>
            </w:r>
          </w:p>
        </w:tc>
      </w:tr>
      <w:tr>
        <w:trPr>
          <w:trHeight w:val="183"/>
        </w:trPr>
        <w:tc>
          <w:tcPr>
            <w:tcW w:w="240" w:type="dxa"/>
            <w:vAlign w:val="bottom"/>
          </w:tcPr>
          <w:p>
            <w:pPr>
              <w:spacing w:after="0"/>
              <w:rPr>
                <w:sz w:val="15"/>
                <w:szCs w:val="15"/>
                <w:color w:val="auto"/>
              </w:rPr>
            </w:pPr>
          </w:p>
        </w:tc>
        <w:tc>
          <w:tcPr>
            <w:tcW w:w="3420" w:type="dxa"/>
            <w:vAlign w:val="bottom"/>
            <w:tcBorders>
              <w:bottom w:val="single" w:sz="8" w:color="0000EE"/>
            </w:tcBorders>
            <w:gridSpan w:val="27"/>
          </w:tcPr>
          <w:p>
            <w:pPr>
              <w:spacing w:after="0" w:line="182" w:lineRule="exact"/>
              <w:rPr>
                <w:rFonts w:ascii="Arial" w:cs="Arial" w:eastAsia="Arial" w:hAnsi="Arial"/>
                <w:sz w:val="18"/>
                <w:szCs w:val="18"/>
                <w:color w:val="0000EE"/>
                <w:w w:val="99"/>
              </w:rPr>
            </w:pPr>
            <w:hyperlink w:anchor="page12">
              <w:r>
                <w:rPr>
                  <w:rFonts w:ascii="Arial" w:cs="Arial" w:eastAsia="Arial" w:hAnsi="Arial"/>
                  <w:sz w:val="18"/>
                  <w:szCs w:val="18"/>
                  <w:color w:val="0000EE"/>
                  <w:w w:val="99"/>
                </w:rPr>
                <w:t>Recommendation of the Board of Directors</w:t>
              </w:r>
            </w:hyperlink>
          </w:p>
        </w:tc>
        <w:tc>
          <w:tcPr>
            <w:tcW w:w="4340" w:type="dxa"/>
            <w:vAlign w:val="bottom"/>
            <w:gridSpan w:val="17"/>
          </w:tcPr>
          <w:p>
            <w:pPr>
              <w:spacing w:after="0"/>
              <w:rPr>
                <w:sz w:val="15"/>
                <w:szCs w:val="15"/>
                <w:color w:val="auto"/>
              </w:rPr>
            </w:pPr>
          </w:p>
        </w:tc>
        <w:tc>
          <w:tcPr>
            <w:tcW w:w="3360" w:type="dxa"/>
            <w:vAlign w:val="bottom"/>
          </w:tcPr>
          <w:p>
            <w:pPr>
              <w:jc w:val="right"/>
              <w:spacing w:after="0" w:line="182" w:lineRule="exact"/>
              <w:rPr>
                <w:sz w:val="20"/>
                <w:szCs w:val="20"/>
                <w:color w:val="auto"/>
              </w:rPr>
            </w:pPr>
            <w:r>
              <w:rPr>
                <w:rFonts w:ascii="Arial" w:cs="Arial" w:eastAsia="Arial" w:hAnsi="Arial"/>
                <w:sz w:val="18"/>
                <w:szCs w:val="18"/>
                <w:color w:val="auto"/>
              </w:rPr>
              <w:t>5</w:t>
            </w:r>
          </w:p>
        </w:tc>
      </w:tr>
      <w:tr>
        <w:trPr>
          <w:trHeight w:val="183"/>
        </w:trPr>
        <w:tc>
          <w:tcPr>
            <w:tcW w:w="240" w:type="dxa"/>
            <w:vAlign w:val="bottom"/>
          </w:tcPr>
          <w:p>
            <w:pPr>
              <w:spacing w:after="0"/>
              <w:rPr>
                <w:sz w:val="15"/>
                <w:szCs w:val="15"/>
                <w:color w:val="auto"/>
              </w:rPr>
            </w:pPr>
          </w:p>
        </w:tc>
        <w:tc>
          <w:tcPr>
            <w:tcW w:w="7760" w:type="dxa"/>
            <w:vAlign w:val="bottom"/>
            <w:gridSpan w:val="44"/>
          </w:tcPr>
          <w:p>
            <w:pPr>
              <w:spacing w:after="0" w:line="182" w:lineRule="exact"/>
              <w:rPr>
                <w:rFonts w:ascii="Arial" w:cs="Arial" w:eastAsia="Arial" w:hAnsi="Arial"/>
                <w:sz w:val="18"/>
                <w:szCs w:val="18"/>
                <w:color w:val="0000EE"/>
              </w:rPr>
            </w:pPr>
            <w:hyperlink w:anchor="page12">
              <w:r>
                <w:rPr>
                  <w:rFonts w:ascii="Arial" w:cs="Arial" w:eastAsia="Arial" w:hAnsi="Arial"/>
                  <w:sz w:val="18"/>
                  <w:szCs w:val="18"/>
                  <w:color w:val="0000EE"/>
                </w:rPr>
                <w:t>Nominees for Election to the Board of Directors</w:t>
              </w:r>
            </w:hyperlink>
          </w:p>
        </w:tc>
        <w:tc>
          <w:tcPr>
            <w:tcW w:w="3360" w:type="dxa"/>
            <w:vAlign w:val="bottom"/>
          </w:tcPr>
          <w:p>
            <w:pPr>
              <w:jc w:val="right"/>
              <w:spacing w:after="0" w:line="182" w:lineRule="exact"/>
              <w:rPr>
                <w:sz w:val="20"/>
                <w:szCs w:val="20"/>
                <w:color w:val="auto"/>
              </w:rPr>
            </w:pPr>
            <w:r>
              <w:rPr>
                <w:rFonts w:ascii="Arial" w:cs="Arial" w:eastAsia="Arial" w:hAnsi="Arial"/>
                <w:sz w:val="18"/>
                <w:szCs w:val="18"/>
                <w:color w:val="auto"/>
              </w:rPr>
              <w:t>5</w:t>
            </w:r>
          </w:p>
        </w:tc>
      </w:tr>
      <w:tr>
        <w:trPr>
          <w:trHeight w:val="20"/>
        </w:trPr>
        <w:tc>
          <w:tcPr>
            <w:tcW w:w="240" w:type="dxa"/>
            <w:vAlign w:val="bottom"/>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r>
      <w:tr>
        <w:trPr>
          <w:trHeight w:val="250"/>
        </w:trPr>
        <w:tc>
          <w:tcPr>
            <w:tcW w:w="1960" w:type="dxa"/>
            <w:vAlign w:val="bottom"/>
            <w:tcBorders>
              <w:bottom w:val="single" w:sz="8" w:color="0000EE"/>
            </w:tcBorders>
            <w:gridSpan w:val="6"/>
          </w:tcPr>
          <w:p>
            <w:pPr>
              <w:spacing w:after="0"/>
              <w:rPr>
                <w:rFonts w:ascii="Arial" w:cs="Arial" w:eastAsia="Arial" w:hAnsi="Arial"/>
                <w:sz w:val="18"/>
                <w:szCs w:val="18"/>
                <w:b w:val="1"/>
                <w:bCs w:val="1"/>
                <w:color w:val="0000EE"/>
                <w:w w:val="99"/>
              </w:rPr>
            </w:pPr>
            <w:hyperlink w:anchor="page19">
              <w:r>
                <w:rPr>
                  <w:rFonts w:ascii="Arial" w:cs="Arial" w:eastAsia="Arial" w:hAnsi="Arial"/>
                  <w:sz w:val="18"/>
                  <w:szCs w:val="18"/>
                  <w:b w:val="1"/>
                  <w:bCs w:val="1"/>
                  <w:color w:val="0000EE"/>
                  <w:w w:val="99"/>
                </w:rPr>
                <w:t>Corporate Governance</w:t>
              </w:r>
            </w:hyperlink>
          </w:p>
        </w:tc>
        <w:tc>
          <w:tcPr>
            <w:tcW w:w="6040" w:type="dxa"/>
            <w:vAlign w:val="bottom"/>
            <w:gridSpan w:val="39"/>
          </w:tcPr>
          <w:p>
            <w:pPr>
              <w:spacing w:after="0"/>
              <w:rPr>
                <w:sz w:val="21"/>
                <w:szCs w:val="21"/>
                <w:color w:val="auto"/>
              </w:rPr>
            </w:pPr>
          </w:p>
        </w:tc>
        <w:tc>
          <w:tcPr>
            <w:tcW w:w="3360" w:type="dxa"/>
            <w:vAlign w:val="bottom"/>
          </w:tcPr>
          <w:p>
            <w:pPr>
              <w:jc w:val="right"/>
              <w:spacing w:after="0"/>
              <w:rPr>
                <w:sz w:val="20"/>
                <w:szCs w:val="20"/>
                <w:color w:val="auto"/>
              </w:rPr>
            </w:pPr>
            <w:r>
              <w:rPr>
                <w:rFonts w:ascii="Arial" w:cs="Arial" w:eastAsia="Arial" w:hAnsi="Arial"/>
                <w:sz w:val="18"/>
                <w:szCs w:val="18"/>
                <w:b w:val="1"/>
                <w:bCs w:val="1"/>
                <w:color w:val="auto"/>
              </w:rPr>
              <w:t>12</w:t>
            </w:r>
          </w:p>
        </w:tc>
      </w:tr>
      <w:tr>
        <w:trPr>
          <w:trHeight w:val="183"/>
        </w:trPr>
        <w:tc>
          <w:tcPr>
            <w:tcW w:w="240" w:type="dxa"/>
            <w:vAlign w:val="bottom"/>
          </w:tcPr>
          <w:p>
            <w:pPr>
              <w:spacing w:after="0"/>
              <w:rPr>
                <w:sz w:val="15"/>
                <w:szCs w:val="15"/>
                <w:color w:val="auto"/>
              </w:rPr>
            </w:pPr>
          </w:p>
        </w:tc>
        <w:tc>
          <w:tcPr>
            <w:tcW w:w="2740" w:type="dxa"/>
            <w:vAlign w:val="bottom"/>
            <w:tcBorders>
              <w:bottom w:val="single" w:sz="8" w:color="0000EE"/>
            </w:tcBorders>
            <w:gridSpan w:val="20"/>
          </w:tcPr>
          <w:p>
            <w:pPr>
              <w:spacing w:after="0" w:line="182" w:lineRule="exact"/>
              <w:rPr>
                <w:rFonts w:ascii="Arial" w:cs="Arial" w:eastAsia="Arial" w:hAnsi="Arial"/>
                <w:sz w:val="18"/>
                <w:szCs w:val="18"/>
                <w:color w:val="0000EE"/>
                <w:w w:val="99"/>
              </w:rPr>
            </w:pPr>
            <w:hyperlink w:anchor="page19">
              <w:r>
                <w:rPr>
                  <w:rFonts w:ascii="Arial" w:cs="Arial" w:eastAsia="Arial" w:hAnsi="Arial"/>
                  <w:sz w:val="18"/>
                  <w:szCs w:val="18"/>
                  <w:color w:val="0000EE"/>
                  <w:w w:val="99"/>
                </w:rPr>
                <w:t>Corporate Governance Guidelines</w:t>
              </w:r>
            </w:hyperlink>
          </w:p>
        </w:tc>
        <w:tc>
          <w:tcPr>
            <w:tcW w:w="5020" w:type="dxa"/>
            <w:vAlign w:val="bottom"/>
            <w:gridSpan w:val="24"/>
          </w:tcPr>
          <w:p>
            <w:pPr>
              <w:spacing w:after="0"/>
              <w:rPr>
                <w:sz w:val="15"/>
                <w:szCs w:val="15"/>
                <w:color w:val="auto"/>
              </w:rPr>
            </w:pPr>
          </w:p>
        </w:tc>
        <w:tc>
          <w:tcPr>
            <w:tcW w:w="3360" w:type="dxa"/>
            <w:vAlign w:val="bottom"/>
          </w:tcPr>
          <w:p>
            <w:pPr>
              <w:jc w:val="right"/>
              <w:spacing w:after="0" w:line="182" w:lineRule="exact"/>
              <w:rPr>
                <w:sz w:val="20"/>
                <w:szCs w:val="20"/>
                <w:color w:val="auto"/>
              </w:rPr>
            </w:pPr>
            <w:r>
              <w:rPr>
                <w:rFonts w:ascii="Arial" w:cs="Arial" w:eastAsia="Arial" w:hAnsi="Arial"/>
                <w:sz w:val="18"/>
                <w:szCs w:val="18"/>
                <w:color w:val="auto"/>
              </w:rPr>
              <w:t>12</w:t>
            </w:r>
          </w:p>
        </w:tc>
      </w:tr>
      <w:tr>
        <w:trPr>
          <w:trHeight w:val="183"/>
        </w:trPr>
        <w:tc>
          <w:tcPr>
            <w:tcW w:w="240" w:type="dxa"/>
            <w:vAlign w:val="bottom"/>
          </w:tcPr>
          <w:p>
            <w:pPr>
              <w:spacing w:after="0"/>
              <w:rPr>
                <w:sz w:val="15"/>
                <w:szCs w:val="15"/>
                <w:color w:val="auto"/>
              </w:rPr>
            </w:pPr>
          </w:p>
        </w:tc>
        <w:tc>
          <w:tcPr>
            <w:tcW w:w="7760" w:type="dxa"/>
            <w:vAlign w:val="bottom"/>
            <w:gridSpan w:val="44"/>
          </w:tcPr>
          <w:p>
            <w:pPr>
              <w:spacing w:after="0" w:line="182" w:lineRule="exact"/>
              <w:rPr>
                <w:rFonts w:ascii="Arial" w:cs="Arial" w:eastAsia="Arial" w:hAnsi="Arial"/>
                <w:sz w:val="18"/>
                <w:szCs w:val="18"/>
                <w:color w:val="0000EE"/>
              </w:rPr>
            </w:pPr>
            <w:hyperlink w:anchor="page19">
              <w:r>
                <w:rPr>
                  <w:rFonts w:ascii="Arial" w:cs="Arial" w:eastAsia="Arial" w:hAnsi="Arial"/>
                  <w:sz w:val="18"/>
                  <w:szCs w:val="18"/>
                  <w:color w:val="0000EE"/>
                </w:rPr>
                <w:t>Codes of Conduct</w:t>
              </w:r>
            </w:hyperlink>
          </w:p>
        </w:tc>
        <w:tc>
          <w:tcPr>
            <w:tcW w:w="3360" w:type="dxa"/>
            <w:vAlign w:val="bottom"/>
          </w:tcPr>
          <w:p>
            <w:pPr>
              <w:jc w:val="right"/>
              <w:spacing w:after="0" w:line="182" w:lineRule="exact"/>
              <w:rPr>
                <w:sz w:val="20"/>
                <w:szCs w:val="20"/>
                <w:color w:val="auto"/>
              </w:rPr>
            </w:pPr>
            <w:r>
              <w:rPr>
                <w:rFonts w:ascii="Arial" w:cs="Arial" w:eastAsia="Arial" w:hAnsi="Arial"/>
                <w:sz w:val="18"/>
                <w:szCs w:val="18"/>
                <w:color w:val="auto"/>
              </w:rPr>
              <w:t>12</w:t>
            </w:r>
          </w:p>
        </w:tc>
      </w:tr>
      <w:tr>
        <w:trPr>
          <w:trHeight w:val="20"/>
        </w:trPr>
        <w:tc>
          <w:tcPr>
            <w:tcW w:w="240" w:type="dxa"/>
            <w:vAlign w:val="bottom"/>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r>
      <w:tr>
        <w:trPr>
          <w:trHeight w:val="183"/>
        </w:trPr>
        <w:tc>
          <w:tcPr>
            <w:tcW w:w="240" w:type="dxa"/>
            <w:vAlign w:val="bottom"/>
          </w:tcPr>
          <w:p>
            <w:pPr>
              <w:spacing w:after="0"/>
              <w:rPr>
                <w:sz w:val="15"/>
                <w:szCs w:val="15"/>
                <w:color w:val="auto"/>
              </w:rPr>
            </w:pPr>
          </w:p>
        </w:tc>
        <w:tc>
          <w:tcPr>
            <w:tcW w:w="7760" w:type="dxa"/>
            <w:vAlign w:val="bottom"/>
            <w:gridSpan w:val="44"/>
          </w:tcPr>
          <w:p>
            <w:pPr>
              <w:spacing w:after="0" w:line="182" w:lineRule="exact"/>
              <w:rPr>
                <w:rFonts w:ascii="Arial" w:cs="Arial" w:eastAsia="Arial" w:hAnsi="Arial"/>
                <w:sz w:val="18"/>
                <w:szCs w:val="18"/>
                <w:color w:val="0000EE"/>
              </w:rPr>
            </w:pPr>
            <w:hyperlink w:anchor="page19">
              <w:r>
                <w:rPr>
                  <w:rFonts w:ascii="Arial" w:cs="Arial" w:eastAsia="Arial" w:hAnsi="Arial"/>
                  <w:sz w:val="18"/>
                  <w:szCs w:val="18"/>
                  <w:color w:val="0000EE"/>
                </w:rPr>
                <w:t>Director Independence</w:t>
              </w:r>
            </w:hyperlink>
          </w:p>
        </w:tc>
        <w:tc>
          <w:tcPr>
            <w:tcW w:w="3360" w:type="dxa"/>
            <w:vAlign w:val="bottom"/>
          </w:tcPr>
          <w:p>
            <w:pPr>
              <w:jc w:val="right"/>
              <w:spacing w:after="0" w:line="182" w:lineRule="exact"/>
              <w:rPr>
                <w:sz w:val="20"/>
                <w:szCs w:val="20"/>
                <w:color w:val="auto"/>
              </w:rPr>
            </w:pPr>
            <w:r>
              <w:rPr>
                <w:rFonts w:ascii="Arial" w:cs="Arial" w:eastAsia="Arial" w:hAnsi="Arial"/>
                <w:sz w:val="18"/>
                <w:szCs w:val="18"/>
                <w:color w:val="auto"/>
              </w:rPr>
              <w:t>12</w:t>
            </w:r>
          </w:p>
        </w:tc>
      </w:tr>
      <w:tr>
        <w:trPr>
          <w:trHeight w:val="20"/>
        </w:trPr>
        <w:tc>
          <w:tcPr>
            <w:tcW w:w="240" w:type="dxa"/>
            <w:vAlign w:val="bottom"/>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r>
      <w:tr>
        <w:trPr>
          <w:trHeight w:val="183"/>
        </w:trPr>
        <w:tc>
          <w:tcPr>
            <w:tcW w:w="240" w:type="dxa"/>
            <w:vAlign w:val="bottom"/>
          </w:tcPr>
          <w:p>
            <w:pPr>
              <w:spacing w:after="0"/>
              <w:rPr>
                <w:sz w:val="15"/>
                <w:szCs w:val="15"/>
                <w:color w:val="auto"/>
              </w:rPr>
            </w:pPr>
          </w:p>
        </w:tc>
        <w:tc>
          <w:tcPr>
            <w:tcW w:w="2420" w:type="dxa"/>
            <w:vAlign w:val="bottom"/>
            <w:tcBorders>
              <w:bottom w:val="single" w:sz="8" w:color="0000EE"/>
            </w:tcBorders>
            <w:gridSpan w:val="17"/>
          </w:tcPr>
          <w:p>
            <w:pPr>
              <w:spacing w:after="0" w:line="182" w:lineRule="exact"/>
              <w:rPr>
                <w:rFonts w:ascii="Arial" w:cs="Arial" w:eastAsia="Arial" w:hAnsi="Arial"/>
                <w:sz w:val="18"/>
                <w:szCs w:val="18"/>
                <w:color w:val="0000EE"/>
                <w:w w:val="99"/>
              </w:rPr>
            </w:pPr>
            <w:hyperlink w:anchor="page19">
              <w:r>
                <w:rPr>
                  <w:rFonts w:ascii="Arial" w:cs="Arial" w:eastAsia="Arial" w:hAnsi="Arial"/>
                  <w:sz w:val="18"/>
                  <w:szCs w:val="18"/>
                  <w:color w:val="0000EE"/>
                  <w:w w:val="99"/>
                </w:rPr>
                <w:t>Criteria for Board Membership</w:t>
              </w:r>
            </w:hyperlink>
          </w:p>
        </w:tc>
        <w:tc>
          <w:tcPr>
            <w:tcW w:w="5340" w:type="dxa"/>
            <w:vAlign w:val="bottom"/>
            <w:gridSpan w:val="27"/>
          </w:tcPr>
          <w:p>
            <w:pPr>
              <w:spacing w:after="0"/>
              <w:rPr>
                <w:sz w:val="15"/>
                <w:szCs w:val="15"/>
                <w:color w:val="auto"/>
              </w:rPr>
            </w:pPr>
          </w:p>
        </w:tc>
        <w:tc>
          <w:tcPr>
            <w:tcW w:w="3360" w:type="dxa"/>
            <w:vAlign w:val="bottom"/>
          </w:tcPr>
          <w:p>
            <w:pPr>
              <w:jc w:val="right"/>
              <w:spacing w:after="0" w:line="182" w:lineRule="exact"/>
              <w:rPr>
                <w:sz w:val="20"/>
                <w:szCs w:val="20"/>
                <w:color w:val="auto"/>
              </w:rPr>
            </w:pPr>
            <w:r>
              <w:rPr>
                <w:rFonts w:ascii="Arial" w:cs="Arial" w:eastAsia="Arial" w:hAnsi="Arial"/>
                <w:sz w:val="18"/>
                <w:szCs w:val="18"/>
                <w:color w:val="auto"/>
              </w:rPr>
              <w:t>12</w:t>
            </w:r>
          </w:p>
        </w:tc>
      </w:tr>
      <w:tr>
        <w:trPr>
          <w:trHeight w:val="183"/>
        </w:trPr>
        <w:tc>
          <w:tcPr>
            <w:tcW w:w="240" w:type="dxa"/>
            <w:vAlign w:val="bottom"/>
          </w:tcPr>
          <w:p>
            <w:pPr>
              <w:spacing w:after="0"/>
              <w:rPr>
                <w:sz w:val="15"/>
                <w:szCs w:val="15"/>
                <w:color w:val="auto"/>
              </w:rPr>
            </w:pPr>
          </w:p>
        </w:tc>
        <w:tc>
          <w:tcPr>
            <w:tcW w:w="7760" w:type="dxa"/>
            <w:vAlign w:val="bottom"/>
            <w:gridSpan w:val="44"/>
          </w:tcPr>
          <w:p>
            <w:pPr>
              <w:spacing w:after="0" w:line="182" w:lineRule="exact"/>
              <w:rPr>
                <w:rFonts w:ascii="Arial" w:cs="Arial" w:eastAsia="Arial" w:hAnsi="Arial"/>
                <w:sz w:val="18"/>
                <w:szCs w:val="18"/>
                <w:color w:val="0000EE"/>
              </w:rPr>
            </w:pPr>
            <w:hyperlink w:anchor="page20">
              <w:r>
                <w:rPr>
                  <w:rFonts w:ascii="Arial" w:cs="Arial" w:eastAsia="Arial" w:hAnsi="Arial"/>
                  <w:sz w:val="18"/>
                  <w:szCs w:val="18"/>
                  <w:color w:val="0000EE"/>
                </w:rPr>
                <w:t>Board Leadership Structure</w:t>
              </w:r>
            </w:hyperlink>
          </w:p>
        </w:tc>
        <w:tc>
          <w:tcPr>
            <w:tcW w:w="3360" w:type="dxa"/>
            <w:vAlign w:val="bottom"/>
          </w:tcPr>
          <w:p>
            <w:pPr>
              <w:jc w:val="right"/>
              <w:spacing w:after="0" w:line="182" w:lineRule="exact"/>
              <w:rPr>
                <w:sz w:val="20"/>
                <w:szCs w:val="20"/>
                <w:color w:val="auto"/>
              </w:rPr>
            </w:pPr>
            <w:r>
              <w:rPr>
                <w:rFonts w:ascii="Arial" w:cs="Arial" w:eastAsia="Arial" w:hAnsi="Arial"/>
                <w:sz w:val="18"/>
                <w:szCs w:val="18"/>
                <w:color w:val="auto"/>
              </w:rPr>
              <w:t>13</w:t>
            </w:r>
          </w:p>
        </w:tc>
      </w:tr>
      <w:tr>
        <w:trPr>
          <w:trHeight w:val="20"/>
        </w:trPr>
        <w:tc>
          <w:tcPr>
            <w:tcW w:w="240" w:type="dxa"/>
            <w:vAlign w:val="bottom"/>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r>
      <w:tr>
        <w:trPr>
          <w:trHeight w:val="183"/>
        </w:trPr>
        <w:tc>
          <w:tcPr>
            <w:tcW w:w="240" w:type="dxa"/>
            <w:vAlign w:val="bottom"/>
          </w:tcPr>
          <w:p>
            <w:pPr>
              <w:spacing w:after="0"/>
              <w:rPr>
                <w:sz w:val="15"/>
                <w:szCs w:val="15"/>
                <w:color w:val="auto"/>
              </w:rPr>
            </w:pPr>
          </w:p>
        </w:tc>
        <w:tc>
          <w:tcPr>
            <w:tcW w:w="2800" w:type="dxa"/>
            <w:vAlign w:val="bottom"/>
            <w:tcBorders>
              <w:bottom w:val="single" w:sz="8" w:color="0000EE"/>
            </w:tcBorders>
            <w:gridSpan w:val="21"/>
          </w:tcPr>
          <w:p>
            <w:pPr>
              <w:spacing w:after="0" w:line="182" w:lineRule="exact"/>
              <w:rPr>
                <w:rFonts w:ascii="Arial" w:cs="Arial" w:eastAsia="Arial" w:hAnsi="Arial"/>
                <w:sz w:val="18"/>
                <w:szCs w:val="18"/>
                <w:color w:val="0000EE"/>
                <w:w w:val="99"/>
              </w:rPr>
            </w:pPr>
            <w:hyperlink w:anchor="page21">
              <w:r>
                <w:rPr>
                  <w:rFonts w:ascii="Arial" w:cs="Arial" w:eastAsia="Arial" w:hAnsi="Arial"/>
                  <w:sz w:val="18"/>
                  <w:szCs w:val="18"/>
                  <w:color w:val="0000EE"/>
                  <w:w w:val="99"/>
                </w:rPr>
                <w:t>The Board’s Role in Risk Oversight</w:t>
              </w:r>
            </w:hyperlink>
          </w:p>
        </w:tc>
        <w:tc>
          <w:tcPr>
            <w:tcW w:w="4960" w:type="dxa"/>
            <w:vAlign w:val="bottom"/>
            <w:gridSpan w:val="23"/>
          </w:tcPr>
          <w:p>
            <w:pPr>
              <w:spacing w:after="0"/>
              <w:rPr>
                <w:sz w:val="15"/>
                <w:szCs w:val="15"/>
                <w:color w:val="auto"/>
              </w:rPr>
            </w:pPr>
          </w:p>
        </w:tc>
        <w:tc>
          <w:tcPr>
            <w:tcW w:w="3360" w:type="dxa"/>
            <w:vAlign w:val="bottom"/>
          </w:tcPr>
          <w:p>
            <w:pPr>
              <w:jc w:val="right"/>
              <w:spacing w:after="0" w:line="182" w:lineRule="exact"/>
              <w:rPr>
                <w:sz w:val="20"/>
                <w:szCs w:val="20"/>
                <w:color w:val="auto"/>
              </w:rPr>
            </w:pPr>
            <w:r>
              <w:rPr>
                <w:rFonts w:ascii="Arial" w:cs="Arial" w:eastAsia="Arial" w:hAnsi="Arial"/>
                <w:sz w:val="18"/>
                <w:szCs w:val="18"/>
                <w:color w:val="auto"/>
              </w:rPr>
              <w:t>14</w:t>
            </w:r>
          </w:p>
        </w:tc>
      </w:tr>
      <w:tr>
        <w:trPr>
          <w:trHeight w:val="183"/>
        </w:trPr>
        <w:tc>
          <w:tcPr>
            <w:tcW w:w="240" w:type="dxa"/>
            <w:vAlign w:val="bottom"/>
          </w:tcPr>
          <w:p>
            <w:pPr>
              <w:spacing w:after="0"/>
              <w:rPr>
                <w:sz w:val="15"/>
                <w:szCs w:val="15"/>
                <w:color w:val="auto"/>
              </w:rPr>
            </w:pPr>
          </w:p>
        </w:tc>
        <w:tc>
          <w:tcPr>
            <w:tcW w:w="2240" w:type="dxa"/>
            <w:vAlign w:val="bottom"/>
            <w:tcBorders>
              <w:bottom w:val="single" w:sz="8" w:color="0000EE"/>
            </w:tcBorders>
            <w:gridSpan w:val="13"/>
          </w:tcPr>
          <w:p>
            <w:pPr>
              <w:spacing w:after="0" w:line="182" w:lineRule="exact"/>
              <w:rPr>
                <w:rFonts w:ascii="Arial" w:cs="Arial" w:eastAsia="Arial" w:hAnsi="Arial"/>
                <w:sz w:val="18"/>
                <w:szCs w:val="18"/>
                <w:color w:val="0000EE"/>
                <w:w w:val="99"/>
              </w:rPr>
            </w:pPr>
            <w:hyperlink w:anchor="page21">
              <w:r>
                <w:rPr>
                  <w:rFonts w:ascii="Arial" w:cs="Arial" w:eastAsia="Arial" w:hAnsi="Arial"/>
                  <w:sz w:val="18"/>
                  <w:szCs w:val="18"/>
                  <w:color w:val="0000EE"/>
                  <w:w w:val="99"/>
                </w:rPr>
                <w:t>Board of Directors Meetings</w:t>
              </w:r>
            </w:hyperlink>
          </w:p>
        </w:tc>
        <w:tc>
          <w:tcPr>
            <w:tcW w:w="5520" w:type="dxa"/>
            <w:vAlign w:val="bottom"/>
            <w:gridSpan w:val="31"/>
          </w:tcPr>
          <w:p>
            <w:pPr>
              <w:spacing w:after="0"/>
              <w:rPr>
                <w:sz w:val="15"/>
                <w:szCs w:val="15"/>
                <w:color w:val="auto"/>
              </w:rPr>
            </w:pPr>
          </w:p>
        </w:tc>
        <w:tc>
          <w:tcPr>
            <w:tcW w:w="3360" w:type="dxa"/>
            <w:vAlign w:val="bottom"/>
          </w:tcPr>
          <w:p>
            <w:pPr>
              <w:jc w:val="right"/>
              <w:spacing w:after="0" w:line="182" w:lineRule="exact"/>
              <w:rPr>
                <w:sz w:val="20"/>
                <w:szCs w:val="20"/>
                <w:color w:val="auto"/>
              </w:rPr>
            </w:pPr>
            <w:r>
              <w:rPr>
                <w:rFonts w:ascii="Arial" w:cs="Arial" w:eastAsia="Arial" w:hAnsi="Arial"/>
                <w:sz w:val="18"/>
                <w:szCs w:val="18"/>
                <w:color w:val="auto"/>
              </w:rPr>
              <w:t>14</w:t>
            </w:r>
          </w:p>
        </w:tc>
      </w:tr>
      <w:tr>
        <w:trPr>
          <w:trHeight w:val="183"/>
        </w:trPr>
        <w:tc>
          <w:tcPr>
            <w:tcW w:w="240" w:type="dxa"/>
            <w:vAlign w:val="bottom"/>
          </w:tcPr>
          <w:p>
            <w:pPr>
              <w:spacing w:after="0"/>
              <w:rPr>
                <w:sz w:val="15"/>
                <w:szCs w:val="15"/>
                <w:color w:val="auto"/>
              </w:rPr>
            </w:pPr>
          </w:p>
        </w:tc>
        <w:tc>
          <w:tcPr>
            <w:tcW w:w="1500" w:type="dxa"/>
            <w:vAlign w:val="bottom"/>
            <w:tcBorders>
              <w:bottom w:val="single" w:sz="8" w:color="0000EE"/>
            </w:tcBorders>
            <w:gridSpan w:val="4"/>
          </w:tcPr>
          <w:p>
            <w:pPr>
              <w:spacing w:after="0" w:line="182" w:lineRule="exact"/>
              <w:rPr>
                <w:rFonts w:ascii="Arial" w:cs="Arial" w:eastAsia="Arial" w:hAnsi="Arial"/>
                <w:sz w:val="18"/>
                <w:szCs w:val="18"/>
                <w:color w:val="0000EE"/>
                <w:w w:val="99"/>
              </w:rPr>
            </w:pPr>
            <w:hyperlink w:anchor="page21">
              <w:r>
                <w:rPr>
                  <w:rFonts w:ascii="Arial" w:cs="Arial" w:eastAsia="Arial" w:hAnsi="Arial"/>
                  <w:sz w:val="18"/>
                  <w:szCs w:val="18"/>
                  <w:color w:val="0000EE"/>
                  <w:w w:val="99"/>
                </w:rPr>
                <w:t>Board Committees</w:t>
              </w:r>
            </w:hyperlink>
          </w:p>
        </w:tc>
        <w:tc>
          <w:tcPr>
            <w:tcW w:w="6260" w:type="dxa"/>
            <w:vAlign w:val="bottom"/>
            <w:gridSpan w:val="40"/>
          </w:tcPr>
          <w:p>
            <w:pPr>
              <w:spacing w:after="0"/>
              <w:rPr>
                <w:sz w:val="15"/>
                <w:szCs w:val="15"/>
                <w:color w:val="auto"/>
              </w:rPr>
            </w:pPr>
          </w:p>
        </w:tc>
        <w:tc>
          <w:tcPr>
            <w:tcW w:w="3360" w:type="dxa"/>
            <w:vAlign w:val="bottom"/>
          </w:tcPr>
          <w:p>
            <w:pPr>
              <w:jc w:val="right"/>
              <w:spacing w:after="0" w:line="182" w:lineRule="exact"/>
              <w:rPr>
                <w:sz w:val="20"/>
                <w:szCs w:val="20"/>
                <w:color w:val="auto"/>
              </w:rPr>
            </w:pPr>
            <w:r>
              <w:rPr>
                <w:rFonts w:ascii="Arial" w:cs="Arial" w:eastAsia="Arial" w:hAnsi="Arial"/>
                <w:sz w:val="18"/>
                <w:szCs w:val="18"/>
                <w:color w:val="auto"/>
              </w:rPr>
              <w:t>14</w:t>
            </w:r>
          </w:p>
        </w:tc>
      </w:tr>
      <w:tr>
        <w:trPr>
          <w:trHeight w:val="183"/>
        </w:trPr>
        <w:tc>
          <w:tcPr>
            <w:tcW w:w="240" w:type="dxa"/>
            <w:vAlign w:val="bottom"/>
          </w:tcPr>
          <w:p>
            <w:pPr>
              <w:spacing w:after="0"/>
              <w:rPr>
                <w:sz w:val="15"/>
                <w:szCs w:val="15"/>
                <w:color w:val="auto"/>
              </w:rPr>
            </w:pPr>
          </w:p>
        </w:tc>
        <w:tc>
          <w:tcPr>
            <w:tcW w:w="2200" w:type="dxa"/>
            <w:vAlign w:val="bottom"/>
            <w:tcBorders>
              <w:bottom w:val="single" w:sz="8" w:color="0000EE"/>
            </w:tcBorders>
            <w:gridSpan w:val="12"/>
          </w:tcPr>
          <w:p>
            <w:pPr>
              <w:spacing w:after="0" w:line="182" w:lineRule="exact"/>
              <w:rPr>
                <w:rFonts w:ascii="Arial" w:cs="Arial" w:eastAsia="Arial" w:hAnsi="Arial"/>
                <w:sz w:val="18"/>
                <w:szCs w:val="18"/>
                <w:color w:val="0000EE"/>
                <w:w w:val="99"/>
              </w:rPr>
            </w:pPr>
            <w:hyperlink w:anchor="page22">
              <w:r>
                <w:rPr>
                  <w:rFonts w:ascii="Arial" w:cs="Arial" w:eastAsia="Arial" w:hAnsi="Arial"/>
                  <w:sz w:val="18"/>
                  <w:szCs w:val="18"/>
                  <w:color w:val="0000EE"/>
                  <w:w w:val="99"/>
                </w:rPr>
                <w:t>Committee Responsibilities</w:t>
              </w:r>
            </w:hyperlink>
          </w:p>
        </w:tc>
        <w:tc>
          <w:tcPr>
            <w:tcW w:w="5560" w:type="dxa"/>
            <w:vAlign w:val="bottom"/>
            <w:gridSpan w:val="32"/>
          </w:tcPr>
          <w:p>
            <w:pPr>
              <w:spacing w:after="0"/>
              <w:rPr>
                <w:sz w:val="15"/>
                <w:szCs w:val="15"/>
                <w:color w:val="auto"/>
              </w:rPr>
            </w:pPr>
          </w:p>
        </w:tc>
        <w:tc>
          <w:tcPr>
            <w:tcW w:w="3360" w:type="dxa"/>
            <w:vAlign w:val="bottom"/>
          </w:tcPr>
          <w:p>
            <w:pPr>
              <w:jc w:val="right"/>
              <w:spacing w:after="0" w:line="182" w:lineRule="exact"/>
              <w:rPr>
                <w:sz w:val="20"/>
                <w:szCs w:val="20"/>
                <w:color w:val="auto"/>
              </w:rPr>
            </w:pPr>
            <w:r>
              <w:rPr>
                <w:rFonts w:ascii="Arial" w:cs="Arial" w:eastAsia="Arial" w:hAnsi="Arial"/>
                <w:sz w:val="18"/>
                <w:szCs w:val="18"/>
                <w:color w:val="auto"/>
              </w:rPr>
              <w:t>15</w:t>
            </w:r>
          </w:p>
        </w:tc>
      </w:tr>
      <w:tr>
        <w:trPr>
          <w:trHeight w:val="183"/>
        </w:trPr>
        <w:tc>
          <w:tcPr>
            <w:tcW w:w="240" w:type="dxa"/>
            <w:vAlign w:val="bottom"/>
          </w:tcPr>
          <w:p>
            <w:pPr>
              <w:spacing w:after="0"/>
              <w:rPr>
                <w:sz w:val="15"/>
                <w:szCs w:val="15"/>
                <w:color w:val="auto"/>
              </w:rPr>
            </w:pPr>
          </w:p>
        </w:tc>
        <w:tc>
          <w:tcPr>
            <w:tcW w:w="7760" w:type="dxa"/>
            <w:vAlign w:val="bottom"/>
            <w:gridSpan w:val="44"/>
          </w:tcPr>
          <w:p>
            <w:pPr>
              <w:spacing w:after="0" w:line="182" w:lineRule="exact"/>
              <w:rPr>
                <w:rFonts w:ascii="Arial" w:cs="Arial" w:eastAsia="Arial" w:hAnsi="Arial"/>
                <w:sz w:val="18"/>
                <w:szCs w:val="18"/>
                <w:color w:val="0000EE"/>
              </w:rPr>
            </w:pPr>
            <w:hyperlink w:anchor="page25">
              <w:r>
                <w:rPr>
                  <w:rFonts w:ascii="Arial" w:cs="Arial" w:eastAsia="Arial" w:hAnsi="Arial"/>
                  <w:sz w:val="18"/>
                  <w:szCs w:val="18"/>
                  <w:color w:val="0000EE"/>
                </w:rPr>
                <w:t>Director Compensation</w:t>
              </w:r>
            </w:hyperlink>
          </w:p>
        </w:tc>
        <w:tc>
          <w:tcPr>
            <w:tcW w:w="3360" w:type="dxa"/>
            <w:vAlign w:val="bottom"/>
          </w:tcPr>
          <w:p>
            <w:pPr>
              <w:jc w:val="right"/>
              <w:spacing w:after="0" w:line="182" w:lineRule="exact"/>
              <w:rPr>
                <w:sz w:val="20"/>
                <w:szCs w:val="20"/>
                <w:color w:val="auto"/>
              </w:rPr>
            </w:pPr>
            <w:r>
              <w:rPr>
                <w:rFonts w:ascii="Arial" w:cs="Arial" w:eastAsia="Arial" w:hAnsi="Arial"/>
                <w:sz w:val="18"/>
                <w:szCs w:val="18"/>
                <w:color w:val="auto"/>
              </w:rPr>
              <w:t>18</w:t>
            </w:r>
          </w:p>
        </w:tc>
      </w:tr>
      <w:tr>
        <w:trPr>
          <w:trHeight w:val="20"/>
        </w:trPr>
        <w:tc>
          <w:tcPr>
            <w:tcW w:w="240" w:type="dxa"/>
            <w:vAlign w:val="bottom"/>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60" w:type="dxa"/>
            <w:vAlign w:val="bottom"/>
            <w:gridSpan w:val="5"/>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r>
      <w:tr>
        <w:trPr>
          <w:trHeight w:val="183"/>
        </w:trPr>
        <w:tc>
          <w:tcPr>
            <w:tcW w:w="240" w:type="dxa"/>
            <w:vAlign w:val="bottom"/>
          </w:tcPr>
          <w:p>
            <w:pPr>
              <w:spacing w:after="0"/>
              <w:rPr>
                <w:sz w:val="15"/>
                <w:szCs w:val="15"/>
                <w:color w:val="auto"/>
              </w:rPr>
            </w:pPr>
          </w:p>
        </w:tc>
        <w:tc>
          <w:tcPr>
            <w:tcW w:w="7760" w:type="dxa"/>
            <w:vAlign w:val="bottom"/>
            <w:gridSpan w:val="44"/>
          </w:tcPr>
          <w:p>
            <w:pPr>
              <w:spacing w:after="0" w:line="182" w:lineRule="exact"/>
              <w:rPr>
                <w:rFonts w:ascii="Arial" w:cs="Arial" w:eastAsia="Arial" w:hAnsi="Arial"/>
                <w:sz w:val="18"/>
                <w:szCs w:val="18"/>
                <w:color w:val="0000EE"/>
              </w:rPr>
            </w:pPr>
            <w:hyperlink w:anchor="page27">
              <w:r>
                <w:rPr>
                  <w:rFonts w:ascii="Arial" w:cs="Arial" w:eastAsia="Arial" w:hAnsi="Arial"/>
                  <w:sz w:val="18"/>
                  <w:szCs w:val="18"/>
                  <w:color w:val="0000EE"/>
                </w:rPr>
                <w:t>Related Party Transactions</w:t>
              </w:r>
            </w:hyperlink>
          </w:p>
        </w:tc>
        <w:tc>
          <w:tcPr>
            <w:tcW w:w="3360" w:type="dxa"/>
            <w:vAlign w:val="bottom"/>
          </w:tcPr>
          <w:p>
            <w:pPr>
              <w:jc w:val="right"/>
              <w:spacing w:after="0" w:line="182" w:lineRule="exact"/>
              <w:rPr>
                <w:sz w:val="20"/>
                <w:szCs w:val="20"/>
                <w:color w:val="auto"/>
              </w:rPr>
            </w:pPr>
            <w:r>
              <w:rPr>
                <w:rFonts w:ascii="Arial" w:cs="Arial" w:eastAsia="Arial" w:hAnsi="Arial"/>
                <w:sz w:val="18"/>
                <w:szCs w:val="18"/>
                <w:color w:val="auto"/>
              </w:rPr>
              <w:t>20</w:t>
            </w:r>
          </w:p>
        </w:tc>
      </w:tr>
      <w:tr>
        <w:trPr>
          <w:trHeight w:val="20"/>
        </w:trPr>
        <w:tc>
          <w:tcPr>
            <w:tcW w:w="240" w:type="dxa"/>
            <w:vAlign w:val="bottom"/>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20" w:type="dxa"/>
            <w:vAlign w:val="bottom"/>
            <w:gridSpan w:val="6"/>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r>
      <w:tr>
        <w:trPr>
          <w:trHeight w:val="183"/>
        </w:trPr>
        <w:tc>
          <w:tcPr>
            <w:tcW w:w="240" w:type="dxa"/>
            <w:vAlign w:val="bottom"/>
          </w:tcPr>
          <w:p>
            <w:pPr>
              <w:spacing w:after="0"/>
              <w:rPr>
                <w:sz w:val="15"/>
                <w:szCs w:val="15"/>
                <w:color w:val="auto"/>
              </w:rPr>
            </w:pPr>
          </w:p>
        </w:tc>
        <w:tc>
          <w:tcPr>
            <w:tcW w:w="3520" w:type="dxa"/>
            <w:vAlign w:val="bottom"/>
            <w:tcBorders>
              <w:bottom w:val="single" w:sz="8" w:color="0000EE"/>
            </w:tcBorders>
            <w:gridSpan w:val="28"/>
          </w:tcPr>
          <w:p>
            <w:pPr>
              <w:spacing w:after="0" w:line="182" w:lineRule="exact"/>
              <w:rPr>
                <w:rFonts w:ascii="Arial" w:cs="Arial" w:eastAsia="Arial" w:hAnsi="Arial"/>
                <w:sz w:val="18"/>
                <w:szCs w:val="18"/>
                <w:color w:val="0000EE"/>
                <w:w w:val="99"/>
              </w:rPr>
            </w:pPr>
            <w:hyperlink w:anchor="page28">
              <w:r>
                <w:rPr>
                  <w:rFonts w:ascii="Arial" w:cs="Arial" w:eastAsia="Arial" w:hAnsi="Arial"/>
                  <w:sz w:val="18"/>
                  <w:szCs w:val="18"/>
                  <w:color w:val="0000EE"/>
                  <w:w w:val="99"/>
                </w:rPr>
                <w:t>Communications with the Board of Directors</w:t>
              </w:r>
            </w:hyperlink>
          </w:p>
        </w:tc>
        <w:tc>
          <w:tcPr>
            <w:tcW w:w="4240" w:type="dxa"/>
            <w:vAlign w:val="bottom"/>
            <w:gridSpan w:val="16"/>
          </w:tcPr>
          <w:p>
            <w:pPr>
              <w:spacing w:after="0"/>
              <w:rPr>
                <w:sz w:val="15"/>
                <w:szCs w:val="15"/>
                <w:color w:val="auto"/>
              </w:rPr>
            </w:pPr>
          </w:p>
        </w:tc>
        <w:tc>
          <w:tcPr>
            <w:tcW w:w="3360" w:type="dxa"/>
            <w:vAlign w:val="bottom"/>
          </w:tcPr>
          <w:p>
            <w:pPr>
              <w:jc w:val="right"/>
              <w:spacing w:after="0" w:line="182" w:lineRule="exact"/>
              <w:rPr>
                <w:sz w:val="20"/>
                <w:szCs w:val="20"/>
                <w:color w:val="auto"/>
              </w:rPr>
            </w:pPr>
            <w:r>
              <w:rPr>
                <w:rFonts w:ascii="Arial" w:cs="Arial" w:eastAsia="Arial" w:hAnsi="Arial"/>
                <w:sz w:val="18"/>
                <w:szCs w:val="18"/>
                <w:color w:val="auto"/>
              </w:rPr>
              <w:t>21</w:t>
            </w:r>
          </w:p>
        </w:tc>
      </w:tr>
      <w:tr>
        <w:trPr>
          <w:trHeight w:val="250"/>
        </w:trPr>
        <w:tc>
          <w:tcPr>
            <w:tcW w:w="4860" w:type="dxa"/>
            <w:vAlign w:val="bottom"/>
            <w:tcBorders>
              <w:bottom w:val="single" w:sz="8" w:color="0000EE"/>
            </w:tcBorders>
            <w:gridSpan w:val="37"/>
          </w:tcPr>
          <w:p>
            <w:pPr>
              <w:spacing w:after="0"/>
              <w:rPr>
                <w:rFonts w:ascii="Arial" w:cs="Arial" w:eastAsia="Arial" w:hAnsi="Arial"/>
                <w:sz w:val="18"/>
                <w:szCs w:val="18"/>
                <w:b w:val="1"/>
                <w:bCs w:val="1"/>
                <w:color w:val="0000EE"/>
                <w:w w:val="99"/>
              </w:rPr>
            </w:pPr>
            <w:hyperlink w:anchor="page29">
              <w:r>
                <w:rPr>
                  <w:rFonts w:ascii="Arial" w:cs="Arial" w:eastAsia="Arial" w:hAnsi="Arial"/>
                  <w:sz w:val="18"/>
                  <w:szCs w:val="18"/>
                  <w:b w:val="1"/>
                  <w:bCs w:val="1"/>
                  <w:color w:val="0000EE"/>
                  <w:w w:val="99"/>
                </w:rPr>
                <w:t>Proposal 2 — Advisory Vote on Executive Compensation</w:t>
              </w:r>
            </w:hyperlink>
          </w:p>
        </w:tc>
        <w:tc>
          <w:tcPr>
            <w:tcW w:w="3140" w:type="dxa"/>
            <w:vAlign w:val="bottom"/>
            <w:gridSpan w:val="8"/>
          </w:tcPr>
          <w:p>
            <w:pPr>
              <w:spacing w:after="0"/>
              <w:rPr>
                <w:sz w:val="21"/>
                <w:szCs w:val="21"/>
                <w:color w:val="auto"/>
              </w:rPr>
            </w:pPr>
          </w:p>
        </w:tc>
        <w:tc>
          <w:tcPr>
            <w:tcW w:w="3360" w:type="dxa"/>
            <w:vAlign w:val="bottom"/>
          </w:tcPr>
          <w:p>
            <w:pPr>
              <w:jc w:val="right"/>
              <w:spacing w:after="0"/>
              <w:rPr>
                <w:sz w:val="20"/>
                <w:szCs w:val="20"/>
                <w:color w:val="auto"/>
              </w:rPr>
            </w:pPr>
            <w:r>
              <w:rPr>
                <w:rFonts w:ascii="Arial" w:cs="Arial" w:eastAsia="Arial" w:hAnsi="Arial"/>
                <w:sz w:val="18"/>
                <w:szCs w:val="18"/>
                <w:b w:val="1"/>
                <w:bCs w:val="1"/>
                <w:color w:val="auto"/>
              </w:rPr>
              <w:t>22</w:t>
            </w:r>
          </w:p>
        </w:tc>
      </w:tr>
      <w:tr>
        <w:trPr>
          <w:trHeight w:val="250"/>
        </w:trPr>
        <w:tc>
          <w:tcPr>
            <w:tcW w:w="8000" w:type="dxa"/>
            <w:vAlign w:val="bottom"/>
            <w:gridSpan w:val="45"/>
          </w:tcPr>
          <w:p>
            <w:pPr>
              <w:spacing w:after="0"/>
              <w:rPr>
                <w:rFonts w:ascii="Arial" w:cs="Arial" w:eastAsia="Arial" w:hAnsi="Arial"/>
                <w:sz w:val="18"/>
                <w:szCs w:val="18"/>
                <w:b w:val="1"/>
                <w:bCs w:val="1"/>
                <w:color w:val="0000EE"/>
              </w:rPr>
            </w:pPr>
            <w:hyperlink w:anchor="page30">
              <w:r>
                <w:rPr>
                  <w:rFonts w:ascii="Arial" w:cs="Arial" w:eastAsia="Arial" w:hAnsi="Arial"/>
                  <w:sz w:val="18"/>
                  <w:szCs w:val="18"/>
                  <w:b w:val="1"/>
                  <w:bCs w:val="1"/>
                  <w:color w:val="0000EE"/>
                </w:rPr>
                <w:t>Compensation Discussion and Analysis</w:t>
              </w:r>
            </w:hyperlink>
          </w:p>
        </w:tc>
        <w:tc>
          <w:tcPr>
            <w:tcW w:w="3360" w:type="dxa"/>
            <w:vAlign w:val="bottom"/>
          </w:tcPr>
          <w:p>
            <w:pPr>
              <w:jc w:val="right"/>
              <w:spacing w:after="0"/>
              <w:rPr>
                <w:sz w:val="20"/>
                <w:szCs w:val="20"/>
                <w:color w:val="auto"/>
              </w:rPr>
            </w:pPr>
            <w:r>
              <w:rPr>
                <w:rFonts w:ascii="Arial" w:cs="Arial" w:eastAsia="Arial" w:hAnsi="Arial"/>
                <w:sz w:val="18"/>
                <w:szCs w:val="18"/>
                <w:b w:val="1"/>
                <w:bCs w:val="1"/>
                <w:color w:val="auto"/>
              </w:rPr>
              <w:t>23</w:t>
            </w:r>
          </w:p>
        </w:tc>
      </w:tr>
      <w:tr>
        <w:trPr>
          <w:trHeight w:val="20"/>
        </w:trPr>
        <w:tc>
          <w:tcPr>
            <w:tcW w:w="24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20" w:type="dxa"/>
            <w:vAlign w:val="bottom"/>
            <w:gridSpan w:val="6"/>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gridSpan w:val="4"/>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360" w:type="dxa"/>
            <w:vAlign w:val="bottom"/>
            <w:gridSpan w:val="4"/>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r>
      <w:tr>
        <w:trPr>
          <w:trHeight w:val="183"/>
        </w:trPr>
        <w:tc>
          <w:tcPr>
            <w:tcW w:w="240" w:type="dxa"/>
            <w:vAlign w:val="bottom"/>
          </w:tcPr>
          <w:p>
            <w:pPr>
              <w:spacing w:after="0"/>
              <w:rPr>
                <w:sz w:val="15"/>
                <w:szCs w:val="15"/>
                <w:color w:val="auto"/>
              </w:rPr>
            </w:pPr>
          </w:p>
        </w:tc>
        <w:tc>
          <w:tcPr>
            <w:tcW w:w="4580" w:type="dxa"/>
            <w:vAlign w:val="bottom"/>
            <w:tcBorders>
              <w:bottom w:val="single" w:sz="8" w:color="0000EE"/>
            </w:tcBorders>
            <w:gridSpan w:val="35"/>
          </w:tcPr>
          <w:p>
            <w:pPr>
              <w:spacing w:after="0" w:line="182" w:lineRule="exact"/>
              <w:rPr>
                <w:rFonts w:ascii="Arial" w:cs="Arial" w:eastAsia="Arial" w:hAnsi="Arial"/>
                <w:sz w:val="18"/>
                <w:szCs w:val="18"/>
                <w:color w:val="0000EE"/>
                <w:w w:val="99"/>
              </w:rPr>
            </w:pPr>
            <w:hyperlink w:anchor="page45">
              <w:r>
                <w:rPr>
                  <w:rFonts w:ascii="Arial" w:cs="Arial" w:eastAsia="Arial" w:hAnsi="Arial"/>
                  <w:sz w:val="18"/>
                  <w:szCs w:val="18"/>
                  <w:color w:val="0000EE"/>
                  <w:w w:val="99"/>
                </w:rPr>
                <w:t>Human Resources and Compensation Committee Report</w:t>
              </w:r>
            </w:hyperlink>
          </w:p>
        </w:tc>
        <w:tc>
          <w:tcPr>
            <w:tcW w:w="3180" w:type="dxa"/>
            <w:vAlign w:val="bottom"/>
            <w:gridSpan w:val="9"/>
          </w:tcPr>
          <w:p>
            <w:pPr>
              <w:spacing w:after="0"/>
              <w:rPr>
                <w:sz w:val="15"/>
                <w:szCs w:val="15"/>
                <w:color w:val="auto"/>
              </w:rPr>
            </w:pPr>
          </w:p>
        </w:tc>
        <w:tc>
          <w:tcPr>
            <w:tcW w:w="3360" w:type="dxa"/>
            <w:vAlign w:val="bottom"/>
          </w:tcPr>
          <w:p>
            <w:pPr>
              <w:jc w:val="right"/>
              <w:spacing w:after="0" w:line="182" w:lineRule="exact"/>
              <w:rPr>
                <w:sz w:val="20"/>
                <w:szCs w:val="20"/>
                <w:color w:val="auto"/>
              </w:rPr>
            </w:pPr>
            <w:r>
              <w:rPr>
                <w:rFonts w:ascii="Arial" w:cs="Arial" w:eastAsia="Arial" w:hAnsi="Arial"/>
                <w:sz w:val="18"/>
                <w:szCs w:val="18"/>
                <w:color w:val="auto"/>
              </w:rPr>
              <w:t>38</w:t>
            </w:r>
          </w:p>
        </w:tc>
      </w:tr>
      <w:tr>
        <w:trPr>
          <w:trHeight w:val="250"/>
        </w:trPr>
        <w:tc>
          <w:tcPr>
            <w:tcW w:w="8000" w:type="dxa"/>
            <w:vAlign w:val="bottom"/>
            <w:gridSpan w:val="45"/>
          </w:tcPr>
          <w:p>
            <w:pPr>
              <w:spacing w:after="0"/>
              <w:rPr>
                <w:rFonts w:ascii="Arial" w:cs="Arial" w:eastAsia="Arial" w:hAnsi="Arial"/>
                <w:sz w:val="18"/>
                <w:szCs w:val="18"/>
                <w:b w:val="1"/>
                <w:bCs w:val="1"/>
                <w:color w:val="0000EE"/>
              </w:rPr>
            </w:pPr>
            <w:hyperlink w:anchor="page46">
              <w:r>
                <w:rPr>
                  <w:rFonts w:ascii="Arial" w:cs="Arial" w:eastAsia="Arial" w:hAnsi="Arial"/>
                  <w:sz w:val="18"/>
                  <w:szCs w:val="18"/>
                  <w:b w:val="1"/>
                  <w:bCs w:val="1"/>
                  <w:color w:val="0000EE"/>
                </w:rPr>
                <w:t>Executive Compensation</w:t>
              </w:r>
            </w:hyperlink>
          </w:p>
        </w:tc>
        <w:tc>
          <w:tcPr>
            <w:tcW w:w="3360" w:type="dxa"/>
            <w:vAlign w:val="bottom"/>
          </w:tcPr>
          <w:p>
            <w:pPr>
              <w:jc w:val="right"/>
              <w:spacing w:after="0"/>
              <w:rPr>
                <w:sz w:val="20"/>
                <w:szCs w:val="20"/>
                <w:color w:val="auto"/>
              </w:rPr>
            </w:pPr>
            <w:r>
              <w:rPr>
                <w:rFonts w:ascii="Arial" w:cs="Arial" w:eastAsia="Arial" w:hAnsi="Arial"/>
                <w:sz w:val="18"/>
                <w:szCs w:val="18"/>
                <w:b w:val="1"/>
                <w:bCs w:val="1"/>
                <w:color w:val="auto"/>
              </w:rPr>
              <w:t>39</w:t>
            </w:r>
          </w:p>
        </w:tc>
      </w:tr>
      <w:tr>
        <w:trPr>
          <w:trHeight w:val="20"/>
        </w:trPr>
        <w:tc>
          <w:tcPr>
            <w:tcW w:w="24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20" w:type="dxa"/>
            <w:vAlign w:val="bottom"/>
            <w:gridSpan w:val="6"/>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r>
      <w:tr>
        <w:trPr>
          <w:trHeight w:val="183"/>
        </w:trPr>
        <w:tc>
          <w:tcPr>
            <w:tcW w:w="240" w:type="dxa"/>
            <w:vAlign w:val="bottom"/>
          </w:tcPr>
          <w:p>
            <w:pPr>
              <w:spacing w:after="0"/>
              <w:rPr>
                <w:sz w:val="15"/>
                <w:szCs w:val="15"/>
                <w:color w:val="auto"/>
              </w:rPr>
            </w:pPr>
          </w:p>
        </w:tc>
        <w:tc>
          <w:tcPr>
            <w:tcW w:w="7760" w:type="dxa"/>
            <w:vAlign w:val="bottom"/>
            <w:gridSpan w:val="44"/>
          </w:tcPr>
          <w:p>
            <w:pPr>
              <w:spacing w:after="0" w:line="182" w:lineRule="exact"/>
              <w:rPr>
                <w:rFonts w:ascii="Arial" w:cs="Arial" w:eastAsia="Arial" w:hAnsi="Arial"/>
                <w:sz w:val="18"/>
                <w:szCs w:val="18"/>
                <w:color w:val="0000EE"/>
              </w:rPr>
            </w:pPr>
            <w:hyperlink w:anchor="page46">
              <w:r>
                <w:rPr>
                  <w:rFonts w:ascii="Arial" w:cs="Arial" w:eastAsia="Arial" w:hAnsi="Arial"/>
                  <w:sz w:val="18"/>
                  <w:szCs w:val="18"/>
                  <w:color w:val="0000EE"/>
                </w:rPr>
                <w:t>Summary Compensation Table</w:t>
              </w:r>
            </w:hyperlink>
          </w:p>
        </w:tc>
        <w:tc>
          <w:tcPr>
            <w:tcW w:w="3360" w:type="dxa"/>
            <w:vAlign w:val="bottom"/>
          </w:tcPr>
          <w:p>
            <w:pPr>
              <w:jc w:val="right"/>
              <w:spacing w:after="0" w:line="182" w:lineRule="exact"/>
              <w:rPr>
                <w:sz w:val="20"/>
                <w:szCs w:val="20"/>
                <w:color w:val="auto"/>
              </w:rPr>
            </w:pPr>
            <w:r>
              <w:rPr>
                <w:rFonts w:ascii="Arial" w:cs="Arial" w:eastAsia="Arial" w:hAnsi="Arial"/>
                <w:sz w:val="18"/>
                <w:szCs w:val="18"/>
                <w:color w:val="auto"/>
              </w:rPr>
              <w:t>39</w:t>
            </w:r>
          </w:p>
        </w:tc>
      </w:tr>
      <w:tr>
        <w:trPr>
          <w:trHeight w:val="183"/>
        </w:trPr>
        <w:tc>
          <w:tcPr>
            <w:tcW w:w="240" w:type="dxa"/>
            <w:vAlign w:val="bottom"/>
          </w:tcPr>
          <w:p>
            <w:pPr>
              <w:spacing w:after="0"/>
              <w:rPr>
                <w:sz w:val="15"/>
                <w:szCs w:val="15"/>
                <w:color w:val="auto"/>
              </w:rPr>
            </w:pPr>
          </w:p>
        </w:tc>
        <w:tc>
          <w:tcPr>
            <w:tcW w:w="2380" w:type="dxa"/>
            <w:vAlign w:val="bottom"/>
            <w:tcBorders>
              <w:top w:val="single" w:sz="8" w:color="0000EE"/>
              <w:bottom w:val="single" w:sz="8" w:color="0000EE"/>
            </w:tcBorders>
            <w:gridSpan w:val="16"/>
          </w:tcPr>
          <w:p>
            <w:pPr>
              <w:spacing w:after="0" w:line="182" w:lineRule="exact"/>
              <w:rPr>
                <w:rFonts w:ascii="Arial" w:cs="Arial" w:eastAsia="Arial" w:hAnsi="Arial"/>
                <w:sz w:val="18"/>
                <w:szCs w:val="18"/>
                <w:color w:val="0000EE"/>
                <w:w w:val="99"/>
              </w:rPr>
            </w:pPr>
            <w:hyperlink w:anchor="page48">
              <w:r>
                <w:rPr>
                  <w:rFonts w:ascii="Arial" w:cs="Arial" w:eastAsia="Arial" w:hAnsi="Arial"/>
                  <w:sz w:val="18"/>
                  <w:szCs w:val="18"/>
                  <w:color w:val="0000EE"/>
                  <w:w w:val="99"/>
                </w:rPr>
                <w:t>Grants of Plan-Based Awards</w:t>
              </w:r>
            </w:hyperlink>
          </w:p>
        </w:tc>
        <w:tc>
          <w:tcPr>
            <w:tcW w:w="80" w:type="dxa"/>
            <w:vAlign w:val="bottom"/>
            <w:tcBorders>
              <w:top w:val="single" w:sz="8" w:color="0000EE"/>
            </w:tcBorders>
            <w:gridSpan w:val="2"/>
          </w:tcPr>
          <w:p>
            <w:pPr>
              <w:spacing w:after="0"/>
              <w:rPr>
                <w:sz w:val="15"/>
                <w:szCs w:val="15"/>
                <w:color w:val="auto"/>
              </w:rPr>
            </w:pPr>
          </w:p>
        </w:tc>
        <w:tc>
          <w:tcPr>
            <w:tcW w:w="5300" w:type="dxa"/>
            <w:vAlign w:val="bottom"/>
            <w:gridSpan w:val="26"/>
          </w:tcPr>
          <w:p>
            <w:pPr>
              <w:spacing w:after="0"/>
              <w:rPr>
                <w:sz w:val="15"/>
                <w:szCs w:val="15"/>
                <w:color w:val="auto"/>
              </w:rPr>
            </w:pPr>
          </w:p>
        </w:tc>
        <w:tc>
          <w:tcPr>
            <w:tcW w:w="3360" w:type="dxa"/>
            <w:vAlign w:val="bottom"/>
          </w:tcPr>
          <w:p>
            <w:pPr>
              <w:jc w:val="right"/>
              <w:spacing w:after="0" w:line="182" w:lineRule="exact"/>
              <w:rPr>
                <w:sz w:val="20"/>
                <w:szCs w:val="20"/>
                <w:color w:val="auto"/>
              </w:rPr>
            </w:pPr>
            <w:r>
              <w:rPr>
                <w:rFonts w:ascii="Arial" w:cs="Arial" w:eastAsia="Arial" w:hAnsi="Arial"/>
                <w:sz w:val="18"/>
                <w:szCs w:val="18"/>
                <w:color w:val="auto"/>
              </w:rPr>
              <w:t>41</w:t>
            </w:r>
          </w:p>
        </w:tc>
      </w:tr>
      <w:tr>
        <w:trPr>
          <w:trHeight w:val="183"/>
        </w:trPr>
        <w:tc>
          <w:tcPr>
            <w:tcW w:w="240" w:type="dxa"/>
            <w:vAlign w:val="bottom"/>
          </w:tcPr>
          <w:p>
            <w:pPr>
              <w:spacing w:after="0"/>
              <w:rPr>
                <w:sz w:val="15"/>
                <w:szCs w:val="15"/>
                <w:color w:val="auto"/>
              </w:rPr>
            </w:pPr>
          </w:p>
        </w:tc>
        <w:tc>
          <w:tcPr>
            <w:tcW w:w="7760" w:type="dxa"/>
            <w:vAlign w:val="bottom"/>
            <w:gridSpan w:val="44"/>
          </w:tcPr>
          <w:p>
            <w:pPr>
              <w:spacing w:after="0" w:line="182" w:lineRule="exact"/>
              <w:rPr>
                <w:rFonts w:ascii="Arial" w:cs="Arial" w:eastAsia="Arial" w:hAnsi="Arial"/>
                <w:sz w:val="18"/>
                <w:szCs w:val="18"/>
                <w:color w:val="0000EE"/>
              </w:rPr>
            </w:pPr>
            <w:hyperlink w:anchor="page50">
              <w:r>
                <w:rPr>
                  <w:rFonts w:ascii="Arial" w:cs="Arial" w:eastAsia="Arial" w:hAnsi="Arial"/>
                  <w:sz w:val="18"/>
                  <w:szCs w:val="18"/>
                  <w:color w:val="0000EE"/>
                </w:rPr>
                <w:t>Outstanding Equity Awards at Fiscal Year-End</w:t>
              </w:r>
            </w:hyperlink>
          </w:p>
        </w:tc>
        <w:tc>
          <w:tcPr>
            <w:tcW w:w="3360" w:type="dxa"/>
            <w:vAlign w:val="bottom"/>
          </w:tcPr>
          <w:p>
            <w:pPr>
              <w:jc w:val="right"/>
              <w:spacing w:after="0" w:line="182" w:lineRule="exact"/>
              <w:rPr>
                <w:sz w:val="20"/>
                <w:szCs w:val="20"/>
                <w:color w:val="auto"/>
              </w:rPr>
            </w:pPr>
            <w:r>
              <w:rPr>
                <w:rFonts w:ascii="Arial" w:cs="Arial" w:eastAsia="Arial" w:hAnsi="Arial"/>
                <w:sz w:val="18"/>
                <w:szCs w:val="18"/>
                <w:color w:val="auto"/>
              </w:rPr>
              <w:t>43</w:t>
            </w:r>
          </w:p>
        </w:tc>
      </w:tr>
      <w:tr>
        <w:trPr>
          <w:trHeight w:val="183"/>
        </w:trPr>
        <w:tc>
          <w:tcPr>
            <w:tcW w:w="240" w:type="dxa"/>
            <w:vAlign w:val="bottom"/>
          </w:tcPr>
          <w:p>
            <w:pPr>
              <w:spacing w:after="0"/>
              <w:rPr>
                <w:sz w:val="15"/>
                <w:szCs w:val="15"/>
                <w:color w:val="auto"/>
              </w:rPr>
            </w:pPr>
          </w:p>
        </w:tc>
        <w:tc>
          <w:tcPr>
            <w:tcW w:w="2820" w:type="dxa"/>
            <w:vAlign w:val="bottom"/>
            <w:tcBorders>
              <w:top w:val="single" w:sz="8" w:color="0000EE"/>
              <w:bottom w:val="single" w:sz="8" w:color="0000EE"/>
            </w:tcBorders>
            <w:gridSpan w:val="22"/>
          </w:tcPr>
          <w:p>
            <w:pPr>
              <w:spacing w:after="0" w:line="182" w:lineRule="exact"/>
              <w:rPr>
                <w:rFonts w:ascii="Arial" w:cs="Arial" w:eastAsia="Arial" w:hAnsi="Arial"/>
                <w:sz w:val="18"/>
                <w:szCs w:val="18"/>
                <w:color w:val="0000EE"/>
                <w:w w:val="99"/>
              </w:rPr>
            </w:pPr>
            <w:hyperlink w:anchor="page51">
              <w:r>
                <w:rPr>
                  <w:rFonts w:ascii="Arial" w:cs="Arial" w:eastAsia="Arial" w:hAnsi="Arial"/>
                  <w:sz w:val="18"/>
                  <w:szCs w:val="18"/>
                  <w:color w:val="0000EE"/>
                  <w:w w:val="99"/>
                </w:rPr>
                <w:t>Option Exercises and Stock Vested</w:t>
              </w:r>
            </w:hyperlink>
          </w:p>
        </w:tc>
        <w:tc>
          <w:tcPr>
            <w:tcW w:w="860" w:type="dxa"/>
            <w:vAlign w:val="bottom"/>
            <w:tcBorders>
              <w:top w:val="single" w:sz="8" w:color="0000EE"/>
            </w:tcBorders>
            <w:gridSpan w:val="8"/>
          </w:tcPr>
          <w:p>
            <w:pPr>
              <w:spacing w:after="0"/>
              <w:rPr>
                <w:sz w:val="15"/>
                <w:szCs w:val="15"/>
                <w:color w:val="auto"/>
              </w:rPr>
            </w:pPr>
          </w:p>
        </w:tc>
        <w:tc>
          <w:tcPr>
            <w:tcW w:w="4080" w:type="dxa"/>
            <w:vAlign w:val="bottom"/>
            <w:gridSpan w:val="14"/>
          </w:tcPr>
          <w:p>
            <w:pPr>
              <w:spacing w:after="0"/>
              <w:rPr>
                <w:sz w:val="15"/>
                <w:szCs w:val="15"/>
                <w:color w:val="auto"/>
              </w:rPr>
            </w:pPr>
          </w:p>
        </w:tc>
        <w:tc>
          <w:tcPr>
            <w:tcW w:w="3360" w:type="dxa"/>
            <w:vAlign w:val="bottom"/>
          </w:tcPr>
          <w:p>
            <w:pPr>
              <w:jc w:val="right"/>
              <w:spacing w:after="0" w:line="182" w:lineRule="exact"/>
              <w:rPr>
                <w:sz w:val="20"/>
                <w:szCs w:val="20"/>
                <w:color w:val="auto"/>
              </w:rPr>
            </w:pPr>
            <w:r>
              <w:rPr>
                <w:rFonts w:ascii="Arial" w:cs="Arial" w:eastAsia="Arial" w:hAnsi="Arial"/>
                <w:sz w:val="18"/>
                <w:szCs w:val="18"/>
                <w:color w:val="auto"/>
              </w:rPr>
              <w:t>44</w:t>
            </w:r>
          </w:p>
        </w:tc>
      </w:tr>
      <w:tr>
        <w:trPr>
          <w:trHeight w:val="183"/>
        </w:trPr>
        <w:tc>
          <w:tcPr>
            <w:tcW w:w="240" w:type="dxa"/>
            <w:vAlign w:val="bottom"/>
          </w:tcPr>
          <w:p>
            <w:pPr>
              <w:spacing w:after="0"/>
              <w:rPr>
                <w:sz w:val="15"/>
                <w:szCs w:val="15"/>
                <w:color w:val="auto"/>
              </w:rPr>
            </w:pPr>
          </w:p>
        </w:tc>
        <w:tc>
          <w:tcPr>
            <w:tcW w:w="7760" w:type="dxa"/>
            <w:vAlign w:val="bottom"/>
            <w:gridSpan w:val="44"/>
          </w:tcPr>
          <w:p>
            <w:pPr>
              <w:spacing w:after="0" w:line="182" w:lineRule="exact"/>
              <w:rPr>
                <w:rFonts w:ascii="Arial" w:cs="Arial" w:eastAsia="Arial" w:hAnsi="Arial"/>
                <w:sz w:val="18"/>
                <w:szCs w:val="18"/>
                <w:color w:val="0000EE"/>
              </w:rPr>
            </w:pPr>
            <w:hyperlink w:anchor="page51">
              <w:r>
                <w:rPr>
                  <w:rFonts w:ascii="Arial" w:cs="Arial" w:eastAsia="Arial" w:hAnsi="Arial"/>
                  <w:sz w:val="18"/>
                  <w:szCs w:val="18"/>
                  <w:color w:val="0000EE"/>
                </w:rPr>
                <w:t>Nonqualified Deferred Compensation</w:t>
              </w:r>
            </w:hyperlink>
          </w:p>
        </w:tc>
        <w:tc>
          <w:tcPr>
            <w:tcW w:w="3360" w:type="dxa"/>
            <w:vAlign w:val="bottom"/>
          </w:tcPr>
          <w:p>
            <w:pPr>
              <w:jc w:val="right"/>
              <w:spacing w:after="0" w:line="182" w:lineRule="exact"/>
              <w:rPr>
                <w:sz w:val="20"/>
                <w:szCs w:val="20"/>
                <w:color w:val="auto"/>
              </w:rPr>
            </w:pPr>
            <w:r>
              <w:rPr>
                <w:rFonts w:ascii="Arial" w:cs="Arial" w:eastAsia="Arial" w:hAnsi="Arial"/>
                <w:sz w:val="18"/>
                <w:szCs w:val="18"/>
                <w:color w:val="auto"/>
              </w:rPr>
              <w:t>44</w:t>
            </w:r>
          </w:p>
        </w:tc>
      </w:tr>
      <w:tr>
        <w:trPr>
          <w:trHeight w:val="20"/>
        </w:trPr>
        <w:tc>
          <w:tcPr>
            <w:tcW w:w="240" w:type="dxa"/>
            <w:vAlign w:val="bottom"/>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40" w:type="dxa"/>
            <w:vAlign w:val="bottom"/>
            <w:gridSpan w:val="7"/>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gridSpan w:val="4"/>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0" w:type="dxa"/>
            <w:vAlign w:val="bottom"/>
            <w:gridSpan w:val="8"/>
            <w:shd w:val="clear" w:color="auto" w:fill="0000EE"/>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r>
      <w:tr>
        <w:trPr>
          <w:trHeight w:val="183"/>
        </w:trPr>
        <w:tc>
          <w:tcPr>
            <w:tcW w:w="240" w:type="dxa"/>
            <w:vAlign w:val="bottom"/>
          </w:tcPr>
          <w:p>
            <w:pPr>
              <w:spacing w:after="0"/>
              <w:rPr>
                <w:sz w:val="15"/>
                <w:szCs w:val="15"/>
                <w:color w:val="auto"/>
              </w:rPr>
            </w:pPr>
          </w:p>
        </w:tc>
        <w:tc>
          <w:tcPr>
            <w:tcW w:w="4860" w:type="dxa"/>
            <w:vAlign w:val="bottom"/>
            <w:tcBorders>
              <w:bottom w:val="single" w:sz="8" w:color="0000EE"/>
            </w:tcBorders>
            <w:gridSpan w:val="40"/>
          </w:tcPr>
          <w:p>
            <w:pPr>
              <w:spacing w:after="0" w:line="182" w:lineRule="exact"/>
              <w:rPr>
                <w:rFonts w:ascii="Arial" w:cs="Arial" w:eastAsia="Arial" w:hAnsi="Arial"/>
                <w:sz w:val="18"/>
                <w:szCs w:val="18"/>
                <w:color w:val="0000EE"/>
                <w:w w:val="99"/>
              </w:rPr>
            </w:pPr>
            <w:hyperlink w:anchor="page53">
              <w:r>
                <w:rPr>
                  <w:rFonts w:ascii="Arial" w:cs="Arial" w:eastAsia="Arial" w:hAnsi="Arial"/>
                  <w:sz w:val="18"/>
                  <w:szCs w:val="18"/>
                  <w:color w:val="0000EE"/>
                  <w:w w:val="99"/>
                </w:rPr>
                <w:t>Potential Payments upon Termination or a Change in Control</w:t>
              </w:r>
            </w:hyperlink>
          </w:p>
        </w:tc>
        <w:tc>
          <w:tcPr>
            <w:tcW w:w="2900" w:type="dxa"/>
            <w:vAlign w:val="bottom"/>
            <w:gridSpan w:val="4"/>
          </w:tcPr>
          <w:p>
            <w:pPr>
              <w:spacing w:after="0"/>
              <w:rPr>
                <w:sz w:val="15"/>
                <w:szCs w:val="15"/>
                <w:color w:val="auto"/>
              </w:rPr>
            </w:pPr>
          </w:p>
        </w:tc>
        <w:tc>
          <w:tcPr>
            <w:tcW w:w="3360" w:type="dxa"/>
            <w:vAlign w:val="bottom"/>
          </w:tcPr>
          <w:p>
            <w:pPr>
              <w:jc w:val="right"/>
              <w:spacing w:after="0" w:line="182" w:lineRule="exact"/>
              <w:rPr>
                <w:sz w:val="20"/>
                <w:szCs w:val="20"/>
                <w:color w:val="auto"/>
              </w:rPr>
            </w:pPr>
            <w:r>
              <w:rPr>
                <w:rFonts w:ascii="Arial" w:cs="Arial" w:eastAsia="Arial" w:hAnsi="Arial"/>
                <w:sz w:val="18"/>
                <w:szCs w:val="18"/>
                <w:color w:val="auto"/>
              </w:rPr>
              <w:t>46</w:t>
            </w:r>
          </w:p>
        </w:tc>
      </w:tr>
      <w:tr>
        <w:trPr>
          <w:trHeight w:val="183"/>
        </w:trPr>
        <w:tc>
          <w:tcPr>
            <w:tcW w:w="240" w:type="dxa"/>
            <w:vAlign w:val="bottom"/>
          </w:tcPr>
          <w:p>
            <w:pPr>
              <w:spacing w:after="0"/>
              <w:rPr>
                <w:sz w:val="15"/>
                <w:szCs w:val="15"/>
                <w:color w:val="auto"/>
              </w:rPr>
            </w:pPr>
          </w:p>
        </w:tc>
        <w:tc>
          <w:tcPr>
            <w:tcW w:w="7760" w:type="dxa"/>
            <w:vAlign w:val="bottom"/>
            <w:gridSpan w:val="44"/>
          </w:tcPr>
          <w:p>
            <w:pPr>
              <w:spacing w:after="0" w:line="182" w:lineRule="exact"/>
              <w:rPr>
                <w:rFonts w:ascii="Arial" w:cs="Arial" w:eastAsia="Arial" w:hAnsi="Arial"/>
                <w:sz w:val="18"/>
                <w:szCs w:val="18"/>
                <w:color w:val="0000EE"/>
              </w:rPr>
            </w:pPr>
            <w:hyperlink w:anchor="page60">
              <w:r>
                <w:rPr>
                  <w:rFonts w:ascii="Arial" w:cs="Arial" w:eastAsia="Arial" w:hAnsi="Arial"/>
                  <w:sz w:val="18"/>
                  <w:szCs w:val="18"/>
                  <w:color w:val="0000EE"/>
                </w:rPr>
                <w:t>Treatment of Equity Awards upon Termination</w:t>
              </w:r>
            </w:hyperlink>
          </w:p>
        </w:tc>
        <w:tc>
          <w:tcPr>
            <w:tcW w:w="3360" w:type="dxa"/>
            <w:vAlign w:val="bottom"/>
          </w:tcPr>
          <w:p>
            <w:pPr>
              <w:jc w:val="right"/>
              <w:spacing w:after="0" w:line="182" w:lineRule="exact"/>
              <w:rPr>
                <w:sz w:val="20"/>
                <w:szCs w:val="20"/>
                <w:color w:val="auto"/>
              </w:rPr>
            </w:pPr>
            <w:r>
              <w:rPr>
                <w:rFonts w:ascii="Arial" w:cs="Arial" w:eastAsia="Arial" w:hAnsi="Arial"/>
                <w:sz w:val="18"/>
                <w:szCs w:val="18"/>
                <w:color w:val="auto"/>
              </w:rPr>
              <w:t>53</w:t>
            </w:r>
          </w:p>
        </w:tc>
      </w:tr>
      <w:tr>
        <w:trPr>
          <w:trHeight w:val="20"/>
        </w:trPr>
        <w:tc>
          <w:tcPr>
            <w:tcW w:w="240" w:type="dxa"/>
            <w:vAlign w:val="bottom"/>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40" w:type="dxa"/>
            <w:vAlign w:val="bottom"/>
            <w:gridSpan w:val="7"/>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gridSpan w:val="4"/>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0" w:type="dxa"/>
            <w:vAlign w:val="bottom"/>
            <w:gridSpan w:val="11"/>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r>
      <w:tr>
        <w:trPr>
          <w:trHeight w:val="250"/>
        </w:trPr>
        <w:tc>
          <w:tcPr>
            <w:tcW w:w="6800" w:type="dxa"/>
            <w:vAlign w:val="bottom"/>
            <w:tcBorders>
              <w:bottom w:val="single" w:sz="8" w:color="0000EE"/>
            </w:tcBorders>
            <w:gridSpan w:val="43"/>
          </w:tcPr>
          <w:p>
            <w:pPr>
              <w:spacing w:after="0"/>
              <w:rPr>
                <w:rFonts w:ascii="Arial" w:cs="Arial" w:eastAsia="Arial" w:hAnsi="Arial"/>
                <w:sz w:val="18"/>
                <w:szCs w:val="18"/>
                <w:b w:val="1"/>
                <w:bCs w:val="1"/>
                <w:color w:val="0000EE"/>
              </w:rPr>
            </w:pPr>
            <w:hyperlink w:anchor="page62">
              <w:r>
                <w:rPr>
                  <w:rFonts w:ascii="Arial" w:cs="Arial" w:eastAsia="Arial" w:hAnsi="Arial"/>
                  <w:sz w:val="18"/>
                  <w:szCs w:val="18"/>
                  <w:b w:val="1"/>
                  <w:bCs w:val="1"/>
                  <w:color w:val="0000EE"/>
                </w:rPr>
                <w:t>Proposal 3 — Advisory Vote on Frequency of Vote on Executive Compensation</w:t>
              </w:r>
            </w:hyperlink>
          </w:p>
        </w:tc>
        <w:tc>
          <w:tcPr>
            <w:tcW w:w="1200" w:type="dxa"/>
            <w:vAlign w:val="bottom"/>
            <w:gridSpan w:val="2"/>
          </w:tcPr>
          <w:p>
            <w:pPr>
              <w:spacing w:after="0"/>
              <w:rPr>
                <w:sz w:val="21"/>
                <w:szCs w:val="21"/>
                <w:color w:val="auto"/>
              </w:rPr>
            </w:pPr>
          </w:p>
        </w:tc>
        <w:tc>
          <w:tcPr>
            <w:tcW w:w="3360" w:type="dxa"/>
            <w:vAlign w:val="bottom"/>
          </w:tcPr>
          <w:p>
            <w:pPr>
              <w:jc w:val="right"/>
              <w:spacing w:after="0"/>
              <w:rPr>
                <w:sz w:val="20"/>
                <w:szCs w:val="20"/>
                <w:color w:val="auto"/>
              </w:rPr>
            </w:pPr>
            <w:r>
              <w:rPr>
                <w:rFonts w:ascii="Arial" w:cs="Arial" w:eastAsia="Arial" w:hAnsi="Arial"/>
                <w:sz w:val="18"/>
                <w:szCs w:val="18"/>
                <w:b w:val="1"/>
                <w:bCs w:val="1"/>
                <w:color w:val="auto"/>
              </w:rPr>
              <w:t>55</w:t>
            </w:r>
          </w:p>
        </w:tc>
      </w:tr>
      <w:tr>
        <w:trPr>
          <w:trHeight w:val="250"/>
        </w:trPr>
        <w:tc>
          <w:tcPr>
            <w:tcW w:w="7540" w:type="dxa"/>
            <w:vAlign w:val="bottom"/>
            <w:tcBorders>
              <w:bottom w:val="single" w:sz="8" w:color="0000EE"/>
            </w:tcBorders>
            <w:gridSpan w:val="44"/>
          </w:tcPr>
          <w:p>
            <w:pPr>
              <w:spacing w:after="0"/>
              <w:rPr>
                <w:rFonts w:ascii="Arial" w:cs="Arial" w:eastAsia="Arial" w:hAnsi="Arial"/>
                <w:sz w:val="18"/>
                <w:szCs w:val="18"/>
                <w:b w:val="1"/>
                <w:bCs w:val="1"/>
                <w:color w:val="0000EE"/>
              </w:rPr>
            </w:pPr>
            <w:hyperlink w:anchor="page63">
              <w:r>
                <w:rPr>
                  <w:rFonts w:ascii="Arial" w:cs="Arial" w:eastAsia="Arial" w:hAnsi="Arial"/>
                  <w:sz w:val="18"/>
                  <w:szCs w:val="18"/>
                  <w:b w:val="1"/>
                  <w:bCs w:val="1"/>
                  <w:color w:val="0000EE"/>
                </w:rPr>
                <w:t>Proposal 4 — Approve the Amended and Restated 2006 Employee Stock Purchase Plan</w:t>
              </w:r>
            </w:hyperlink>
          </w:p>
        </w:tc>
        <w:tc>
          <w:tcPr>
            <w:tcW w:w="460" w:type="dxa"/>
            <w:vAlign w:val="bottom"/>
          </w:tcPr>
          <w:p>
            <w:pPr>
              <w:spacing w:after="0"/>
              <w:rPr>
                <w:sz w:val="21"/>
                <w:szCs w:val="21"/>
                <w:color w:val="auto"/>
              </w:rPr>
            </w:pPr>
          </w:p>
        </w:tc>
        <w:tc>
          <w:tcPr>
            <w:tcW w:w="3360" w:type="dxa"/>
            <w:vAlign w:val="bottom"/>
          </w:tcPr>
          <w:p>
            <w:pPr>
              <w:jc w:val="right"/>
              <w:spacing w:after="0"/>
              <w:rPr>
                <w:sz w:val="20"/>
                <w:szCs w:val="20"/>
                <w:color w:val="auto"/>
              </w:rPr>
            </w:pPr>
            <w:r>
              <w:rPr>
                <w:rFonts w:ascii="Arial" w:cs="Arial" w:eastAsia="Arial" w:hAnsi="Arial"/>
                <w:sz w:val="18"/>
                <w:szCs w:val="18"/>
                <w:b w:val="1"/>
                <w:bCs w:val="1"/>
                <w:color w:val="auto"/>
              </w:rPr>
              <w:t>56</w:t>
            </w:r>
          </w:p>
        </w:tc>
      </w:tr>
      <w:tr>
        <w:trPr>
          <w:trHeight w:val="250"/>
        </w:trPr>
        <w:tc>
          <w:tcPr>
            <w:tcW w:w="4800" w:type="dxa"/>
            <w:vAlign w:val="bottom"/>
            <w:tcBorders>
              <w:bottom w:val="single" w:sz="8" w:color="0000EE"/>
            </w:tcBorders>
            <w:gridSpan w:val="35"/>
          </w:tcPr>
          <w:p>
            <w:pPr>
              <w:spacing w:after="0"/>
              <w:rPr>
                <w:rFonts w:ascii="Arial" w:cs="Arial" w:eastAsia="Arial" w:hAnsi="Arial"/>
                <w:sz w:val="18"/>
                <w:szCs w:val="18"/>
                <w:b w:val="1"/>
                <w:bCs w:val="1"/>
                <w:color w:val="0000EE"/>
                <w:w w:val="99"/>
              </w:rPr>
            </w:pPr>
            <w:hyperlink w:anchor="page67">
              <w:r>
                <w:rPr>
                  <w:rFonts w:ascii="Arial" w:cs="Arial" w:eastAsia="Arial" w:hAnsi="Arial"/>
                  <w:sz w:val="18"/>
                  <w:szCs w:val="18"/>
                  <w:b w:val="1"/>
                  <w:bCs w:val="1"/>
                  <w:color w:val="0000EE"/>
                  <w:w w:val="99"/>
                </w:rPr>
                <w:t>Proposal 5 — Approve the 2017 Omnibus Incentive Plan</w:t>
              </w:r>
            </w:hyperlink>
          </w:p>
        </w:tc>
        <w:tc>
          <w:tcPr>
            <w:tcW w:w="3200" w:type="dxa"/>
            <w:vAlign w:val="bottom"/>
            <w:gridSpan w:val="10"/>
          </w:tcPr>
          <w:p>
            <w:pPr>
              <w:spacing w:after="0"/>
              <w:rPr>
                <w:sz w:val="21"/>
                <w:szCs w:val="21"/>
                <w:color w:val="auto"/>
              </w:rPr>
            </w:pPr>
          </w:p>
        </w:tc>
        <w:tc>
          <w:tcPr>
            <w:tcW w:w="3360" w:type="dxa"/>
            <w:vAlign w:val="bottom"/>
          </w:tcPr>
          <w:p>
            <w:pPr>
              <w:jc w:val="right"/>
              <w:spacing w:after="0"/>
              <w:rPr>
                <w:sz w:val="20"/>
                <w:szCs w:val="20"/>
                <w:color w:val="auto"/>
              </w:rPr>
            </w:pPr>
            <w:r>
              <w:rPr>
                <w:rFonts w:ascii="Arial" w:cs="Arial" w:eastAsia="Arial" w:hAnsi="Arial"/>
                <w:sz w:val="18"/>
                <w:szCs w:val="18"/>
                <w:b w:val="1"/>
                <w:bCs w:val="1"/>
                <w:color w:val="auto"/>
              </w:rPr>
              <w:t>60</w:t>
            </w:r>
          </w:p>
        </w:tc>
      </w:tr>
      <w:tr>
        <w:trPr>
          <w:trHeight w:val="250"/>
        </w:trPr>
        <w:tc>
          <w:tcPr>
            <w:tcW w:w="8000" w:type="dxa"/>
            <w:vAlign w:val="bottom"/>
            <w:tcBorders>
              <w:bottom w:val="single" w:sz="8" w:color="0000EE"/>
            </w:tcBorders>
            <w:gridSpan w:val="45"/>
          </w:tcPr>
          <w:p>
            <w:pPr>
              <w:spacing w:after="0"/>
              <w:rPr>
                <w:rFonts w:ascii="Arial" w:cs="Arial" w:eastAsia="Arial" w:hAnsi="Arial"/>
                <w:sz w:val="18"/>
                <w:szCs w:val="18"/>
                <w:b w:val="1"/>
                <w:bCs w:val="1"/>
                <w:color w:val="0000EE"/>
              </w:rPr>
            </w:pPr>
            <w:hyperlink w:anchor="page75">
              <w:r>
                <w:rPr>
                  <w:rFonts w:ascii="Arial" w:cs="Arial" w:eastAsia="Arial" w:hAnsi="Arial"/>
                  <w:sz w:val="18"/>
                  <w:szCs w:val="18"/>
                  <w:b w:val="1"/>
                  <w:bCs w:val="1"/>
                  <w:color w:val="0000EE"/>
                </w:rPr>
                <w:t>Proposal 6 — Ratification of Appointment of Independent Registered Public Accounting Firm</w:t>
              </w:r>
            </w:hyperlink>
          </w:p>
        </w:tc>
        <w:tc>
          <w:tcPr>
            <w:tcW w:w="3360" w:type="dxa"/>
            <w:vAlign w:val="bottom"/>
          </w:tcPr>
          <w:p>
            <w:pPr>
              <w:jc w:val="right"/>
              <w:spacing w:after="0"/>
              <w:rPr>
                <w:sz w:val="20"/>
                <w:szCs w:val="20"/>
                <w:color w:val="auto"/>
              </w:rPr>
            </w:pPr>
            <w:r>
              <w:rPr>
                <w:rFonts w:ascii="Arial" w:cs="Arial" w:eastAsia="Arial" w:hAnsi="Arial"/>
                <w:sz w:val="18"/>
                <w:szCs w:val="18"/>
                <w:b w:val="1"/>
                <w:bCs w:val="1"/>
                <w:color w:val="auto"/>
              </w:rPr>
              <w:t>68</w:t>
            </w:r>
          </w:p>
        </w:tc>
      </w:tr>
      <w:tr>
        <w:trPr>
          <w:trHeight w:val="250"/>
        </w:trPr>
        <w:tc>
          <w:tcPr>
            <w:tcW w:w="1160" w:type="dxa"/>
            <w:vAlign w:val="bottom"/>
            <w:tcBorders>
              <w:bottom w:val="single" w:sz="8" w:color="0000EE"/>
            </w:tcBorders>
            <w:gridSpan w:val="2"/>
          </w:tcPr>
          <w:p>
            <w:pPr>
              <w:spacing w:after="0"/>
              <w:rPr>
                <w:rFonts w:ascii="Arial" w:cs="Arial" w:eastAsia="Arial" w:hAnsi="Arial"/>
                <w:sz w:val="18"/>
                <w:szCs w:val="18"/>
                <w:b w:val="1"/>
                <w:bCs w:val="1"/>
                <w:color w:val="0000EE"/>
                <w:w w:val="99"/>
              </w:rPr>
            </w:pPr>
            <w:hyperlink w:anchor="page76">
              <w:r>
                <w:rPr>
                  <w:rFonts w:ascii="Arial" w:cs="Arial" w:eastAsia="Arial" w:hAnsi="Arial"/>
                  <w:sz w:val="18"/>
                  <w:szCs w:val="18"/>
                  <w:b w:val="1"/>
                  <w:bCs w:val="1"/>
                  <w:color w:val="0000EE"/>
                  <w:w w:val="99"/>
                </w:rPr>
                <w:t>Audit Matters</w:t>
              </w:r>
            </w:hyperlink>
          </w:p>
        </w:tc>
        <w:tc>
          <w:tcPr>
            <w:tcW w:w="6840" w:type="dxa"/>
            <w:vAlign w:val="bottom"/>
            <w:gridSpan w:val="43"/>
          </w:tcPr>
          <w:p>
            <w:pPr>
              <w:spacing w:after="0"/>
              <w:rPr>
                <w:sz w:val="21"/>
                <w:szCs w:val="21"/>
                <w:color w:val="auto"/>
              </w:rPr>
            </w:pPr>
          </w:p>
        </w:tc>
        <w:tc>
          <w:tcPr>
            <w:tcW w:w="336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183"/>
        </w:trPr>
        <w:tc>
          <w:tcPr>
            <w:tcW w:w="240" w:type="dxa"/>
            <w:vAlign w:val="bottom"/>
          </w:tcPr>
          <w:p>
            <w:pPr>
              <w:spacing w:after="0"/>
              <w:rPr>
                <w:sz w:val="15"/>
                <w:szCs w:val="15"/>
                <w:color w:val="auto"/>
              </w:rPr>
            </w:pPr>
          </w:p>
        </w:tc>
        <w:tc>
          <w:tcPr>
            <w:tcW w:w="7760" w:type="dxa"/>
            <w:vAlign w:val="bottom"/>
            <w:gridSpan w:val="44"/>
          </w:tcPr>
          <w:p>
            <w:pPr>
              <w:spacing w:after="0" w:line="182" w:lineRule="exact"/>
              <w:rPr>
                <w:rFonts w:ascii="Arial" w:cs="Arial" w:eastAsia="Arial" w:hAnsi="Arial"/>
                <w:sz w:val="18"/>
                <w:szCs w:val="18"/>
                <w:color w:val="0000EE"/>
              </w:rPr>
            </w:pPr>
            <w:hyperlink w:anchor="page76">
              <w:r>
                <w:rPr>
                  <w:rFonts w:ascii="Arial" w:cs="Arial" w:eastAsia="Arial" w:hAnsi="Arial"/>
                  <w:sz w:val="18"/>
                  <w:szCs w:val="18"/>
                  <w:color w:val="0000EE"/>
                </w:rPr>
                <w:t>Audit Committee Report</w:t>
              </w:r>
            </w:hyperlink>
          </w:p>
        </w:tc>
        <w:tc>
          <w:tcPr>
            <w:tcW w:w="3360" w:type="dxa"/>
            <w:vAlign w:val="bottom"/>
          </w:tcPr>
          <w:p>
            <w:pPr>
              <w:jc w:val="right"/>
              <w:spacing w:after="0" w:line="182" w:lineRule="exact"/>
              <w:rPr>
                <w:sz w:val="20"/>
                <w:szCs w:val="20"/>
                <w:color w:val="auto"/>
              </w:rPr>
            </w:pPr>
            <w:r>
              <w:rPr>
                <w:rFonts w:ascii="Arial" w:cs="Arial" w:eastAsia="Arial" w:hAnsi="Arial"/>
                <w:sz w:val="18"/>
                <w:szCs w:val="18"/>
                <w:color w:val="auto"/>
              </w:rPr>
              <w:t>69</w:t>
            </w:r>
          </w:p>
        </w:tc>
      </w:tr>
      <w:tr>
        <w:trPr>
          <w:trHeight w:val="20"/>
        </w:trPr>
        <w:tc>
          <w:tcPr>
            <w:tcW w:w="240" w:type="dxa"/>
            <w:vAlign w:val="bottom"/>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640" w:type="dxa"/>
            <w:vAlign w:val="bottom"/>
            <w:gridSpan w:val="7"/>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gridSpan w:val="11"/>
          </w:tcPr>
          <w:p>
            <w:pPr>
              <w:spacing w:after="0" w:line="20" w:lineRule="exact"/>
              <w:rPr>
                <w:sz w:val="1"/>
                <w:szCs w:val="1"/>
                <w:color w:val="auto"/>
              </w:rPr>
            </w:pPr>
          </w:p>
        </w:tc>
        <w:tc>
          <w:tcPr>
            <w:tcW w:w="40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2840" w:type="dxa"/>
            <w:vAlign w:val="bottom"/>
            <w:gridSpan w:val="3"/>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r>
      <w:tr>
        <w:trPr>
          <w:trHeight w:val="183"/>
        </w:trPr>
        <w:tc>
          <w:tcPr>
            <w:tcW w:w="240" w:type="dxa"/>
            <w:vAlign w:val="bottom"/>
          </w:tcPr>
          <w:p>
            <w:pPr>
              <w:spacing w:after="0"/>
              <w:rPr>
                <w:sz w:val="15"/>
                <w:szCs w:val="15"/>
                <w:color w:val="auto"/>
              </w:rPr>
            </w:pPr>
          </w:p>
        </w:tc>
        <w:tc>
          <w:tcPr>
            <w:tcW w:w="3820" w:type="dxa"/>
            <w:vAlign w:val="bottom"/>
            <w:tcBorders>
              <w:bottom w:val="single" w:sz="8" w:color="0000EE"/>
            </w:tcBorders>
            <w:gridSpan w:val="32"/>
          </w:tcPr>
          <w:p>
            <w:pPr>
              <w:spacing w:after="0" w:line="182" w:lineRule="exact"/>
              <w:rPr>
                <w:rFonts w:ascii="Arial" w:cs="Arial" w:eastAsia="Arial" w:hAnsi="Arial"/>
                <w:sz w:val="18"/>
                <w:szCs w:val="18"/>
                <w:color w:val="0000EE"/>
                <w:w w:val="99"/>
              </w:rPr>
            </w:pPr>
            <w:hyperlink w:anchor="page77">
              <w:r>
                <w:rPr>
                  <w:rFonts w:ascii="Arial" w:cs="Arial" w:eastAsia="Arial" w:hAnsi="Arial"/>
                  <w:sz w:val="18"/>
                  <w:szCs w:val="18"/>
                  <w:color w:val="0000EE"/>
                  <w:w w:val="99"/>
                </w:rPr>
                <w:t>Independent Registered Public Accounting Firm</w:t>
              </w:r>
            </w:hyperlink>
          </w:p>
        </w:tc>
        <w:tc>
          <w:tcPr>
            <w:tcW w:w="3940" w:type="dxa"/>
            <w:vAlign w:val="bottom"/>
            <w:gridSpan w:val="12"/>
          </w:tcPr>
          <w:p>
            <w:pPr>
              <w:spacing w:after="0"/>
              <w:rPr>
                <w:sz w:val="15"/>
                <w:szCs w:val="15"/>
                <w:color w:val="auto"/>
              </w:rPr>
            </w:pPr>
          </w:p>
        </w:tc>
        <w:tc>
          <w:tcPr>
            <w:tcW w:w="3360" w:type="dxa"/>
            <w:vAlign w:val="bottom"/>
          </w:tcPr>
          <w:p>
            <w:pPr>
              <w:jc w:val="right"/>
              <w:spacing w:after="0" w:line="182" w:lineRule="exact"/>
              <w:rPr>
                <w:sz w:val="20"/>
                <w:szCs w:val="20"/>
                <w:color w:val="auto"/>
              </w:rPr>
            </w:pPr>
            <w:r>
              <w:rPr>
                <w:rFonts w:ascii="Arial" w:cs="Arial" w:eastAsia="Arial" w:hAnsi="Arial"/>
                <w:sz w:val="18"/>
                <w:szCs w:val="18"/>
                <w:color w:val="auto"/>
              </w:rPr>
              <w:t>70</w:t>
            </w:r>
          </w:p>
        </w:tc>
      </w:tr>
      <w:tr>
        <w:trPr>
          <w:trHeight w:val="183"/>
        </w:trPr>
        <w:tc>
          <w:tcPr>
            <w:tcW w:w="240" w:type="dxa"/>
            <w:vAlign w:val="bottom"/>
          </w:tcPr>
          <w:p>
            <w:pPr>
              <w:spacing w:after="0"/>
              <w:rPr>
                <w:sz w:val="15"/>
                <w:szCs w:val="15"/>
                <w:color w:val="auto"/>
              </w:rPr>
            </w:pPr>
          </w:p>
        </w:tc>
        <w:tc>
          <w:tcPr>
            <w:tcW w:w="7760" w:type="dxa"/>
            <w:vAlign w:val="bottom"/>
            <w:gridSpan w:val="44"/>
          </w:tcPr>
          <w:p>
            <w:pPr>
              <w:spacing w:after="0" w:line="182" w:lineRule="exact"/>
              <w:rPr>
                <w:rFonts w:ascii="Arial" w:cs="Arial" w:eastAsia="Arial" w:hAnsi="Arial"/>
                <w:sz w:val="18"/>
                <w:szCs w:val="18"/>
                <w:color w:val="0000EE"/>
              </w:rPr>
            </w:pPr>
            <w:hyperlink w:anchor="page77">
              <w:r>
                <w:rPr>
                  <w:rFonts w:ascii="Arial" w:cs="Arial" w:eastAsia="Arial" w:hAnsi="Arial"/>
                  <w:sz w:val="18"/>
                  <w:szCs w:val="18"/>
                  <w:color w:val="0000EE"/>
                </w:rPr>
                <w:t>Audit and Non-Audit Fees</w:t>
              </w:r>
            </w:hyperlink>
          </w:p>
        </w:tc>
        <w:tc>
          <w:tcPr>
            <w:tcW w:w="3360" w:type="dxa"/>
            <w:vAlign w:val="bottom"/>
          </w:tcPr>
          <w:p>
            <w:pPr>
              <w:jc w:val="right"/>
              <w:spacing w:after="0" w:line="182" w:lineRule="exact"/>
              <w:rPr>
                <w:sz w:val="20"/>
                <w:szCs w:val="20"/>
                <w:color w:val="auto"/>
              </w:rPr>
            </w:pPr>
            <w:r>
              <w:rPr>
                <w:rFonts w:ascii="Arial" w:cs="Arial" w:eastAsia="Arial" w:hAnsi="Arial"/>
                <w:sz w:val="18"/>
                <w:szCs w:val="18"/>
                <w:color w:val="auto"/>
              </w:rPr>
              <w:t>70</w:t>
            </w:r>
          </w:p>
        </w:tc>
      </w:tr>
      <w:tr>
        <w:trPr>
          <w:trHeight w:val="20"/>
        </w:trPr>
        <w:tc>
          <w:tcPr>
            <w:tcW w:w="240" w:type="dxa"/>
            <w:vAlign w:val="bottom"/>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780" w:type="dxa"/>
            <w:vAlign w:val="bottom"/>
            <w:gridSpan w:val="8"/>
            <w:shd w:val="clear" w:color="auto" w:fill="0000EE"/>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gridSpan w:val="11"/>
          </w:tcPr>
          <w:p>
            <w:pPr>
              <w:spacing w:after="0" w:line="20" w:lineRule="exact"/>
              <w:rPr>
                <w:sz w:val="1"/>
                <w:szCs w:val="1"/>
                <w:color w:val="auto"/>
              </w:rPr>
            </w:pPr>
          </w:p>
        </w:tc>
        <w:tc>
          <w:tcPr>
            <w:tcW w:w="400" w:type="dxa"/>
            <w:vAlign w:val="bottom"/>
            <w:gridSpan w:val="5"/>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2840" w:type="dxa"/>
            <w:vAlign w:val="bottom"/>
            <w:gridSpan w:val="3"/>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r>
      <w:tr>
        <w:trPr>
          <w:trHeight w:val="250"/>
        </w:trPr>
        <w:tc>
          <w:tcPr>
            <w:tcW w:w="8000" w:type="dxa"/>
            <w:vAlign w:val="bottom"/>
            <w:gridSpan w:val="45"/>
          </w:tcPr>
          <w:p>
            <w:pPr>
              <w:spacing w:after="0"/>
              <w:rPr>
                <w:rFonts w:ascii="Arial" w:cs="Arial" w:eastAsia="Arial" w:hAnsi="Arial"/>
                <w:sz w:val="18"/>
                <w:szCs w:val="18"/>
                <w:b w:val="1"/>
                <w:bCs w:val="1"/>
                <w:color w:val="0000EE"/>
              </w:rPr>
            </w:pPr>
            <w:hyperlink w:anchor="page78">
              <w:r>
                <w:rPr>
                  <w:rFonts w:ascii="Arial" w:cs="Arial" w:eastAsia="Arial" w:hAnsi="Arial"/>
                  <w:sz w:val="18"/>
                  <w:szCs w:val="18"/>
                  <w:b w:val="1"/>
                  <w:bCs w:val="1"/>
                  <w:color w:val="0000EE"/>
                </w:rPr>
                <w:t>Other Information</w:t>
              </w:r>
            </w:hyperlink>
          </w:p>
        </w:tc>
        <w:tc>
          <w:tcPr>
            <w:tcW w:w="3360" w:type="dxa"/>
            <w:vAlign w:val="bottom"/>
          </w:tcPr>
          <w:p>
            <w:pPr>
              <w:jc w:val="right"/>
              <w:spacing w:after="0"/>
              <w:rPr>
                <w:sz w:val="20"/>
                <w:szCs w:val="20"/>
                <w:color w:val="auto"/>
              </w:rPr>
            </w:pPr>
            <w:r>
              <w:rPr>
                <w:rFonts w:ascii="Arial" w:cs="Arial" w:eastAsia="Arial" w:hAnsi="Arial"/>
                <w:sz w:val="18"/>
                <w:szCs w:val="18"/>
                <w:b w:val="1"/>
                <w:bCs w:val="1"/>
                <w:color w:val="auto"/>
              </w:rPr>
              <w:t>71</w:t>
            </w:r>
          </w:p>
        </w:tc>
      </w:tr>
      <w:tr>
        <w:trPr>
          <w:trHeight w:val="20"/>
        </w:trPr>
        <w:tc>
          <w:tcPr>
            <w:tcW w:w="240" w:type="dxa"/>
            <w:vAlign w:val="bottom"/>
            <w:shd w:val="clear" w:color="auto" w:fill="0000EE"/>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1020" w:type="dxa"/>
            <w:vAlign w:val="bottom"/>
            <w:gridSpan w:val="1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gridSpan w:val="11"/>
          </w:tcPr>
          <w:p>
            <w:pPr>
              <w:spacing w:after="0" w:line="20" w:lineRule="exact"/>
              <w:rPr>
                <w:sz w:val="1"/>
                <w:szCs w:val="1"/>
                <w:color w:val="auto"/>
              </w:rPr>
            </w:pPr>
          </w:p>
        </w:tc>
        <w:tc>
          <w:tcPr>
            <w:tcW w:w="400" w:type="dxa"/>
            <w:vAlign w:val="bottom"/>
            <w:gridSpan w:val="5"/>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2840" w:type="dxa"/>
            <w:vAlign w:val="bottom"/>
            <w:gridSpan w:val="3"/>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r>
      <w:tr>
        <w:trPr>
          <w:trHeight w:val="183"/>
        </w:trPr>
        <w:tc>
          <w:tcPr>
            <w:tcW w:w="240" w:type="dxa"/>
            <w:vAlign w:val="bottom"/>
          </w:tcPr>
          <w:p>
            <w:pPr>
              <w:spacing w:after="0"/>
              <w:rPr>
                <w:sz w:val="15"/>
                <w:szCs w:val="15"/>
                <w:color w:val="auto"/>
              </w:rPr>
            </w:pPr>
          </w:p>
        </w:tc>
        <w:tc>
          <w:tcPr>
            <w:tcW w:w="3760" w:type="dxa"/>
            <w:vAlign w:val="bottom"/>
            <w:tcBorders>
              <w:bottom w:val="single" w:sz="8" w:color="0000EE"/>
            </w:tcBorders>
            <w:gridSpan w:val="31"/>
          </w:tcPr>
          <w:p>
            <w:pPr>
              <w:spacing w:after="0" w:line="182" w:lineRule="exact"/>
              <w:rPr>
                <w:rFonts w:ascii="Arial" w:cs="Arial" w:eastAsia="Arial" w:hAnsi="Arial"/>
                <w:sz w:val="18"/>
                <w:szCs w:val="18"/>
                <w:color w:val="0000EE"/>
              </w:rPr>
            </w:pPr>
            <w:hyperlink w:anchor="page78">
              <w:r>
                <w:rPr>
                  <w:rFonts w:ascii="Arial" w:cs="Arial" w:eastAsia="Arial" w:hAnsi="Arial"/>
                  <w:sz w:val="18"/>
                  <w:szCs w:val="18"/>
                  <w:color w:val="0000EE"/>
                </w:rPr>
                <w:t>Stock Ownership of Certain Beneficial Owners</w:t>
              </w:r>
            </w:hyperlink>
          </w:p>
        </w:tc>
        <w:tc>
          <w:tcPr>
            <w:tcW w:w="4000" w:type="dxa"/>
            <w:vAlign w:val="bottom"/>
            <w:gridSpan w:val="13"/>
          </w:tcPr>
          <w:p>
            <w:pPr>
              <w:spacing w:after="0"/>
              <w:rPr>
                <w:sz w:val="15"/>
                <w:szCs w:val="15"/>
                <w:color w:val="auto"/>
              </w:rPr>
            </w:pPr>
          </w:p>
        </w:tc>
        <w:tc>
          <w:tcPr>
            <w:tcW w:w="3360" w:type="dxa"/>
            <w:vAlign w:val="bottom"/>
          </w:tcPr>
          <w:p>
            <w:pPr>
              <w:jc w:val="right"/>
              <w:spacing w:after="0" w:line="182" w:lineRule="exact"/>
              <w:rPr>
                <w:sz w:val="20"/>
                <w:szCs w:val="20"/>
                <w:color w:val="auto"/>
              </w:rPr>
            </w:pPr>
            <w:r>
              <w:rPr>
                <w:rFonts w:ascii="Arial" w:cs="Arial" w:eastAsia="Arial" w:hAnsi="Arial"/>
                <w:sz w:val="18"/>
                <w:szCs w:val="18"/>
                <w:color w:val="auto"/>
              </w:rPr>
              <w:t>71</w:t>
            </w:r>
          </w:p>
        </w:tc>
      </w:tr>
      <w:tr>
        <w:trPr>
          <w:trHeight w:val="183"/>
        </w:trPr>
        <w:tc>
          <w:tcPr>
            <w:tcW w:w="240" w:type="dxa"/>
            <w:vAlign w:val="bottom"/>
          </w:tcPr>
          <w:p>
            <w:pPr>
              <w:spacing w:after="0"/>
              <w:rPr>
                <w:sz w:val="15"/>
                <w:szCs w:val="15"/>
                <w:color w:val="auto"/>
              </w:rPr>
            </w:pPr>
          </w:p>
        </w:tc>
        <w:tc>
          <w:tcPr>
            <w:tcW w:w="3360" w:type="dxa"/>
            <w:vAlign w:val="bottom"/>
            <w:tcBorders>
              <w:bottom w:val="single" w:sz="8" w:color="0000EE"/>
            </w:tcBorders>
            <w:gridSpan w:val="26"/>
          </w:tcPr>
          <w:p>
            <w:pPr>
              <w:spacing w:after="0" w:line="182" w:lineRule="exact"/>
              <w:rPr>
                <w:rFonts w:ascii="Arial" w:cs="Arial" w:eastAsia="Arial" w:hAnsi="Arial"/>
                <w:sz w:val="18"/>
                <w:szCs w:val="18"/>
                <w:color w:val="0000EE"/>
                <w:w w:val="99"/>
              </w:rPr>
            </w:pPr>
            <w:hyperlink w:anchor="page79">
              <w:r>
                <w:rPr>
                  <w:rFonts w:ascii="Arial" w:cs="Arial" w:eastAsia="Arial" w:hAnsi="Arial"/>
                  <w:sz w:val="18"/>
                  <w:szCs w:val="18"/>
                  <w:color w:val="0000EE"/>
                  <w:w w:val="99"/>
                </w:rPr>
                <w:t>Stock Ownership of Directors and Officers</w:t>
              </w:r>
            </w:hyperlink>
          </w:p>
        </w:tc>
        <w:tc>
          <w:tcPr>
            <w:tcW w:w="4400" w:type="dxa"/>
            <w:vAlign w:val="bottom"/>
            <w:gridSpan w:val="18"/>
          </w:tcPr>
          <w:p>
            <w:pPr>
              <w:spacing w:after="0"/>
              <w:rPr>
                <w:sz w:val="15"/>
                <w:szCs w:val="15"/>
                <w:color w:val="auto"/>
              </w:rPr>
            </w:pPr>
          </w:p>
        </w:tc>
        <w:tc>
          <w:tcPr>
            <w:tcW w:w="3360" w:type="dxa"/>
            <w:vAlign w:val="bottom"/>
          </w:tcPr>
          <w:p>
            <w:pPr>
              <w:jc w:val="right"/>
              <w:spacing w:after="0" w:line="182" w:lineRule="exact"/>
              <w:rPr>
                <w:sz w:val="20"/>
                <w:szCs w:val="20"/>
                <w:color w:val="auto"/>
              </w:rPr>
            </w:pPr>
            <w:r>
              <w:rPr>
                <w:rFonts w:ascii="Arial" w:cs="Arial" w:eastAsia="Arial" w:hAnsi="Arial"/>
                <w:sz w:val="18"/>
                <w:szCs w:val="18"/>
                <w:color w:val="auto"/>
              </w:rPr>
              <w:t>72</w:t>
            </w:r>
          </w:p>
        </w:tc>
      </w:tr>
      <w:tr>
        <w:trPr>
          <w:trHeight w:val="183"/>
        </w:trPr>
        <w:tc>
          <w:tcPr>
            <w:tcW w:w="240" w:type="dxa"/>
            <w:vAlign w:val="bottom"/>
          </w:tcPr>
          <w:p>
            <w:pPr>
              <w:spacing w:after="0"/>
              <w:rPr>
                <w:sz w:val="15"/>
                <w:szCs w:val="15"/>
                <w:color w:val="auto"/>
              </w:rPr>
            </w:pPr>
          </w:p>
        </w:tc>
        <w:tc>
          <w:tcPr>
            <w:tcW w:w="7760" w:type="dxa"/>
            <w:vAlign w:val="bottom"/>
            <w:gridSpan w:val="44"/>
          </w:tcPr>
          <w:p>
            <w:pPr>
              <w:spacing w:after="0" w:line="182" w:lineRule="exact"/>
              <w:rPr>
                <w:rFonts w:ascii="Arial" w:cs="Arial" w:eastAsia="Arial" w:hAnsi="Arial"/>
                <w:sz w:val="18"/>
                <w:szCs w:val="18"/>
                <w:color w:val="0000EE"/>
              </w:rPr>
            </w:pPr>
            <w:hyperlink w:anchor="page79">
              <w:r>
                <w:rPr>
                  <w:rFonts w:ascii="Arial" w:cs="Arial" w:eastAsia="Arial" w:hAnsi="Arial"/>
                  <w:sz w:val="18"/>
                  <w:szCs w:val="18"/>
                  <w:color w:val="0000EE"/>
                </w:rPr>
                <w:t>Section 16(a) Beneficial Ownership Reporting Compliance</w:t>
              </w:r>
            </w:hyperlink>
          </w:p>
        </w:tc>
        <w:tc>
          <w:tcPr>
            <w:tcW w:w="3360" w:type="dxa"/>
            <w:vAlign w:val="bottom"/>
          </w:tcPr>
          <w:p>
            <w:pPr>
              <w:jc w:val="right"/>
              <w:spacing w:after="0" w:line="182" w:lineRule="exact"/>
              <w:rPr>
                <w:sz w:val="20"/>
                <w:szCs w:val="20"/>
                <w:color w:val="auto"/>
              </w:rPr>
            </w:pPr>
            <w:r>
              <w:rPr>
                <w:rFonts w:ascii="Arial" w:cs="Arial" w:eastAsia="Arial" w:hAnsi="Arial"/>
                <w:sz w:val="18"/>
                <w:szCs w:val="18"/>
                <w:color w:val="auto"/>
              </w:rPr>
              <w:t>72</w:t>
            </w:r>
          </w:p>
        </w:tc>
      </w:tr>
      <w:tr>
        <w:trPr>
          <w:trHeight w:val="183"/>
        </w:trPr>
        <w:tc>
          <w:tcPr>
            <w:tcW w:w="240" w:type="dxa"/>
            <w:vAlign w:val="bottom"/>
          </w:tcPr>
          <w:p>
            <w:pPr>
              <w:spacing w:after="0"/>
              <w:rPr>
                <w:sz w:val="15"/>
                <w:szCs w:val="15"/>
                <w:color w:val="auto"/>
              </w:rPr>
            </w:pPr>
          </w:p>
        </w:tc>
        <w:tc>
          <w:tcPr>
            <w:tcW w:w="4120" w:type="dxa"/>
            <w:vAlign w:val="bottom"/>
            <w:tcBorders>
              <w:top w:val="single" w:sz="8" w:color="0000EE"/>
              <w:bottom w:val="single" w:sz="8" w:color="0000EE"/>
            </w:tcBorders>
            <w:gridSpan w:val="33"/>
          </w:tcPr>
          <w:p>
            <w:pPr>
              <w:spacing w:after="0" w:line="182" w:lineRule="exact"/>
              <w:rPr>
                <w:rFonts w:ascii="Arial" w:cs="Arial" w:eastAsia="Arial" w:hAnsi="Arial"/>
                <w:sz w:val="18"/>
                <w:szCs w:val="18"/>
                <w:color w:val="0000EE"/>
                <w:w w:val="99"/>
              </w:rPr>
            </w:pPr>
            <w:hyperlink w:anchor="page80">
              <w:r>
                <w:rPr>
                  <w:rFonts w:ascii="Arial" w:cs="Arial" w:eastAsia="Arial" w:hAnsi="Arial"/>
                  <w:sz w:val="18"/>
                  <w:szCs w:val="18"/>
                  <w:color w:val="0000EE"/>
                  <w:w w:val="99"/>
                </w:rPr>
                <w:t>Stockholder Proposals for the 2016 Annual Meeting</w:t>
              </w:r>
            </w:hyperlink>
          </w:p>
        </w:tc>
        <w:tc>
          <w:tcPr>
            <w:tcW w:w="520" w:type="dxa"/>
            <w:vAlign w:val="bottom"/>
            <w:tcBorders>
              <w:top w:val="single" w:sz="8" w:color="0000EE"/>
            </w:tcBorders>
            <w:gridSpan w:val="4"/>
          </w:tcPr>
          <w:p>
            <w:pPr>
              <w:spacing w:after="0"/>
              <w:rPr>
                <w:sz w:val="15"/>
                <w:szCs w:val="15"/>
                <w:color w:val="auto"/>
              </w:rPr>
            </w:pPr>
          </w:p>
        </w:tc>
        <w:tc>
          <w:tcPr>
            <w:tcW w:w="3120" w:type="dxa"/>
            <w:vAlign w:val="bottom"/>
            <w:gridSpan w:val="7"/>
          </w:tcPr>
          <w:p>
            <w:pPr>
              <w:spacing w:after="0"/>
              <w:rPr>
                <w:sz w:val="15"/>
                <w:szCs w:val="15"/>
                <w:color w:val="auto"/>
              </w:rPr>
            </w:pPr>
          </w:p>
        </w:tc>
        <w:tc>
          <w:tcPr>
            <w:tcW w:w="3360" w:type="dxa"/>
            <w:vAlign w:val="bottom"/>
          </w:tcPr>
          <w:p>
            <w:pPr>
              <w:jc w:val="right"/>
              <w:spacing w:after="0" w:line="182" w:lineRule="exact"/>
              <w:rPr>
                <w:sz w:val="20"/>
                <w:szCs w:val="20"/>
                <w:color w:val="auto"/>
              </w:rPr>
            </w:pPr>
            <w:r>
              <w:rPr>
                <w:rFonts w:ascii="Arial" w:cs="Arial" w:eastAsia="Arial" w:hAnsi="Arial"/>
                <w:sz w:val="18"/>
                <w:szCs w:val="18"/>
                <w:color w:val="auto"/>
              </w:rPr>
              <w:t>73</w:t>
            </w:r>
          </w:p>
        </w:tc>
      </w:tr>
      <w:tr>
        <w:trPr>
          <w:trHeight w:val="183"/>
        </w:trPr>
        <w:tc>
          <w:tcPr>
            <w:tcW w:w="240" w:type="dxa"/>
            <w:vAlign w:val="bottom"/>
          </w:tcPr>
          <w:p>
            <w:pPr>
              <w:spacing w:after="0"/>
              <w:rPr>
                <w:sz w:val="15"/>
                <w:szCs w:val="15"/>
                <w:color w:val="auto"/>
              </w:rPr>
            </w:pPr>
          </w:p>
        </w:tc>
        <w:tc>
          <w:tcPr>
            <w:tcW w:w="7760" w:type="dxa"/>
            <w:vAlign w:val="bottom"/>
            <w:gridSpan w:val="44"/>
          </w:tcPr>
          <w:p>
            <w:pPr>
              <w:spacing w:after="0" w:line="182" w:lineRule="exact"/>
              <w:rPr>
                <w:rFonts w:ascii="Arial" w:cs="Arial" w:eastAsia="Arial" w:hAnsi="Arial"/>
                <w:sz w:val="18"/>
                <w:szCs w:val="18"/>
                <w:color w:val="0000EE"/>
              </w:rPr>
            </w:pPr>
            <w:hyperlink w:anchor="page80">
              <w:r>
                <w:rPr>
                  <w:rFonts w:ascii="Arial" w:cs="Arial" w:eastAsia="Arial" w:hAnsi="Arial"/>
                  <w:sz w:val="18"/>
                  <w:szCs w:val="18"/>
                  <w:color w:val="0000EE"/>
                </w:rPr>
                <w:t>Annual Report on Form 10-K</w:t>
              </w:r>
            </w:hyperlink>
          </w:p>
        </w:tc>
        <w:tc>
          <w:tcPr>
            <w:tcW w:w="3360" w:type="dxa"/>
            <w:vAlign w:val="bottom"/>
          </w:tcPr>
          <w:p>
            <w:pPr>
              <w:jc w:val="right"/>
              <w:spacing w:after="0" w:line="182" w:lineRule="exact"/>
              <w:rPr>
                <w:sz w:val="20"/>
                <w:szCs w:val="20"/>
                <w:color w:val="auto"/>
              </w:rPr>
            </w:pPr>
            <w:r>
              <w:rPr>
                <w:rFonts w:ascii="Arial" w:cs="Arial" w:eastAsia="Arial" w:hAnsi="Arial"/>
                <w:sz w:val="18"/>
                <w:szCs w:val="18"/>
                <w:color w:val="auto"/>
              </w:rPr>
              <w:t>73</w:t>
            </w:r>
          </w:p>
        </w:tc>
      </w:tr>
      <w:tr>
        <w:trPr>
          <w:trHeight w:val="20"/>
        </w:trPr>
        <w:tc>
          <w:tcPr>
            <w:tcW w:w="240" w:type="dxa"/>
            <w:vAlign w:val="bottom"/>
          </w:tcPr>
          <w:p>
            <w:pPr>
              <w:spacing w:after="0" w:line="20" w:lineRule="exact"/>
              <w:rPr>
                <w:sz w:val="1"/>
                <w:szCs w:val="1"/>
                <w:color w:val="auto"/>
              </w:rPr>
            </w:pPr>
          </w:p>
        </w:tc>
        <w:tc>
          <w:tcPr>
            <w:tcW w:w="2300" w:type="dxa"/>
            <w:vAlign w:val="bottom"/>
            <w:gridSpan w:val="14"/>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560" w:type="dxa"/>
            <w:vAlign w:val="bottom"/>
            <w:gridSpan w:val="26"/>
          </w:tcPr>
          <w:p>
            <w:pPr>
              <w:spacing w:after="0" w:line="20" w:lineRule="exact"/>
              <w:rPr>
                <w:sz w:val="1"/>
                <w:szCs w:val="1"/>
                <w:color w:val="auto"/>
              </w:rPr>
            </w:pPr>
          </w:p>
        </w:tc>
        <w:tc>
          <w:tcPr>
            <w:tcW w:w="2840" w:type="dxa"/>
            <w:vAlign w:val="bottom"/>
            <w:gridSpan w:val="3"/>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r>
      <w:tr>
        <w:trPr>
          <w:trHeight w:val="276"/>
        </w:trPr>
        <w:tc>
          <w:tcPr>
            <w:tcW w:w="8000" w:type="dxa"/>
            <w:vAlign w:val="bottom"/>
            <w:gridSpan w:val="45"/>
          </w:tcPr>
          <w:p>
            <w:pPr>
              <w:spacing w:after="0"/>
              <w:rPr>
                <w:sz w:val="20"/>
                <w:szCs w:val="20"/>
                <w:color w:val="auto"/>
              </w:rPr>
            </w:pPr>
            <w:r>
              <w:rPr>
                <w:rFonts w:ascii="Arial" w:cs="Arial" w:eastAsia="Arial" w:hAnsi="Arial"/>
                <w:sz w:val="18"/>
                <w:szCs w:val="18"/>
                <w:b w:val="1"/>
                <w:bCs w:val="1"/>
                <w:color w:val="auto"/>
              </w:rPr>
              <w:t>Annexes</w:t>
            </w:r>
          </w:p>
        </w:tc>
        <w:tc>
          <w:tcPr>
            <w:tcW w:w="3360" w:type="dxa"/>
            <w:vAlign w:val="bottom"/>
          </w:tcPr>
          <w:p>
            <w:pPr>
              <w:spacing w:after="0"/>
              <w:rPr>
                <w:sz w:val="24"/>
                <w:szCs w:val="24"/>
                <w:color w:val="auto"/>
              </w:rPr>
            </w:pPr>
          </w:p>
        </w:tc>
      </w:tr>
      <w:tr>
        <w:trPr>
          <w:trHeight w:val="176"/>
        </w:trPr>
        <w:tc>
          <w:tcPr>
            <w:tcW w:w="240" w:type="dxa"/>
            <w:vAlign w:val="bottom"/>
          </w:tcPr>
          <w:p>
            <w:pPr>
              <w:spacing w:after="0"/>
              <w:rPr>
                <w:sz w:val="15"/>
                <w:szCs w:val="15"/>
                <w:color w:val="auto"/>
              </w:rPr>
            </w:pPr>
          </w:p>
        </w:tc>
        <w:tc>
          <w:tcPr>
            <w:tcW w:w="4920" w:type="dxa"/>
            <w:vAlign w:val="bottom"/>
            <w:tcBorders>
              <w:bottom w:val="single" w:sz="8" w:color="0000EE"/>
            </w:tcBorders>
            <w:gridSpan w:val="41"/>
          </w:tcPr>
          <w:p>
            <w:pPr>
              <w:spacing w:after="0" w:line="176" w:lineRule="exact"/>
              <w:rPr>
                <w:rFonts w:ascii="Arial" w:cs="Arial" w:eastAsia="Arial" w:hAnsi="Arial"/>
                <w:sz w:val="18"/>
                <w:szCs w:val="18"/>
                <w:color w:val="0000EE"/>
                <w:w w:val="99"/>
              </w:rPr>
            </w:pPr>
            <w:hyperlink w:anchor="page81">
              <w:r>
                <w:rPr>
                  <w:rFonts w:ascii="Arial" w:cs="Arial" w:eastAsia="Arial" w:hAnsi="Arial"/>
                  <w:sz w:val="18"/>
                  <w:szCs w:val="18"/>
                  <w:color w:val="0000EE"/>
                  <w:w w:val="99"/>
                </w:rPr>
                <w:t>Amended and Restated 2006 Employee Stock Purchase Plan</w:t>
              </w:r>
            </w:hyperlink>
          </w:p>
        </w:tc>
        <w:tc>
          <w:tcPr>
            <w:tcW w:w="2840" w:type="dxa"/>
            <w:vAlign w:val="bottom"/>
            <w:gridSpan w:val="3"/>
          </w:tcPr>
          <w:p>
            <w:pPr>
              <w:spacing w:after="0"/>
              <w:rPr>
                <w:sz w:val="15"/>
                <w:szCs w:val="15"/>
                <w:color w:val="auto"/>
              </w:rPr>
            </w:pPr>
          </w:p>
        </w:tc>
        <w:tc>
          <w:tcPr>
            <w:tcW w:w="3360" w:type="dxa"/>
            <w:vAlign w:val="bottom"/>
          </w:tcPr>
          <w:p>
            <w:pPr>
              <w:jc w:val="right"/>
              <w:spacing w:after="0" w:line="176" w:lineRule="exact"/>
              <w:rPr>
                <w:sz w:val="20"/>
                <w:szCs w:val="20"/>
                <w:color w:val="auto"/>
              </w:rPr>
            </w:pPr>
            <w:r>
              <w:rPr>
                <w:rFonts w:ascii="Arial" w:cs="Arial" w:eastAsia="Arial" w:hAnsi="Arial"/>
                <w:sz w:val="18"/>
                <w:szCs w:val="18"/>
                <w:color w:val="auto"/>
              </w:rPr>
              <w:t>A-1</w:t>
            </w:r>
          </w:p>
        </w:tc>
      </w:tr>
      <w:tr>
        <w:trPr>
          <w:trHeight w:val="183"/>
        </w:trPr>
        <w:tc>
          <w:tcPr>
            <w:tcW w:w="240" w:type="dxa"/>
            <w:vAlign w:val="bottom"/>
          </w:tcPr>
          <w:p>
            <w:pPr>
              <w:spacing w:after="0"/>
              <w:rPr>
                <w:sz w:val="15"/>
                <w:szCs w:val="15"/>
                <w:color w:val="auto"/>
              </w:rPr>
            </w:pPr>
          </w:p>
        </w:tc>
        <w:tc>
          <w:tcPr>
            <w:tcW w:w="2360" w:type="dxa"/>
            <w:vAlign w:val="bottom"/>
            <w:tcBorders>
              <w:bottom w:val="single" w:sz="8" w:color="0000EE"/>
            </w:tcBorders>
            <w:gridSpan w:val="15"/>
          </w:tcPr>
          <w:p>
            <w:pPr>
              <w:spacing w:after="0" w:line="182" w:lineRule="exact"/>
              <w:rPr>
                <w:rFonts w:ascii="Arial" w:cs="Arial" w:eastAsia="Arial" w:hAnsi="Arial"/>
                <w:sz w:val="18"/>
                <w:szCs w:val="18"/>
                <w:color w:val="0000EE"/>
                <w:w w:val="99"/>
              </w:rPr>
            </w:pPr>
            <w:hyperlink w:anchor="page89">
              <w:r>
                <w:rPr>
                  <w:rFonts w:ascii="Arial" w:cs="Arial" w:eastAsia="Arial" w:hAnsi="Arial"/>
                  <w:sz w:val="18"/>
                  <w:szCs w:val="18"/>
                  <w:color w:val="0000EE"/>
                  <w:w w:val="99"/>
                </w:rPr>
                <w:t>2017 Omnibus Incentive Plan</w:t>
              </w:r>
            </w:hyperlink>
          </w:p>
        </w:tc>
        <w:tc>
          <w:tcPr>
            <w:tcW w:w="5400" w:type="dxa"/>
            <w:vAlign w:val="bottom"/>
            <w:gridSpan w:val="29"/>
          </w:tcPr>
          <w:p>
            <w:pPr>
              <w:spacing w:after="0"/>
              <w:rPr>
                <w:sz w:val="15"/>
                <w:szCs w:val="15"/>
                <w:color w:val="auto"/>
              </w:rPr>
            </w:pPr>
          </w:p>
        </w:tc>
        <w:tc>
          <w:tcPr>
            <w:tcW w:w="3360" w:type="dxa"/>
            <w:vAlign w:val="bottom"/>
          </w:tcPr>
          <w:p>
            <w:pPr>
              <w:jc w:val="right"/>
              <w:spacing w:after="0" w:line="182" w:lineRule="exact"/>
              <w:rPr>
                <w:sz w:val="20"/>
                <w:szCs w:val="20"/>
                <w:color w:val="auto"/>
              </w:rPr>
            </w:pPr>
            <w:r>
              <w:rPr>
                <w:rFonts w:ascii="Arial" w:cs="Arial" w:eastAsia="Arial" w:hAnsi="Arial"/>
                <w:sz w:val="18"/>
                <w:szCs w:val="18"/>
                <w:color w:val="auto"/>
              </w:rPr>
              <w:t>B-1</w:t>
            </w:r>
          </w:p>
        </w:tc>
      </w:tr>
    </w:tbl>
    <w:p>
      <w:pPr>
        <w:sectPr>
          <w:pgSz w:w="11900" w:h="16838" w:orient="portrait"/>
          <w:cols w:equalWidth="0" w:num="1">
            <w:col w:w="11360"/>
          </w:cols>
          <w:pgMar w:left="240" w:top="459" w:right="29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3014980</wp:posOffset>
            </wp:positionH>
            <wp:positionV relativeFrom="paragraph">
              <wp:posOffset>342900</wp:posOffset>
            </wp:positionV>
            <wp:extent cx="1235075" cy="3003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35075"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483E65"/>
        </w:rPr>
        <w:t>LEIDOS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2466340</wp:posOffset>
            </wp:positionH>
            <wp:positionV relativeFrom="paragraph">
              <wp:posOffset>243205</wp:posOffset>
            </wp:positionV>
            <wp:extent cx="23241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324100" cy="8890"/>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483E65"/>
        </w:rPr>
        <w:t>ANNUAL MEETING OF STOCKHOLDERS</w:t>
      </w:r>
    </w:p>
    <w:p>
      <w:pPr>
        <w:spacing w:after="0" w:line="43"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To Be Held May 12,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2466340</wp:posOffset>
            </wp:positionH>
            <wp:positionV relativeFrom="paragraph">
              <wp:posOffset>229235</wp:posOffset>
            </wp:positionV>
            <wp:extent cx="23241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324100" cy="8890"/>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483E65"/>
        </w:rPr>
        <w:t>PROXY STATEMENT</w:t>
      </w:r>
    </w:p>
    <w:p>
      <w:pPr>
        <w:spacing w:after="0" w:line="238"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This proxy statement is being furnished to the stockholders of Leidos Holdings, Inc., a Delaware corporation, in connection with the solicitation of proxies by our Board of Directors for use at our annual meeting of stockholders to be held at the company’s office at 700 N. Frederick Avenue, Gaithersburg, Maryland 20879, on Friday, May 12, 2017, at 9:00 a.m. ET. and at any and all adjournments, postponements or continuations of the meeting. This proxy statement and the proxy and voting instruction card are first being sent or made available to our stockholders on or about March 31, 2017.</w:t>
      </w:r>
    </w:p>
    <w:p>
      <w:pPr>
        <w:spacing w:after="0" w:line="207" w:lineRule="exact"/>
        <w:rPr>
          <w:sz w:val="20"/>
          <w:szCs w:val="20"/>
          <w:color w:val="auto"/>
        </w:rPr>
      </w:pPr>
    </w:p>
    <w:p>
      <w:pPr>
        <w:spacing w:after="0"/>
        <w:rPr>
          <w:sz w:val="20"/>
          <w:szCs w:val="20"/>
          <w:color w:val="auto"/>
        </w:rPr>
      </w:pPr>
      <w:r>
        <w:rPr>
          <w:rFonts w:ascii="Arial" w:cs="Arial" w:eastAsia="Arial" w:hAnsi="Arial"/>
          <w:sz w:val="32"/>
          <w:szCs w:val="32"/>
          <w:color w:val="483E65"/>
        </w:rPr>
        <w:t>Information About Voting Rights and Solicitation of Proxies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106680</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2" w:lineRule="exact"/>
        <w:rPr>
          <w:sz w:val="20"/>
          <w:szCs w:val="20"/>
          <w:color w:val="auto"/>
        </w:rPr>
      </w:pPr>
    </w:p>
    <w:p>
      <w:pPr>
        <w:spacing w:after="0"/>
        <w:rPr>
          <w:sz w:val="20"/>
          <w:szCs w:val="20"/>
          <w:color w:val="auto"/>
        </w:rPr>
      </w:pPr>
      <w:r>
        <w:rPr>
          <w:rFonts w:ascii="Arial" w:cs="Arial" w:eastAsia="Arial" w:hAnsi="Arial"/>
          <w:sz w:val="22"/>
          <w:szCs w:val="22"/>
          <w:color w:val="483E65"/>
        </w:rPr>
        <w:t>Who is entitled to vote 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00"/>
          </w:cols>
          <w:pgMar w:left="240" w:top="459" w:right="35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ind w:left="120"/>
        <w:spacing w:after="0" w:line="257" w:lineRule="auto"/>
        <w:rPr>
          <w:sz w:val="20"/>
          <w:szCs w:val="20"/>
          <w:color w:val="auto"/>
        </w:rPr>
      </w:pPr>
      <w:r>
        <w:rPr>
          <w:rFonts w:ascii="Arial" w:cs="Arial" w:eastAsia="Arial" w:hAnsi="Arial"/>
          <w:sz w:val="17"/>
          <w:szCs w:val="17"/>
          <w:color w:val="auto"/>
        </w:rPr>
        <w:t>Only stockholders of record of our common stock as of the close of business on our record date of March 13, 2017 are entitled to notice of, and to vote at, the annual meeting. As of March 13, 2017, there were 150,489,840 shares of common stock outstanding.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1"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We have no other class of capital stock outstanding. A list of stockholders entitled to vote at the meeting will be available for inspection at 11951 Freedom Drive, Reston, Virginia for at least 10 days prior to the meeting and will also be available for inspection at the meeting.</w:t>
      </w:r>
    </w:p>
    <w:p>
      <w:pPr>
        <w:spacing w:after="0" w:line="200" w:lineRule="exact"/>
        <w:rPr>
          <w:sz w:val="20"/>
          <w:szCs w:val="20"/>
          <w:color w:val="auto"/>
        </w:rPr>
      </w:pPr>
    </w:p>
    <w:p>
      <w:pPr>
        <w:sectPr>
          <w:pgSz w:w="11900" w:h="16838" w:orient="portrait"/>
          <w:cols w:equalWidth="0" w:num="2">
            <w:col w:w="5480" w:space="460"/>
            <w:col w:w="5360"/>
          </w:cols>
          <w:pgMar w:left="240" w:top="459" w:right="359" w:bottom="1440" w:gutter="0" w:footer="0" w:header="0"/>
          <w:type w:val="continuous"/>
        </w:sectPr>
      </w:pPr>
    </w:p>
    <w:p>
      <w:pPr>
        <w:spacing w:after="0" w:line="294" w:lineRule="exact"/>
        <w:rPr>
          <w:sz w:val="20"/>
          <w:szCs w:val="20"/>
          <w:color w:val="auto"/>
        </w:rPr>
      </w:pPr>
    </w:p>
    <w:p>
      <w:pPr>
        <w:spacing w:after="0"/>
        <w:rPr>
          <w:sz w:val="20"/>
          <w:szCs w:val="20"/>
          <w:color w:val="auto"/>
        </w:rPr>
      </w:pPr>
      <w:r>
        <w:rPr>
          <w:rFonts w:ascii="Arial" w:cs="Arial" w:eastAsia="Arial" w:hAnsi="Arial"/>
          <w:sz w:val="21"/>
          <w:szCs w:val="21"/>
          <w:color w:val="483E65"/>
        </w:rPr>
        <w:t>Do I need an admission ticket to attend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65405</wp:posOffset>
            </wp:positionV>
            <wp:extent cx="72466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00"/>
          </w:cols>
          <w:pgMar w:left="240" w:top="459" w:right="359" w:bottom="1440" w:gutter="0" w:footer="0" w:header="0"/>
          <w:type w:val="continuous"/>
        </w:sectPr>
      </w:pPr>
    </w:p>
    <w:p>
      <w:pPr>
        <w:spacing w:after="0" w:line="200" w:lineRule="exact"/>
        <w:rPr>
          <w:sz w:val="20"/>
          <w:szCs w:val="20"/>
          <w:color w:val="auto"/>
        </w:rPr>
      </w:pPr>
    </w:p>
    <w:p>
      <w:pPr>
        <w:spacing w:after="0" w:line="266" w:lineRule="exact"/>
        <w:rPr>
          <w:sz w:val="20"/>
          <w:szCs w:val="20"/>
          <w:color w:val="auto"/>
        </w:rPr>
      </w:pPr>
    </w:p>
    <w:p>
      <w:pPr>
        <w:ind w:left="120" w:right="480"/>
        <w:spacing w:after="0"/>
        <w:rPr>
          <w:sz w:val="20"/>
          <w:szCs w:val="20"/>
          <w:color w:val="auto"/>
        </w:rPr>
      </w:pPr>
      <w:r>
        <w:rPr>
          <w:rFonts w:ascii="Arial" w:cs="Arial" w:eastAsia="Arial" w:hAnsi="Arial"/>
          <w:sz w:val="18"/>
          <w:szCs w:val="18"/>
          <w:color w:val="auto"/>
        </w:rPr>
        <w:t>Yes. If you attend the meeting, you will be asked to present an admission ticket or proof of ownership and valid photo identification. Your admission ticket is:</w:t>
      </w:r>
    </w:p>
    <w:p>
      <w:pPr>
        <w:spacing w:after="0" w:line="108" w:lineRule="exact"/>
        <w:rPr>
          <w:sz w:val="20"/>
          <w:szCs w:val="20"/>
          <w:color w:val="auto"/>
        </w:rPr>
      </w:pPr>
    </w:p>
    <w:p>
      <w:pPr>
        <w:ind w:left="820" w:right="280" w:hanging="380"/>
        <w:spacing w:after="0" w:line="246" w:lineRule="auto"/>
        <w:tabs>
          <w:tab w:leader="none" w:pos="820" w:val="left"/>
        </w:tabs>
        <w:numPr>
          <w:ilvl w:val="0"/>
          <w:numId w:val="10"/>
        </w:numPr>
        <w:rPr>
          <w:rFonts w:ascii="Arial" w:cs="Arial" w:eastAsia="Arial" w:hAnsi="Arial"/>
          <w:sz w:val="15"/>
          <w:szCs w:val="15"/>
          <w:color w:val="77387A"/>
        </w:rPr>
      </w:pPr>
      <w:r>
        <w:rPr>
          <w:rFonts w:ascii="Arial" w:cs="Arial" w:eastAsia="Arial" w:hAnsi="Arial"/>
          <w:sz w:val="18"/>
          <w:szCs w:val="18"/>
          <w:color w:val="auto"/>
        </w:rPr>
        <w:t>Attached to your proxy and voting instruction card if you received your proxy materials in the mail;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6" w:lineRule="exact"/>
        <w:rPr>
          <w:sz w:val="20"/>
          <w:szCs w:val="20"/>
          <w:color w:val="auto"/>
        </w:rPr>
      </w:pPr>
    </w:p>
    <w:p>
      <w:pPr>
        <w:ind w:left="380" w:hanging="380"/>
        <w:spacing w:after="0"/>
        <w:tabs>
          <w:tab w:leader="none" w:pos="380" w:val="left"/>
        </w:tabs>
        <w:numPr>
          <w:ilvl w:val="0"/>
          <w:numId w:val="11"/>
        </w:numPr>
        <w:rPr>
          <w:rFonts w:ascii="Arial" w:cs="Arial" w:eastAsia="Arial" w:hAnsi="Arial"/>
          <w:sz w:val="15"/>
          <w:szCs w:val="15"/>
          <w:color w:val="77387A"/>
        </w:rPr>
      </w:pPr>
      <w:r>
        <w:rPr>
          <w:rFonts w:ascii="Arial" w:cs="Arial" w:eastAsia="Arial" w:hAnsi="Arial"/>
          <w:sz w:val="18"/>
          <w:szCs w:val="18"/>
          <w:color w:val="auto"/>
        </w:rPr>
        <w:t>Can be printed from the online voting site; or</w:t>
      </w:r>
    </w:p>
    <w:p>
      <w:pPr>
        <w:spacing w:after="0" w:line="130" w:lineRule="exact"/>
        <w:rPr>
          <w:rFonts w:ascii="Arial" w:cs="Arial" w:eastAsia="Arial" w:hAnsi="Arial"/>
          <w:sz w:val="15"/>
          <w:szCs w:val="15"/>
          <w:color w:val="77387A"/>
        </w:rPr>
      </w:pPr>
    </w:p>
    <w:p>
      <w:pPr>
        <w:ind w:left="380" w:right="220" w:hanging="380"/>
        <w:spacing w:after="0"/>
        <w:tabs>
          <w:tab w:leader="none" w:pos="380" w:val="left"/>
        </w:tabs>
        <w:numPr>
          <w:ilvl w:val="0"/>
          <w:numId w:val="11"/>
        </w:numPr>
        <w:rPr>
          <w:rFonts w:ascii="Arial" w:cs="Arial" w:eastAsia="Arial" w:hAnsi="Arial"/>
          <w:sz w:val="15"/>
          <w:szCs w:val="15"/>
          <w:color w:val="77387A"/>
        </w:rPr>
      </w:pPr>
      <w:r>
        <w:rPr>
          <w:rFonts w:ascii="Arial" w:cs="Arial" w:eastAsia="Arial" w:hAnsi="Arial"/>
          <w:sz w:val="18"/>
          <w:szCs w:val="18"/>
          <w:color w:val="auto"/>
        </w:rPr>
        <w:t>A letter or a recent account statement showing your ownership of our common stock as of the record date, if you hold shares through a bank or a broker.</w:t>
      </w:r>
    </w:p>
    <w:p>
      <w:pPr>
        <w:sectPr>
          <w:pgSz w:w="11900" w:h="16838" w:orient="portrait"/>
          <w:cols w:equalWidth="0" w:num="2">
            <w:col w:w="5540" w:space="720"/>
            <w:col w:w="5040"/>
          </w:cols>
          <w:pgMar w:left="240" w:top="459" w:right="359" w:bottom="1440" w:gutter="0" w:footer="0" w:header="0"/>
          <w:type w:val="continuous"/>
        </w:sectPr>
      </w:pPr>
    </w:p>
    <w:bookmarkStart w:id="7" w:name="page8"/>
    <w:bookmarkEnd w:id="7"/>
    <w:p>
      <w:pPr>
        <w:spacing w:after="0"/>
        <w:rPr>
          <w:sz w:val="20"/>
          <w:szCs w:val="20"/>
          <w:color w:val="auto"/>
        </w:rPr>
      </w:pPr>
      <w:r>
        <w:rPr>
          <w:rFonts w:ascii="Arial" w:cs="Arial" w:eastAsia="Arial" w:hAnsi="Arial"/>
          <w:sz w:val="21"/>
          <w:szCs w:val="21"/>
          <w:color w:val="483E65"/>
        </w:rPr>
        <w:t>What constitutes a quorum?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65405</wp:posOffset>
            </wp:positionV>
            <wp:extent cx="72466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498" w:right="239" w:bottom="1440" w:gutter="0" w:footer="0" w:header="0"/>
        </w:sectPr>
      </w:pPr>
    </w:p>
    <w:p>
      <w:pPr>
        <w:spacing w:after="0" w:line="200" w:lineRule="exact"/>
        <w:rPr>
          <w:sz w:val="20"/>
          <w:szCs w:val="20"/>
          <w:color w:val="auto"/>
        </w:rPr>
      </w:pPr>
    </w:p>
    <w:p>
      <w:pPr>
        <w:spacing w:after="0" w:line="266" w:lineRule="exact"/>
        <w:rPr>
          <w:sz w:val="20"/>
          <w:szCs w:val="20"/>
          <w:color w:val="auto"/>
        </w:rPr>
      </w:pPr>
    </w:p>
    <w:p>
      <w:pPr>
        <w:ind w:left="120" w:right="20"/>
        <w:spacing w:after="0" w:line="239" w:lineRule="auto"/>
        <w:rPr>
          <w:sz w:val="20"/>
          <w:szCs w:val="20"/>
          <w:color w:val="auto"/>
        </w:rPr>
      </w:pPr>
      <w:r>
        <w:rPr>
          <w:rFonts w:ascii="Arial" w:cs="Arial" w:eastAsia="Arial" w:hAnsi="Arial"/>
          <w:sz w:val="18"/>
          <w:szCs w:val="18"/>
          <w:color w:val="auto"/>
        </w:rPr>
        <w:t>The presence, either in person or by proxy, of the holders of a majority of the total voting power of the shares of common stock outstanding as of March 13, 2017 is necessary to constitute a quorum and to conduct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6" w:lineRule="exact"/>
        <w:rPr>
          <w:sz w:val="20"/>
          <w:szCs w:val="20"/>
          <w:color w:val="auto"/>
        </w:rPr>
      </w:pPr>
    </w:p>
    <w:p>
      <w:pPr>
        <w:ind w:right="200"/>
        <w:spacing w:after="0"/>
        <w:rPr>
          <w:sz w:val="20"/>
          <w:szCs w:val="20"/>
          <w:color w:val="auto"/>
        </w:rPr>
      </w:pPr>
      <w:r>
        <w:rPr>
          <w:rFonts w:ascii="Arial" w:cs="Arial" w:eastAsia="Arial" w:hAnsi="Arial"/>
          <w:sz w:val="18"/>
          <w:szCs w:val="18"/>
          <w:color w:val="auto"/>
        </w:rPr>
        <w:t>business at the annual meeting. Abstentions and broker “non-votes” will be counted as present for purposes of determining the presence of a quorum.</w:t>
      </w:r>
    </w:p>
    <w:p>
      <w:pPr>
        <w:spacing w:after="0" w:line="403" w:lineRule="exact"/>
        <w:rPr>
          <w:sz w:val="20"/>
          <w:szCs w:val="20"/>
          <w:color w:val="auto"/>
        </w:rPr>
      </w:pPr>
    </w:p>
    <w:p>
      <w:pPr>
        <w:sectPr>
          <w:pgSz w:w="11900" w:h="16838" w:orient="portrait"/>
          <w:cols w:equalWidth="0" w:num="2">
            <w:col w:w="5220" w:space="720"/>
            <w:col w:w="5480"/>
          </w:cols>
          <w:pgMar w:left="240" w:top="498" w:right="239" w:bottom="1440" w:gutter="0" w:footer="0" w:header="0"/>
          <w:type w:val="continuous"/>
        </w:sectPr>
      </w:pPr>
    </w:p>
    <w:p>
      <w:pPr>
        <w:spacing w:after="0" w:line="280" w:lineRule="exact"/>
        <w:rPr>
          <w:sz w:val="20"/>
          <w:szCs w:val="20"/>
          <w:color w:val="auto"/>
        </w:rPr>
      </w:pPr>
    </w:p>
    <w:p>
      <w:pPr>
        <w:spacing w:after="0"/>
        <w:rPr>
          <w:sz w:val="20"/>
          <w:szCs w:val="20"/>
          <w:color w:val="auto"/>
        </w:rPr>
      </w:pPr>
      <w:r>
        <w:rPr>
          <w:rFonts w:ascii="Arial" w:cs="Arial" w:eastAsia="Arial" w:hAnsi="Arial"/>
          <w:sz w:val="21"/>
          <w:szCs w:val="21"/>
          <w:color w:val="483E65"/>
        </w:rPr>
        <w:t>What is a broker “non-vote”?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65405</wp:posOffset>
            </wp:positionV>
            <wp:extent cx="72466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498" w:right="239" w:bottom="1440" w:gutter="0" w:footer="0" w:header="0"/>
          <w:type w:val="continuous"/>
        </w:sectPr>
      </w:pPr>
    </w:p>
    <w:p>
      <w:pPr>
        <w:spacing w:after="0" w:line="200" w:lineRule="exact"/>
        <w:rPr>
          <w:sz w:val="20"/>
          <w:szCs w:val="20"/>
          <w:color w:val="auto"/>
        </w:rPr>
      </w:pPr>
    </w:p>
    <w:p>
      <w:pPr>
        <w:spacing w:after="0" w:line="266" w:lineRule="exact"/>
        <w:rPr>
          <w:sz w:val="20"/>
          <w:szCs w:val="20"/>
          <w:color w:val="auto"/>
        </w:rPr>
      </w:pPr>
    </w:p>
    <w:p>
      <w:pPr>
        <w:ind w:left="120"/>
        <w:spacing w:after="0" w:line="238" w:lineRule="auto"/>
        <w:rPr>
          <w:sz w:val="20"/>
          <w:szCs w:val="20"/>
          <w:color w:val="auto"/>
        </w:rPr>
      </w:pPr>
      <w:r>
        <w:rPr>
          <w:rFonts w:ascii="Arial" w:cs="Arial" w:eastAsia="Arial" w:hAnsi="Arial"/>
          <w:sz w:val="18"/>
          <w:szCs w:val="18"/>
          <w:color w:val="auto"/>
        </w:rPr>
        <w:t>A broker “non-vote” occurs when a broker, bank or other nominee holding shares for a beneficial owner does not vote on a particular proposal because the nominee does not have discretionary voting power with respect to that matter and has not received voting instructions from the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6" w:lineRule="exact"/>
        <w:rPr>
          <w:sz w:val="20"/>
          <w:szCs w:val="20"/>
          <w:color w:val="auto"/>
        </w:rPr>
      </w:pPr>
    </w:p>
    <w:p>
      <w:pPr>
        <w:ind w:right="220"/>
        <w:spacing w:after="0" w:line="238" w:lineRule="auto"/>
        <w:rPr>
          <w:sz w:val="20"/>
          <w:szCs w:val="20"/>
          <w:color w:val="auto"/>
        </w:rPr>
      </w:pPr>
      <w:r>
        <w:rPr>
          <w:rFonts w:ascii="Arial" w:cs="Arial" w:eastAsia="Arial" w:hAnsi="Arial"/>
          <w:sz w:val="18"/>
          <w:szCs w:val="18"/>
          <w:color w:val="auto"/>
        </w:rPr>
        <w:t>beneficial owner. In tabulating the voting results for a particular proposal, broker “non-votes” are not considered entitled to vote on that proposal. Broker “non-votes” will not have an effect on the outcome of any matter being voted on at the meeting, assuming a quorum is present.</w:t>
      </w:r>
    </w:p>
    <w:p>
      <w:pPr>
        <w:spacing w:after="0" w:line="200" w:lineRule="exact"/>
        <w:rPr>
          <w:sz w:val="20"/>
          <w:szCs w:val="20"/>
          <w:color w:val="auto"/>
        </w:rPr>
      </w:pPr>
    </w:p>
    <w:p>
      <w:pPr>
        <w:sectPr>
          <w:pgSz w:w="11900" w:h="16838" w:orient="portrait"/>
          <w:cols w:equalWidth="0" w:num="2">
            <w:col w:w="5360" w:space="580"/>
            <w:col w:w="5480"/>
          </w:cols>
          <w:pgMar w:left="240" w:top="498" w:right="239" w:bottom="1440" w:gutter="0" w:footer="0" w:header="0"/>
          <w:type w:val="continuous"/>
        </w:sectPr>
      </w:pPr>
    </w:p>
    <w:p>
      <w:pPr>
        <w:spacing w:after="0" w:line="66" w:lineRule="exact"/>
        <w:rPr>
          <w:sz w:val="20"/>
          <w:szCs w:val="20"/>
          <w:color w:val="auto"/>
        </w:rPr>
      </w:pPr>
    </w:p>
    <w:p>
      <w:pPr>
        <w:ind w:left="9240"/>
        <w:spacing w:after="0"/>
        <w:tabs>
          <w:tab w:leader="none" w:pos="11080" w:val="left"/>
          <w:tab w:leader="none" w:pos="11320" w:val="left"/>
        </w:tabs>
        <w:rPr>
          <w:sz w:val="20"/>
          <w:szCs w:val="20"/>
          <w:color w:val="auto"/>
        </w:rPr>
      </w:pPr>
      <w:r>
        <w:rPr>
          <w:rFonts w:ascii="Arial" w:cs="Arial" w:eastAsia="Arial" w:hAnsi="Arial"/>
          <w:sz w:val="16"/>
          <w:szCs w:val="16"/>
          <w:b w:val="1"/>
          <w:bCs w:val="1"/>
          <w:color w:val="483E65"/>
        </w:rPr>
        <w:t>2017 Proxy Statement</w:t>
        <w:tab/>
        <w:t>|</w:t>
      </w:r>
      <w:r>
        <w:rPr>
          <w:sz w:val="20"/>
          <w:szCs w:val="20"/>
          <w:color w:val="auto"/>
        </w:rPr>
        <w:tab/>
      </w:r>
      <w:r>
        <w:rPr>
          <w:rFonts w:ascii="Arial" w:cs="Arial" w:eastAsia="Arial" w:hAnsi="Arial"/>
          <w:sz w:val="14"/>
          <w:szCs w:val="14"/>
          <w:b w:val="1"/>
          <w:bCs w:val="1"/>
          <w:color w:val="483E65"/>
        </w:rPr>
        <w:t>1</w:t>
      </w:r>
    </w:p>
    <w:p>
      <w:pPr>
        <w:sectPr>
          <w:pgSz w:w="11900" w:h="16838" w:orient="portrait"/>
          <w:cols w:equalWidth="0" w:num="1">
            <w:col w:w="11420"/>
          </w:cols>
          <w:pgMar w:left="240" w:top="498" w:right="239" w:bottom="1440" w:gutter="0" w:footer="0" w:header="0"/>
          <w:type w:val="continuous"/>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8" w:lineRule="exact"/>
        <w:rPr>
          <w:sz w:val="20"/>
          <w:szCs w:val="20"/>
          <w:color w:val="auto"/>
        </w:rPr>
      </w:pPr>
    </w:p>
    <w:p>
      <w:pPr>
        <w:spacing w:after="0"/>
        <w:rPr>
          <w:sz w:val="20"/>
          <w:szCs w:val="20"/>
          <w:color w:val="auto"/>
        </w:rPr>
      </w:pPr>
      <w:r>
        <w:rPr>
          <w:rFonts w:ascii="Arial" w:cs="Arial" w:eastAsia="Arial" w:hAnsi="Arial"/>
          <w:sz w:val="32"/>
          <w:szCs w:val="32"/>
          <w:color w:val="483E65"/>
        </w:rPr>
        <w:t>Information About Voting Rights and Solicitation of Proxies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149860</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459"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120"/>
        <w:spacing w:after="0" w:line="239" w:lineRule="auto"/>
        <w:rPr>
          <w:sz w:val="20"/>
          <w:szCs w:val="20"/>
          <w:color w:val="auto"/>
        </w:rPr>
      </w:pPr>
      <w:r>
        <w:rPr>
          <w:rFonts w:ascii="Arial" w:cs="Arial" w:eastAsia="Arial" w:hAnsi="Arial"/>
          <w:sz w:val="18"/>
          <w:szCs w:val="18"/>
          <w:color w:val="auto"/>
        </w:rPr>
        <w:t>Unless you provide voting instructions to any broker holding shares on your behalf, your broker may not use discretionary authority to vote your shares on any of the matters to be considered at the annual meeting other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color w:val="auto"/>
        </w:rPr>
        <w:t>than the ratification of our independent registered public accounting firm. Please vote your proxy or provide voting instructions to your broker so your vote can be counted.</w:t>
      </w:r>
    </w:p>
    <w:p>
      <w:pPr>
        <w:spacing w:after="0" w:line="403" w:lineRule="exact"/>
        <w:rPr>
          <w:sz w:val="20"/>
          <w:szCs w:val="20"/>
          <w:color w:val="auto"/>
        </w:rPr>
      </w:pPr>
    </w:p>
    <w:p>
      <w:pPr>
        <w:sectPr>
          <w:pgSz w:w="11900" w:h="16838" w:orient="portrait"/>
          <w:cols w:equalWidth="0" w:num="2">
            <w:col w:w="5460" w:space="480"/>
            <w:col w:w="5360"/>
          </w:cols>
          <w:pgMar w:left="240" w:top="459" w:right="359" w:bottom="1440" w:gutter="0" w:footer="0" w:header="0"/>
          <w:type w:val="continuous"/>
        </w:sectPr>
      </w:pPr>
    </w:p>
    <w:p>
      <w:pPr>
        <w:spacing w:after="0" w:line="293" w:lineRule="exact"/>
        <w:rPr>
          <w:sz w:val="20"/>
          <w:szCs w:val="20"/>
          <w:color w:val="auto"/>
        </w:rPr>
      </w:pPr>
    </w:p>
    <w:p>
      <w:pPr>
        <w:spacing w:after="0"/>
        <w:rPr>
          <w:sz w:val="20"/>
          <w:szCs w:val="20"/>
          <w:color w:val="auto"/>
        </w:rPr>
      </w:pPr>
      <w:r>
        <w:rPr>
          <w:rFonts w:ascii="Arial" w:cs="Arial" w:eastAsia="Arial" w:hAnsi="Arial"/>
          <w:sz w:val="21"/>
          <w:szCs w:val="21"/>
          <w:color w:val="483E65"/>
        </w:rPr>
        <w:t>How many votes am I entitled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65405</wp:posOffset>
            </wp:positionV>
            <wp:extent cx="72466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00"/>
          </w:cols>
          <w:pgMar w:left="240" w:top="459" w:right="359" w:bottom="1440" w:gutter="0" w:footer="0" w:header="0"/>
          <w:type w:val="continuous"/>
        </w:sectPr>
      </w:pPr>
    </w:p>
    <w:p>
      <w:pPr>
        <w:spacing w:after="0" w:line="200" w:lineRule="exact"/>
        <w:rPr>
          <w:sz w:val="20"/>
          <w:szCs w:val="20"/>
          <w:color w:val="auto"/>
        </w:rPr>
      </w:pP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Each holder of common stock will be entitled to one vote per share, in person or by proxy, for each share of stock held in such stockholder’s name as of March 13, 2017,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3" w:lineRule="exact"/>
        <w:rPr>
          <w:sz w:val="20"/>
          <w:szCs w:val="20"/>
          <w:color w:val="auto"/>
        </w:rPr>
      </w:pPr>
    </w:p>
    <w:p>
      <w:pPr>
        <w:ind w:right="340"/>
        <w:spacing w:after="0"/>
        <w:rPr>
          <w:sz w:val="20"/>
          <w:szCs w:val="20"/>
          <w:color w:val="auto"/>
        </w:rPr>
      </w:pPr>
      <w:r>
        <w:rPr>
          <w:rFonts w:ascii="Arial" w:cs="Arial" w:eastAsia="Arial" w:hAnsi="Arial"/>
          <w:sz w:val="18"/>
          <w:szCs w:val="18"/>
          <w:color w:val="auto"/>
        </w:rPr>
        <w:t>on any matter submitted to a vote of stockholders at the annual meeting unless a stockholder elects to cumulate votes for the election of directors as described below.</w:t>
      </w:r>
    </w:p>
    <w:p>
      <w:pPr>
        <w:spacing w:after="0" w:line="200" w:lineRule="exact"/>
        <w:rPr>
          <w:sz w:val="20"/>
          <w:szCs w:val="20"/>
          <w:color w:val="auto"/>
        </w:rPr>
      </w:pPr>
    </w:p>
    <w:p>
      <w:pPr>
        <w:sectPr>
          <w:pgSz w:w="11900" w:h="16838" w:orient="portrait"/>
          <w:cols w:equalWidth="0" w:num="2">
            <w:col w:w="5460" w:space="480"/>
            <w:col w:w="5360"/>
          </w:cols>
          <w:pgMar w:left="240" w:top="459" w:right="359" w:bottom="1440" w:gutter="0" w:footer="0" w:header="0"/>
          <w:type w:val="continuous"/>
        </w:sectPr>
      </w:pPr>
    </w:p>
    <w:p>
      <w:pPr>
        <w:spacing w:after="0" w:line="294" w:lineRule="exact"/>
        <w:rPr>
          <w:sz w:val="20"/>
          <w:szCs w:val="20"/>
          <w:color w:val="auto"/>
        </w:rPr>
      </w:pPr>
    </w:p>
    <w:p>
      <w:pPr>
        <w:spacing w:after="0"/>
        <w:rPr>
          <w:sz w:val="20"/>
          <w:szCs w:val="20"/>
          <w:color w:val="auto"/>
        </w:rPr>
      </w:pPr>
      <w:r>
        <w:rPr>
          <w:rFonts w:ascii="Arial" w:cs="Arial" w:eastAsia="Arial" w:hAnsi="Arial"/>
          <w:sz w:val="21"/>
          <w:szCs w:val="21"/>
          <w:color w:val="483E65"/>
        </w:rPr>
        <w:t>Is cumulative voting permitted for the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65405</wp:posOffset>
            </wp:positionV>
            <wp:extent cx="72466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00"/>
          </w:cols>
          <w:pgMar w:left="240" w:top="459" w:right="359" w:bottom="1440" w:gutter="0" w:footer="0" w:header="0"/>
          <w:type w:val="continuous"/>
        </w:sectPr>
      </w:pPr>
    </w:p>
    <w:p>
      <w:pPr>
        <w:spacing w:after="0" w:line="200" w:lineRule="exact"/>
        <w:rPr>
          <w:sz w:val="20"/>
          <w:szCs w:val="20"/>
          <w:color w:val="auto"/>
        </w:rPr>
      </w:pPr>
    </w:p>
    <w:p>
      <w:pPr>
        <w:spacing w:after="0" w:line="266" w:lineRule="exact"/>
        <w:rPr>
          <w:sz w:val="20"/>
          <w:szCs w:val="20"/>
          <w:color w:val="auto"/>
        </w:rPr>
      </w:pPr>
    </w:p>
    <w:p>
      <w:pPr>
        <w:ind w:left="120"/>
        <w:spacing w:after="0" w:line="237" w:lineRule="auto"/>
        <w:rPr>
          <w:sz w:val="20"/>
          <w:szCs w:val="20"/>
          <w:color w:val="auto"/>
        </w:rPr>
      </w:pPr>
      <w:r>
        <w:rPr>
          <w:rFonts w:ascii="Arial" w:cs="Arial" w:eastAsia="Arial" w:hAnsi="Arial"/>
          <w:sz w:val="18"/>
          <w:szCs w:val="18"/>
          <w:color w:val="auto"/>
        </w:rPr>
        <w:t>In the election of directors, you may cumulate your vote. This means that you may allocate among the director nominees, as you see fit, the total number of votes equal to the director positions to be filled multiplied by the number of shares you hold. You may not cumulate your votes against a nominee and cumulative voting applies only to the election of directors.</w:t>
      </w:r>
    </w:p>
    <w:p>
      <w:pPr>
        <w:spacing w:after="0" w:line="97" w:lineRule="exact"/>
        <w:rPr>
          <w:sz w:val="20"/>
          <w:szCs w:val="20"/>
          <w:color w:val="auto"/>
        </w:rPr>
      </w:pPr>
    </w:p>
    <w:p>
      <w:pPr>
        <w:ind w:left="120" w:right="320"/>
        <w:spacing w:after="0" w:line="246" w:lineRule="auto"/>
        <w:rPr>
          <w:sz w:val="20"/>
          <w:szCs w:val="20"/>
          <w:color w:val="auto"/>
        </w:rPr>
      </w:pPr>
      <w:r>
        <w:rPr>
          <w:rFonts w:ascii="Arial" w:cs="Arial" w:eastAsia="Arial" w:hAnsi="Arial"/>
          <w:sz w:val="18"/>
          <w:szCs w:val="18"/>
          <w:color w:val="auto"/>
        </w:rPr>
        <w:t>If you are a stockholder of record and choose to cumulate your votes, you will need to notify our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6"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Corporate Secretary in writing prior to the Annual Meeting or, if you vote in person at the annual meeting, notify the chair of the meeting prior to the commencement of voting at the annual meeting. You may not submit your proxy or voting instructions over the Internet or by telephone if you wish to distribute your votes unevenly among two or more nominees. If you hold shares beneficially through a broker, trustee or other nominee and wish to cumulate votes, you should contact your broker, trustee or nominee.</w:t>
      </w:r>
    </w:p>
    <w:p>
      <w:pPr>
        <w:spacing w:after="0" w:line="200" w:lineRule="exact"/>
        <w:rPr>
          <w:sz w:val="20"/>
          <w:szCs w:val="20"/>
          <w:color w:val="auto"/>
        </w:rPr>
      </w:pPr>
    </w:p>
    <w:p>
      <w:pPr>
        <w:sectPr>
          <w:pgSz w:w="11900" w:h="16838" w:orient="portrait"/>
          <w:cols w:equalWidth="0" w:num="2">
            <w:col w:w="5420" w:space="520"/>
            <w:col w:w="5360"/>
          </w:cols>
          <w:pgMar w:left="240" w:top="459" w:right="359" w:bottom="1440" w:gutter="0" w:footer="0" w:header="0"/>
          <w:type w:val="continuous"/>
        </w:sectPr>
      </w:pPr>
    </w:p>
    <w:p>
      <w:pPr>
        <w:spacing w:after="0" w:line="285" w:lineRule="exact"/>
        <w:rPr>
          <w:sz w:val="20"/>
          <w:szCs w:val="20"/>
          <w:color w:val="auto"/>
        </w:rPr>
      </w:pPr>
    </w:p>
    <w:p>
      <w:pPr>
        <w:spacing w:after="0"/>
        <w:rPr>
          <w:sz w:val="20"/>
          <w:szCs w:val="20"/>
          <w:color w:val="auto"/>
        </w:rPr>
      </w:pPr>
      <w:r>
        <w:rPr>
          <w:rFonts w:ascii="Arial" w:cs="Arial" w:eastAsia="Arial" w:hAnsi="Arial"/>
          <w:sz w:val="21"/>
          <w:szCs w:val="21"/>
          <w:color w:val="483E65"/>
        </w:rPr>
        <w:t>How do I vote my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65405</wp:posOffset>
            </wp:positionV>
            <wp:extent cx="72466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00"/>
          </w:cols>
          <w:pgMar w:left="240" w:top="459" w:right="359" w:bottom="1440" w:gutter="0" w:footer="0" w:header="0"/>
          <w:type w:val="continuous"/>
        </w:sectPr>
      </w:pPr>
    </w:p>
    <w:p>
      <w:pPr>
        <w:spacing w:after="0" w:line="200" w:lineRule="exact"/>
        <w:rPr>
          <w:sz w:val="20"/>
          <w:szCs w:val="20"/>
          <w:color w:val="auto"/>
        </w:rPr>
      </w:pPr>
    </w:p>
    <w:p>
      <w:pPr>
        <w:spacing w:after="0" w:line="266" w:lineRule="exact"/>
        <w:rPr>
          <w:sz w:val="20"/>
          <w:szCs w:val="20"/>
          <w:color w:val="auto"/>
        </w:rPr>
      </w:pPr>
    </w:p>
    <w:p>
      <w:pPr>
        <w:ind w:left="120" w:right="20"/>
        <w:spacing w:after="0" w:line="237" w:lineRule="auto"/>
        <w:rPr>
          <w:sz w:val="20"/>
          <w:szCs w:val="20"/>
          <w:color w:val="auto"/>
        </w:rPr>
      </w:pPr>
      <w:r>
        <w:rPr>
          <w:rFonts w:ascii="Arial" w:cs="Arial" w:eastAsia="Arial" w:hAnsi="Arial"/>
          <w:sz w:val="18"/>
          <w:szCs w:val="18"/>
          <w:color w:val="auto"/>
        </w:rPr>
        <w:t>Shares of common stock represented by a properly executed and timely proxy will, unless it has previously been revoked, be voted in accordance with its instructions. In the absence of specific instructions, the shares represented by a properly executed and timely proxy will be voted in accordance with the Board’s recommendations as follows:</w:t>
      </w:r>
    </w:p>
    <w:p>
      <w:pPr>
        <w:spacing w:after="0" w:line="111" w:lineRule="exact"/>
        <w:rPr>
          <w:sz w:val="20"/>
          <w:szCs w:val="20"/>
          <w:color w:val="auto"/>
        </w:rPr>
      </w:pPr>
    </w:p>
    <w:p>
      <w:pPr>
        <w:ind w:left="820" w:hanging="380"/>
        <w:spacing w:after="0"/>
        <w:tabs>
          <w:tab w:leader="none" w:pos="820" w:val="left"/>
        </w:tabs>
        <w:numPr>
          <w:ilvl w:val="0"/>
          <w:numId w:val="12"/>
        </w:numPr>
        <w:rPr>
          <w:rFonts w:ascii="Arial" w:cs="Arial" w:eastAsia="Arial" w:hAnsi="Arial"/>
          <w:sz w:val="15"/>
          <w:szCs w:val="15"/>
          <w:color w:val="77387A"/>
        </w:rPr>
      </w:pPr>
      <w:r>
        <w:rPr>
          <w:rFonts w:ascii="Arial" w:cs="Arial" w:eastAsia="Arial" w:hAnsi="Arial"/>
          <w:sz w:val="18"/>
          <w:szCs w:val="18"/>
          <w:color w:val="auto"/>
        </w:rPr>
        <w:t>FOR all of the company’s nominees to the Board;</w:t>
      </w:r>
    </w:p>
    <w:p>
      <w:pPr>
        <w:spacing w:after="0" w:line="130" w:lineRule="exact"/>
        <w:rPr>
          <w:rFonts w:ascii="Arial" w:cs="Arial" w:eastAsia="Arial" w:hAnsi="Arial"/>
          <w:sz w:val="15"/>
          <w:szCs w:val="15"/>
          <w:color w:val="77387A"/>
        </w:rPr>
      </w:pPr>
    </w:p>
    <w:p>
      <w:pPr>
        <w:ind w:left="820" w:hanging="380"/>
        <w:spacing w:after="0" w:line="246" w:lineRule="auto"/>
        <w:tabs>
          <w:tab w:leader="none" w:pos="820" w:val="left"/>
        </w:tabs>
        <w:numPr>
          <w:ilvl w:val="0"/>
          <w:numId w:val="12"/>
        </w:numPr>
        <w:rPr>
          <w:rFonts w:ascii="Arial" w:cs="Arial" w:eastAsia="Arial" w:hAnsi="Arial"/>
          <w:sz w:val="15"/>
          <w:szCs w:val="15"/>
          <w:color w:val="77387A"/>
        </w:rPr>
      </w:pPr>
      <w:r>
        <w:rPr>
          <w:rFonts w:ascii="Arial" w:cs="Arial" w:eastAsia="Arial" w:hAnsi="Arial"/>
          <w:sz w:val="18"/>
          <w:szCs w:val="18"/>
          <w:color w:val="auto"/>
        </w:rPr>
        <w:t>FOR the approval, on a non-binding, advisory basis, of the compensation of our named executive officers;</w:t>
      </w:r>
    </w:p>
    <w:p>
      <w:pPr>
        <w:spacing w:after="0" w:line="102" w:lineRule="exact"/>
        <w:rPr>
          <w:rFonts w:ascii="Arial" w:cs="Arial" w:eastAsia="Arial" w:hAnsi="Arial"/>
          <w:sz w:val="15"/>
          <w:szCs w:val="15"/>
          <w:color w:val="77387A"/>
        </w:rPr>
      </w:pPr>
    </w:p>
    <w:p>
      <w:pPr>
        <w:ind w:left="820" w:right="20" w:hanging="380"/>
        <w:spacing w:after="0" w:line="246" w:lineRule="auto"/>
        <w:tabs>
          <w:tab w:leader="none" w:pos="820" w:val="left"/>
        </w:tabs>
        <w:numPr>
          <w:ilvl w:val="0"/>
          <w:numId w:val="12"/>
        </w:numPr>
        <w:rPr>
          <w:rFonts w:ascii="Arial" w:cs="Arial" w:eastAsia="Arial" w:hAnsi="Arial"/>
          <w:sz w:val="15"/>
          <w:szCs w:val="15"/>
          <w:color w:val="77387A"/>
        </w:rPr>
      </w:pPr>
      <w:r>
        <w:rPr>
          <w:rFonts w:ascii="Arial" w:cs="Arial" w:eastAsia="Arial" w:hAnsi="Arial"/>
          <w:sz w:val="18"/>
          <w:szCs w:val="18"/>
          <w:color w:val="auto"/>
        </w:rPr>
        <w:t>FOR the approval of an annual advisory vote on executive compensation;</w:t>
      </w:r>
    </w:p>
    <w:p>
      <w:pPr>
        <w:spacing w:after="0" w:line="102" w:lineRule="exact"/>
        <w:rPr>
          <w:rFonts w:ascii="Arial" w:cs="Arial" w:eastAsia="Arial" w:hAnsi="Arial"/>
          <w:sz w:val="15"/>
          <w:szCs w:val="15"/>
          <w:color w:val="77387A"/>
        </w:rPr>
      </w:pPr>
    </w:p>
    <w:p>
      <w:pPr>
        <w:ind w:left="820" w:right="340" w:hanging="380"/>
        <w:spacing w:after="0" w:line="246" w:lineRule="auto"/>
        <w:tabs>
          <w:tab w:leader="none" w:pos="820" w:val="left"/>
        </w:tabs>
        <w:numPr>
          <w:ilvl w:val="0"/>
          <w:numId w:val="12"/>
        </w:numPr>
        <w:rPr>
          <w:rFonts w:ascii="Arial" w:cs="Arial" w:eastAsia="Arial" w:hAnsi="Arial"/>
          <w:sz w:val="15"/>
          <w:szCs w:val="15"/>
          <w:color w:val="77387A"/>
        </w:rPr>
      </w:pPr>
      <w:r>
        <w:rPr>
          <w:rFonts w:ascii="Arial" w:cs="Arial" w:eastAsia="Arial" w:hAnsi="Arial"/>
          <w:sz w:val="18"/>
          <w:szCs w:val="18"/>
          <w:color w:val="auto"/>
        </w:rPr>
        <w:t>FOR the approval of the Amended and Restated 2006 Employee Stock Purchase Plan;</w:t>
      </w:r>
    </w:p>
    <w:p>
      <w:pPr>
        <w:spacing w:after="0" w:line="102" w:lineRule="exact"/>
        <w:rPr>
          <w:rFonts w:ascii="Arial" w:cs="Arial" w:eastAsia="Arial" w:hAnsi="Arial"/>
          <w:sz w:val="15"/>
          <w:szCs w:val="15"/>
          <w:color w:val="77387A"/>
        </w:rPr>
      </w:pPr>
    </w:p>
    <w:p>
      <w:pPr>
        <w:ind w:left="820" w:right="280" w:hanging="380"/>
        <w:spacing w:after="0" w:line="246" w:lineRule="auto"/>
        <w:tabs>
          <w:tab w:leader="none" w:pos="820" w:val="left"/>
        </w:tabs>
        <w:numPr>
          <w:ilvl w:val="0"/>
          <w:numId w:val="12"/>
        </w:numPr>
        <w:rPr>
          <w:rFonts w:ascii="Arial" w:cs="Arial" w:eastAsia="Arial" w:hAnsi="Arial"/>
          <w:sz w:val="15"/>
          <w:szCs w:val="15"/>
          <w:color w:val="77387A"/>
        </w:rPr>
      </w:pPr>
      <w:r>
        <w:rPr>
          <w:rFonts w:ascii="Arial" w:cs="Arial" w:eastAsia="Arial" w:hAnsi="Arial"/>
          <w:sz w:val="18"/>
          <w:szCs w:val="18"/>
          <w:color w:val="auto"/>
        </w:rPr>
        <w:t>FOR the approval of the 2017 Omnibus Incentive Plan; and</w:t>
      </w:r>
    </w:p>
    <w:p>
      <w:pPr>
        <w:spacing w:after="0" w:line="102" w:lineRule="exact"/>
        <w:rPr>
          <w:rFonts w:ascii="Arial" w:cs="Arial" w:eastAsia="Arial" w:hAnsi="Arial"/>
          <w:sz w:val="15"/>
          <w:szCs w:val="15"/>
          <w:color w:val="77387A"/>
        </w:rPr>
      </w:pPr>
    </w:p>
    <w:p>
      <w:pPr>
        <w:ind w:left="820" w:right="240" w:hanging="380"/>
        <w:spacing w:after="0" w:line="239" w:lineRule="auto"/>
        <w:tabs>
          <w:tab w:leader="none" w:pos="820" w:val="left"/>
        </w:tabs>
        <w:numPr>
          <w:ilvl w:val="0"/>
          <w:numId w:val="12"/>
        </w:numPr>
        <w:rPr>
          <w:rFonts w:ascii="Arial" w:cs="Arial" w:eastAsia="Arial" w:hAnsi="Arial"/>
          <w:sz w:val="15"/>
          <w:szCs w:val="15"/>
          <w:color w:val="77387A"/>
        </w:rPr>
      </w:pPr>
      <w:r>
        <w:rPr>
          <w:rFonts w:ascii="Arial" w:cs="Arial" w:eastAsia="Arial" w:hAnsi="Arial"/>
          <w:sz w:val="18"/>
          <w:szCs w:val="18"/>
          <w:color w:val="auto"/>
        </w:rPr>
        <w:t>FOR the ratification of the appointment of Deloitte &amp; Touche LLP as our independent registered public accounting firm for the fiscal year ending December 29, 2017.</w:t>
      </w:r>
    </w:p>
    <w:p>
      <w:pPr>
        <w:spacing w:after="0" w:line="94" w:lineRule="exact"/>
        <w:rPr>
          <w:sz w:val="20"/>
          <w:szCs w:val="20"/>
          <w:color w:val="auto"/>
        </w:rPr>
      </w:pPr>
    </w:p>
    <w:p>
      <w:pPr>
        <w:jc w:val="both"/>
        <w:ind w:left="120" w:right="60"/>
        <w:spacing w:after="0"/>
        <w:rPr>
          <w:sz w:val="20"/>
          <w:szCs w:val="20"/>
          <w:color w:val="auto"/>
        </w:rPr>
      </w:pPr>
      <w:r>
        <w:rPr>
          <w:rFonts w:ascii="Arial" w:cs="Arial" w:eastAsia="Arial" w:hAnsi="Arial"/>
          <w:sz w:val="18"/>
          <w:szCs w:val="18"/>
          <w:color w:val="auto"/>
        </w:rPr>
        <w:t>No other business is expected to come before the annual meeting; however, should any other matter properly come before the annual meeting, the proxy holders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6" w:lineRule="exact"/>
        <w:rPr>
          <w:sz w:val="20"/>
          <w:szCs w:val="20"/>
          <w:color w:val="auto"/>
        </w:rPr>
      </w:pPr>
    </w:p>
    <w:p>
      <w:pPr>
        <w:ind w:right="140"/>
        <w:spacing w:after="0" w:line="246" w:lineRule="auto"/>
        <w:rPr>
          <w:sz w:val="20"/>
          <w:szCs w:val="20"/>
          <w:color w:val="auto"/>
        </w:rPr>
      </w:pPr>
      <w:r>
        <w:rPr>
          <w:rFonts w:ascii="Arial" w:cs="Arial" w:eastAsia="Arial" w:hAnsi="Arial"/>
          <w:sz w:val="18"/>
          <w:szCs w:val="18"/>
          <w:color w:val="auto"/>
        </w:rPr>
        <w:t>intend to vote such shares in accordance with their best judgment on such matter.</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There are four different ways to vote your shares:</w:t>
      </w:r>
    </w:p>
    <w:p>
      <w:pPr>
        <w:spacing w:after="0" w:line="82" w:lineRule="exact"/>
        <w:rPr>
          <w:sz w:val="20"/>
          <w:szCs w:val="20"/>
          <w:color w:val="auto"/>
        </w:rPr>
      </w:pPr>
    </w:p>
    <w:p>
      <w:pPr>
        <w:ind w:right="280"/>
        <w:spacing w:after="0" w:line="271" w:lineRule="auto"/>
        <w:rPr>
          <w:sz w:val="20"/>
          <w:szCs w:val="20"/>
          <w:color w:val="auto"/>
        </w:rPr>
      </w:pPr>
      <w:r>
        <w:rPr>
          <w:rFonts w:ascii="Arial" w:cs="Arial" w:eastAsia="Arial" w:hAnsi="Arial"/>
          <w:sz w:val="18"/>
          <w:szCs w:val="18"/>
          <w:b w:val="1"/>
          <w:bCs w:val="1"/>
          <w:color w:val="auto"/>
        </w:rPr>
        <w:t xml:space="preserve">By Internet: </w:t>
      </w:r>
      <w:r>
        <w:rPr>
          <w:rFonts w:ascii="Arial" w:cs="Arial" w:eastAsia="Arial" w:hAnsi="Arial"/>
          <w:sz w:val="18"/>
          <w:szCs w:val="18"/>
          <w:color w:val="auto"/>
        </w:rPr>
        <w:t>Go to www.proxyvote.com or scan the QR code on</w:t>
      </w:r>
      <w:r>
        <w:rPr>
          <w:rFonts w:ascii="Arial" w:cs="Arial" w:eastAsia="Arial" w:hAnsi="Arial"/>
          <w:sz w:val="18"/>
          <w:szCs w:val="18"/>
          <w:b w:val="1"/>
          <w:bCs w:val="1"/>
          <w:color w:val="auto"/>
        </w:rPr>
        <w:t xml:space="preserve"> </w:t>
      </w:r>
      <w:r>
        <w:rPr>
          <w:rFonts w:ascii="Arial" w:cs="Arial" w:eastAsia="Arial" w:hAnsi="Arial"/>
          <w:sz w:val="18"/>
          <w:szCs w:val="18"/>
          <w:color w:val="auto"/>
        </w:rPr>
        <w:t>your proxy and voting instruction card with a smart phone.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By Telephone: </w:t>
      </w:r>
      <w:r>
        <w:rPr>
          <w:rFonts w:ascii="Arial" w:cs="Arial" w:eastAsia="Arial" w:hAnsi="Arial"/>
          <w:sz w:val="18"/>
          <w:szCs w:val="18"/>
          <w:color w:val="auto"/>
        </w:rPr>
        <w:t>Call 1-800-690-6903.</w:t>
      </w:r>
    </w:p>
    <w:p>
      <w:pPr>
        <w:spacing w:after="0" w:line="104" w:lineRule="exact"/>
        <w:rPr>
          <w:sz w:val="20"/>
          <w:szCs w:val="20"/>
          <w:color w:val="auto"/>
        </w:rPr>
      </w:pPr>
    </w:p>
    <w:p>
      <w:pPr>
        <w:jc w:val="both"/>
        <w:ind w:right="40"/>
        <w:spacing w:after="0" w:line="253" w:lineRule="auto"/>
        <w:rPr>
          <w:sz w:val="20"/>
          <w:szCs w:val="20"/>
          <w:color w:val="auto"/>
        </w:rPr>
      </w:pPr>
      <w:r>
        <w:rPr>
          <w:rFonts w:ascii="Arial" w:cs="Arial" w:eastAsia="Arial" w:hAnsi="Arial"/>
          <w:sz w:val="18"/>
          <w:szCs w:val="18"/>
          <w:b w:val="1"/>
          <w:bCs w:val="1"/>
          <w:color w:val="auto"/>
        </w:rPr>
        <w:t xml:space="preserve">By Mail: </w:t>
      </w:r>
      <w:r>
        <w:rPr>
          <w:rFonts w:ascii="Arial" w:cs="Arial" w:eastAsia="Arial" w:hAnsi="Arial"/>
          <w:sz w:val="18"/>
          <w:szCs w:val="18"/>
          <w:color w:val="auto"/>
        </w:rPr>
        <w:t>If you received your proxy materials via the U.S. mail, you</w:t>
      </w:r>
      <w:r>
        <w:rPr>
          <w:rFonts w:ascii="Arial" w:cs="Arial" w:eastAsia="Arial" w:hAnsi="Arial"/>
          <w:sz w:val="18"/>
          <w:szCs w:val="18"/>
          <w:b w:val="1"/>
          <w:bCs w:val="1"/>
          <w:color w:val="auto"/>
        </w:rPr>
        <w:t xml:space="preserve"> </w:t>
      </w:r>
      <w:r>
        <w:rPr>
          <w:rFonts w:ascii="Arial" w:cs="Arial" w:eastAsia="Arial" w:hAnsi="Arial"/>
          <w:sz w:val="18"/>
          <w:szCs w:val="18"/>
          <w:color w:val="auto"/>
        </w:rPr>
        <w:t>may complete, sign and return the accompanying proxy and voting instruction card in the postage-paid envelope provided.</w:t>
      </w:r>
    </w:p>
    <w:p>
      <w:pPr>
        <w:spacing w:after="0" w:line="61" w:lineRule="exact"/>
        <w:rPr>
          <w:sz w:val="20"/>
          <w:szCs w:val="20"/>
          <w:color w:val="auto"/>
        </w:rPr>
      </w:pPr>
    </w:p>
    <w:p>
      <w:pPr>
        <w:ind w:right="120"/>
        <w:spacing w:after="0" w:line="247" w:lineRule="auto"/>
        <w:rPr>
          <w:sz w:val="20"/>
          <w:szCs w:val="20"/>
          <w:color w:val="auto"/>
        </w:rPr>
      </w:pPr>
      <w:r>
        <w:rPr>
          <w:rFonts w:ascii="Arial" w:cs="Arial" w:eastAsia="Arial" w:hAnsi="Arial"/>
          <w:sz w:val="18"/>
          <w:szCs w:val="18"/>
          <w:b w:val="1"/>
          <w:bCs w:val="1"/>
          <w:color w:val="auto"/>
        </w:rPr>
        <w:t xml:space="preserve">In Person: </w:t>
      </w:r>
      <w:r>
        <w:rPr>
          <w:rFonts w:ascii="Arial" w:cs="Arial" w:eastAsia="Arial" w:hAnsi="Arial"/>
          <w:sz w:val="18"/>
          <w:szCs w:val="18"/>
          <w:color w:val="auto"/>
        </w:rPr>
        <w:t>Attend the meeting at the company’s office at 700 N.</w:t>
      </w:r>
      <w:r>
        <w:rPr>
          <w:rFonts w:ascii="Arial" w:cs="Arial" w:eastAsia="Arial" w:hAnsi="Arial"/>
          <w:sz w:val="18"/>
          <w:szCs w:val="18"/>
          <w:b w:val="1"/>
          <w:bCs w:val="1"/>
          <w:color w:val="auto"/>
        </w:rPr>
        <w:t xml:space="preserve"> </w:t>
      </w:r>
      <w:r>
        <w:rPr>
          <w:rFonts w:ascii="Arial" w:cs="Arial" w:eastAsia="Arial" w:hAnsi="Arial"/>
          <w:sz w:val="18"/>
          <w:szCs w:val="18"/>
          <w:color w:val="auto"/>
        </w:rPr>
        <w:t>Frederick Avenue, Gaithersburg, Maryland 20879, and vote in person if you are a stockholder of record or if you have obtained a valid proxy from the stockholder of record.</w:t>
      </w:r>
    </w:p>
    <w:p>
      <w:pPr>
        <w:spacing w:after="0" w:line="88" w:lineRule="exact"/>
        <w:rPr>
          <w:sz w:val="20"/>
          <w:szCs w:val="20"/>
          <w:color w:val="auto"/>
        </w:rPr>
      </w:pPr>
    </w:p>
    <w:p>
      <w:pPr>
        <w:ind w:right="180"/>
        <w:spacing w:after="0" w:line="252" w:lineRule="auto"/>
        <w:rPr>
          <w:sz w:val="20"/>
          <w:szCs w:val="20"/>
          <w:color w:val="auto"/>
        </w:rPr>
      </w:pPr>
      <w:r>
        <w:rPr>
          <w:rFonts w:ascii="Arial" w:cs="Arial" w:eastAsia="Arial" w:hAnsi="Arial"/>
          <w:sz w:val="17"/>
          <w:szCs w:val="17"/>
          <w:color w:val="auto"/>
        </w:rPr>
        <w:t>Submitting a proxy will not prevent you from attending the annual meeting and voting in person. Any proxy may be revoked at any time prior to exercise by delivering a written revocation or a new proxy bearing a later date to our mailing agent, Broadridge, as described below or by attending the annual meeting and voting in person. The mailing address of our mailing agent is Broadridge, 51 Mercedes Way, Edgewood, NY 11717. Attendance at the annual meeting will not, however, in and of itself, revoke a proxy.</w:t>
      </w:r>
    </w:p>
    <w:p>
      <w:pPr>
        <w:spacing w:after="0" w:line="597" w:lineRule="exact"/>
        <w:rPr>
          <w:sz w:val="20"/>
          <w:szCs w:val="20"/>
          <w:color w:val="auto"/>
        </w:rPr>
      </w:pPr>
    </w:p>
    <w:p>
      <w:pPr>
        <w:sectPr>
          <w:pgSz w:w="11900" w:h="16838" w:orient="portrait"/>
          <w:cols w:equalWidth="0" w:num="2">
            <w:col w:w="5480" w:space="460"/>
            <w:col w:w="5360"/>
          </w:cols>
          <w:pgMar w:left="240" w:top="459" w:right="359" w:bottom="1440" w:gutter="0" w:footer="0" w:header="0"/>
          <w:type w:val="continuous"/>
        </w:sectPr>
      </w:pPr>
    </w:p>
    <w:p>
      <w:pPr>
        <w:spacing w:after="0" w:line="67" w:lineRule="exact"/>
        <w:rPr>
          <w:sz w:val="20"/>
          <w:szCs w:val="20"/>
          <w:color w:val="auto"/>
        </w:rPr>
      </w:pPr>
    </w:p>
    <w:p>
      <w:pPr>
        <w:ind w:left="280" w:hanging="272"/>
        <w:spacing w:after="0"/>
        <w:tabs>
          <w:tab w:leader="none" w:pos="280" w:val="left"/>
        </w:tabs>
        <w:numPr>
          <w:ilvl w:val="0"/>
          <w:numId w:val="13"/>
        </w:numPr>
        <w:rPr>
          <w:rFonts w:ascii="Arial" w:cs="Arial" w:eastAsia="Arial" w:hAnsi="Arial"/>
          <w:sz w:val="16"/>
          <w:szCs w:val="16"/>
          <w:b w:val="1"/>
          <w:bCs w:val="1"/>
          <w:color w:val="483E65"/>
        </w:rPr>
      </w:pPr>
      <w:r>
        <w:rPr>
          <w:rFonts w:ascii="Arial" w:cs="Arial" w:eastAsia="Arial" w:hAnsi="Arial"/>
          <w:sz w:val="16"/>
          <w:szCs w:val="16"/>
          <w:b w:val="1"/>
          <w:bCs w:val="1"/>
          <w:color w:val="483E65"/>
        </w:rPr>
        <w:t>|  2017 Proxy Statement</w:t>
      </w:r>
    </w:p>
    <w:p>
      <w:pPr>
        <w:sectPr>
          <w:pgSz w:w="11900" w:h="16838" w:orient="portrait"/>
          <w:cols w:equalWidth="0" w:num="1">
            <w:col w:w="11300"/>
          </w:cols>
          <w:pgMar w:left="240" w:top="459" w:right="359" w:bottom="1440" w:gutter="0" w:footer="0" w:header="0"/>
          <w:type w:val="continuous"/>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8" w:lineRule="exact"/>
        <w:rPr>
          <w:sz w:val="20"/>
          <w:szCs w:val="20"/>
          <w:color w:val="auto"/>
        </w:rPr>
      </w:pPr>
    </w:p>
    <w:p>
      <w:pPr>
        <w:spacing w:after="0"/>
        <w:rPr>
          <w:sz w:val="20"/>
          <w:szCs w:val="20"/>
          <w:color w:val="auto"/>
        </w:rPr>
      </w:pPr>
      <w:r>
        <w:rPr>
          <w:rFonts w:ascii="Arial" w:cs="Arial" w:eastAsia="Arial" w:hAnsi="Arial"/>
          <w:sz w:val="32"/>
          <w:szCs w:val="32"/>
          <w:color w:val="483E65"/>
        </w:rPr>
        <w:t>Information About Voting Rights and Solicitation of Proxies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149860</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483E65"/>
        </w:rPr>
        <w:t>What are the voting deadlines?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2466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55" w:lineRule="exact"/>
        <w:rPr>
          <w:sz w:val="20"/>
          <w:szCs w:val="20"/>
          <w:color w:val="auto"/>
        </w:rPr>
      </w:pPr>
    </w:p>
    <w:p>
      <w:pPr>
        <w:ind w:left="120"/>
        <w:spacing w:after="0" w:line="239" w:lineRule="auto"/>
        <w:rPr>
          <w:sz w:val="20"/>
          <w:szCs w:val="20"/>
          <w:color w:val="auto"/>
        </w:rPr>
      </w:pPr>
      <w:r>
        <w:rPr>
          <w:rFonts w:ascii="Arial" w:cs="Arial" w:eastAsia="Arial" w:hAnsi="Arial"/>
          <w:sz w:val="18"/>
          <w:szCs w:val="18"/>
          <w:color w:val="auto"/>
        </w:rPr>
        <w:t>For shares not held in the Leidos, Inc. Retirement Plan (the “Leidos Retirement Plan”), the deadline for submitting a proxy using the Internet or the telephone is 11:59 p.m. ET on May 11, 2017. For shares held in the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5" w:lineRule="exact"/>
        <w:rPr>
          <w:sz w:val="20"/>
          <w:szCs w:val="20"/>
          <w:color w:val="auto"/>
        </w:rPr>
      </w:pPr>
    </w:p>
    <w:p>
      <w:pPr>
        <w:ind w:right="240"/>
        <w:spacing w:after="0"/>
        <w:rPr>
          <w:sz w:val="20"/>
          <w:szCs w:val="20"/>
          <w:color w:val="auto"/>
        </w:rPr>
      </w:pPr>
      <w:r>
        <w:rPr>
          <w:rFonts w:ascii="Arial" w:cs="Arial" w:eastAsia="Arial" w:hAnsi="Arial"/>
          <w:sz w:val="18"/>
          <w:szCs w:val="18"/>
          <w:color w:val="auto"/>
        </w:rPr>
        <w:t>Leidos Retirement Plan, the deadline for submitting voting instructions using any of the allowed methods is 11:59 p.m. ET on May 9, 2017.</w:t>
      </w:r>
    </w:p>
    <w:p>
      <w:pPr>
        <w:spacing w:after="0" w:line="403" w:lineRule="exact"/>
        <w:rPr>
          <w:sz w:val="20"/>
          <w:szCs w:val="20"/>
          <w:color w:val="auto"/>
        </w:rPr>
      </w:pPr>
    </w:p>
    <w:p>
      <w:pPr>
        <w:sectPr>
          <w:pgSz w:w="11900" w:h="16838" w:orient="portrait"/>
          <w:cols w:equalWidth="0" w:num="2">
            <w:col w:w="5460" w:space="480"/>
            <w:col w:w="5480"/>
          </w:cols>
          <w:pgMar w:left="240" w:top="459" w:right="239" w:bottom="1440" w:gutter="0" w:footer="0" w:header="0"/>
          <w:type w:val="continuous"/>
        </w:sectPr>
      </w:pPr>
    </w:p>
    <w:p>
      <w:pPr>
        <w:spacing w:after="0" w:line="280" w:lineRule="exact"/>
        <w:rPr>
          <w:sz w:val="20"/>
          <w:szCs w:val="20"/>
          <w:color w:val="auto"/>
        </w:rPr>
      </w:pPr>
    </w:p>
    <w:p>
      <w:pPr>
        <w:spacing w:after="0"/>
        <w:rPr>
          <w:sz w:val="20"/>
          <w:szCs w:val="20"/>
          <w:color w:val="auto"/>
        </w:rPr>
      </w:pPr>
      <w:r>
        <w:rPr>
          <w:rFonts w:ascii="Arial" w:cs="Arial" w:eastAsia="Arial" w:hAnsi="Arial"/>
          <w:sz w:val="21"/>
          <w:szCs w:val="21"/>
          <w:color w:val="483E65"/>
        </w:rPr>
        <w:t>How are the shares held by the Leidos Retirement Plan voted?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65405</wp:posOffset>
            </wp:positionV>
            <wp:extent cx="72466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type w:val="continuous"/>
        </w:sectPr>
      </w:pPr>
    </w:p>
    <w:p>
      <w:pPr>
        <w:spacing w:after="0" w:line="200" w:lineRule="exact"/>
        <w:rPr>
          <w:sz w:val="20"/>
          <w:szCs w:val="20"/>
          <w:color w:val="auto"/>
        </w:rPr>
      </w:pPr>
    </w:p>
    <w:p>
      <w:pPr>
        <w:spacing w:after="0" w:line="266"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Each participant in the Leidos Retirement Plan has the right to instruct Vanguard Fiduciary Trust Company, as trustee of the Leidos Retirement Plan (the “Trustee”), on a confidential basis, how to vote his or her proportionate interests in all shares of common stock held in the Leidos Retirement Plan. The Trustee will vote all shares held in the Leidos Retirement Plan for which no voting instructions are received in the same proportion as the shares for which voting instructions have been received.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6" w:lineRule="exact"/>
        <w:rPr>
          <w:sz w:val="20"/>
          <w:szCs w:val="20"/>
          <w:color w:val="auto"/>
        </w:rPr>
      </w:pPr>
    </w:p>
    <w:p>
      <w:pPr>
        <w:ind w:right="120"/>
        <w:spacing w:after="0" w:line="236" w:lineRule="auto"/>
        <w:rPr>
          <w:sz w:val="20"/>
          <w:szCs w:val="20"/>
          <w:color w:val="auto"/>
        </w:rPr>
      </w:pPr>
      <w:r>
        <w:rPr>
          <w:rFonts w:ascii="Arial" w:cs="Arial" w:eastAsia="Arial" w:hAnsi="Arial"/>
          <w:sz w:val="18"/>
          <w:szCs w:val="18"/>
          <w:color w:val="auto"/>
        </w:rPr>
        <w:t>The Trustee’s duties with respect to voting the common stock in the Leidos Retirement Plan are governed by the fiduciary provisions of the Employee Retirement Income Security Act of 1974, as amended (“ERISA”). The fiduciary provisions of ERISA may require, in certain limited circumstances, that the Trustee override the votes of participants with respect to the common stock held by the Trustee and to determine, in the Trustee’s best judgment, how to vote the shares.</w:t>
      </w:r>
    </w:p>
    <w:p>
      <w:pPr>
        <w:spacing w:after="0" w:line="200" w:lineRule="exact"/>
        <w:rPr>
          <w:sz w:val="20"/>
          <w:szCs w:val="20"/>
          <w:color w:val="auto"/>
        </w:rPr>
      </w:pPr>
    </w:p>
    <w:p>
      <w:pPr>
        <w:sectPr>
          <w:pgSz w:w="11900" w:h="16838" w:orient="portrait"/>
          <w:cols w:equalWidth="0" w:num="2">
            <w:col w:w="5440" w:space="500"/>
            <w:col w:w="5480"/>
          </w:cols>
          <w:pgMar w:left="240" w:top="459" w:right="239" w:bottom="1440" w:gutter="0" w:footer="0" w:header="0"/>
          <w:type w:val="continuous"/>
        </w:sectPr>
      </w:pPr>
    </w:p>
    <w:p>
      <w:pPr>
        <w:spacing w:after="0" w:line="300" w:lineRule="exact"/>
        <w:rPr>
          <w:sz w:val="20"/>
          <w:szCs w:val="20"/>
          <w:color w:val="auto"/>
        </w:rPr>
      </w:pPr>
    </w:p>
    <w:p>
      <w:pPr>
        <w:spacing w:after="0"/>
        <w:rPr>
          <w:sz w:val="20"/>
          <w:szCs w:val="20"/>
          <w:color w:val="auto"/>
        </w:rPr>
      </w:pPr>
      <w:r>
        <w:rPr>
          <w:rFonts w:ascii="Arial" w:cs="Arial" w:eastAsia="Arial" w:hAnsi="Arial"/>
          <w:sz w:val="21"/>
          <w:szCs w:val="21"/>
          <w:color w:val="483E65"/>
        </w:rPr>
        <w:t>How are the shares held by the Stock Plans voted?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65405</wp:posOffset>
            </wp:positionV>
            <wp:extent cx="72466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type w:val="continuous"/>
        </w:sectPr>
      </w:pPr>
    </w:p>
    <w:p>
      <w:pPr>
        <w:spacing w:after="0" w:line="200" w:lineRule="exact"/>
        <w:rPr>
          <w:sz w:val="20"/>
          <w:szCs w:val="20"/>
          <w:color w:val="auto"/>
        </w:rPr>
      </w:pPr>
    </w:p>
    <w:p>
      <w:pPr>
        <w:spacing w:after="0" w:line="253" w:lineRule="exact"/>
        <w:rPr>
          <w:sz w:val="20"/>
          <w:szCs w:val="20"/>
          <w:color w:val="auto"/>
        </w:rPr>
      </w:pPr>
    </w:p>
    <w:p>
      <w:pPr>
        <w:ind w:left="120"/>
        <w:spacing w:after="0" w:line="255" w:lineRule="auto"/>
        <w:rPr>
          <w:sz w:val="20"/>
          <w:szCs w:val="20"/>
          <w:color w:val="auto"/>
        </w:rPr>
      </w:pPr>
      <w:r>
        <w:rPr>
          <w:rFonts w:ascii="Arial" w:cs="Arial" w:eastAsia="Arial" w:hAnsi="Arial"/>
          <w:sz w:val="17"/>
          <w:szCs w:val="17"/>
          <w:color w:val="auto"/>
        </w:rPr>
        <w:t>Under the terms of our Stock Compensation Plan, Management Stock Compensation Plan and Key Executive Stock Deferral Plan, Vanguard Fiduciary Trust Company, as trustee of these stock plans, has the power to vote the shares of common stock held in these stock plans. Vanguard will vote all such shares in the same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3" w:lineRule="exact"/>
        <w:rPr>
          <w:sz w:val="20"/>
          <w:szCs w:val="20"/>
          <w:color w:val="auto"/>
        </w:rPr>
      </w:pPr>
    </w:p>
    <w:p>
      <w:pPr>
        <w:ind w:right="140"/>
        <w:spacing w:after="0" w:line="238" w:lineRule="auto"/>
        <w:rPr>
          <w:sz w:val="20"/>
          <w:szCs w:val="20"/>
          <w:color w:val="auto"/>
        </w:rPr>
      </w:pPr>
      <w:r>
        <w:rPr>
          <w:rFonts w:ascii="Arial" w:cs="Arial" w:eastAsia="Arial" w:hAnsi="Arial"/>
          <w:sz w:val="18"/>
          <w:szCs w:val="18"/>
          <w:color w:val="auto"/>
        </w:rPr>
        <w:t>proportion that our other stockholders collectively vote their shares of common stock. If you are a participant in these stock plans, you do not have the right to instruct Vanguard on how to vote your proportionate interests in the shares of common stock held in these stock plans.</w:t>
      </w:r>
    </w:p>
    <w:p>
      <w:pPr>
        <w:spacing w:after="0" w:line="212" w:lineRule="exact"/>
        <w:rPr>
          <w:sz w:val="20"/>
          <w:szCs w:val="20"/>
          <w:color w:val="auto"/>
        </w:rPr>
      </w:pPr>
    </w:p>
    <w:p>
      <w:pPr>
        <w:sectPr>
          <w:pgSz w:w="11900" w:h="16838" w:orient="portrait"/>
          <w:cols w:equalWidth="0" w:num="2">
            <w:col w:w="5380" w:space="560"/>
            <w:col w:w="5480"/>
          </w:cols>
          <w:pgMar w:left="240" w:top="459" w:right="239" w:bottom="1440" w:gutter="0" w:footer="0" w:header="0"/>
          <w:type w:val="continuous"/>
        </w:sectPr>
      </w:pPr>
    </w:p>
    <w:p>
      <w:pPr>
        <w:spacing w:after="0" w:line="282" w:lineRule="exact"/>
        <w:rPr>
          <w:sz w:val="20"/>
          <w:szCs w:val="20"/>
          <w:color w:val="auto"/>
        </w:rPr>
      </w:pPr>
    </w:p>
    <w:p>
      <w:pPr>
        <w:spacing w:after="0"/>
        <w:rPr>
          <w:sz w:val="20"/>
          <w:szCs w:val="20"/>
          <w:color w:val="auto"/>
        </w:rPr>
      </w:pPr>
      <w:r>
        <w:rPr>
          <w:rFonts w:ascii="Arial" w:cs="Arial" w:eastAsia="Arial" w:hAnsi="Arial"/>
          <w:sz w:val="21"/>
          <w:szCs w:val="21"/>
          <w:color w:val="483E65"/>
        </w:rPr>
        <w:t>What is the difference between a “stockholder of record” and a “beneficial”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65405</wp:posOffset>
            </wp:positionV>
            <wp:extent cx="72466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type w:val="continuous"/>
        </w:sectPr>
      </w:pPr>
    </w:p>
    <w:p>
      <w:pPr>
        <w:spacing w:after="0" w:line="200" w:lineRule="exact"/>
        <w:rPr>
          <w:sz w:val="20"/>
          <w:szCs w:val="20"/>
          <w:color w:val="auto"/>
        </w:rPr>
      </w:pPr>
    </w:p>
    <w:p>
      <w:pPr>
        <w:spacing w:after="0" w:line="266" w:lineRule="exact"/>
        <w:rPr>
          <w:sz w:val="20"/>
          <w:szCs w:val="20"/>
          <w:color w:val="auto"/>
        </w:rPr>
      </w:pPr>
    </w:p>
    <w:p>
      <w:pPr>
        <w:ind w:left="120"/>
        <w:spacing w:after="0" w:line="237" w:lineRule="auto"/>
        <w:rPr>
          <w:sz w:val="20"/>
          <w:szCs w:val="20"/>
          <w:color w:val="auto"/>
        </w:rPr>
      </w:pPr>
      <w:r>
        <w:rPr>
          <w:rFonts w:ascii="Arial" w:cs="Arial" w:eastAsia="Arial" w:hAnsi="Arial"/>
          <w:sz w:val="18"/>
          <w:szCs w:val="18"/>
          <w:color w:val="auto"/>
        </w:rPr>
        <w:t>These terms describe how your shares are held. If your shares are registered directly with Computershare, our transfer agent, then you are a “stockholder of record” of these shares. If your shares are held in an account at a broker, bank, trust or other similar organization, then you are a “beneficial” holder of these shares. The organization holding your account is considered the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6" w:lineRule="exact"/>
        <w:rPr>
          <w:sz w:val="20"/>
          <w:szCs w:val="20"/>
          <w:color w:val="auto"/>
        </w:rPr>
      </w:pPr>
    </w:p>
    <w:p>
      <w:pPr>
        <w:ind w:right="200"/>
        <w:spacing w:after="0" w:line="238" w:lineRule="auto"/>
        <w:rPr>
          <w:sz w:val="20"/>
          <w:szCs w:val="20"/>
          <w:color w:val="auto"/>
        </w:rPr>
      </w:pPr>
      <w:r>
        <w:rPr>
          <w:rFonts w:ascii="Arial" w:cs="Arial" w:eastAsia="Arial" w:hAnsi="Arial"/>
          <w:sz w:val="18"/>
          <w:szCs w:val="18"/>
          <w:color w:val="auto"/>
        </w:rPr>
        <w:t>stockholder of record for purposes of voting at the annual meeting. As a beneficial owner, you have the right to instruct that organization on how to vote the shares held in your account. If you wish to vote in person at the annual meeting, you must obtain a valid proxy from the organization holding the shares.</w:t>
      </w:r>
    </w:p>
    <w:p>
      <w:pPr>
        <w:spacing w:after="0" w:line="400" w:lineRule="exact"/>
        <w:rPr>
          <w:sz w:val="20"/>
          <w:szCs w:val="20"/>
          <w:color w:val="auto"/>
        </w:rPr>
      </w:pPr>
    </w:p>
    <w:p>
      <w:pPr>
        <w:sectPr>
          <w:pgSz w:w="11900" w:h="16838" w:orient="portrait"/>
          <w:cols w:equalWidth="0" w:num="2">
            <w:col w:w="5420" w:space="520"/>
            <w:col w:w="5480"/>
          </w:cols>
          <w:pgMar w:left="240" w:top="459" w:right="239" w:bottom="1440" w:gutter="0" w:footer="0" w:header="0"/>
          <w:type w:val="continuous"/>
        </w:sectPr>
      </w:pPr>
    </w:p>
    <w:p>
      <w:pPr>
        <w:spacing w:after="0" w:line="283" w:lineRule="exact"/>
        <w:rPr>
          <w:sz w:val="20"/>
          <w:szCs w:val="20"/>
          <w:color w:val="auto"/>
        </w:rPr>
      </w:pPr>
    </w:p>
    <w:p>
      <w:pPr>
        <w:spacing w:after="0"/>
        <w:rPr>
          <w:sz w:val="20"/>
          <w:szCs w:val="20"/>
          <w:color w:val="auto"/>
        </w:rPr>
      </w:pPr>
      <w:r>
        <w:rPr>
          <w:rFonts w:ascii="Arial" w:cs="Arial" w:eastAsia="Arial" w:hAnsi="Arial"/>
          <w:sz w:val="21"/>
          <w:szCs w:val="21"/>
          <w:color w:val="483E65"/>
        </w:rPr>
        <w:t>Who is soliciting these proxies?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65405</wp:posOffset>
            </wp:positionV>
            <wp:extent cx="72466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type w:val="continuous"/>
        </w:sectPr>
      </w:pPr>
    </w:p>
    <w:p>
      <w:pPr>
        <w:spacing w:after="0" w:line="200" w:lineRule="exact"/>
        <w:rPr>
          <w:sz w:val="20"/>
          <w:szCs w:val="20"/>
          <w:color w:val="auto"/>
        </w:rPr>
      </w:pPr>
    </w:p>
    <w:p>
      <w:pPr>
        <w:spacing w:after="0" w:line="266" w:lineRule="exact"/>
        <w:rPr>
          <w:sz w:val="20"/>
          <w:szCs w:val="20"/>
          <w:color w:val="auto"/>
        </w:rPr>
      </w:pPr>
    </w:p>
    <w:p>
      <w:pPr>
        <w:ind w:left="120"/>
        <w:spacing w:after="0" w:line="255" w:lineRule="auto"/>
        <w:rPr>
          <w:sz w:val="20"/>
          <w:szCs w:val="20"/>
          <w:color w:val="auto"/>
        </w:rPr>
      </w:pPr>
      <w:r>
        <w:rPr>
          <w:rFonts w:ascii="Arial" w:cs="Arial" w:eastAsia="Arial" w:hAnsi="Arial"/>
          <w:sz w:val="17"/>
          <w:szCs w:val="17"/>
          <w:color w:val="auto"/>
        </w:rPr>
        <w:t>We are soliciting these proxies and the cost of the solicitation will be borne by us, including the charges and expenses of persons holding shares in their name as nominee incurred in connection with forwarding proxy materials to the beneficial owners of such shares. In addition to the use of the mail, proxies may be solicited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6" w:lineRule="exact"/>
        <w:rPr>
          <w:sz w:val="20"/>
          <w:szCs w:val="20"/>
          <w:color w:val="auto"/>
        </w:rPr>
      </w:pPr>
    </w:p>
    <w:p>
      <w:pPr>
        <w:ind w:right="160"/>
        <w:spacing w:after="0" w:line="246" w:lineRule="auto"/>
        <w:rPr>
          <w:sz w:val="20"/>
          <w:szCs w:val="20"/>
          <w:color w:val="auto"/>
        </w:rPr>
      </w:pPr>
      <w:r>
        <w:rPr>
          <w:rFonts w:ascii="Arial" w:cs="Arial" w:eastAsia="Arial" w:hAnsi="Arial"/>
          <w:sz w:val="18"/>
          <w:szCs w:val="18"/>
          <w:color w:val="auto"/>
        </w:rPr>
        <w:t>by our officers, directors and employees in person, by telephone or by email.</w:t>
      </w:r>
    </w:p>
    <w:p>
      <w:pPr>
        <w:spacing w:after="0" w:line="89" w:lineRule="exact"/>
        <w:rPr>
          <w:sz w:val="20"/>
          <w:szCs w:val="20"/>
          <w:color w:val="auto"/>
        </w:rPr>
      </w:pPr>
    </w:p>
    <w:p>
      <w:pPr>
        <w:ind w:right="460"/>
        <w:spacing w:after="0"/>
        <w:rPr>
          <w:sz w:val="20"/>
          <w:szCs w:val="20"/>
          <w:color w:val="auto"/>
        </w:rPr>
      </w:pPr>
      <w:r>
        <w:rPr>
          <w:rFonts w:ascii="Arial" w:cs="Arial" w:eastAsia="Arial" w:hAnsi="Arial"/>
          <w:sz w:val="18"/>
          <w:szCs w:val="18"/>
          <w:color w:val="auto"/>
        </w:rPr>
        <w:t>Such individuals will not be additionally compensated for such solicitation but may be reimbursed for reasonable out-of-pocket expenses incurred in connection with such solicitation.</w:t>
      </w:r>
    </w:p>
    <w:p>
      <w:pPr>
        <w:spacing w:after="0" w:line="200" w:lineRule="exact"/>
        <w:rPr>
          <w:sz w:val="20"/>
          <w:szCs w:val="20"/>
          <w:color w:val="auto"/>
        </w:rPr>
      </w:pPr>
    </w:p>
    <w:p>
      <w:pPr>
        <w:sectPr>
          <w:pgSz w:w="11900" w:h="16838" w:orient="portrait"/>
          <w:cols w:equalWidth="0" w:num="2">
            <w:col w:w="5320" w:space="620"/>
            <w:col w:w="5480"/>
          </w:cols>
          <w:pgMar w:left="240" w:top="459" w:right="239" w:bottom="1440" w:gutter="0" w:footer="0" w:header="0"/>
          <w:type w:val="continuous"/>
        </w:sectPr>
      </w:pPr>
    </w:p>
    <w:p>
      <w:pPr>
        <w:spacing w:after="0" w:line="67" w:lineRule="exact"/>
        <w:rPr>
          <w:sz w:val="20"/>
          <w:szCs w:val="20"/>
          <w:color w:val="auto"/>
        </w:rPr>
      </w:pPr>
    </w:p>
    <w:p>
      <w:pPr>
        <w:ind w:left="9240"/>
        <w:spacing w:after="0"/>
        <w:tabs>
          <w:tab w:leader="none" w:pos="11080" w:val="left"/>
          <w:tab w:leader="none" w:pos="11320" w:val="left"/>
        </w:tabs>
        <w:rPr>
          <w:sz w:val="20"/>
          <w:szCs w:val="20"/>
          <w:color w:val="auto"/>
        </w:rPr>
      </w:pPr>
      <w:r>
        <w:rPr>
          <w:rFonts w:ascii="Arial" w:cs="Arial" w:eastAsia="Arial" w:hAnsi="Arial"/>
          <w:sz w:val="16"/>
          <w:szCs w:val="16"/>
          <w:b w:val="1"/>
          <w:bCs w:val="1"/>
          <w:color w:val="483E65"/>
        </w:rPr>
        <w:t>2017 Proxy Statement</w:t>
        <w:tab/>
        <w:t>|</w:t>
      </w:r>
      <w:r>
        <w:rPr>
          <w:sz w:val="20"/>
          <w:szCs w:val="20"/>
          <w:color w:val="auto"/>
        </w:rPr>
        <w:tab/>
      </w:r>
      <w:r>
        <w:rPr>
          <w:rFonts w:ascii="Arial" w:cs="Arial" w:eastAsia="Arial" w:hAnsi="Arial"/>
          <w:sz w:val="14"/>
          <w:szCs w:val="14"/>
          <w:b w:val="1"/>
          <w:bCs w:val="1"/>
          <w:color w:val="483E65"/>
        </w:rPr>
        <w:t>3</w:t>
      </w:r>
    </w:p>
    <w:p>
      <w:pPr>
        <w:sectPr>
          <w:pgSz w:w="11900" w:h="16838" w:orient="portrait"/>
          <w:cols w:equalWidth="0" w:num="1">
            <w:col w:w="11420"/>
          </w:cols>
          <w:pgMar w:left="240" w:top="459" w:right="239" w:bottom="1440" w:gutter="0" w:footer="0" w:header="0"/>
          <w:type w:val="continuous"/>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8" w:lineRule="exact"/>
        <w:rPr>
          <w:sz w:val="20"/>
          <w:szCs w:val="20"/>
          <w:color w:val="auto"/>
        </w:rPr>
      </w:pPr>
    </w:p>
    <w:p>
      <w:pPr>
        <w:spacing w:after="0"/>
        <w:rPr>
          <w:sz w:val="20"/>
          <w:szCs w:val="20"/>
          <w:color w:val="auto"/>
        </w:rPr>
      </w:pPr>
      <w:r>
        <w:rPr>
          <w:rFonts w:ascii="Arial" w:cs="Arial" w:eastAsia="Arial" w:hAnsi="Arial"/>
          <w:sz w:val="32"/>
          <w:szCs w:val="32"/>
          <w:color w:val="483E65"/>
        </w:rPr>
        <w:t>Information About Voting Rights and Solicitation of Proxies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149860</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483E65"/>
        </w:rPr>
        <w:t>What is “householding” and how does it affect 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2466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55"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We have adopted a procedure approved by the Securities and Exchange Commission, or SEC, called “householding.” Under this procedure, we send only one proxy statement and one annual report to eligible stockholders who share a single address, unless we have received instructions to the contrary from any stockholder at that address. This practice is designed to reduce our printing and postage costs. Stockholders who participate in householding will continue to receive separate proxy and voting instruction cards. We do not use householding for any other stockholder mailings.</w:t>
      </w:r>
    </w:p>
    <w:p>
      <w:pPr>
        <w:spacing w:after="0" w:line="99" w:lineRule="exact"/>
        <w:rPr>
          <w:sz w:val="20"/>
          <w:szCs w:val="20"/>
          <w:color w:val="auto"/>
        </w:rPr>
      </w:pPr>
    </w:p>
    <w:p>
      <w:pPr>
        <w:ind w:left="120"/>
        <w:spacing w:after="0" w:line="238" w:lineRule="auto"/>
        <w:rPr>
          <w:sz w:val="20"/>
          <w:szCs w:val="20"/>
          <w:color w:val="auto"/>
        </w:rPr>
      </w:pPr>
      <w:r>
        <w:rPr>
          <w:rFonts w:ascii="Arial" w:cs="Arial" w:eastAsia="Arial" w:hAnsi="Arial"/>
          <w:sz w:val="18"/>
          <w:szCs w:val="18"/>
          <w:color w:val="auto"/>
        </w:rPr>
        <w:t>If you are a registered stockholder residing at an address with other registered stockholders and wish to receive a separate copy of the proxy statement or annual report, or if you do not wish to participate in householding and prefer to receive separate copies of these documents in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5"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color w:val="auto"/>
        </w:rPr>
        <w:t>the future, please contact our mailing agent, Broadridge, either by calling toll-free at 1-800-542-1061, or by writing to Broadridge, Householding Department, 51 Mercedes Way, Edgewood, NY 11717. If you own shares through a bank, broker, or other nominee, you should contact the nominee concerning householding procedures. We will promptly deliver a separate copy of the proxy statement or annual report to you upon request.</w:t>
      </w:r>
    </w:p>
    <w:p>
      <w:pPr>
        <w:spacing w:after="0" w:line="95" w:lineRule="exact"/>
        <w:rPr>
          <w:sz w:val="20"/>
          <w:szCs w:val="20"/>
          <w:color w:val="auto"/>
        </w:rPr>
      </w:pPr>
    </w:p>
    <w:p>
      <w:pPr>
        <w:ind w:right="180"/>
        <w:spacing w:after="0" w:line="237" w:lineRule="auto"/>
        <w:rPr>
          <w:sz w:val="20"/>
          <w:szCs w:val="20"/>
          <w:color w:val="auto"/>
        </w:rPr>
      </w:pPr>
      <w:r>
        <w:rPr>
          <w:rFonts w:ascii="Arial" w:cs="Arial" w:eastAsia="Arial" w:hAnsi="Arial"/>
          <w:sz w:val="18"/>
          <w:szCs w:val="18"/>
          <w:color w:val="auto"/>
        </w:rPr>
        <w:t>If you are eligible for householding, but you and other stockholders of record with whom you share an address currently receive multiple copies of the proxy statement or annual report and you wish to receive a single copy of each of these documents for your household, please contact our mailing agent, Broadridge, at the telephone number or address indicated above.</w:t>
      </w:r>
    </w:p>
    <w:p>
      <w:pPr>
        <w:spacing w:after="0" w:line="405" w:lineRule="exact"/>
        <w:rPr>
          <w:sz w:val="20"/>
          <w:szCs w:val="20"/>
          <w:color w:val="auto"/>
        </w:rPr>
      </w:pPr>
    </w:p>
    <w:p>
      <w:pPr>
        <w:sectPr>
          <w:pgSz w:w="11900" w:h="16838" w:orient="portrait"/>
          <w:cols w:equalWidth="0" w:num="2">
            <w:col w:w="5480" w:space="460"/>
            <w:col w:w="5480"/>
          </w:cols>
          <w:pgMar w:left="240" w:top="459" w:right="239" w:bottom="1440" w:gutter="0" w:footer="0" w:header="0"/>
          <w:type w:val="continuous"/>
        </w:sectPr>
      </w:pPr>
    </w:p>
    <w:p>
      <w:pPr>
        <w:spacing w:after="0" w:line="281" w:lineRule="exact"/>
        <w:rPr>
          <w:sz w:val="20"/>
          <w:szCs w:val="20"/>
          <w:color w:val="auto"/>
        </w:rPr>
      </w:pPr>
    </w:p>
    <w:p>
      <w:pPr>
        <w:spacing w:after="0"/>
        <w:rPr>
          <w:sz w:val="20"/>
          <w:szCs w:val="20"/>
          <w:color w:val="auto"/>
        </w:rPr>
      </w:pPr>
      <w:r>
        <w:rPr>
          <w:rFonts w:ascii="Arial" w:cs="Arial" w:eastAsia="Arial" w:hAnsi="Arial"/>
          <w:sz w:val="21"/>
          <w:szCs w:val="21"/>
          <w:color w:val="483E65"/>
        </w:rPr>
        <w:t>Where can I find the voting results of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65405</wp:posOffset>
            </wp:positionV>
            <wp:extent cx="72466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type w:val="continuous"/>
        </w:sectPr>
      </w:pPr>
    </w:p>
    <w:p>
      <w:pPr>
        <w:spacing w:after="0" w:line="200" w:lineRule="exact"/>
        <w:rPr>
          <w:sz w:val="20"/>
          <w:szCs w:val="20"/>
          <w:color w:val="auto"/>
        </w:rPr>
      </w:pPr>
    </w:p>
    <w:p>
      <w:pPr>
        <w:spacing w:after="0" w:line="266" w:lineRule="exact"/>
        <w:rPr>
          <w:sz w:val="20"/>
          <w:szCs w:val="20"/>
          <w:color w:val="auto"/>
        </w:rPr>
      </w:pPr>
    </w:p>
    <w:p>
      <w:pPr>
        <w:ind w:left="120" w:right="120"/>
        <w:spacing w:after="0" w:line="246" w:lineRule="auto"/>
        <w:rPr>
          <w:sz w:val="20"/>
          <w:szCs w:val="20"/>
          <w:color w:val="auto"/>
        </w:rPr>
      </w:pPr>
      <w:r>
        <w:rPr>
          <w:rFonts w:ascii="Arial" w:cs="Arial" w:eastAsia="Arial" w:hAnsi="Arial"/>
          <w:sz w:val="18"/>
          <w:szCs w:val="18"/>
          <w:color w:val="auto"/>
        </w:rPr>
        <w:t>We intend to announce preliminary voting results at the annual meeting and publish final results in a Current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6" w:lineRule="exact"/>
        <w:rPr>
          <w:sz w:val="20"/>
          <w:szCs w:val="20"/>
          <w:color w:val="auto"/>
        </w:rPr>
      </w:pPr>
    </w:p>
    <w:p>
      <w:pPr>
        <w:ind w:right="340"/>
        <w:spacing w:after="0" w:line="246" w:lineRule="auto"/>
        <w:rPr>
          <w:sz w:val="20"/>
          <w:szCs w:val="20"/>
          <w:color w:val="auto"/>
        </w:rPr>
      </w:pPr>
      <w:r>
        <w:rPr>
          <w:rFonts w:ascii="Arial" w:cs="Arial" w:eastAsia="Arial" w:hAnsi="Arial"/>
          <w:sz w:val="18"/>
          <w:szCs w:val="18"/>
          <w:color w:val="auto"/>
        </w:rPr>
        <w:t>Report on Form 8-K to be filed with the SEC within four business days of the annual meeting.</w:t>
      </w:r>
    </w:p>
    <w:p>
      <w:pPr>
        <w:spacing w:after="0" w:line="200" w:lineRule="exact"/>
        <w:rPr>
          <w:sz w:val="20"/>
          <w:szCs w:val="20"/>
          <w:color w:val="auto"/>
        </w:rPr>
      </w:pPr>
    </w:p>
    <w:p>
      <w:pPr>
        <w:sectPr>
          <w:pgSz w:w="11900" w:h="16838" w:orient="portrait"/>
          <w:cols w:equalWidth="0" w:num="2">
            <w:col w:w="5220" w:space="720"/>
            <w:col w:w="5480"/>
          </w:cols>
          <w:pgMar w:left="240" w:top="459" w:right="239" w:bottom="1440" w:gutter="0" w:footer="0" w:header="0"/>
          <w:type w:val="continuous"/>
        </w:sectPr>
      </w:pPr>
    </w:p>
    <w:p>
      <w:pPr>
        <w:spacing w:after="0" w:line="299" w:lineRule="exact"/>
        <w:rPr>
          <w:sz w:val="20"/>
          <w:szCs w:val="20"/>
          <w:color w:val="auto"/>
        </w:rPr>
      </w:pPr>
    </w:p>
    <w:p>
      <w:pPr>
        <w:spacing w:after="0"/>
        <w:rPr>
          <w:sz w:val="20"/>
          <w:szCs w:val="20"/>
          <w:color w:val="auto"/>
        </w:rPr>
      </w:pPr>
      <w:r>
        <w:rPr>
          <w:rFonts w:ascii="Arial" w:cs="Arial" w:eastAsia="Arial" w:hAnsi="Arial"/>
          <w:sz w:val="32"/>
          <w:szCs w:val="32"/>
          <w:color w:val="483E65"/>
        </w:rPr>
        <w:t>Internet Availability of Proxy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106680</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96" w:lineRule="exact"/>
        <w:rPr>
          <w:sz w:val="20"/>
          <w:szCs w:val="20"/>
          <w:color w:val="auto"/>
        </w:rPr>
      </w:pPr>
    </w:p>
    <w:p>
      <w:pPr>
        <w:ind w:left="120" w:right="140"/>
        <w:spacing w:after="0" w:line="246" w:lineRule="auto"/>
        <w:rPr>
          <w:sz w:val="20"/>
          <w:szCs w:val="20"/>
          <w:color w:val="auto"/>
        </w:rPr>
      </w:pPr>
      <w:r>
        <w:rPr>
          <w:rFonts w:ascii="Arial" w:cs="Arial" w:eastAsia="Arial" w:hAnsi="Arial"/>
          <w:sz w:val="18"/>
          <w:szCs w:val="18"/>
          <w:color w:val="auto"/>
        </w:rPr>
        <w:t>As permitted by the rules of the SEC, we are using the Internet as a means of furnishing proxy materials to our stockholders. We believe this method will make the proxy distribution process more efficient, lower costs and help in conserving natural resources.</w:t>
      </w:r>
    </w:p>
    <w:p>
      <w:pPr>
        <w:spacing w:after="0" w:line="197" w:lineRule="exact"/>
        <w:rPr>
          <w:sz w:val="20"/>
          <w:szCs w:val="20"/>
          <w:color w:val="auto"/>
        </w:rPr>
      </w:pPr>
    </w:p>
    <w:p>
      <w:pPr>
        <w:ind w:left="120"/>
        <w:spacing w:after="0" w:line="237" w:lineRule="auto"/>
        <w:rPr>
          <w:sz w:val="20"/>
          <w:szCs w:val="20"/>
          <w:color w:val="auto"/>
        </w:rPr>
      </w:pPr>
      <w:r>
        <w:rPr>
          <w:rFonts w:ascii="Arial" w:cs="Arial" w:eastAsia="Arial" w:hAnsi="Arial"/>
          <w:sz w:val="18"/>
          <w:szCs w:val="18"/>
          <w:color w:val="auto"/>
        </w:rPr>
        <w:t>On or about March 31, 2017, we mailed to our stockholders a Notice of Internet Availability of Proxy Materials containing instructions on how to access our proxy materials, including our proxy statement and annual report. The Notice of Internet Availability of Proxy Materials also instructs you on how to access your proxy and voting instruction card to be able to vote through the Internet or by telephone. Other stockholders, in accordance with their prior requests, and employees with regular access to email have received email notification of how to access our proxy materials and vote via the Internet or by telephone or have been mailed paper copies of our proxy materials and a proxy and voting instruction card.</w:t>
      </w:r>
    </w:p>
    <w:p>
      <w:pPr>
        <w:spacing w:after="0" w:line="20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proxy statement and annual report are available at www.proxyvote.com.</w:t>
      </w:r>
    </w:p>
    <w:p>
      <w:pPr>
        <w:spacing w:after="0" w:line="127" w:lineRule="exact"/>
        <w:rPr>
          <w:sz w:val="20"/>
          <w:szCs w:val="20"/>
          <w:color w:val="auto"/>
        </w:rPr>
      </w:pPr>
    </w:p>
    <w:p>
      <w:pPr>
        <w:ind w:left="280" w:hanging="272"/>
        <w:spacing w:after="0"/>
        <w:tabs>
          <w:tab w:leader="none" w:pos="280" w:val="left"/>
        </w:tabs>
        <w:numPr>
          <w:ilvl w:val="0"/>
          <w:numId w:val="14"/>
        </w:numPr>
        <w:rPr>
          <w:rFonts w:ascii="Arial" w:cs="Arial" w:eastAsia="Arial" w:hAnsi="Arial"/>
          <w:sz w:val="16"/>
          <w:szCs w:val="16"/>
          <w:b w:val="1"/>
          <w:bCs w:val="1"/>
          <w:color w:val="483E65"/>
        </w:rPr>
      </w:pPr>
      <w:r>
        <w:rPr>
          <w:rFonts w:ascii="Arial" w:cs="Arial" w:eastAsia="Arial" w:hAnsi="Arial"/>
          <w:sz w:val="16"/>
          <w:szCs w:val="16"/>
          <w:b w:val="1"/>
          <w:bCs w:val="1"/>
          <w:color w:val="483E65"/>
        </w:rPr>
        <w:t>|  2017 Proxy Statement</w:t>
      </w:r>
    </w:p>
    <w:p>
      <w:pPr>
        <w:sectPr>
          <w:pgSz w:w="11900" w:h="16838" w:orient="portrait"/>
          <w:cols w:equalWidth="0" w:num="1">
            <w:col w:w="11420"/>
          </w:cols>
          <w:pgMar w:left="240" w:top="459" w:right="239" w:bottom="1440" w:gutter="0" w:footer="0" w:header="0"/>
          <w:type w:val="continuous"/>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8" w:lineRule="exact"/>
        <w:rPr>
          <w:sz w:val="20"/>
          <w:szCs w:val="20"/>
          <w:color w:val="auto"/>
        </w:rPr>
      </w:pPr>
    </w:p>
    <w:p>
      <w:pPr>
        <w:spacing w:after="0"/>
        <w:rPr>
          <w:sz w:val="20"/>
          <w:szCs w:val="20"/>
          <w:color w:val="auto"/>
        </w:rPr>
      </w:pPr>
      <w:r>
        <w:rPr>
          <w:rFonts w:ascii="Arial" w:cs="Arial" w:eastAsia="Arial" w:hAnsi="Arial"/>
          <w:sz w:val="32"/>
          <w:szCs w:val="32"/>
          <w:color w:val="483E65"/>
        </w:rPr>
        <w:t>Proposal 1 —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149860</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right="140"/>
        <w:spacing w:after="0" w:line="238" w:lineRule="auto"/>
        <w:rPr>
          <w:sz w:val="20"/>
          <w:szCs w:val="20"/>
          <w:color w:val="auto"/>
        </w:rPr>
      </w:pPr>
      <w:r>
        <w:rPr>
          <w:rFonts w:ascii="Arial" w:cs="Arial" w:eastAsia="Arial" w:hAnsi="Arial"/>
          <w:sz w:val="18"/>
          <w:szCs w:val="18"/>
          <w:color w:val="auto"/>
        </w:rPr>
        <w:t>At the annual meeting, twelve directors are to be elected to serve for one-year terms to hold such position until their successors are elected and qualified unless any such director resigns or is removed prior to the end of such term. All nominees have been nominated by the Board of Directors (the “Board”) based on the recommendation of the Nominating and Corporate Governance Committee. To the best knowledge of the Board, all of the nominees are able and willing to serve. Each nominee has consented to be named in this proxy statement and to serve if elected.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483E65"/>
        </w:rPr>
        <w:t>Majority Voting Standard in Uncontested Director Elections</w:t>
      </w:r>
    </w:p>
    <w:p>
      <w:pPr>
        <w:spacing w:after="0" w:line="234" w:lineRule="exact"/>
        <w:rPr>
          <w:sz w:val="20"/>
          <w:szCs w:val="20"/>
          <w:color w:val="auto"/>
        </w:rPr>
      </w:pPr>
    </w:p>
    <w:p>
      <w:pPr>
        <w:ind w:right="160"/>
        <w:spacing w:after="0" w:line="239" w:lineRule="auto"/>
        <w:rPr>
          <w:sz w:val="20"/>
          <w:szCs w:val="20"/>
          <w:color w:val="auto"/>
        </w:rPr>
      </w:pPr>
      <w:r>
        <w:rPr>
          <w:rFonts w:ascii="Arial" w:cs="Arial" w:eastAsia="Arial" w:hAnsi="Arial"/>
          <w:sz w:val="18"/>
          <w:szCs w:val="18"/>
          <w:color w:val="auto"/>
        </w:rPr>
        <w:t>We have adopted majority voting procedures for the election of directors in uncontested elections. In an uncontested election, nominees must receive more “for” than “against” votes to be elected. Abstentions are not counted as votes cast. As provided in our bylaws, a “contested election” is one in which the number of nominees exceeds the number of directors to be elected. The election of directors at the 2016 annual meeting is an uncontested election.</w:t>
      </w:r>
    </w:p>
    <w:p>
      <w:pPr>
        <w:spacing w:after="0" w:line="202" w:lineRule="exact"/>
        <w:rPr>
          <w:sz w:val="20"/>
          <w:szCs w:val="20"/>
          <w:color w:val="auto"/>
        </w:rPr>
      </w:pPr>
    </w:p>
    <w:p>
      <w:pPr>
        <w:ind w:right="180"/>
        <w:spacing w:after="0" w:line="239" w:lineRule="auto"/>
        <w:rPr>
          <w:sz w:val="20"/>
          <w:szCs w:val="20"/>
          <w:color w:val="auto"/>
        </w:rPr>
      </w:pPr>
      <w:r>
        <w:rPr>
          <w:rFonts w:ascii="Arial" w:cs="Arial" w:eastAsia="Arial" w:hAnsi="Arial"/>
          <w:sz w:val="18"/>
          <w:szCs w:val="18"/>
          <w:color w:val="auto"/>
        </w:rPr>
        <w:t>If an incumbent director receives more “against” than “for” votes, he or she is expected to tender his or her resignation in accordance with our Corporate Governance Guidelines. The Nominating and Corporate Governance Committee will consider the offer of resignation and recommend to the Board the action to be taken. The Board will promptly disclose its decision as to whether to accept or reject the tendered resignation in a press release, Current Report on Form 8-K or some other public announcement.</w:t>
      </w:r>
    </w:p>
    <w:p>
      <w:pPr>
        <w:spacing w:after="0" w:line="202"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Shares of common stock represented by properly executed, timely received and unrevoked proxies will be voted as instructed in the proxy. In the absence of specific instructions, the shares represented by properly executed, timely received and unrevoked proxies will be voted “for” each nominee. If any of the nominees listed below becomes unable to stand for election at the annual meeting, the proxy holders intend to vote for any person designated by the Board to replace the nominee unable to serve.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483E65"/>
        </w:rPr>
        <w:t>Recommendation of the Board of Directors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483E65"/>
        </w:rPr>
        <w:t>The Board of Directors unanimously recommends a vote FOR each nominee.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483E65"/>
        </w:rPr>
        <w:t>Nominees for Election to the Board of Directors</w:t>
      </w:r>
    </w:p>
    <w:p>
      <w:pPr>
        <w:spacing w:after="0" w:line="234"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Set forth below is a brief biography of each nominee for election as a director and a brief discussion of the specific experience, qualifications, attributes or skills that led to the Board’s conclusion that the nominee should serve as a director of our company. The Board evaluates each individual in the context of the Board as a whole, with the objective of recommending to stockholders a group of nominees with complementary skills and a diverse mix of backgrounds, perspectives and expertise beneficial to the broad business diversity of our company. Our board membership criteria and director nomination process are described in the “Corporate Governance” section of this proxy statement.</w:t>
      </w:r>
    </w:p>
    <w:p>
      <w:pPr>
        <w:spacing w:after="0" w:line="118" w:lineRule="exact"/>
        <w:rPr>
          <w:sz w:val="20"/>
          <w:szCs w:val="20"/>
          <w:color w:val="auto"/>
        </w:rPr>
      </w:pPr>
    </w:p>
    <w:p>
      <w:pPr>
        <w:jc w:val="right"/>
        <w:spacing w:after="0"/>
        <w:tabs>
          <w:tab w:leader="none" w:pos="300" w:val="left"/>
          <w:tab w:leader="none" w:pos="60" w:val="left"/>
        </w:tabs>
        <w:rPr>
          <w:sz w:val="20"/>
          <w:szCs w:val="20"/>
          <w:color w:val="auto"/>
        </w:rPr>
      </w:pPr>
      <w:r>
        <w:rPr>
          <w:rFonts w:ascii="Arial" w:cs="Arial" w:eastAsia="Arial" w:hAnsi="Arial"/>
          <w:sz w:val="16"/>
          <w:szCs w:val="16"/>
          <w:b w:val="1"/>
          <w:bCs w:val="1"/>
          <w:color w:val="483E65"/>
        </w:rPr>
        <w:t>2017 Proxy Statement</w:t>
        <w:tab/>
        <w:t>|</w:t>
      </w:r>
      <w:r>
        <w:rPr>
          <w:sz w:val="20"/>
          <w:szCs w:val="20"/>
          <w:color w:val="auto"/>
        </w:rPr>
        <w:tab/>
      </w:r>
      <w:r>
        <w:rPr>
          <w:rFonts w:ascii="Arial" w:cs="Arial" w:eastAsia="Arial" w:hAnsi="Arial"/>
          <w:sz w:val="14"/>
          <w:szCs w:val="14"/>
          <w:b w:val="1"/>
          <w:bCs w:val="1"/>
          <w:color w:val="483E65"/>
        </w:rPr>
        <w:t>5</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8" w:lineRule="exact"/>
        <w:rPr>
          <w:sz w:val="20"/>
          <w:szCs w:val="20"/>
          <w:color w:val="auto"/>
        </w:rPr>
      </w:pPr>
    </w:p>
    <w:p>
      <w:pPr>
        <w:spacing w:after="0"/>
        <w:rPr>
          <w:sz w:val="20"/>
          <w:szCs w:val="20"/>
          <w:color w:val="auto"/>
        </w:rPr>
      </w:pPr>
      <w:r>
        <w:rPr>
          <w:rFonts w:ascii="Arial" w:cs="Arial" w:eastAsia="Arial" w:hAnsi="Arial"/>
          <w:sz w:val="32"/>
          <w:szCs w:val="32"/>
          <w:color w:val="483E65"/>
        </w:rPr>
        <w:t>Proposal 1 —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149860</wp:posOffset>
            </wp:positionV>
            <wp:extent cx="72466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424180</wp:posOffset>
            </wp:positionV>
            <wp:extent cx="986155" cy="11493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986155" cy="1149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483E65"/>
        </w:rPr>
        <w:t>GREGORY R. DAHLBERG</w:t>
      </w:r>
    </w:p>
    <w:p>
      <w:pPr>
        <w:spacing w:after="0" w:line="117"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Director Since 2016</w:t>
      </w:r>
    </w:p>
    <w:p>
      <w:pPr>
        <w:spacing w:after="0" w:line="63"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Age: 65</w:t>
      </w:r>
    </w:p>
    <w:p>
      <w:pPr>
        <w:spacing w:after="0" w:line="63"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Leidos Committees:</w:t>
      </w:r>
    </w:p>
    <w:p>
      <w:pPr>
        <w:spacing w:after="0" w:line="13" w:lineRule="exact"/>
        <w:rPr>
          <w:sz w:val="20"/>
          <w:szCs w:val="20"/>
          <w:color w:val="auto"/>
        </w:rPr>
      </w:pPr>
    </w:p>
    <w:p>
      <w:pPr>
        <w:ind w:left="2640"/>
        <w:spacing w:after="0"/>
        <w:rPr>
          <w:sz w:val="20"/>
          <w:szCs w:val="20"/>
          <w:color w:val="auto"/>
        </w:rPr>
      </w:pPr>
      <w:r>
        <w:rPr>
          <w:rFonts w:ascii="Arial" w:cs="Arial" w:eastAsia="Arial" w:hAnsi="Arial"/>
          <w:sz w:val="18"/>
          <w:szCs w:val="18"/>
          <w:color w:val="auto"/>
        </w:rPr>
        <w:t>Ethics &amp; Corporate Responsibility</w:t>
      </w:r>
    </w:p>
    <w:p>
      <w:pPr>
        <w:ind w:left="2640"/>
        <w:spacing w:after="0"/>
        <w:rPr>
          <w:sz w:val="20"/>
          <w:szCs w:val="20"/>
          <w:color w:val="auto"/>
        </w:rPr>
      </w:pPr>
      <w:r>
        <w:rPr>
          <w:rFonts w:ascii="Arial" w:cs="Arial" w:eastAsia="Arial" w:hAnsi="Arial"/>
          <w:sz w:val="18"/>
          <w:szCs w:val="18"/>
          <w:color w:val="auto"/>
        </w:rPr>
        <w:t>Classified Business Oversight</w:t>
      </w:r>
    </w:p>
    <w:p>
      <w:pPr>
        <w:spacing w:after="0" w:line="109" w:lineRule="exact"/>
        <w:rPr>
          <w:sz w:val="20"/>
          <w:szCs w:val="20"/>
          <w:color w:val="auto"/>
        </w:rPr>
      </w:pPr>
    </w:p>
    <w:p>
      <w:pPr>
        <w:ind w:right="820"/>
        <w:spacing w:after="0" w:line="243" w:lineRule="auto"/>
        <w:rPr>
          <w:sz w:val="20"/>
          <w:szCs w:val="20"/>
          <w:color w:val="auto"/>
        </w:rPr>
      </w:pPr>
      <w:r>
        <w:rPr>
          <w:rFonts w:ascii="Arial" w:cs="Arial" w:eastAsia="Arial" w:hAnsi="Arial"/>
          <w:sz w:val="18"/>
          <w:szCs w:val="18"/>
          <w:b w:val="1"/>
          <w:bCs w:val="1"/>
          <w:color w:val="auto"/>
        </w:rPr>
        <w:t xml:space="preserve">Mr. Dahlberg </w:t>
      </w:r>
      <w:r>
        <w:rPr>
          <w:rFonts w:ascii="Arial" w:cs="Arial" w:eastAsia="Arial" w:hAnsi="Arial"/>
          <w:sz w:val="18"/>
          <w:szCs w:val="18"/>
          <w:color w:val="auto"/>
        </w:rPr>
        <w:t>previously held several senior executive positions at Lockheed Martin, including Senior Vice President for Washington</w:t>
      </w:r>
      <w:r>
        <w:rPr>
          <w:rFonts w:ascii="Arial" w:cs="Arial" w:eastAsia="Arial" w:hAnsi="Arial"/>
          <w:sz w:val="18"/>
          <w:szCs w:val="18"/>
          <w:b w:val="1"/>
          <w:bCs w:val="1"/>
          <w:color w:val="auto"/>
        </w:rPr>
        <w:t xml:space="preserve"> </w:t>
      </w:r>
      <w:r>
        <w:rPr>
          <w:rFonts w:ascii="Arial" w:cs="Arial" w:eastAsia="Arial" w:hAnsi="Arial"/>
          <w:sz w:val="18"/>
          <w:szCs w:val="18"/>
          <w:color w:val="auto"/>
        </w:rPr>
        <w:t>Operations from 2009 to 2015. Prior to his years at Lockheed Martin, Mr. Dahlberg served as Minority Staff Director of the House Appropriations Defense Subcommittee with jurisdiction over funding for all Department of Defense and intelligence agency programs.</w:t>
      </w:r>
    </w:p>
    <w:p>
      <w:pPr>
        <w:spacing w:after="0" w:line="1"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Mr. Dahlberg was confirmed by the Senate as the 26th Under Secretary of the Army in 2000 and also served as Acting Secretary of the Army in 2001.</w:t>
      </w:r>
    </w:p>
    <w:p>
      <w:pPr>
        <w:spacing w:after="0" w:line="224"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Mr. Dahlberg’s extensive background in government and the defense industry provides our Board with experience that is directly relevant to our business as a government contractor.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236855</wp:posOffset>
            </wp:positionV>
            <wp:extent cx="986155" cy="11493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986155" cy="1149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tbl>
      <w:tblPr>
        <w:tblLayout w:type="fixed"/>
        <w:tblInd w:w="2640" w:type="dxa"/>
        <w:tblCellMar>
          <w:top w:w="0" w:type="dxa"/>
          <w:left w:w="0" w:type="dxa"/>
          <w:bottom w:w="0" w:type="dxa"/>
          <w:right w:w="0" w:type="dxa"/>
        </w:tblCellMar>
      </w:tblPr>
      <w:tr>
        <w:trPr>
          <w:trHeight w:val="239"/>
        </w:trPr>
        <w:tc>
          <w:tcPr>
            <w:tcW w:w="3320" w:type="dxa"/>
            <w:vAlign w:val="bottom"/>
          </w:tcPr>
          <w:p>
            <w:pPr>
              <w:spacing w:after="0"/>
              <w:rPr>
                <w:sz w:val="20"/>
                <w:szCs w:val="20"/>
                <w:color w:val="auto"/>
              </w:rPr>
            </w:pPr>
            <w:r>
              <w:rPr>
                <w:rFonts w:ascii="Arial" w:cs="Arial" w:eastAsia="Arial" w:hAnsi="Arial"/>
                <w:sz w:val="18"/>
                <w:szCs w:val="18"/>
                <w:b w:val="1"/>
                <w:bCs w:val="1"/>
                <w:color w:val="483E65"/>
              </w:rPr>
              <w:t>DAVID G. FUBINI</w:t>
            </w:r>
          </w:p>
        </w:tc>
        <w:tc>
          <w:tcPr>
            <w:tcW w:w="5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3320" w:type="dxa"/>
            <w:vAlign w:val="bottom"/>
          </w:tcPr>
          <w:p>
            <w:pPr>
              <w:spacing w:after="0"/>
              <w:rPr>
                <w:sz w:val="20"/>
                <w:szCs w:val="20"/>
                <w:color w:val="auto"/>
              </w:rPr>
            </w:pPr>
            <w:r>
              <w:rPr>
                <w:rFonts w:ascii="Arial" w:cs="Arial" w:eastAsia="Arial" w:hAnsi="Arial"/>
                <w:sz w:val="18"/>
                <w:szCs w:val="18"/>
                <w:b w:val="1"/>
                <w:bCs w:val="1"/>
                <w:color w:val="auto"/>
              </w:rPr>
              <w:t>Director Since 2013</w:t>
            </w:r>
          </w:p>
        </w:tc>
        <w:tc>
          <w:tcPr>
            <w:tcW w:w="5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320" w:type="dxa"/>
            <w:vAlign w:val="bottom"/>
          </w:tcPr>
          <w:p>
            <w:pPr>
              <w:spacing w:after="0"/>
              <w:rPr>
                <w:sz w:val="20"/>
                <w:szCs w:val="20"/>
                <w:color w:val="auto"/>
              </w:rPr>
            </w:pPr>
            <w:r>
              <w:rPr>
                <w:rFonts w:ascii="Arial" w:cs="Arial" w:eastAsia="Arial" w:hAnsi="Arial"/>
                <w:sz w:val="18"/>
                <w:szCs w:val="18"/>
                <w:b w:val="1"/>
                <w:bCs w:val="1"/>
                <w:color w:val="auto"/>
              </w:rPr>
              <w:t>Age: 63</w:t>
            </w:r>
          </w:p>
        </w:tc>
        <w:tc>
          <w:tcPr>
            <w:tcW w:w="5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3320" w:type="dxa"/>
            <w:vAlign w:val="bottom"/>
          </w:tcPr>
          <w:p>
            <w:pPr>
              <w:spacing w:after="0"/>
              <w:rPr>
                <w:sz w:val="20"/>
                <w:szCs w:val="20"/>
                <w:color w:val="auto"/>
              </w:rPr>
            </w:pPr>
            <w:r>
              <w:rPr>
                <w:rFonts w:ascii="Arial" w:cs="Arial" w:eastAsia="Arial" w:hAnsi="Arial"/>
                <w:sz w:val="18"/>
                <w:szCs w:val="18"/>
                <w:b w:val="1"/>
                <w:bCs w:val="1"/>
                <w:color w:val="auto"/>
              </w:rPr>
              <w:t>Leidos Committees:</w:t>
            </w:r>
          </w:p>
        </w:tc>
        <w:tc>
          <w:tcPr>
            <w:tcW w:w="5100" w:type="dxa"/>
            <w:vAlign w:val="bottom"/>
            <w:vMerge w:val="restart"/>
          </w:tcPr>
          <w:p>
            <w:pPr>
              <w:ind w:left="440"/>
              <w:spacing w:after="0"/>
              <w:rPr>
                <w:sz w:val="20"/>
                <w:szCs w:val="20"/>
                <w:color w:val="auto"/>
              </w:rPr>
            </w:pPr>
            <w:r>
              <w:rPr>
                <w:rFonts w:ascii="Arial" w:cs="Arial" w:eastAsia="Arial" w:hAnsi="Arial"/>
                <w:sz w:val="18"/>
                <w:szCs w:val="18"/>
                <w:b w:val="1"/>
                <w:bCs w:val="1"/>
                <w:color w:val="auto"/>
                <w:w w:val="99"/>
              </w:rPr>
              <w:t xml:space="preserve">Former Directorships During Past 5 Years: </w:t>
            </w:r>
            <w:r>
              <w:rPr>
                <w:rFonts w:ascii="Arial" w:cs="Arial" w:eastAsia="Arial" w:hAnsi="Arial"/>
                <w:sz w:val="18"/>
                <w:szCs w:val="18"/>
                <w:color w:val="auto"/>
                <w:w w:val="99"/>
              </w:rPr>
              <w:t>Compuware</w:t>
            </w:r>
          </w:p>
        </w:tc>
        <w:tc>
          <w:tcPr>
            <w:tcW w:w="0" w:type="dxa"/>
            <w:vAlign w:val="bottom"/>
          </w:tcPr>
          <w:p>
            <w:pPr>
              <w:spacing w:after="0"/>
              <w:rPr>
                <w:sz w:val="1"/>
                <w:szCs w:val="1"/>
                <w:color w:val="auto"/>
              </w:rPr>
            </w:pPr>
          </w:p>
        </w:tc>
      </w:tr>
      <w:tr>
        <w:trPr>
          <w:trHeight w:val="108"/>
        </w:trPr>
        <w:tc>
          <w:tcPr>
            <w:tcW w:w="3320" w:type="dxa"/>
            <w:vAlign w:val="bottom"/>
            <w:vMerge w:val="restart"/>
          </w:tcPr>
          <w:p>
            <w:pPr>
              <w:spacing w:after="0" w:line="202" w:lineRule="exact"/>
              <w:rPr>
                <w:sz w:val="20"/>
                <w:szCs w:val="20"/>
                <w:color w:val="auto"/>
              </w:rPr>
            </w:pPr>
            <w:r>
              <w:rPr>
                <w:rFonts w:ascii="Arial" w:cs="Arial" w:eastAsia="Arial" w:hAnsi="Arial"/>
                <w:sz w:val="18"/>
                <w:szCs w:val="18"/>
                <w:color w:val="auto"/>
              </w:rPr>
              <w:t>Finance</w:t>
            </w:r>
          </w:p>
        </w:tc>
        <w:tc>
          <w:tcPr>
            <w:tcW w:w="51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5"/>
        </w:trPr>
        <w:tc>
          <w:tcPr>
            <w:tcW w:w="3320" w:type="dxa"/>
            <w:vAlign w:val="bottom"/>
            <w:vMerge w:val="continue"/>
          </w:tcPr>
          <w:p>
            <w:pPr>
              <w:spacing w:after="0"/>
              <w:rPr>
                <w:sz w:val="8"/>
                <w:szCs w:val="8"/>
                <w:color w:val="auto"/>
              </w:rPr>
            </w:pPr>
          </w:p>
        </w:tc>
        <w:tc>
          <w:tcPr>
            <w:tcW w:w="5100" w:type="dxa"/>
            <w:vAlign w:val="bottom"/>
            <w:vMerge w:val="restart"/>
          </w:tcPr>
          <w:p>
            <w:pPr>
              <w:ind w:left="440"/>
              <w:spacing w:after="0"/>
              <w:rPr>
                <w:sz w:val="20"/>
                <w:szCs w:val="20"/>
                <w:color w:val="auto"/>
              </w:rPr>
            </w:pPr>
            <w:r>
              <w:rPr>
                <w:rFonts w:ascii="Arial" w:cs="Arial" w:eastAsia="Arial" w:hAnsi="Arial"/>
                <w:sz w:val="18"/>
                <w:szCs w:val="18"/>
                <w:color w:val="auto"/>
              </w:rPr>
              <w:t>Corporation</w:t>
            </w:r>
          </w:p>
        </w:tc>
        <w:tc>
          <w:tcPr>
            <w:tcW w:w="0" w:type="dxa"/>
            <w:vAlign w:val="bottom"/>
          </w:tcPr>
          <w:p>
            <w:pPr>
              <w:spacing w:after="0"/>
              <w:rPr>
                <w:sz w:val="1"/>
                <w:szCs w:val="1"/>
                <w:color w:val="auto"/>
              </w:rPr>
            </w:pPr>
          </w:p>
        </w:tc>
      </w:tr>
      <w:tr>
        <w:trPr>
          <w:trHeight w:val="122"/>
        </w:trPr>
        <w:tc>
          <w:tcPr>
            <w:tcW w:w="3320" w:type="dxa"/>
            <w:vAlign w:val="bottom"/>
            <w:vMerge w:val="restart"/>
          </w:tcPr>
          <w:p>
            <w:pPr>
              <w:spacing w:after="0"/>
              <w:rPr>
                <w:sz w:val="20"/>
                <w:szCs w:val="20"/>
                <w:color w:val="auto"/>
              </w:rPr>
            </w:pPr>
            <w:r>
              <w:rPr>
                <w:rFonts w:ascii="Arial" w:cs="Arial" w:eastAsia="Arial" w:hAnsi="Arial"/>
                <w:sz w:val="18"/>
                <w:szCs w:val="18"/>
                <w:color w:val="auto"/>
              </w:rPr>
              <w:t>Human Resources &amp; Compensation</w:t>
            </w:r>
          </w:p>
        </w:tc>
        <w:tc>
          <w:tcPr>
            <w:tcW w:w="51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3320" w:type="dxa"/>
            <w:vAlign w:val="bottom"/>
            <w:vMerge w:val="continue"/>
          </w:tcPr>
          <w:p>
            <w:pPr>
              <w:spacing w:after="0"/>
              <w:rPr>
                <w:sz w:val="8"/>
                <w:szCs w:val="8"/>
                <w:color w:val="auto"/>
              </w:rPr>
            </w:pPr>
          </w:p>
        </w:tc>
        <w:tc>
          <w:tcPr>
            <w:tcW w:w="5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99" w:lineRule="exact"/>
        <w:rPr>
          <w:sz w:val="20"/>
          <w:szCs w:val="20"/>
          <w:color w:val="auto"/>
        </w:rPr>
      </w:pPr>
    </w:p>
    <w:p>
      <w:pPr>
        <w:jc w:val="both"/>
        <w:ind w:right="340"/>
        <w:spacing w:after="0" w:line="253" w:lineRule="auto"/>
        <w:rPr>
          <w:sz w:val="20"/>
          <w:szCs w:val="20"/>
          <w:color w:val="auto"/>
        </w:rPr>
      </w:pPr>
      <w:r>
        <w:rPr>
          <w:rFonts w:ascii="Arial" w:cs="Arial" w:eastAsia="Arial" w:hAnsi="Arial"/>
          <w:sz w:val="18"/>
          <w:szCs w:val="18"/>
          <w:b w:val="1"/>
          <w:bCs w:val="1"/>
          <w:color w:val="auto"/>
        </w:rPr>
        <w:t xml:space="preserve">Mr. Fubini </w:t>
      </w:r>
      <w:r>
        <w:rPr>
          <w:rFonts w:ascii="Arial" w:cs="Arial" w:eastAsia="Arial" w:hAnsi="Arial"/>
          <w:sz w:val="18"/>
          <w:szCs w:val="18"/>
          <w:color w:val="auto"/>
        </w:rPr>
        <w:t>is a Senior Lecturer at Harvard Business School and a Director Emeritus at McKinsey &amp; Company. Previously, he was a Senior</w:t>
      </w:r>
      <w:r>
        <w:rPr>
          <w:rFonts w:ascii="Arial" w:cs="Arial" w:eastAsia="Arial" w:hAnsi="Arial"/>
          <w:sz w:val="18"/>
          <w:szCs w:val="18"/>
          <w:b w:val="1"/>
          <w:bCs w:val="1"/>
          <w:color w:val="auto"/>
        </w:rPr>
        <w:t xml:space="preserve"> </w:t>
      </w:r>
      <w:r>
        <w:rPr>
          <w:rFonts w:ascii="Arial" w:cs="Arial" w:eastAsia="Arial" w:hAnsi="Arial"/>
          <w:sz w:val="18"/>
          <w:szCs w:val="18"/>
          <w:color w:val="auto"/>
        </w:rPr>
        <w:t>Director of McKinsey where he worked for over 33 years. He was McKinsey’s Managing Director of the Boston Office, the past leader of the North American Organization Practice and the founder and leader of the Firm’s Worldwide Merger Integration Practice.</w:t>
      </w:r>
    </w:p>
    <w:p>
      <w:pPr>
        <w:spacing w:after="0" w:line="218" w:lineRule="exact"/>
        <w:rPr>
          <w:sz w:val="20"/>
          <w:szCs w:val="20"/>
          <w:color w:val="auto"/>
        </w:rPr>
      </w:pPr>
    </w:p>
    <w:p>
      <w:pPr>
        <w:ind w:right="540"/>
        <w:spacing w:after="0" w:line="246" w:lineRule="auto"/>
        <w:rPr>
          <w:sz w:val="20"/>
          <w:szCs w:val="20"/>
          <w:color w:val="auto"/>
        </w:rPr>
      </w:pPr>
      <w:r>
        <w:rPr>
          <w:rFonts w:ascii="Arial" w:cs="Arial" w:eastAsia="Arial" w:hAnsi="Arial"/>
          <w:sz w:val="18"/>
          <w:szCs w:val="18"/>
          <w:color w:val="auto"/>
        </w:rPr>
        <w:t>Mr. Fubini’s expertise in architecting and executing organizational transformations, his extensive involvement in a wide array of corporate transactions and his executive management experience at McKinsey offer valuable insights to our Board.</w:t>
      </w:r>
    </w:p>
    <w:p>
      <w:pPr>
        <w:spacing w:after="0" w:line="126" w:lineRule="exact"/>
        <w:rPr>
          <w:sz w:val="20"/>
          <w:szCs w:val="20"/>
          <w:color w:val="auto"/>
        </w:rPr>
      </w:pPr>
    </w:p>
    <w:p>
      <w:pPr>
        <w:ind w:left="280" w:hanging="272"/>
        <w:spacing w:after="0"/>
        <w:tabs>
          <w:tab w:leader="none" w:pos="280" w:val="left"/>
        </w:tabs>
        <w:numPr>
          <w:ilvl w:val="0"/>
          <w:numId w:val="15"/>
        </w:numPr>
        <w:rPr>
          <w:rFonts w:ascii="Arial" w:cs="Arial" w:eastAsia="Arial" w:hAnsi="Arial"/>
          <w:sz w:val="16"/>
          <w:szCs w:val="16"/>
          <w:b w:val="1"/>
          <w:bCs w:val="1"/>
          <w:color w:val="483E65"/>
        </w:rPr>
      </w:pPr>
      <w:r>
        <w:rPr>
          <w:rFonts w:ascii="Arial" w:cs="Arial" w:eastAsia="Arial" w:hAnsi="Arial"/>
          <w:sz w:val="16"/>
          <w:szCs w:val="16"/>
          <w:b w:val="1"/>
          <w:bCs w:val="1"/>
          <w:color w:val="483E65"/>
        </w:rPr>
        <w:t>|  2017 Proxy Statement</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8" w:lineRule="exact"/>
        <w:rPr>
          <w:sz w:val="20"/>
          <w:szCs w:val="20"/>
          <w:color w:val="auto"/>
        </w:rPr>
      </w:pPr>
    </w:p>
    <w:p>
      <w:pPr>
        <w:spacing w:after="0"/>
        <w:rPr>
          <w:sz w:val="20"/>
          <w:szCs w:val="20"/>
          <w:color w:val="auto"/>
        </w:rPr>
      </w:pPr>
      <w:r>
        <w:rPr>
          <w:rFonts w:ascii="Arial" w:cs="Arial" w:eastAsia="Arial" w:hAnsi="Arial"/>
          <w:sz w:val="32"/>
          <w:szCs w:val="32"/>
          <w:color w:val="483E65"/>
        </w:rPr>
        <w:t>Proposal 1 —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149860</wp:posOffset>
            </wp:positionV>
            <wp:extent cx="72466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509905</wp:posOffset>
            </wp:positionV>
            <wp:extent cx="986155" cy="11493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986155" cy="1149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483E65"/>
        </w:rPr>
        <w:t>MIRIAM E. JOHN</w:t>
      </w:r>
    </w:p>
    <w:p>
      <w:pPr>
        <w:spacing w:after="0" w:line="117"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Director Since 2007</w:t>
      </w:r>
    </w:p>
    <w:p>
      <w:pPr>
        <w:spacing w:after="0" w:line="63"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Age: 68</w:t>
      </w:r>
    </w:p>
    <w:p>
      <w:pPr>
        <w:spacing w:after="0" w:line="63"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Leidos Committees:</w:t>
      </w:r>
    </w:p>
    <w:p>
      <w:pPr>
        <w:spacing w:after="0" w:line="13" w:lineRule="exact"/>
        <w:rPr>
          <w:sz w:val="20"/>
          <w:szCs w:val="20"/>
          <w:color w:val="auto"/>
        </w:rPr>
      </w:pPr>
    </w:p>
    <w:p>
      <w:pPr>
        <w:ind w:left="2640"/>
        <w:spacing w:after="0"/>
        <w:rPr>
          <w:sz w:val="20"/>
          <w:szCs w:val="20"/>
          <w:color w:val="auto"/>
        </w:rPr>
      </w:pPr>
      <w:r>
        <w:rPr>
          <w:rFonts w:ascii="Arial" w:cs="Arial" w:eastAsia="Arial" w:hAnsi="Arial"/>
          <w:sz w:val="18"/>
          <w:szCs w:val="18"/>
          <w:color w:val="auto"/>
        </w:rPr>
        <w:t>Classified Business Oversight</w:t>
      </w:r>
    </w:p>
    <w:p>
      <w:pPr>
        <w:ind w:left="2640"/>
        <w:spacing w:after="0" w:line="234" w:lineRule="auto"/>
        <w:rPr>
          <w:sz w:val="20"/>
          <w:szCs w:val="20"/>
          <w:color w:val="auto"/>
        </w:rPr>
      </w:pPr>
      <w:r>
        <w:rPr>
          <w:rFonts w:ascii="Arial" w:cs="Arial" w:eastAsia="Arial" w:hAnsi="Arial"/>
          <w:sz w:val="18"/>
          <w:szCs w:val="18"/>
          <w:color w:val="auto"/>
        </w:rPr>
        <w:t>Human Resources &amp; Compensation (Chair)</w:t>
      </w:r>
    </w:p>
    <w:p>
      <w:pPr>
        <w:spacing w:after="0" w:line="1" w:lineRule="exact"/>
        <w:rPr>
          <w:sz w:val="20"/>
          <w:szCs w:val="20"/>
          <w:color w:val="auto"/>
        </w:rPr>
      </w:pPr>
    </w:p>
    <w:p>
      <w:pPr>
        <w:ind w:left="2640"/>
        <w:spacing w:after="0"/>
        <w:rPr>
          <w:sz w:val="20"/>
          <w:szCs w:val="20"/>
          <w:color w:val="auto"/>
        </w:rPr>
      </w:pPr>
      <w:r>
        <w:rPr>
          <w:rFonts w:ascii="Arial" w:cs="Arial" w:eastAsia="Arial" w:hAnsi="Arial"/>
          <w:sz w:val="18"/>
          <w:szCs w:val="18"/>
          <w:color w:val="auto"/>
        </w:rPr>
        <w:t>Nominating &amp; Corporate Governance</w:t>
      </w:r>
    </w:p>
    <w:p>
      <w:pPr>
        <w:spacing w:after="0" w:line="109" w:lineRule="exact"/>
        <w:rPr>
          <w:sz w:val="20"/>
          <w:szCs w:val="20"/>
          <w:color w:val="auto"/>
        </w:rPr>
      </w:pPr>
    </w:p>
    <w:p>
      <w:pPr>
        <w:ind w:right="120"/>
        <w:spacing w:after="0" w:line="241" w:lineRule="auto"/>
        <w:rPr>
          <w:sz w:val="20"/>
          <w:szCs w:val="20"/>
          <w:color w:val="auto"/>
        </w:rPr>
      </w:pPr>
      <w:r>
        <w:rPr>
          <w:rFonts w:ascii="Arial" w:cs="Arial" w:eastAsia="Arial" w:hAnsi="Arial"/>
          <w:sz w:val="18"/>
          <w:szCs w:val="18"/>
          <w:b w:val="1"/>
          <w:bCs w:val="1"/>
          <w:color w:val="auto"/>
        </w:rPr>
        <w:t xml:space="preserve">Dr. John </w:t>
      </w:r>
      <w:r>
        <w:rPr>
          <w:rFonts w:ascii="Arial" w:cs="Arial" w:eastAsia="Arial" w:hAnsi="Arial"/>
          <w:sz w:val="18"/>
          <w:szCs w:val="18"/>
          <w:color w:val="auto"/>
        </w:rPr>
        <w:t>retired from Sandia National Laboratories, a science and engineering laboratory, after serving since 1982 in a number of managerial</w:t>
      </w:r>
      <w:r>
        <w:rPr>
          <w:rFonts w:ascii="Arial" w:cs="Arial" w:eastAsia="Arial" w:hAnsi="Arial"/>
          <w:sz w:val="18"/>
          <w:szCs w:val="18"/>
          <w:b w:val="1"/>
          <w:bCs w:val="1"/>
          <w:color w:val="auto"/>
        </w:rPr>
        <w:t xml:space="preserve"> </w:t>
      </w:r>
      <w:r>
        <w:rPr>
          <w:rFonts w:ascii="Arial" w:cs="Arial" w:eastAsia="Arial" w:hAnsi="Arial"/>
          <w:sz w:val="18"/>
          <w:szCs w:val="18"/>
          <w:color w:val="auto"/>
        </w:rPr>
        <w:t>and technical roles, most recently of which was as Vice President of Sandia’s California Division. Dr. John is a member of the Department of Defense’s Defense Science Board and Vice Chairman of its Threat Reduction Advisory Committee. She was elected to the AAAS Committee on Science and Public Policy and is the immediate past chair of the National Research Council’s Naval Studies Board. She also serves on the boards of a number of federally funded national security laboratories, including MIT Lincoln Lab. She is a Senior Fellow and immediate past Chair of the California Council on Science and Technology. She has also been elected a National Associate of the National Academies and is the recipient of the Navy’s Superior Public Service Award.</w:t>
      </w:r>
    </w:p>
    <w:p>
      <w:pPr>
        <w:spacing w:after="0" w:line="228" w:lineRule="exact"/>
        <w:rPr>
          <w:sz w:val="20"/>
          <w:szCs w:val="20"/>
          <w:color w:val="auto"/>
        </w:rPr>
      </w:pPr>
    </w:p>
    <w:p>
      <w:pPr>
        <w:ind w:right="340"/>
        <w:spacing w:after="0" w:line="239" w:lineRule="auto"/>
        <w:rPr>
          <w:sz w:val="20"/>
          <w:szCs w:val="20"/>
          <w:color w:val="auto"/>
        </w:rPr>
      </w:pPr>
      <w:r>
        <w:rPr>
          <w:rFonts w:ascii="Arial" w:cs="Arial" w:eastAsia="Arial" w:hAnsi="Arial"/>
          <w:sz w:val="18"/>
          <w:szCs w:val="18"/>
          <w:color w:val="auto"/>
        </w:rPr>
        <w:t>Dr. John is a highly respected scientist, speaker and consultant on both technical and leadership topics and brings to our Board her diverse experience managing multi-disciplinary science and engineering organizations supporting national security, energy and defense. Our Board believes that Dr. John’s scientific background and leadership experience enable her to provide critical perspectives on technical, national security and organizational issues important to our business.</w:t>
      </w:r>
    </w:p>
    <w:p>
      <w:pPr>
        <w:spacing w:after="0" w:line="355" w:lineRule="exact"/>
        <w:rPr>
          <w:sz w:val="20"/>
          <w:szCs w:val="20"/>
          <w:color w:val="auto"/>
        </w:rPr>
      </w:pPr>
    </w:p>
    <w:tbl>
      <w:tblPr>
        <w:tblLayout w:type="fixed"/>
        <w:tblInd w:w="2640" w:type="dxa"/>
        <w:tblCellMar>
          <w:top w:w="0" w:type="dxa"/>
          <w:left w:w="0" w:type="dxa"/>
          <w:bottom w:w="0" w:type="dxa"/>
          <w:right w:w="0" w:type="dxa"/>
        </w:tblCellMar>
      </w:tblPr>
      <w:tr>
        <w:trPr>
          <w:trHeight w:val="239"/>
        </w:trPr>
        <w:tc>
          <w:tcPr>
            <w:tcW w:w="3820" w:type="dxa"/>
            <w:vAlign w:val="bottom"/>
          </w:tcPr>
          <w:p>
            <w:pPr>
              <w:spacing w:after="0"/>
              <w:rPr>
                <w:sz w:val="20"/>
                <w:szCs w:val="20"/>
                <w:color w:val="auto"/>
              </w:rPr>
            </w:pPr>
            <w:r>
              <w:rPr>
                <w:rFonts w:ascii="Arial" w:cs="Arial" w:eastAsia="Arial" w:hAnsi="Arial"/>
                <w:sz w:val="18"/>
                <w:szCs w:val="18"/>
                <w:b w:val="1"/>
                <w:bCs w:val="1"/>
                <w:color w:val="483E65"/>
              </w:rPr>
              <w:t>JOHN P. JUMPER</w:t>
            </w:r>
          </w:p>
        </w:tc>
        <w:tc>
          <w:tcPr>
            <w:tcW w:w="4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0"/>
        </w:trPr>
        <w:tc>
          <w:tcPr>
            <w:tcW w:w="3820" w:type="dxa"/>
            <w:vAlign w:val="bottom"/>
          </w:tcPr>
          <w:p>
            <w:pPr>
              <w:spacing w:after="0"/>
              <w:rPr>
                <w:sz w:val="20"/>
                <w:szCs w:val="20"/>
                <w:color w:val="auto"/>
              </w:rPr>
            </w:pPr>
            <w:r>
              <w:rPr>
                <w:rFonts w:ascii="Arial" w:cs="Arial" w:eastAsia="Arial" w:hAnsi="Arial"/>
                <w:sz w:val="18"/>
                <w:szCs w:val="18"/>
                <w:b w:val="1"/>
                <w:bCs w:val="1"/>
                <w:color w:val="auto"/>
              </w:rPr>
              <w:t>Director Since 2007</w:t>
            </w:r>
          </w:p>
        </w:tc>
        <w:tc>
          <w:tcPr>
            <w:tcW w:w="4420" w:type="dxa"/>
            <w:vAlign w:val="bottom"/>
          </w:tcPr>
          <w:p>
            <w:pPr>
              <w:ind w:left="860"/>
              <w:spacing w:after="0"/>
              <w:rPr>
                <w:sz w:val="20"/>
                <w:szCs w:val="20"/>
                <w:color w:val="auto"/>
              </w:rPr>
            </w:pPr>
            <w:r>
              <w:rPr>
                <w:rFonts w:ascii="Arial" w:cs="Arial" w:eastAsia="Arial" w:hAnsi="Arial"/>
                <w:sz w:val="18"/>
                <w:szCs w:val="18"/>
                <w:b w:val="1"/>
                <w:bCs w:val="1"/>
                <w:color w:val="auto"/>
              </w:rPr>
              <w:t>Current Public Directorships</w:t>
            </w:r>
          </w:p>
        </w:tc>
        <w:tc>
          <w:tcPr>
            <w:tcW w:w="0" w:type="dxa"/>
            <w:vAlign w:val="bottom"/>
          </w:tcPr>
          <w:p>
            <w:pPr>
              <w:spacing w:after="0"/>
              <w:rPr>
                <w:sz w:val="1"/>
                <w:szCs w:val="1"/>
                <w:color w:val="auto"/>
              </w:rPr>
            </w:pPr>
          </w:p>
        </w:tc>
      </w:tr>
      <w:tr>
        <w:trPr>
          <w:trHeight w:val="203"/>
        </w:trPr>
        <w:tc>
          <w:tcPr>
            <w:tcW w:w="3820" w:type="dxa"/>
            <w:vAlign w:val="bottom"/>
          </w:tcPr>
          <w:p>
            <w:pPr>
              <w:spacing w:after="0" w:line="202" w:lineRule="exact"/>
              <w:rPr>
                <w:sz w:val="20"/>
                <w:szCs w:val="20"/>
                <w:color w:val="auto"/>
              </w:rPr>
            </w:pPr>
            <w:r>
              <w:rPr>
                <w:rFonts w:ascii="Arial" w:cs="Arial" w:eastAsia="Arial" w:hAnsi="Arial"/>
                <w:sz w:val="18"/>
                <w:szCs w:val="18"/>
                <w:b w:val="1"/>
                <w:bCs w:val="1"/>
                <w:color w:val="auto"/>
              </w:rPr>
              <w:t>Age: 72</w:t>
            </w:r>
          </w:p>
        </w:tc>
        <w:tc>
          <w:tcPr>
            <w:tcW w:w="4420" w:type="dxa"/>
            <w:vAlign w:val="bottom"/>
          </w:tcPr>
          <w:p>
            <w:pPr>
              <w:ind w:left="860"/>
              <w:spacing w:after="0" w:line="202" w:lineRule="exact"/>
              <w:rPr>
                <w:sz w:val="20"/>
                <w:szCs w:val="20"/>
                <w:color w:val="auto"/>
              </w:rPr>
            </w:pPr>
            <w:r>
              <w:rPr>
                <w:rFonts w:ascii="Arial" w:cs="Arial" w:eastAsia="Arial" w:hAnsi="Arial"/>
                <w:sz w:val="18"/>
                <w:szCs w:val="18"/>
                <w:color w:val="auto"/>
              </w:rPr>
              <w:t>NACCO Industries, Inc</w:t>
            </w:r>
          </w:p>
        </w:tc>
        <w:tc>
          <w:tcPr>
            <w:tcW w:w="0" w:type="dxa"/>
            <w:vAlign w:val="bottom"/>
          </w:tcPr>
          <w:p>
            <w:pPr>
              <w:spacing w:after="0"/>
              <w:rPr>
                <w:sz w:val="1"/>
                <w:szCs w:val="1"/>
                <w:color w:val="auto"/>
              </w:rPr>
            </w:pPr>
          </w:p>
        </w:tc>
      </w:tr>
      <w:tr>
        <w:trPr>
          <w:trHeight w:val="217"/>
        </w:trPr>
        <w:tc>
          <w:tcPr>
            <w:tcW w:w="3820" w:type="dxa"/>
            <w:vAlign w:val="bottom"/>
            <w:vMerge w:val="restart"/>
          </w:tcPr>
          <w:p>
            <w:pPr>
              <w:spacing w:after="0"/>
              <w:rPr>
                <w:sz w:val="20"/>
                <w:szCs w:val="20"/>
                <w:color w:val="auto"/>
              </w:rPr>
            </w:pPr>
            <w:r>
              <w:rPr>
                <w:rFonts w:ascii="Arial" w:cs="Arial" w:eastAsia="Arial" w:hAnsi="Arial"/>
                <w:sz w:val="18"/>
                <w:szCs w:val="18"/>
                <w:b w:val="1"/>
                <w:bCs w:val="1"/>
                <w:color w:val="auto"/>
              </w:rPr>
              <w:t>Leidos Committees:</w:t>
            </w:r>
          </w:p>
        </w:tc>
        <w:tc>
          <w:tcPr>
            <w:tcW w:w="4420" w:type="dxa"/>
            <w:vAlign w:val="bottom"/>
          </w:tcPr>
          <w:p>
            <w:pPr>
              <w:ind w:left="860"/>
              <w:spacing w:after="0"/>
              <w:rPr>
                <w:sz w:val="20"/>
                <w:szCs w:val="20"/>
                <w:color w:val="auto"/>
              </w:rPr>
            </w:pPr>
            <w:r>
              <w:rPr>
                <w:rFonts w:ascii="Arial" w:cs="Arial" w:eastAsia="Arial" w:hAnsi="Arial"/>
                <w:sz w:val="18"/>
                <w:szCs w:val="18"/>
                <w:color w:val="auto"/>
              </w:rPr>
              <w:t>Hyster-Yale Materials Handling, Inc.</w:t>
            </w:r>
          </w:p>
        </w:tc>
        <w:tc>
          <w:tcPr>
            <w:tcW w:w="0" w:type="dxa"/>
            <w:vAlign w:val="bottom"/>
          </w:tcPr>
          <w:p>
            <w:pPr>
              <w:spacing w:after="0"/>
              <w:rPr>
                <w:sz w:val="1"/>
                <w:szCs w:val="1"/>
                <w:color w:val="auto"/>
              </w:rPr>
            </w:pPr>
          </w:p>
        </w:tc>
      </w:tr>
      <w:tr>
        <w:trPr>
          <w:trHeight w:val="80"/>
        </w:trPr>
        <w:tc>
          <w:tcPr>
            <w:tcW w:w="3820" w:type="dxa"/>
            <w:vAlign w:val="bottom"/>
            <w:vMerge w:val="continue"/>
          </w:tcPr>
          <w:p>
            <w:pPr>
              <w:spacing w:after="0"/>
              <w:rPr>
                <w:sz w:val="6"/>
                <w:szCs w:val="6"/>
                <w:color w:val="auto"/>
              </w:rPr>
            </w:pPr>
          </w:p>
        </w:tc>
        <w:tc>
          <w:tcPr>
            <w:tcW w:w="44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3820" w:type="dxa"/>
            <w:vAlign w:val="bottom"/>
          </w:tcPr>
          <w:p>
            <w:pPr>
              <w:spacing w:after="0" w:line="202" w:lineRule="exact"/>
              <w:rPr>
                <w:sz w:val="20"/>
                <w:szCs w:val="20"/>
                <w:color w:val="auto"/>
              </w:rPr>
            </w:pPr>
            <w:r>
              <w:rPr>
                <w:rFonts w:ascii="Arial" w:cs="Arial" w:eastAsia="Arial" w:hAnsi="Arial"/>
                <w:sz w:val="18"/>
                <w:szCs w:val="18"/>
                <w:color w:val="auto"/>
              </w:rPr>
              <w:t>Classified Business Oversight (Chair)</w:t>
            </w:r>
          </w:p>
        </w:tc>
        <w:tc>
          <w:tcPr>
            <w:tcW w:w="4420" w:type="dxa"/>
            <w:vAlign w:val="bottom"/>
          </w:tcPr>
          <w:p>
            <w:pPr>
              <w:ind w:left="860"/>
              <w:spacing w:after="0" w:line="202" w:lineRule="exact"/>
              <w:rPr>
                <w:sz w:val="20"/>
                <w:szCs w:val="20"/>
                <w:color w:val="auto"/>
              </w:rPr>
            </w:pPr>
            <w:r>
              <w:rPr>
                <w:rFonts w:ascii="Arial" w:cs="Arial" w:eastAsia="Arial" w:hAnsi="Arial"/>
                <w:sz w:val="18"/>
                <w:szCs w:val="18"/>
                <w:b w:val="1"/>
                <w:bCs w:val="1"/>
                <w:color w:val="auto"/>
                <w:w w:val="98"/>
              </w:rPr>
              <w:t>Former Directorships During Past 5 Years</w:t>
            </w:r>
          </w:p>
        </w:tc>
        <w:tc>
          <w:tcPr>
            <w:tcW w:w="0" w:type="dxa"/>
            <w:vAlign w:val="bottom"/>
          </w:tcPr>
          <w:p>
            <w:pPr>
              <w:spacing w:after="0"/>
              <w:rPr>
                <w:sz w:val="1"/>
                <w:szCs w:val="1"/>
                <w:color w:val="auto"/>
              </w:rPr>
            </w:pPr>
          </w:p>
        </w:tc>
      </w:tr>
      <w:tr>
        <w:trPr>
          <w:trHeight w:val="230"/>
        </w:trPr>
        <w:tc>
          <w:tcPr>
            <w:tcW w:w="3820" w:type="dxa"/>
            <w:vAlign w:val="bottom"/>
          </w:tcPr>
          <w:p>
            <w:pPr>
              <w:spacing w:after="0"/>
              <w:rPr>
                <w:sz w:val="20"/>
                <w:szCs w:val="20"/>
                <w:color w:val="auto"/>
              </w:rPr>
            </w:pPr>
            <w:r>
              <w:rPr>
                <w:rFonts w:ascii="Arial" w:cs="Arial" w:eastAsia="Arial" w:hAnsi="Arial"/>
                <w:sz w:val="18"/>
                <w:szCs w:val="18"/>
                <w:color w:val="auto"/>
              </w:rPr>
              <w:t>Ethics &amp; Corporate Responsibility</w:t>
            </w:r>
          </w:p>
        </w:tc>
        <w:tc>
          <w:tcPr>
            <w:tcW w:w="4420" w:type="dxa"/>
            <w:vAlign w:val="bottom"/>
          </w:tcPr>
          <w:p>
            <w:pPr>
              <w:ind w:left="860"/>
              <w:spacing w:after="0"/>
              <w:rPr>
                <w:sz w:val="20"/>
                <w:szCs w:val="20"/>
                <w:color w:val="auto"/>
              </w:rPr>
            </w:pPr>
            <w:r>
              <w:rPr>
                <w:rFonts w:ascii="Arial" w:cs="Arial" w:eastAsia="Arial" w:hAnsi="Arial"/>
                <w:sz w:val="18"/>
                <w:szCs w:val="18"/>
                <w:color w:val="auto"/>
              </w:rPr>
              <w:t>Jacobs Engineering Group, Inc.</w:t>
            </w:r>
          </w:p>
        </w:tc>
        <w:tc>
          <w:tcPr>
            <w:tcW w:w="0" w:type="dxa"/>
            <w:vAlign w:val="bottom"/>
          </w:tcPr>
          <w:p>
            <w:pPr>
              <w:spacing w:after="0"/>
              <w:rPr>
                <w:sz w:val="1"/>
                <w:szCs w:val="1"/>
                <w:color w:val="auto"/>
              </w:rPr>
            </w:pPr>
          </w:p>
        </w:tc>
      </w:tr>
      <w:tr>
        <w:trPr>
          <w:trHeight w:val="203"/>
        </w:trPr>
        <w:tc>
          <w:tcPr>
            <w:tcW w:w="3820" w:type="dxa"/>
            <w:vAlign w:val="bottom"/>
          </w:tcPr>
          <w:p>
            <w:pPr>
              <w:spacing w:after="0"/>
              <w:rPr>
                <w:sz w:val="17"/>
                <w:szCs w:val="17"/>
                <w:color w:val="auto"/>
              </w:rPr>
            </w:pPr>
          </w:p>
        </w:tc>
        <w:tc>
          <w:tcPr>
            <w:tcW w:w="4420" w:type="dxa"/>
            <w:vAlign w:val="bottom"/>
          </w:tcPr>
          <w:p>
            <w:pPr>
              <w:ind w:left="860"/>
              <w:spacing w:after="0" w:line="202" w:lineRule="exact"/>
              <w:rPr>
                <w:sz w:val="20"/>
                <w:szCs w:val="20"/>
                <w:color w:val="auto"/>
              </w:rPr>
            </w:pPr>
            <w:r>
              <w:rPr>
                <w:rFonts w:ascii="Arial" w:cs="Arial" w:eastAsia="Arial" w:hAnsi="Arial"/>
                <w:sz w:val="18"/>
                <w:szCs w:val="18"/>
                <w:color w:val="auto"/>
              </w:rPr>
              <w:t>WESCO Aircraft Holdings, Inc.</w:t>
            </w:r>
          </w:p>
        </w:tc>
        <w:tc>
          <w:tcPr>
            <w:tcW w:w="0" w:type="dxa"/>
            <w:vAlign w:val="bottom"/>
          </w:tcPr>
          <w:p>
            <w:pPr>
              <w:spacing w:after="0"/>
              <w:rPr>
                <w:sz w:val="1"/>
                <w:szCs w:val="1"/>
                <w:color w:val="auto"/>
              </w:rPr>
            </w:pPr>
          </w:p>
        </w:tc>
      </w:tr>
      <w:tr>
        <w:trPr>
          <w:trHeight w:val="203"/>
        </w:trPr>
        <w:tc>
          <w:tcPr>
            <w:tcW w:w="3820" w:type="dxa"/>
            <w:vAlign w:val="bottom"/>
          </w:tcPr>
          <w:p>
            <w:pPr>
              <w:spacing w:after="0"/>
              <w:rPr>
                <w:sz w:val="17"/>
                <w:szCs w:val="17"/>
                <w:color w:val="auto"/>
              </w:rPr>
            </w:pPr>
          </w:p>
        </w:tc>
        <w:tc>
          <w:tcPr>
            <w:tcW w:w="4420" w:type="dxa"/>
            <w:vAlign w:val="bottom"/>
          </w:tcPr>
          <w:p>
            <w:pPr>
              <w:ind w:left="860"/>
              <w:spacing w:after="0" w:line="202" w:lineRule="exact"/>
              <w:rPr>
                <w:sz w:val="20"/>
                <w:szCs w:val="20"/>
                <w:color w:val="auto"/>
              </w:rPr>
            </w:pPr>
            <w:r>
              <w:rPr>
                <w:rFonts w:ascii="Arial" w:cs="Arial" w:eastAsia="Arial" w:hAnsi="Arial"/>
                <w:sz w:val="18"/>
                <w:szCs w:val="18"/>
                <w:color w:val="auto"/>
              </w:rPr>
              <w:t>Tech Team Global, Inc.</w:t>
            </w:r>
          </w:p>
        </w:tc>
        <w:tc>
          <w:tcPr>
            <w:tcW w:w="0" w:type="dxa"/>
            <w:vAlign w:val="bottom"/>
          </w:tcPr>
          <w:p>
            <w:pPr>
              <w:spacing w:after="0"/>
              <w:rPr>
                <w:sz w:val="1"/>
                <w:szCs w:val="1"/>
                <w:color w:val="auto"/>
              </w:rPr>
            </w:pPr>
          </w:p>
        </w:tc>
      </w:tr>
      <w:tr>
        <w:trPr>
          <w:trHeight w:val="203"/>
        </w:trPr>
        <w:tc>
          <w:tcPr>
            <w:tcW w:w="3820" w:type="dxa"/>
            <w:vAlign w:val="bottom"/>
          </w:tcPr>
          <w:p>
            <w:pPr>
              <w:spacing w:after="0"/>
              <w:rPr>
                <w:sz w:val="17"/>
                <w:szCs w:val="17"/>
                <w:color w:val="auto"/>
              </w:rPr>
            </w:pPr>
          </w:p>
        </w:tc>
        <w:tc>
          <w:tcPr>
            <w:tcW w:w="4420" w:type="dxa"/>
            <w:vAlign w:val="bottom"/>
          </w:tcPr>
          <w:p>
            <w:pPr>
              <w:ind w:left="860"/>
              <w:spacing w:after="0" w:line="202" w:lineRule="exact"/>
              <w:rPr>
                <w:sz w:val="20"/>
                <w:szCs w:val="20"/>
                <w:color w:val="auto"/>
              </w:rPr>
            </w:pPr>
            <w:r>
              <w:rPr>
                <w:rFonts w:ascii="Arial" w:cs="Arial" w:eastAsia="Arial" w:hAnsi="Arial"/>
                <w:sz w:val="18"/>
                <w:szCs w:val="18"/>
                <w:color w:val="auto"/>
              </w:rPr>
              <w:t>Goodrich Corp.</w:t>
            </w:r>
          </w:p>
        </w:tc>
        <w:tc>
          <w:tcPr>
            <w:tcW w:w="0" w:type="dxa"/>
            <w:vAlign w:val="bottom"/>
          </w:tcPr>
          <w:p>
            <w:pPr>
              <w:spacing w:after="0"/>
              <w:rPr>
                <w:sz w:val="1"/>
                <w:szCs w:val="1"/>
                <w:color w:val="auto"/>
              </w:rPr>
            </w:pPr>
          </w:p>
        </w:tc>
      </w:tr>
      <w:tr>
        <w:trPr>
          <w:trHeight w:val="217"/>
        </w:trPr>
        <w:tc>
          <w:tcPr>
            <w:tcW w:w="3820" w:type="dxa"/>
            <w:vAlign w:val="bottom"/>
          </w:tcPr>
          <w:p>
            <w:pPr>
              <w:spacing w:after="0"/>
              <w:rPr>
                <w:sz w:val="18"/>
                <w:szCs w:val="18"/>
                <w:color w:val="auto"/>
              </w:rPr>
            </w:pPr>
          </w:p>
        </w:tc>
        <w:tc>
          <w:tcPr>
            <w:tcW w:w="4420" w:type="dxa"/>
            <w:vAlign w:val="bottom"/>
          </w:tcPr>
          <w:p>
            <w:pPr>
              <w:ind w:left="860"/>
              <w:spacing w:after="0"/>
              <w:rPr>
                <w:sz w:val="20"/>
                <w:szCs w:val="20"/>
                <w:color w:val="auto"/>
              </w:rPr>
            </w:pPr>
            <w:r>
              <w:rPr>
                <w:rFonts w:ascii="Arial" w:cs="Arial" w:eastAsia="Arial" w:hAnsi="Arial"/>
                <w:sz w:val="18"/>
                <w:szCs w:val="18"/>
                <w:color w:val="auto"/>
              </w:rPr>
              <w:t>Somanetics Corp.</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-1474470</wp:posOffset>
            </wp:positionV>
            <wp:extent cx="986155" cy="11493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986155" cy="1149350"/>
                    </a:xfrm>
                    <a:prstGeom prst="rect">
                      <a:avLst/>
                    </a:prstGeom>
                    <a:noFill/>
                  </pic:spPr>
                </pic:pic>
              </a:graphicData>
            </a:graphic>
          </wp:anchor>
        </w:drawing>
      </w:r>
    </w:p>
    <w:p>
      <w:pPr>
        <w:spacing w:after="0" w:line="79" w:lineRule="exact"/>
        <w:rPr>
          <w:sz w:val="20"/>
          <w:szCs w:val="20"/>
          <w:color w:val="auto"/>
        </w:rPr>
      </w:pPr>
    </w:p>
    <w:p>
      <w:pPr>
        <w:ind w:right="220"/>
        <w:spacing w:after="0" w:line="242" w:lineRule="auto"/>
        <w:rPr>
          <w:sz w:val="20"/>
          <w:szCs w:val="20"/>
          <w:color w:val="auto"/>
        </w:rPr>
      </w:pPr>
      <w:r>
        <w:rPr>
          <w:rFonts w:ascii="Arial" w:cs="Arial" w:eastAsia="Arial" w:hAnsi="Arial"/>
          <w:sz w:val="18"/>
          <w:szCs w:val="18"/>
          <w:b w:val="1"/>
          <w:bCs w:val="1"/>
          <w:color w:val="auto"/>
        </w:rPr>
        <w:t xml:space="preserve">Mr. Jumper </w:t>
      </w:r>
      <w:r>
        <w:rPr>
          <w:rFonts w:ascii="Arial" w:cs="Arial" w:eastAsia="Arial" w:hAnsi="Arial"/>
          <w:sz w:val="18"/>
          <w:szCs w:val="18"/>
          <w:color w:val="auto"/>
        </w:rPr>
        <w:t>served as our Chief Executive Officer from March 2012 until July 2014 and Chair of the Board from June 2012 to March 2015,</w:t>
      </w:r>
      <w:r>
        <w:rPr>
          <w:rFonts w:ascii="Arial" w:cs="Arial" w:eastAsia="Arial" w:hAnsi="Arial"/>
          <w:sz w:val="18"/>
          <w:szCs w:val="18"/>
          <w:b w:val="1"/>
          <w:bCs w:val="1"/>
          <w:color w:val="auto"/>
        </w:rPr>
        <w:t xml:space="preserve"> </w:t>
      </w:r>
      <w:r>
        <w:rPr>
          <w:rFonts w:ascii="Arial" w:cs="Arial" w:eastAsia="Arial" w:hAnsi="Arial"/>
          <w:sz w:val="18"/>
          <w:szCs w:val="18"/>
          <w:color w:val="auto"/>
        </w:rPr>
        <w:t>after having served as an independent director since 2007. Considered an expert on matters concerning the aerospace and defense sectors, Mr. Jumper served as a senior advisor for private equity firms including the Carlyle Group and the Four Star Group. Before joining the private sector in 2005, General Jumper served 39 years in the United States Air Force, retiring as the Air Force Chief of Staff, the Air Force’s highest ranking officer, and as a member of the Joint Chiefs of Staff. In that capacity he was a direct advisor to the Secretary of Defense, National Security Council, and the President.</w:t>
      </w:r>
    </w:p>
    <w:p>
      <w:pPr>
        <w:spacing w:after="0" w:line="228" w:lineRule="exact"/>
        <w:rPr>
          <w:sz w:val="20"/>
          <w:szCs w:val="20"/>
          <w:color w:val="auto"/>
        </w:rPr>
      </w:pPr>
    </w:p>
    <w:p>
      <w:pPr>
        <w:jc w:val="both"/>
        <w:ind w:right="140"/>
        <w:spacing w:after="0"/>
        <w:rPr>
          <w:sz w:val="20"/>
          <w:szCs w:val="20"/>
          <w:color w:val="auto"/>
        </w:rPr>
      </w:pPr>
      <w:r>
        <w:rPr>
          <w:rFonts w:ascii="Arial" w:cs="Arial" w:eastAsia="Arial" w:hAnsi="Arial"/>
          <w:sz w:val="18"/>
          <w:szCs w:val="18"/>
          <w:color w:val="auto"/>
        </w:rPr>
        <w:t>Mr. Jumper’s proven leadership ability and management skills, demonstrated by his previous service as the highest-ranking officer in the U.S. Air Force and his expertise in defense and intelligence matters are valuable to our Board. His experience gives him a unique understanding of the needs of our largest customers.</w:t>
      </w:r>
    </w:p>
    <w:p>
      <w:pPr>
        <w:spacing w:after="0" w:line="132" w:lineRule="exact"/>
        <w:rPr>
          <w:sz w:val="20"/>
          <w:szCs w:val="20"/>
          <w:color w:val="auto"/>
        </w:rPr>
      </w:pPr>
    </w:p>
    <w:p>
      <w:pPr>
        <w:jc w:val="right"/>
        <w:spacing w:after="0"/>
        <w:tabs>
          <w:tab w:leader="none" w:pos="300" w:val="left"/>
          <w:tab w:leader="none" w:pos="60" w:val="left"/>
        </w:tabs>
        <w:rPr>
          <w:sz w:val="20"/>
          <w:szCs w:val="20"/>
          <w:color w:val="auto"/>
        </w:rPr>
      </w:pPr>
      <w:r>
        <w:rPr>
          <w:rFonts w:ascii="Arial" w:cs="Arial" w:eastAsia="Arial" w:hAnsi="Arial"/>
          <w:sz w:val="16"/>
          <w:szCs w:val="16"/>
          <w:b w:val="1"/>
          <w:bCs w:val="1"/>
          <w:color w:val="483E65"/>
        </w:rPr>
        <w:t>2017 Proxy Statement</w:t>
        <w:tab/>
        <w:t>|</w:t>
      </w:r>
      <w:r>
        <w:rPr>
          <w:sz w:val="20"/>
          <w:szCs w:val="20"/>
          <w:color w:val="auto"/>
        </w:rPr>
        <w:tab/>
      </w:r>
      <w:r>
        <w:rPr>
          <w:rFonts w:ascii="Arial" w:cs="Arial" w:eastAsia="Arial" w:hAnsi="Arial"/>
          <w:sz w:val="14"/>
          <w:szCs w:val="14"/>
          <w:b w:val="1"/>
          <w:bCs w:val="1"/>
          <w:color w:val="483E65"/>
        </w:rPr>
        <w:t>7</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8" w:lineRule="exact"/>
        <w:rPr>
          <w:sz w:val="20"/>
          <w:szCs w:val="20"/>
          <w:color w:val="auto"/>
        </w:rPr>
      </w:pPr>
    </w:p>
    <w:p>
      <w:pPr>
        <w:spacing w:after="0"/>
        <w:rPr>
          <w:sz w:val="20"/>
          <w:szCs w:val="20"/>
          <w:color w:val="auto"/>
        </w:rPr>
      </w:pPr>
      <w:r>
        <w:rPr>
          <w:rFonts w:ascii="Arial" w:cs="Arial" w:eastAsia="Arial" w:hAnsi="Arial"/>
          <w:sz w:val="32"/>
          <w:szCs w:val="32"/>
          <w:color w:val="483E65"/>
        </w:rPr>
        <w:t>Proposal 1 —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149860</wp:posOffset>
            </wp:positionV>
            <wp:extent cx="72466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509905</wp:posOffset>
            </wp:positionV>
            <wp:extent cx="986155" cy="11493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986155" cy="1149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2640" w:type="dxa"/>
        <w:tblCellMar>
          <w:top w:w="0" w:type="dxa"/>
          <w:left w:w="0" w:type="dxa"/>
          <w:bottom w:w="0" w:type="dxa"/>
          <w:right w:w="0" w:type="dxa"/>
        </w:tblCellMar>
      </w:tblPr>
      <w:tr>
        <w:trPr>
          <w:trHeight w:val="265"/>
        </w:trPr>
        <w:tc>
          <w:tcPr>
            <w:tcW w:w="3080" w:type="dxa"/>
            <w:vAlign w:val="bottom"/>
          </w:tcPr>
          <w:p>
            <w:pPr>
              <w:spacing w:after="0"/>
              <w:rPr>
                <w:sz w:val="20"/>
                <w:szCs w:val="20"/>
                <w:color w:val="auto"/>
              </w:rPr>
            </w:pPr>
            <w:r>
              <w:rPr>
                <w:rFonts w:ascii="Arial" w:cs="Arial" w:eastAsia="Arial" w:hAnsi="Arial"/>
                <w:sz w:val="18"/>
                <w:szCs w:val="18"/>
                <w:b w:val="1"/>
                <w:bCs w:val="1"/>
                <w:color w:val="483E65"/>
              </w:rPr>
              <w:t>HARRY M.J. KRAEMER, JR.</w:t>
            </w:r>
          </w:p>
        </w:tc>
        <w:tc>
          <w:tcPr>
            <w:tcW w:w="4260" w:type="dxa"/>
            <w:vAlign w:val="bottom"/>
          </w:tcPr>
          <w:p>
            <w:pPr>
              <w:ind w:left="680"/>
              <w:spacing w:after="0"/>
              <w:rPr>
                <w:sz w:val="20"/>
                <w:szCs w:val="20"/>
                <w:color w:val="auto"/>
              </w:rPr>
            </w:pPr>
            <w:r>
              <w:rPr>
                <w:rFonts w:ascii="Arial" w:cs="Arial" w:eastAsia="Arial" w:hAnsi="Arial"/>
                <w:sz w:val="18"/>
                <w:szCs w:val="18"/>
                <w:b w:val="1"/>
                <w:bCs w:val="1"/>
                <w:color w:val="auto"/>
              </w:rPr>
              <w:t>Current Public Directorships</w:t>
            </w:r>
          </w:p>
        </w:tc>
        <w:tc>
          <w:tcPr>
            <w:tcW w:w="0" w:type="dxa"/>
            <w:vAlign w:val="bottom"/>
          </w:tcPr>
          <w:p>
            <w:pPr>
              <w:spacing w:after="0"/>
              <w:rPr>
                <w:sz w:val="1"/>
                <w:szCs w:val="1"/>
                <w:color w:val="auto"/>
              </w:rPr>
            </w:pPr>
          </w:p>
        </w:tc>
      </w:tr>
      <w:tr>
        <w:trPr>
          <w:trHeight w:val="203"/>
        </w:trPr>
        <w:tc>
          <w:tcPr>
            <w:tcW w:w="3080" w:type="dxa"/>
            <w:vAlign w:val="bottom"/>
            <w:vMerge w:val="restart"/>
          </w:tcPr>
          <w:p>
            <w:pPr>
              <w:spacing w:after="0"/>
              <w:rPr>
                <w:sz w:val="20"/>
                <w:szCs w:val="20"/>
                <w:color w:val="auto"/>
              </w:rPr>
            </w:pPr>
            <w:r>
              <w:rPr>
                <w:rFonts w:ascii="Arial" w:cs="Arial" w:eastAsia="Arial" w:hAnsi="Arial"/>
                <w:sz w:val="18"/>
                <w:szCs w:val="18"/>
                <w:b w:val="1"/>
                <w:bCs w:val="1"/>
                <w:color w:val="auto"/>
              </w:rPr>
              <w:t>Director Since 1997</w:t>
            </w:r>
          </w:p>
        </w:tc>
        <w:tc>
          <w:tcPr>
            <w:tcW w:w="4260" w:type="dxa"/>
            <w:vAlign w:val="bottom"/>
          </w:tcPr>
          <w:p>
            <w:pPr>
              <w:ind w:left="680"/>
              <w:spacing w:after="0" w:line="202" w:lineRule="exact"/>
              <w:rPr>
                <w:sz w:val="20"/>
                <w:szCs w:val="20"/>
                <w:color w:val="auto"/>
              </w:rPr>
            </w:pPr>
            <w:r>
              <w:rPr>
                <w:rFonts w:ascii="Arial" w:cs="Arial" w:eastAsia="Arial" w:hAnsi="Arial"/>
                <w:sz w:val="18"/>
                <w:szCs w:val="18"/>
                <w:color w:val="auto"/>
              </w:rPr>
              <w:t>Dentsply Sirona</w:t>
            </w:r>
          </w:p>
        </w:tc>
        <w:tc>
          <w:tcPr>
            <w:tcW w:w="0" w:type="dxa"/>
            <w:vAlign w:val="bottom"/>
          </w:tcPr>
          <w:p>
            <w:pPr>
              <w:spacing w:after="0"/>
              <w:rPr>
                <w:sz w:val="1"/>
                <w:szCs w:val="1"/>
                <w:color w:val="auto"/>
              </w:rPr>
            </w:pPr>
          </w:p>
        </w:tc>
      </w:tr>
      <w:tr>
        <w:trPr>
          <w:trHeight w:val="95"/>
        </w:trPr>
        <w:tc>
          <w:tcPr>
            <w:tcW w:w="3080" w:type="dxa"/>
            <w:vAlign w:val="bottom"/>
            <w:vMerge w:val="continue"/>
          </w:tcPr>
          <w:p>
            <w:pPr>
              <w:spacing w:after="0"/>
              <w:rPr>
                <w:sz w:val="8"/>
                <w:szCs w:val="8"/>
                <w:color w:val="auto"/>
              </w:rPr>
            </w:pPr>
          </w:p>
        </w:tc>
        <w:tc>
          <w:tcPr>
            <w:tcW w:w="4260" w:type="dxa"/>
            <w:vAlign w:val="bottom"/>
            <w:vMerge w:val="restart"/>
          </w:tcPr>
          <w:p>
            <w:pPr>
              <w:ind w:left="680"/>
              <w:spacing w:after="0"/>
              <w:rPr>
                <w:sz w:val="20"/>
                <w:szCs w:val="20"/>
                <w:color w:val="auto"/>
              </w:rPr>
            </w:pPr>
            <w:r>
              <w:rPr>
                <w:rFonts w:ascii="Arial" w:cs="Arial" w:eastAsia="Arial" w:hAnsi="Arial"/>
                <w:sz w:val="18"/>
                <w:szCs w:val="18"/>
                <w:color w:val="auto"/>
              </w:rPr>
              <w:t>VWR International</w:t>
            </w:r>
          </w:p>
        </w:tc>
        <w:tc>
          <w:tcPr>
            <w:tcW w:w="0" w:type="dxa"/>
            <w:vAlign w:val="bottom"/>
          </w:tcPr>
          <w:p>
            <w:pPr>
              <w:spacing w:after="0"/>
              <w:rPr>
                <w:sz w:val="1"/>
                <w:szCs w:val="1"/>
                <w:color w:val="auto"/>
              </w:rPr>
            </w:pPr>
          </w:p>
        </w:tc>
      </w:tr>
      <w:tr>
        <w:trPr>
          <w:trHeight w:val="122"/>
        </w:trPr>
        <w:tc>
          <w:tcPr>
            <w:tcW w:w="3080" w:type="dxa"/>
            <w:vAlign w:val="bottom"/>
            <w:vMerge w:val="restart"/>
          </w:tcPr>
          <w:p>
            <w:pPr>
              <w:spacing w:after="0"/>
              <w:rPr>
                <w:sz w:val="20"/>
                <w:szCs w:val="20"/>
                <w:color w:val="auto"/>
              </w:rPr>
            </w:pPr>
            <w:r>
              <w:rPr>
                <w:rFonts w:ascii="Arial" w:cs="Arial" w:eastAsia="Arial" w:hAnsi="Arial"/>
                <w:sz w:val="18"/>
                <w:szCs w:val="18"/>
                <w:b w:val="1"/>
                <w:bCs w:val="1"/>
                <w:color w:val="auto"/>
              </w:rPr>
              <w:t>Age: 62</w:t>
            </w:r>
          </w:p>
        </w:tc>
        <w:tc>
          <w:tcPr>
            <w:tcW w:w="42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080" w:type="dxa"/>
            <w:vAlign w:val="bottom"/>
            <w:vMerge w:val="continue"/>
          </w:tcPr>
          <w:p>
            <w:pPr>
              <w:spacing w:after="0"/>
              <w:rPr>
                <w:sz w:val="12"/>
                <w:szCs w:val="12"/>
                <w:color w:val="auto"/>
              </w:rPr>
            </w:pPr>
          </w:p>
        </w:tc>
        <w:tc>
          <w:tcPr>
            <w:tcW w:w="4260" w:type="dxa"/>
            <w:vAlign w:val="bottom"/>
            <w:vMerge w:val="restart"/>
          </w:tcPr>
          <w:p>
            <w:pPr>
              <w:ind w:left="680"/>
              <w:spacing w:after="0"/>
              <w:rPr>
                <w:sz w:val="20"/>
                <w:szCs w:val="20"/>
                <w:color w:val="auto"/>
              </w:rPr>
            </w:pPr>
            <w:r>
              <w:rPr>
                <w:rFonts w:ascii="Arial" w:cs="Arial" w:eastAsia="Arial" w:hAnsi="Arial"/>
                <w:sz w:val="18"/>
                <w:szCs w:val="18"/>
                <w:b w:val="1"/>
                <w:bCs w:val="1"/>
                <w:color w:val="auto"/>
                <w:w w:val="99"/>
              </w:rPr>
              <w:t>Former Directorships During Past 5 Years</w:t>
            </w:r>
          </w:p>
        </w:tc>
        <w:tc>
          <w:tcPr>
            <w:tcW w:w="0" w:type="dxa"/>
            <w:vAlign w:val="bottom"/>
          </w:tcPr>
          <w:p>
            <w:pPr>
              <w:spacing w:after="0"/>
              <w:rPr>
                <w:sz w:val="1"/>
                <w:szCs w:val="1"/>
                <w:color w:val="auto"/>
              </w:rPr>
            </w:pPr>
          </w:p>
        </w:tc>
      </w:tr>
      <w:tr>
        <w:trPr>
          <w:trHeight w:val="107"/>
        </w:trPr>
        <w:tc>
          <w:tcPr>
            <w:tcW w:w="3080" w:type="dxa"/>
            <w:vAlign w:val="bottom"/>
            <w:vMerge w:val="restart"/>
          </w:tcPr>
          <w:p>
            <w:pPr>
              <w:spacing w:after="0"/>
              <w:rPr>
                <w:sz w:val="20"/>
                <w:szCs w:val="20"/>
                <w:color w:val="auto"/>
              </w:rPr>
            </w:pPr>
            <w:r>
              <w:rPr>
                <w:rFonts w:ascii="Arial" w:cs="Arial" w:eastAsia="Arial" w:hAnsi="Arial"/>
                <w:sz w:val="18"/>
                <w:szCs w:val="18"/>
                <w:b w:val="1"/>
                <w:bCs w:val="1"/>
                <w:color w:val="auto"/>
              </w:rPr>
              <w:t>Leidos Committees:</w:t>
            </w:r>
          </w:p>
        </w:tc>
        <w:tc>
          <w:tcPr>
            <w:tcW w:w="42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3"/>
        </w:trPr>
        <w:tc>
          <w:tcPr>
            <w:tcW w:w="3080" w:type="dxa"/>
            <w:vAlign w:val="bottom"/>
            <w:vMerge w:val="continue"/>
          </w:tcPr>
          <w:p>
            <w:pPr>
              <w:spacing w:after="0"/>
              <w:rPr>
                <w:sz w:val="14"/>
                <w:szCs w:val="14"/>
                <w:color w:val="auto"/>
              </w:rPr>
            </w:pPr>
          </w:p>
        </w:tc>
        <w:tc>
          <w:tcPr>
            <w:tcW w:w="4260" w:type="dxa"/>
            <w:vAlign w:val="bottom"/>
          </w:tcPr>
          <w:p>
            <w:pPr>
              <w:ind w:left="680"/>
              <w:spacing w:after="0" w:line="163" w:lineRule="exact"/>
              <w:rPr>
                <w:sz w:val="20"/>
                <w:szCs w:val="20"/>
                <w:color w:val="auto"/>
              </w:rPr>
            </w:pPr>
            <w:r>
              <w:rPr>
                <w:rFonts w:ascii="Arial" w:cs="Arial" w:eastAsia="Arial" w:hAnsi="Arial"/>
                <w:sz w:val="18"/>
                <w:szCs w:val="18"/>
                <w:color w:val="auto"/>
              </w:rPr>
              <w:t>Catamaran Corporation</w:t>
            </w:r>
          </w:p>
        </w:tc>
        <w:tc>
          <w:tcPr>
            <w:tcW w:w="0" w:type="dxa"/>
            <w:vAlign w:val="bottom"/>
          </w:tcPr>
          <w:p>
            <w:pPr>
              <w:spacing w:after="0"/>
              <w:rPr>
                <w:sz w:val="1"/>
                <w:szCs w:val="1"/>
                <w:color w:val="auto"/>
              </w:rPr>
            </w:pPr>
          </w:p>
        </w:tc>
      </w:tr>
      <w:tr>
        <w:trPr>
          <w:trHeight w:val="188"/>
        </w:trPr>
        <w:tc>
          <w:tcPr>
            <w:tcW w:w="3080" w:type="dxa"/>
            <w:vAlign w:val="bottom"/>
          </w:tcPr>
          <w:p>
            <w:pPr>
              <w:spacing w:after="0" w:line="189" w:lineRule="exact"/>
              <w:rPr>
                <w:sz w:val="20"/>
                <w:szCs w:val="20"/>
                <w:color w:val="auto"/>
              </w:rPr>
            </w:pPr>
            <w:r>
              <w:rPr>
                <w:rFonts w:ascii="Arial" w:cs="Arial" w:eastAsia="Arial" w:hAnsi="Arial"/>
                <w:sz w:val="18"/>
                <w:szCs w:val="18"/>
                <w:color w:val="auto"/>
              </w:rPr>
              <w:t>Audit (Chair)</w:t>
            </w:r>
          </w:p>
        </w:tc>
        <w:tc>
          <w:tcPr>
            <w:tcW w:w="4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3080" w:type="dxa"/>
            <w:vAlign w:val="bottom"/>
          </w:tcPr>
          <w:p>
            <w:pPr>
              <w:spacing w:after="0"/>
              <w:rPr>
                <w:sz w:val="20"/>
                <w:szCs w:val="20"/>
                <w:color w:val="auto"/>
              </w:rPr>
            </w:pPr>
            <w:r>
              <w:rPr>
                <w:rFonts w:ascii="Arial" w:cs="Arial" w:eastAsia="Arial" w:hAnsi="Arial"/>
                <w:sz w:val="18"/>
                <w:szCs w:val="18"/>
                <w:color w:val="auto"/>
              </w:rPr>
              <w:t>Finance</w:t>
            </w:r>
          </w:p>
        </w:tc>
        <w:tc>
          <w:tcPr>
            <w:tcW w:w="42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99" w:lineRule="exact"/>
        <w:rPr>
          <w:sz w:val="20"/>
          <w:szCs w:val="20"/>
          <w:color w:val="auto"/>
        </w:rPr>
      </w:pPr>
    </w:p>
    <w:p>
      <w:pPr>
        <w:spacing w:after="0" w:line="244" w:lineRule="auto"/>
        <w:rPr>
          <w:sz w:val="20"/>
          <w:szCs w:val="20"/>
          <w:color w:val="auto"/>
        </w:rPr>
      </w:pPr>
      <w:r>
        <w:rPr>
          <w:rFonts w:ascii="Arial" w:cs="Arial" w:eastAsia="Arial" w:hAnsi="Arial"/>
          <w:sz w:val="18"/>
          <w:szCs w:val="18"/>
          <w:b w:val="1"/>
          <w:bCs w:val="1"/>
          <w:color w:val="auto"/>
        </w:rPr>
        <w:t xml:space="preserve">Mr. Kraemer </w:t>
      </w:r>
      <w:r>
        <w:rPr>
          <w:rFonts w:ascii="Arial" w:cs="Arial" w:eastAsia="Arial" w:hAnsi="Arial"/>
          <w:sz w:val="18"/>
          <w:szCs w:val="18"/>
          <w:color w:val="auto"/>
        </w:rPr>
        <w:t>has been an executive partner of Madison Dearborn Partners, LLC, a private equity investment firm, since April 2005, and has</w:t>
      </w:r>
      <w:r>
        <w:rPr>
          <w:rFonts w:ascii="Arial" w:cs="Arial" w:eastAsia="Arial" w:hAnsi="Arial"/>
          <w:sz w:val="18"/>
          <w:szCs w:val="18"/>
          <w:b w:val="1"/>
          <w:bCs w:val="1"/>
          <w:color w:val="auto"/>
        </w:rPr>
        <w:t xml:space="preserve"> </w:t>
      </w:r>
      <w:r>
        <w:rPr>
          <w:rFonts w:ascii="Arial" w:cs="Arial" w:eastAsia="Arial" w:hAnsi="Arial"/>
          <w:sz w:val="18"/>
          <w:szCs w:val="18"/>
          <w:color w:val="auto"/>
        </w:rPr>
        <w:t>served as a professor at the Kellogg School of Management at Northwestern University since January 2005. Mr. Kraemer previously served as the Chairman of Baxter International, Inc., a healthcare products, systems and services company, from 2000 until 2004, as Chief Executive Officer of Baxter from 1999 until 2004, and as President of Baxter from 1997 until 2004. Mr. Kraemer also served as the Senior Vice President and Chief Financial Officer of Baxter from 1993 to 1997.</w:t>
      </w:r>
    </w:p>
    <w:p>
      <w:pPr>
        <w:spacing w:after="0" w:line="226"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Mr. Kraemer brings comprehensive executive management experience to our Board as a former Chairman, Chief Executive Officer and Chief Financial Officer of a major global corporation. His investment and health expertise, background in commercial and international business, qualification as an “audit committee financial expert” as defined by SEC rules, and thought leadership as a distinguished educator at a leading business school provide valuable contributions to our Board.</w:t>
      </w:r>
    </w:p>
    <w:p>
      <w:pPr>
        <w:spacing w:after="0" w:line="351" w:lineRule="exact"/>
        <w:rPr>
          <w:sz w:val="20"/>
          <w:szCs w:val="20"/>
          <w:color w:val="auto"/>
        </w:rPr>
      </w:pPr>
    </w:p>
    <w:tbl>
      <w:tblPr>
        <w:tblLayout w:type="fixed"/>
        <w:tblInd w:w="2640" w:type="dxa"/>
        <w:tblCellMar>
          <w:top w:w="0" w:type="dxa"/>
          <w:left w:w="0" w:type="dxa"/>
          <w:bottom w:w="0" w:type="dxa"/>
          <w:right w:w="0" w:type="dxa"/>
        </w:tblCellMar>
      </w:tblPr>
      <w:tr>
        <w:trPr>
          <w:trHeight w:val="207"/>
        </w:trPr>
        <w:tc>
          <w:tcPr>
            <w:tcW w:w="3220" w:type="dxa"/>
            <w:vAlign w:val="bottom"/>
          </w:tcPr>
          <w:p>
            <w:pPr>
              <w:spacing w:after="0"/>
              <w:rPr>
                <w:sz w:val="20"/>
                <w:szCs w:val="20"/>
                <w:color w:val="auto"/>
              </w:rPr>
            </w:pPr>
            <w:r>
              <w:rPr>
                <w:rFonts w:ascii="Arial" w:cs="Arial" w:eastAsia="Arial" w:hAnsi="Arial"/>
                <w:sz w:val="18"/>
                <w:szCs w:val="18"/>
                <w:b w:val="1"/>
                <w:bCs w:val="1"/>
                <w:color w:val="483E65"/>
              </w:rPr>
              <w:t>ROGER A. KRONE</w:t>
            </w:r>
          </w:p>
        </w:tc>
        <w:tc>
          <w:tcPr>
            <w:tcW w:w="3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3220" w:type="dxa"/>
            <w:vAlign w:val="bottom"/>
          </w:tcPr>
          <w:p>
            <w:pPr>
              <w:spacing w:after="0"/>
              <w:rPr>
                <w:sz w:val="20"/>
                <w:szCs w:val="20"/>
                <w:color w:val="auto"/>
              </w:rPr>
            </w:pPr>
            <w:r>
              <w:rPr>
                <w:rFonts w:ascii="Arial" w:cs="Arial" w:eastAsia="Arial" w:hAnsi="Arial"/>
                <w:sz w:val="18"/>
                <w:szCs w:val="18"/>
                <w:b w:val="1"/>
                <w:bCs w:val="1"/>
                <w:color w:val="483E65"/>
              </w:rPr>
              <w:t>Chair of the Board</w:t>
            </w:r>
          </w:p>
        </w:tc>
        <w:tc>
          <w:tcPr>
            <w:tcW w:w="3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3220" w:type="dxa"/>
            <w:vAlign w:val="bottom"/>
          </w:tcPr>
          <w:p>
            <w:pPr>
              <w:spacing w:after="0"/>
              <w:rPr>
                <w:sz w:val="20"/>
                <w:szCs w:val="20"/>
                <w:color w:val="auto"/>
              </w:rPr>
            </w:pPr>
            <w:r>
              <w:rPr>
                <w:rFonts w:ascii="Arial" w:cs="Arial" w:eastAsia="Arial" w:hAnsi="Arial"/>
                <w:sz w:val="18"/>
                <w:szCs w:val="18"/>
                <w:b w:val="1"/>
                <w:bCs w:val="1"/>
                <w:color w:val="auto"/>
              </w:rPr>
              <w:t>Director Since 2014</w:t>
            </w:r>
          </w:p>
        </w:tc>
        <w:tc>
          <w:tcPr>
            <w:tcW w:w="3000" w:type="dxa"/>
            <w:vAlign w:val="bottom"/>
            <w:vMerge w:val="restart"/>
          </w:tcPr>
          <w:p>
            <w:pPr>
              <w:ind w:left="540"/>
              <w:spacing w:after="0"/>
              <w:rPr>
                <w:sz w:val="20"/>
                <w:szCs w:val="20"/>
                <w:color w:val="auto"/>
              </w:rPr>
            </w:pPr>
            <w:r>
              <w:rPr>
                <w:rFonts w:ascii="Arial" w:cs="Arial" w:eastAsia="Arial" w:hAnsi="Arial"/>
                <w:sz w:val="18"/>
                <w:szCs w:val="18"/>
                <w:b w:val="1"/>
                <w:bCs w:val="1"/>
                <w:color w:val="auto"/>
                <w:w w:val="99"/>
              </w:rPr>
              <w:t>Current Public Directorships</w:t>
            </w:r>
          </w:p>
        </w:tc>
        <w:tc>
          <w:tcPr>
            <w:tcW w:w="0" w:type="dxa"/>
            <w:vAlign w:val="bottom"/>
          </w:tcPr>
          <w:p>
            <w:pPr>
              <w:spacing w:after="0"/>
              <w:rPr>
                <w:sz w:val="1"/>
                <w:szCs w:val="1"/>
                <w:color w:val="auto"/>
              </w:rPr>
            </w:pPr>
          </w:p>
        </w:tc>
      </w:tr>
      <w:tr>
        <w:trPr>
          <w:trHeight w:val="67"/>
        </w:trPr>
        <w:tc>
          <w:tcPr>
            <w:tcW w:w="3220" w:type="dxa"/>
            <w:vAlign w:val="bottom"/>
            <w:vMerge w:val="restart"/>
          </w:tcPr>
          <w:p>
            <w:pPr>
              <w:spacing w:after="0"/>
              <w:rPr>
                <w:sz w:val="20"/>
                <w:szCs w:val="20"/>
                <w:color w:val="auto"/>
              </w:rPr>
            </w:pPr>
            <w:r>
              <w:rPr>
                <w:rFonts w:ascii="Arial" w:cs="Arial" w:eastAsia="Arial" w:hAnsi="Arial"/>
                <w:sz w:val="18"/>
                <w:szCs w:val="18"/>
                <w:b w:val="1"/>
                <w:bCs w:val="1"/>
                <w:color w:val="auto"/>
              </w:rPr>
              <w:t>Age: 60</w:t>
            </w:r>
          </w:p>
        </w:tc>
        <w:tc>
          <w:tcPr>
            <w:tcW w:w="30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7"/>
        </w:trPr>
        <w:tc>
          <w:tcPr>
            <w:tcW w:w="3220" w:type="dxa"/>
            <w:vAlign w:val="bottom"/>
            <w:vMerge w:val="continue"/>
          </w:tcPr>
          <w:p>
            <w:pPr>
              <w:spacing w:after="0"/>
              <w:rPr>
                <w:sz w:val="18"/>
                <w:szCs w:val="18"/>
                <w:color w:val="auto"/>
              </w:rPr>
            </w:pPr>
          </w:p>
        </w:tc>
        <w:tc>
          <w:tcPr>
            <w:tcW w:w="3000" w:type="dxa"/>
            <w:vAlign w:val="bottom"/>
          </w:tcPr>
          <w:p>
            <w:pPr>
              <w:ind w:left="540"/>
              <w:spacing w:after="0"/>
              <w:rPr>
                <w:sz w:val="20"/>
                <w:szCs w:val="20"/>
                <w:color w:val="auto"/>
              </w:rPr>
            </w:pPr>
            <w:r>
              <w:rPr>
                <w:rFonts w:ascii="Arial" w:cs="Arial" w:eastAsia="Arial" w:hAnsi="Arial"/>
                <w:sz w:val="18"/>
                <w:szCs w:val="18"/>
                <w:color w:val="auto"/>
              </w:rPr>
              <w:t>BorgWarner Inc.</w:t>
            </w:r>
          </w:p>
        </w:tc>
        <w:tc>
          <w:tcPr>
            <w:tcW w:w="0" w:type="dxa"/>
            <w:vAlign w:val="bottom"/>
          </w:tcPr>
          <w:p>
            <w:pPr>
              <w:spacing w:after="0"/>
              <w:rPr>
                <w:sz w:val="1"/>
                <w:szCs w:val="1"/>
                <w:color w:val="auto"/>
              </w:rPr>
            </w:pPr>
          </w:p>
        </w:tc>
      </w:tr>
      <w:tr>
        <w:trPr>
          <w:trHeight w:val="242"/>
        </w:trPr>
        <w:tc>
          <w:tcPr>
            <w:tcW w:w="3220" w:type="dxa"/>
            <w:vAlign w:val="bottom"/>
          </w:tcPr>
          <w:p>
            <w:pPr>
              <w:spacing w:after="0"/>
              <w:rPr>
                <w:sz w:val="20"/>
                <w:szCs w:val="20"/>
                <w:color w:val="auto"/>
              </w:rPr>
            </w:pPr>
            <w:r>
              <w:rPr>
                <w:rFonts w:ascii="Arial" w:cs="Arial" w:eastAsia="Arial" w:hAnsi="Arial"/>
                <w:sz w:val="18"/>
                <w:szCs w:val="18"/>
                <w:b w:val="1"/>
                <w:bCs w:val="1"/>
                <w:color w:val="auto"/>
              </w:rPr>
              <w:t>Leidos Committees:</w:t>
            </w:r>
          </w:p>
        </w:tc>
        <w:tc>
          <w:tcPr>
            <w:tcW w:w="3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3220" w:type="dxa"/>
            <w:vAlign w:val="bottom"/>
          </w:tcPr>
          <w:p>
            <w:pPr>
              <w:spacing w:after="0" w:line="202" w:lineRule="exact"/>
              <w:rPr>
                <w:sz w:val="20"/>
                <w:szCs w:val="20"/>
                <w:color w:val="auto"/>
              </w:rPr>
            </w:pPr>
            <w:r>
              <w:rPr>
                <w:rFonts w:ascii="Arial" w:cs="Arial" w:eastAsia="Arial" w:hAnsi="Arial"/>
                <w:sz w:val="18"/>
                <w:szCs w:val="18"/>
                <w:color w:val="auto"/>
              </w:rPr>
              <w:t>Classified Business Oversight</w:t>
            </w:r>
          </w:p>
        </w:tc>
        <w:tc>
          <w:tcPr>
            <w:tcW w:w="3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3220" w:type="dxa"/>
            <w:vAlign w:val="bottom"/>
          </w:tcPr>
          <w:p>
            <w:pPr>
              <w:spacing w:after="0"/>
              <w:rPr>
                <w:sz w:val="20"/>
                <w:szCs w:val="20"/>
                <w:color w:val="auto"/>
              </w:rPr>
            </w:pPr>
            <w:r>
              <w:rPr>
                <w:rFonts w:ascii="Arial" w:cs="Arial" w:eastAsia="Arial" w:hAnsi="Arial"/>
                <w:sz w:val="18"/>
                <w:szCs w:val="18"/>
                <w:color w:val="auto"/>
              </w:rPr>
              <w:t>Ethics &amp; Corporate Responsibility</w:t>
            </w:r>
          </w:p>
        </w:tc>
        <w:tc>
          <w:tcPr>
            <w:tcW w:w="30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-1071245</wp:posOffset>
            </wp:positionV>
            <wp:extent cx="986155" cy="11493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986155" cy="1149350"/>
                    </a:xfrm>
                    <a:prstGeom prst="rect">
                      <a:avLst/>
                    </a:prstGeom>
                    <a:noFill/>
                  </pic:spPr>
                </pic:pic>
              </a:graphicData>
            </a:graphic>
          </wp:anchor>
        </w:drawing>
      </w:r>
    </w:p>
    <w:p>
      <w:pPr>
        <w:spacing w:after="0" w:line="200" w:lineRule="exact"/>
        <w:rPr>
          <w:sz w:val="20"/>
          <w:szCs w:val="20"/>
          <w:color w:val="auto"/>
        </w:rPr>
      </w:pPr>
    </w:p>
    <w:p>
      <w:pPr>
        <w:ind w:right="60"/>
        <w:spacing w:after="0" w:line="241" w:lineRule="auto"/>
        <w:rPr>
          <w:sz w:val="20"/>
          <w:szCs w:val="20"/>
          <w:color w:val="auto"/>
        </w:rPr>
      </w:pPr>
      <w:r>
        <w:rPr>
          <w:rFonts w:ascii="Arial" w:cs="Arial" w:eastAsia="Arial" w:hAnsi="Arial"/>
          <w:sz w:val="18"/>
          <w:szCs w:val="18"/>
          <w:b w:val="1"/>
          <w:bCs w:val="1"/>
          <w:color w:val="auto"/>
        </w:rPr>
        <w:t xml:space="preserve">Roger A. Krone </w:t>
      </w:r>
      <w:r>
        <w:rPr>
          <w:rFonts w:ascii="Arial" w:cs="Arial" w:eastAsia="Arial" w:hAnsi="Arial"/>
          <w:sz w:val="18"/>
          <w:szCs w:val="18"/>
          <w:color w:val="auto"/>
        </w:rPr>
        <w:t>has served as our Chief Executive Officer since July 2014 and as the Chair of the Board since March 2015. Prior to his</w:t>
      </w:r>
      <w:r>
        <w:rPr>
          <w:rFonts w:ascii="Arial" w:cs="Arial" w:eastAsia="Arial" w:hAnsi="Arial"/>
          <w:sz w:val="18"/>
          <w:szCs w:val="18"/>
          <w:b w:val="1"/>
          <w:bCs w:val="1"/>
          <w:color w:val="auto"/>
        </w:rPr>
        <w:t xml:space="preserve"> </w:t>
      </w:r>
      <w:r>
        <w:rPr>
          <w:rFonts w:ascii="Arial" w:cs="Arial" w:eastAsia="Arial" w:hAnsi="Arial"/>
          <w:sz w:val="18"/>
          <w:szCs w:val="18"/>
          <w:color w:val="auto"/>
        </w:rPr>
        <w:t>appointment as our Chief Executive Officer, Mr. Krone served as President of Network and Space Systems for The Boeing Company since 2006. Mr. Krone previously held various senior program management and finance positions at Boeing, McDonnell Douglas Corp. and General Dynamics, including Vice President and General Manager of Boeing’s Army Systems division, Vice President of strategic programs at Boeing, Vice President and Treasurer of McDonnell Douglas and positions in program management, engineering and finance at General Dynamics. Mr. Krone earned a Bachelor’s degree in Aerospace Engineering from Georgia Institute of Technology, a Master’s Degree in Aerospace Engineering from the University of Texas at Arlington and a Master of Business Administration from Harvard Graduate School of Business.</w:t>
      </w:r>
    </w:p>
    <w:p>
      <w:pPr>
        <w:spacing w:after="0" w:line="228" w:lineRule="exact"/>
        <w:rPr>
          <w:sz w:val="20"/>
          <w:szCs w:val="20"/>
          <w:color w:val="auto"/>
        </w:rPr>
      </w:pPr>
    </w:p>
    <w:p>
      <w:pPr>
        <w:ind w:right="260"/>
        <w:spacing w:after="0"/>
        <w:rPr>
          <w:sz w:val="20"/>
          <w:szCs w:val="20"/>
          <w:color w:val="auto"/>
        </w:rPr>
      </w:pPr>
      <w:r>
        <w:rPr>
          <w:rFonts w:ascii="Arial" w:cs="Arial" w:eastAsia="Arial" w:hAnsi="Arial"/>
          <w:sz w:val="18"/>
          <w:szCs w:val="18"/>
          <w:color w:val="auto"/>
        </w:rPr>
        <w:t>Mr. Krone’s in-depth knowledge of our industry gained by decades of experience in a variety of roles at leading companies provide valuable insights and leadership for our Board. In addition, our Board believes that the Chief Executive Officer should serve on the Board to help communicate the Board’s priorities to management and management’s perspective to the Board.</w:t>
      </w:r>
    </w:p>
    <w:p>
      <w:pPr>
        <w:spacing w:after="0" w:line="132" w:lineRule="exact"/>
        <w:rPr>
          <w:sz w:val="20"/>
          <w:szCs w:val="20"/>
          <w:color w:val="auto"/>
        </w:rPr>
      </w:pPr>
    </w:p>
    <w:p>
      <w:pPr>
        <w:ind w:left="280" w:hanging="272"/>
        <w:spacing w:after="0"/>
        <w:tabs>
          <w:tab w:leader="none" w:pos="280" w:val="left"/>
        </w:tabs>
        <w:numPr>
          <w:ilvl w:val="0"/>
          <w:numId w:val="16"/>
        </w:numPr>
        <w:rPr>
          <w:rFonts w:ascii="Arial" w:cs="Arial" w:eastAsia="Arial" w:hAnsi="Arial"/>
          <w:sz w:val="16"/>
          <w:szCs w:val="16"/>
          <w:b w:val="1"/>
          <w:bCs w:val="1"/>
          <w:color w:val="483E65"/>
        </w:rPr>
      </w:pPr>
      <w:r>
        <w:rPr>
          <w:rFonts w:ascii="Arial" w:cs="Arial" w:eastAsia="Arial" w:hAnsi="Arial"/>
          <w:sz w:val="16"/>
          <w:szCs w:val="16"/>
          <w:b w:val="1"/>
          <w:bCs w:val="1"/>
          <w:color w:val="483E65"/>
        </w:rPr>
        <w:t>|  2017 Proxy Statement</w:t>
      </w:r>
    </w:p>
    <w:p>
      <w:pPr>
        <w:sectPr>
          <w:pgSz w:w="11900" w:h="16838" w:orient="portrait"/>
          <w:cols w:equalWidth="0" w:num="1">
            <w:col w:w="11340"/>
          </w:cols>
          <w:pgMar w:left="240" w:top="459" w:right="31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8" w:lineRule="exact"/>
        <w:rPr>
          <w:sz w:val="20"/>
          <w:szCs w:val="20"/>
          <w:color w:val="auto"/>
        </w:rPr>
      </w:pPr>
    </w:p>
    <w:p>
      <w:pPr>
        <w:spacing w:after="0"/>
        <w:rPr>
          <w:sz w:val="20"/>
          <w:szCs w:val="20"/>
          <w:color w:val="auto"/>
        </w:rPr>
      </w:pPr>
      <w:r>
        <w:rPr>
          <w:rFonts w:ascii="Arial" w:cs="Arial" w:eastAsia="Arial" w:hAnsi="Arial"/>
          <w:sz w:val="32"/>
          <w:szCs w:val="32"/>
          <w:color w:val="483E65"/>
        </w:rPr>
        <w:t>Proposal 1 —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149860</wp:posOffset>
            </wp:positionV>
            <wp:extent cx="72466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509905</wp:posOffset>
            </wp:positionV>
            <wp:extent cx="986155" cy="11493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986155" cy="1149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483E65"/>
        </w:rPr>
        <w:t>GARY S. MAY</w:t>
      </w:r>
    </w:p>
    <w:p>
      <w:pPr>
        <w:spacing w:after="0" w:line="117"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Director Since 2015</w:t>
      </w:r>
    </w:p>
    <w:p>
      <w:pPr>
        <w:spacing w:after="0" w:line="63"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Age: 52</w:t>
      </w:r>
    </w:p>
    <w:p>
      <w:pPr>
        <w:spacing w:after="0" w:line="63"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Leidos Committees:</w:t>
      </w:r>
    </w:p>
    <w:p>
      <w:pPr>
        <w:spacing w:after="0" w:line="13" w:lineRule="exact"/>
        <w:rPr>
          <w:sz w:val="20"/>
          <w:szCs w:val="20"/>
          <w:color w:val="auto"/>
        </w:rPr>
      </w:pPr>
    </w:p>
    <w:p>
      <w:pPr>
        <w:ind w:left="2640"/>
        <w:spacing w:after="0"/>
        <w:rPr>
          <w:sz w:val="20"/>
          <w:szCs w:val="20"/>
          <w:color w:val="auto"/>
        </w:rPr>
      </w:pPr>
      <w:r>
        <w:rPr>
          <w:rFonts w:ascii="Arial" w:cs="Arial" w:eastAsia="Arial" w:hAnsi="Arial"/>
          <w:sz w:val="18"/>
          <w:szCs w:val="18"/>
          <w:color w:val="auto"/>
        </w:rPr>
        <w:t>Ethics &amp; Corporate Responsibility</w:t>
      </w:r>
    </w:p>
    <w:p>
      <w:pPr>
        <w:ind w:left="2640"/>
        <w:spacing w:after="0"/>
        <w:rPr>
          <w:sz w:val="20"/>
          <w:szCs w:val="20"/>
          <w:color w:val="auto"/>
        </w:rPr>
      </w:pPr>
      <w:r>
        <w:rPr>
          <w:rFonts w:ascii="Arial" w:cs="Arial" w:eastAsia="Arial" w:hAnsi="Arial"/>
          <w:sz w:val="18"/>
          <w:szCs w:val="18"/>
          <w:color w:val="auto"/>
        </w:rPr>
        <w:t>Human Resources &amp; Compensation</w:t>
      </w:r>
    </w:p>
    <w:p>
      <w:pPr>
        <w:spacing w:after="0" w:line="109" w:lineRule="exact"/>
        <w:rPr>
          <w:sz w:val="20"/>
          <w:szCs w:val="20"/>
          <w:color w:val="auto"/>
        </w:rPr>
      </w:pPr>
    </w:p>
    <w:p>
      <w:pPr>
        <w:ind w:right="140"/>
        <w:spacing w:after="0" w:line="242" w:lineRule="auto"/>
        <w:rPr>
          <w:sz w:val="20"/>
          <w:szCs w:val="20"/>
          <w:color w:val="auto"/>
        </w:rPr>
      </w:pPr>
      <w:r>
        <w:rPr>
          <w:rFonts w:ascii="Arial" w:cs="Arial" w:eastAsia="Arial" w:hAnsi="Arial"/>
          <w:sz w:val="18"/>
          <w:szCs w:val="18"/>
          <w:b w:val="1"/>
          <w:bCs w:val="1"/>
          <w:color w:val="auto"/>
        </w:rPr>
        <w:t xml:space="preserve">Dr. May </w:t>
      </w:r>
      <w:r>
        <w:rPr>
          <w:rFonts w:ascii="Arial" w:cs="Arial" w:eastAsia="Arial" w:hAnsi="Arial"/>
          <w:sz w:val="18"/>
          <w:szCs w:val="18"/>
          <w:color w:val="auto"/>
        </w:rPr>
        <w:t>has served as the Dean of the College of Engineering at the Georgia Institute of Technology since June 2011. Prior to this, Dr. May</w:t>
      </w:r>
      <w:r>
        <w:rPr>
          <w:rFonts w:ascii="Arial" w:cs="Arial" w:eastAsia="Arial" w:hAnsi="Arial"/>
          <w:sz w:val="18"/>
          <w:szCs w:val="18"/>
          <w:b w:val="1"/>
          <w:bCs w:val="1"/>
          <w:color w:val="auto"/>
        </w:rPr>
        <w:t xml:space="preserve"> </w:t>
      </w:r>
      <w:r>
        <w:rPr>
          <w:rFonts w:ascii="Arial" w:cs="Arial" w:eastAsia="Arial" w:hAnsi="Arial"/>
          <w:sz w:val="18"/>
          <w:szCs w:val="18"/>
          <w:color w:val="auto"/>
        </w:rPr>
        <w:t>served as the Chair of the School of Electrical and Computer Engineering from 2005 to 2011 and was the executive assistant to Georgia Tech President G. Wayne Clough from 2002 to 2005. May was a National Science Foundation and an AT&amp;T Bell Laboratories graduate fellow and has worked as a member of the technical staff at AT&amp;T Bell Laboratories. He is a member of the National Advisory Board of the National Society of Black Engineers. In February 2017, Dr. May was appointed as Chancellor of the University of California, Davis to begin in August 2017.</w:t>
      </w:r>
    </w:p>
    <w:p>
      <w:pPr>
        <w:spacing w:after="0" w:line="228"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Dr. May is a distinguished researcher in the field of computer-aided manufacturing of integrated circuits (IC). He has authored over 200 articles and technical presentations in the area of IC computer-aided manufacturing and has been honored with numerous awards and distinctions for his work. As an accomplished engineer with leadership experience at a prominent academic institution and expertise in areas relevant to our business, Dr. May provides special insight and perspectives that the Board views as important to us as a leading science and technology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240665</wp:posOffset>
            </wp:positionV>
            <wp:extent cx="986155" cy="11493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986155" cy="1149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2640" w:type="dxa"/>
        <w:tblCellMar>
          <w:top w:w="0" w:type="dxa"/>
          <w:left w:w="0" w:type="dxa"/>
          <w:bottom w:w="0" w:type="dxa"/>
          <w:right w:w="0" w:type="dxa"/>
        </w:tblCellMar>
      </w:tblPr>
      <w:tr>
        <w:trPr>
          <w:trHeight w:val="239"/>
        </w:trPr>
        <w:tc>
          <w:tcPr>
            <w:tcW w:w="3580" w:type="dxa"/>
            <w:vAlign w:val="bottom"/>
          </w:tcPr>
          <w:p>
            <w:pPr>
              <w:spacing w:after="0"/>
              <w:rPr>
                <w:sz w:val="20"/>
                <w:szCs w:val="20"/>
                <w:color w:val="auto"/>
              </w:rPr>
            </w:pPr>
            <w:r>
              <w:rPr>
                <w:rFonts w:ascii="Arial" w:cs="Arial" w:eastAsia="Arial" w:hAnsi="Arial"/>
                <w:sz w:val="18"/>
                <w:szCs w:val="18"/>
                <w:b w:val="1"/>
                <w:bCs w:val="1"/>
                <w:color w:val="483E65"/>
              </w:rPr>
              <w:t>SURYA N. MOHAPATRA</w:t>
            </w:r>
          </w:p>
        </w:tc>
        <w:tc>
          <w:tcPr>
            <w:tcW w:w="3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580" w:type="dxa"/>
            <w:vAlign w:val="bottom"/>
          </w:tcPr>
          <w:p>
            <w:pPr>
              <w:spacing w:after="0"/>
              <w:rPr>
                <w:sz w:val="20"/>
                <w:szCs w:val="20"/>
                <w:color w:val="auto"/>
              </w:rPr>
            </w:pPr>
            <w:r>
              <w:rPr>
                <w:rFonts w:ascii="Arial" w:cs="Arial" w:eastAsia="Arial" w:hAnsi="Arial"/>
                <w:sz w:val="18"/>
                <w:szCs w:val="18"/>
                <w:b w:val="1"/>
                <w:bCs w:val="1"/>
                <w:color w:val="auto"/>
              </w:rPr>
              <w:t>Director Since 2016</w:t>
            </w:r>
          </w:p>
        </w:tc>
        <w:tc>
          <w:tcPr>
            <w:tcW w:w="3080" w:type="dxa"/>
            <w:vAlign w:val="bottom"/>
          </w:tcPr>
          <w:p>
            <w:pPr>
              <w:ind w:left="640"/>
              <w:spacing w:after="0"/>
              <w:rPr>
                <w:sz w:val="20"/>
                <w:szCs w:val="20"/>
                <w:color w:val="auto"/>
              </w:rPr>
            </w:pPr>
            <w:r>
              <w:rPr>
                <w:rFonts w:ascii="Arial" w:cs="Arial" w:eastAsia="Arial" w:hAnsi="Arial"/>
                <w:sz w:val="18"/>
                <w:szCs w:val="18"/>
                <w:b w:val="1"/>
                <w:bCs w:val="1"/>
                <w:color w:val="auto"/>
                <w:w w:val="98"/>
              </w:rPr>
              <w:t>Current Public Directorships</w:t>
            </w:r>
          </w:p>
        </w:tc>
        <w:tc>
          <w:tcPr>
            <w:tcW w:w="0" w:type="dxa"/>
            <w:vAlign w:val="bottom"/>
          </w:tcPr>
          <w:p>
            <w:pPr>
              <w:spacing w:after="0"/>
              <w:rPr>
                <w:sz w:val="1"/>
                <w:szCs w:val="1"/>
                <w:color w:val="auto"/>
              </w:rPr>
            </w:pPr>
          </w:p>
        </w:tc>
      </w:tr>
      <w:tr>
        <w:trPr>
          <w:trHeight w:val="217"/>
        </w:trPr>
        <w:tc>
          <w:tcPr>
            <w:tcW w:w="3580" w:type="dxa"/>
            <w:vAlign w:val="bottom"/>
            <w:vMerge w:val="restart"/>
          </w:tcPr>
          <w:p>
            <w:pPr>
              <w:spacing w:after="0"/>
              <w:rPr>
                <w:sz w:val="20"/>
                <w:szCs w:val="20"/>
                <w:color w:val="auto"/>
              </w:rPr>
            </w:pPr>
            <w:r>
              <w:rPr>
                <w:rFonts w:ascii="Arial" w:cs="Arial" w:eastAsia="Arial" w:hAnsi="Arial"/>
                <w:sz w:val="18"/>
                <w:szCs w:val="18"/>
                <w:b w:val="1"/>
                <w:bCs w:val="1"/>
                <w:color w:val="auto"/>
              </w:rPr>
              <w:t>Age: 67</w:t>
            </w:r>
          </w:p>
        </w:tc>
        <w:tc>
          <w:tcPr>
            <w:tcW w:w="3080" w:type="dxa"/>
            <w:vAlign w:val="bottom"/>
          </w:tcPr>
          <w:p>
            <w:pPr>
              <w:ind w:left="640"/>
              <w:spacing w:after="0"/>
              <w:rPr>
                <w:sz w:val="20"/>
                <w:szCs w:val="20"/>
                <w:color w:val="auto"/>
              </w:rPr>
            </w:pPr>
            <w:r>
              <w:rPr>
                <w:rFonts w:ascii="Arial" w:cs="Arial" w:eastAsia="Arial" w:hAnsi="Arial"/>
                <w:sz w:val="18"/>
                <w:szCs w:val="18"/>
                <w:color w:val="auto"/>
              </w:rPr>
              <w:t>Xylem Inc.</w:t>
            </w:r>
          </w:p>
        </w:tc>
        <w:tc>
          <w:tcPr>
            <w:tcW w:w="0" w:type="dxa"/>
            <w:vAlign w:val="bottom"/>
          </w:tcPr>
          <w:p>
            <w:pPr>
              <w:spacing w:after="0"/>
              <w:rPr>
                <w:sz w:val="1"/>
                <w:szCs w:val="1"/>
                <w:color w:val="auto"/>
              </w:rPr>
            </w:pPr>
          </w:p>
        </w:tc>
      </w:tr>
      <w:tr>
        <w:trPr>
          <w:trHeight w:val="107"/>
        </w:trPr>
        <w:tc>
          <w:tcPr>
            <w:tcW w:w="3580" w:type="dxa"/>
            <w:vAlign w:val="bottom"/>
            <w:vMerge w:val="continue"/>
          </w:tcPr>
          <w:p>
            <w:pPr>
              <w:spacing w:after="0"/>
              <w:rPr>
                <w:sz w:val="9"/>
                <w:szCs w:val="9"/>
                <w:color w:val="auto"/>
              </w:rPr>
            </w:pPr>
          </w:p>
        </w:tc>
        <w:tc>
          <w:tcPr>
            <w:tcW w:w="3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6"/>
        </w:trPr>
        <w:tc>
          <w:tcPr>
            <w:tcW w:w="3580" w:type="dxa"/>
            <w:vAlign w:val="bottom"/>
          </w:tcPr>
          <w:p>
            <w:pPr>
              <w:spacing w:after="0"/>
              <w:rPr>
                <w:sz w:val="20"/>
                <w:szCs w:val="20"/>
                <w:color w:val="auto"/>
              </w:rPr>
            </w:pPr>
            <w:r>
              <w:rPr>
                <w:rFonts w:ascii="Arial" w:cs="Arial" w:eastAsia="Arial" w:hAnsi="Arial"/>
                <w:sz w:val="18"/>
                <w:szCs w:val="18"/>
                <w:b w:val="1"/>
                <w:bCs w:val="1"/>
                <w:color w:val="auto"/>
              </w:rPr>
              <w:t>Leidos Committees:</w:t>
            </w:r>
          </w:p>
        </w:tc>
        <w:tc>
          <w:tcPr>
            <w:tcW w:w="3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3580" w:type="dxa"/>
            <w:vAlign w:val="bottom"/>
          </w:tcPr>
          <w:p>
            <w:pPr>
              <w:spacing w:after="0" w:line="202" w:lineRule="exact"/>
              <w:rPr>
                <w:sz w:val="20"/>
                <w:szCs w:val="20"/>
                <w:color w:val="auto"/>
              </w:rPr>
            </w:pPr>
            <w:r>
              <w:rPr>
                <w:rFonts w:ascii="Arial" w:cs="Arial" w:eastAsia="Arial" w:hAnsi="Arial"/>
                <w:sz w:val="18"/>
                <w:szCs w:val="18"/>
                <w:color w:val="auto"/>
              </w:rPr>
              <w:t>Nominating &amp; Corporate Governance</w:t>
            </w:r>
          </w:p>
        </w:tc>
        <w:tc>
          <w:tcPr>
            <w:tcW w:w="3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3580" w:type="dxa"/>
            <w:vAlign w:val="bottom"/>
          </w:tcPr>
          <w:p>
            <w:pPr>
              <w:spacing w:after="0"/>
              <w:rPr>
                <w:sz w:val="20"/>
                <w:szCs w:val="20"/>
                <w:color w:val="auto"/>
              </w:rPr>
            </w:pPr>
            <w:r>
              <w:rPr>
                <w:rFonts w:ascii="Arial" w:cs="Arial" w:eastAsia="Arial" w:hAnsi="Arial"/>
                <w:sz w:val="18"/>
                <w:szCs w:val="18"/>
                <w:color w:val="auto"/>
              </w:rPr>
              <w:t>Human Resources &amp; Compensation</w:t>
            </w:r>
          </w:p>
        </w:tc>
        <w:tc>
          <w:tcPr>
            <w:tcW w:w="30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99" w:lineRule="exact"/>
        <w:rPr>
          <w:sz w:val="20"/>
          <w:szCs w:val="20"/>
          <w:color w:val="auto"/>
        </w:rPr>
      </w:pPr>
    </w:p>
    <w:p>
      <w:pPr>
        <w:ind w:right="100"/>
        <w:spacing w:after="0" w:line="244" w:lineRule="auto"/>
        <w:rPr>
          <w:sz w:val="20"/>
          <w:szCs w:val="20"/>
          <w:color w:val="auto"/>
        </w:rPr>
      </w:pPr>
      <w:r>
        <w:rPr>
          <w:rFonts w:ascii="Arial" w:cs="Arial" w:eastAsia="Arial" w:hAnsi="Arial"/>
          <w:sz w:val="18"/>
          <w:szCs w:val="18"/>
          <w:b w:val="1"/>
          <w:bCs w:val="1"/>
          <w:color w:val="auto"/>
        </w:rPr>
        <w:t xml:space="preserve">Dr. Mohapatra </w:t>
      </w:r>
      <w:r>
        <w:rPr>
          <w:rFonts w:ascii="Arial" w:cs="Arial" w:eastAsia="Arial" w:hAnsi="Arial"/>
          <w:sz w:val="18"/>
          <w:szCs w:val="18"/>
          <w:color w:val="auto"/>
        </w:rPr>
        <w:t>has held senior leadership positions in the health care industry for more than 30 years, most recently as the Chairman,</w:t>
      </w:r>
      <w:r>
        <w:rPr>
          <w:rFonts w:ascii="Arial" w:cs="Arial" w:eastAsia="Arial" w:hAnsi="Arial"/>
          <w:sz w:val="18"/>
          <w:szCs w:val="18"/>
          <w:b w:val="1"/>
          <w:bCs w:val="1"/>
          <w:color w:val="auto"/>
        </w:rPr>
        <w:t xml:space="preserve"> </w:t>
      </w:r>
      <w:r>
        <w:rPr>
          <w:rFonts w:ascii="Arial" w:cs="Arial" w:eastAsia="Arial" w:hAnsi="Arial"/>
          <w:sz w:val="18"/>
          <w:szCs w:val="18"/>
          <w:color w:val="auto"/>
        </w:rPr>
        <w:t>President and Chief Executive Officer of Quest Diagnostics Incorporated, a leading provider of diagnostic testing, information and services where he had been a senior executive since 1999. Dr. Mohapatra is a past Board member of the ITT Corporation and is currently a member of the board of Xylem Inc., a leading global water technology and transport company. He is also a Trustee of The Rockefeller University and an Executive in Residence at the Columbia Business School.</w:t>
      </w:r>
    </w:p>
    <w:p>
      <w:pPr>
        <w:spacing w:after="0" w:line="226" w:lineRule="exact"/>
        <w:rPr>
          <w:sz w:val="20"/>
          <w:szCs w:val="20"/>
          <w:color w:val="auto"/>
        </w:rPr>
      </w:pPr>
    </w:p>
    <w:p>
      <w:pPr>
        <w:ind w:right="480"/>
        <w:spacing w:after="0" w:line="246" w:lineRule="auto"/>
        <w:rPr>
          <w:sz w:val="20"/>
          <w:szCs w:val="20"/>
          <w:color w:val="auto"/>
        </w:rPr>
      </w:pPr>
      <w:r>
        <w:rPr>
          <w:rFonts w:ascii="Arial" w:cs="Arial" w:eastAsia="Arial" w:hAnsi="Arial"/>
          <w:sz w:val="18"/>
          <w:szCs w:val="18"/>
          <w:color w:val="auto"/>
        </w:rPr>
        <w:t>Our Board believes that Dr. Mohapatra’s extensive executive leadership experience in the health care industry and service on other major public company boards provides valuable perspectives to our Board.</w:t>
      </w:r>
    </w:p>
    <w:p>
      <w:pPr>
        <w:spacing w:after="0" w:line="126" w:lineRule="exact"/>
        <w:rPr>
          <w:sz w:val="20"/>
          <w:szCs w:val="20"/>
          <w:color w:val="auto"/>
        </w:rPr>
      </w:pPr>
    </w:p>
    <w:p>
      <w:pPr>
        <w:jc w:val="right"/>
        <w:spacing w:after="0"/>
        <w:tabs>
          <w:tab w:leader="none" w:pos="300" w:val="left"/>
          <w:tab w:leader="none" w:pos="60" w:val="left"/>
        </w:tabs>
        <w:rPr>
          <w:sz w:val="20"/>
          <w:szCs w:val="20"/>
          <w:color w:val="auto"/>
        </w:rPr>
      </w:pPr>
      <w:r>
        <w:rPr>
          <w:rFonts w:ascii="Arial" w:cs="Arial" w:eastAsia="Arial" w:hAnsi="Arial"/>
          <w:sz w:val="16"/>
          <w:szCs w:val="16"/>
          <w:b w:val="1"/>
          <w:bCs w:val="1"/>
          <w:color w:val="483E65"/>
        </w:rPr>
        <w:t>2017 Proxy Statement</w:t>
        <w:tab/>
        <w:t>|</w:t>
      </w:r>
      <w:r>
        <w:rPr>
          <w:sz w:val="20"/>
          <w:szCs w:val="20"/>
          <w:color w:val="auto"/>
        </w:rPr>
        <w:tab/>
      </w:r>
      <w:r>
        <w:rPr>
          <w:rFonts w:ascii="Arial" w:cs="Arial" w:eastAsia="Arial" w:hAnsi="Arial"/>
          <w:sz w:val="14"/>
          <w:szCs w:val="14"/>
          <w:b w:val="1"/>
          <w:bCs w:val="1"/>
          <w:color w:val="483E65"/>
        </w:rPr>
        <w:t>9</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8" w:lineRule="exact"/>
        <w:rPr>
          <w:sz w:val="20"/>
          <w:szCs w:val="20"/>
          <w:color w:val="auto"/>
        </w:rPr>
      </w:pPr>
    </w:p>
    <w:p>
      <w:pPr>
        <w:spacing w:after="0"/>
        <w:rPr>
          <w:sz w:val="20"/>
          <w:szCs w:val="20"/>
          <w:color w:val="auto"/>
        </w:rPr>
      </w:pPr>
      <w:r>
        <w:rPr>
          <w:rFonts w:ascii="Arial" w:cs="Arial" w:eastAsia="Arial" w:hAnsi="Arial"/>
          <w:sz w:val="32"/>
          <w:szCs w:val="32"/>
          <w:color w:val="483E65"/>
        </w:rPr>
        <w:t>Proposal 1 —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149860</wp:posOffset>
            </wp:positionV>
            <wp:extent cx="72466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tbl>
      <w:tblPr>
        <w:tblLayout w:type="fixed"/>
        <w:tblInd w:w="2640" w:type="dxa"/>
        <w:tblCellMar>
          <w:top w:w="0" w:type="dxa"/>
          <w:left w:w="0" w:type="dxa"/>
          <w:bottom w:w="0" w:type="dxa"/>
          <w:right w:w="0" w:type="dxa"/>
        </w:tblCellMar>
      </w:tblPr>
      <w:tr>
        <w:trPr>
          <w:trHeight w:val="207"/>
        </w:trPr>
        <w:tc>
          <w:tcPr>
            <w:tcW w:w="3880" w:type="dxa"/>
            <w:vAlign w:val="bottom"/>
          </w:tcPr>
          <w:p>
            <w:pPr>
              <w:spacing w:after="0"/>
              <w:rPr>
                <w:sz w:val="20"/>
                <w:szCs w:val="20"/>
                <w:color w:val="auto"/>
              </w:rPr>
            </w:pPr>
            <w:r>
              <w:rPr>
                <w:rFonts w:ascii="Arial" w:cs="Arial" w:eastAsia="Arial" w:hAnsi="Arial"/>
                <w:sz w:val="18"/>
                <w:szCs w:val="18"/>
                <w:b w:val="1"/>
                <w:bCs w:val="1"/>
                <w:color w:val="483E65"/>
              </w:rPr>
              <w:t>LAWRENCE C. NUSSDORF</w:t>
            </w:r>
          </w:p>
        </w:tc>
        <w:tc>
          <w:tcPr>
            <w:tcW w:w="3900" w:type="dxa"/>
            <w:vAlign w:val="bottom"/>
          </w:tcPr>
          <w:p>
            <w:pPr>
              <w:ind w:left="340"/>
              <w:spacing w:after="0"/>
              <w:rPr>
                <w:sz w:val="20"/>
                <w:szCs w:val="20"/>
                <w:color w:val="auto"/>
              </w:rPr>
            </w:pPr>
            <w:r>
              <w:rPr>
                <w:rFonts w:ascii="Arial" w:cs="Arial" w:eastAsia="Arial" w:hAnsi="Arial"/>
                <w:sz w:val="18"/>
                <w:szCs w:val="18"/>
                <w:b w:val="1"/>
                <w:bCs w:val="1"/>
                <w:color w:val="auto"/>
                <w:w w:val="98"/>
              </w:rPr>
              <w:t>Former Directorships During Past 5 Years</w:t>
            </w:r>
          </w:p>
        </w:tc>
        <w:tc>
          <w:tcPr>
            <w:tcW w:w="0" w:type="dxa"/>
            <w:vAlign w:val="bottom"/>
          </w:tcPr>
          <w:p>
            <w:pPr>
              <w:spacing w:after="0"/>
              <w:rPr>
                <w:sz w:val="1"/>
                <w:szCs w:val="1"/>
                <w:color w:val="auto"/>
              </w:rPr>
            </w:pPr>
          </w:p>
        </w:tc>
      </w:tr>
      <w:tr>
        <w:trPr>
          <w:trHeight w:val="225"/>
        </w:trPr>
        <w:tc>
          <w:tcPr>
            <w:tcW w:w="3880" w:type="dxa"/>
            <w:vAlign w:val="bottom"/>
          </w:tcPr>
          <w:p>
            <w:pPr>
              <w:spacing w:after="0"/>
              <w:rPr>
                <w:sz w:val="20"/>
                <w:szCs w:val="20"/>
                <w:color w:val="auto"/>
              </w:rPr>
            </w:pPr>
            <w:r>
              <w:rPr>
                <w:rFonts w:ascii="Arial" w:cs="Arial" w:eastAsia="Arial" w:hAnsi="Arial"/>
                <w:sz w:val="18"/>
                <w:szCs w:val="18"/>
                <w:b w:val="1"/>
                <w:bCs w:val="1"/>
                <w:color w:val="483E65"/>
              </w:rPr>
              <w:t>Lead Director</w:t>
            </w:r>
          </w:p>
        </w:tc>
        <w:tc>
          <w:tcPr>
            <w:tcW w:w="3900" w:type="dxa"/>
            <w:vAlign w:val="bottom"/>
          </w:tcPr>
          <w:p>
            <w:pPr>
              <w:ind w:left="340"/>
              <w:spacing w:after="0"/>
              <w:rPr>
                <w:sz w:val="20"/>
                <w:szCs w:val="20"/>
                <w:color w:val="auto"/>
              </w:rPr>
            </w:pPr>
            <w:r>
              <w:rPr>
                <w:rFonts w:ascii="Arial" w:cs="Arial" w:eastAsia="Arial" w:hAnsi="Arial"/>
                <w:sz w:val="18"/>
                <w:szCs w:val="18"/>
                <w:color w:val="auto"/>
              </w:rPr>
              <w:t>Pepco Holdings, Inc.</w:t>
            </w:r>
          </w:p>
        </w:tc>
        <w:tc>
          <w:tcPr>
            <w:tcW w:w="0" w:type="dxa"/>
            <w:vAlign w:val="bottom"/>
          </w:tcPr>
          <w:p>
            <w:pPr>
              <w:spacing w:after="0"/>
              <w:rPr>
                <w:sz w:val="1"/>
                <w:szCs w:val="1"/>
                <w:color w:val="auto"/>
              </w:rPr>
            </w:pPr>
          </w:p>
        </w:tc>
      </w:tr>
      <w:tr>
        <w:trPr>
          <w:trHeight w:val="217"/>
        </w:trPr>
        <w:tc>
          <w:tcPr>
            <w:tcW w:w="3880" w:type="dxa"/>
            <w:vAlign w:val="bottom"/>
            <w:vMerge w:val="restart"/>
          </w:tcPr>
          <w:p>
            <w:pPr>
              <w:spacing w:after="0"/>
              <w:rPr>
                <w:sz w:val="20"/>
                <w:szCs w:val="20"/>
                <w:color w:val="auto"/>
              </w:rPr>
            </w:pPr>
            <w:r>
              <w:rPr>
                <w:rFonts w:ascii="Arial" w:cs="Arial" w:eastAsia="Arial" w:hAnsi="Arial"/>
                <w:sz w:val="18"/>
                <w:szCs w:val="18"/>
                <w:b w:val="1"/>
                <w:bCs w:val="1"/>
                <w:color w:val="auto"/>
              </w:rPr>
              <w:t>Director Since 2010</w:t>
            </w:r>
          </w:p>
        </w:tc>
        <w:tc>
          <w:tcPr>
            <w:tcW w:w="3900" w:type="dxa"/>
            <w:vAlign w:val="bottom"/>
          </w:tcPr>
          <w:p>
            <w:pPr>
              <w:ind w:left="340"/>
              <w:spacing w:after="0"/>
              <w:rPr>
                <w:sz w:val="20"/>
                <w:szCs w:val="20"/>
                <w:color w:val="auto"/>
              </w:rPr>
            </w:pPr>
            <w:r>
              <w:rPr>
                <w:rFonts w:ascii="Arial" w:cs="Arial" w:eastAsia="Arial" w:hAnsi="Arial"/>
                <w:sz w:val="18"/>
                <w:szCs w:val="18"/>
                <w:color w:val="auto"/>
              </w:rPr>
              <w:t>Capital Source, Inc.</w:t>
            </w:r>
          </w:p>
        </w:tc>
        <w:tc>
          <w:tcPr>
            <w:tcW w:w="0" w:type="dxa"/>
            <w:vAlign w:val="bottom"/>
          </w:tcPr>
          <w:p>
            <w:pPr>
              <w:spacing w:after="0"/>
              <w:rPr>
                <w:sz w:val="1"/>
                <w:szCs w:val="1"/>
                <w:color w:val="auto"/>
              </w:rPr>
            </w:pPr>
          </w:p>
        </w:tc>
      </w:tr>
      <w:tr>
        <w:trPr>
          <w:trHeight w:val="122"/>
        </w:trPr>
        <w:tc>
          <w:tcPr>
            <w:tcW w:w="3880" w:type="dxa"/>
            <w:vAlign w:val="bottom"/>
            <w:vMerge w:val="continue"/>
          </w:tcPr>
          <w:p>
            <w:pPr>
              <w:spacing w:after="0"/>
              <w:rPr>
                <w:sz w:val="10"/>
                <w:szCs w:val="10"/>
                <w:color w:val="auto"/>
              </w:rPr>
            </w:pPr>
          </w:p>
        </w:tc>
        <w:tc>
          <w:tcPr>
            <w:tcW w:w="3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0"/>
        </w:trPr>
        <w:tc>
          <w:tcPr>
            <w:tcW w:w="3880" w:type="dxa"/>
            <w:vAlign w:val="bottom"/>
          </w:tcPr>
          <w:p>
            <w:pPr>
              <w:spacing w:after="0"/>
              <w:rPr>
                <w:sz w:val="20"/>
                <w:szCs w:val="20"/>
                <w:color w:val="auto"/>
              </w:rPr>
            </w:pPr>
            <w:r>
              <w:rPr>
                <w:rFonts w:ascii="Arial" w:cs="Arial" w:eastAsia="Arial" w:hAnsi="Arial"/>
                <w:sz w:val="18"/>
                <w:szCs w:val="18"/>
                <w:b w:val="1"/>
                <w:bCs w:val="1"/>
                <w:color w:val="auto"/>
              </w:rPr>
              <w:t>Age: 70</w:t>
            </w:r>
          </w:p>
        </w:tc>
        <w:tc>
          <w:tcPr>
            <w:tcW w:w="3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3880" w:type="dxa"/>
            <w:vAlign w:val="bottom"/>
          </w:tcPr>
          <w:p>
            <w:pPr>
              <w:spacing w:after="0"/>
              <w:rPr>
                <w:sz w:val="20"/>
                <w:szCs w:val="20"/>
                <w:color w:val="auto"/>
              </w:rPr>
            </w:pPr>
            <w:r>
              <w:rPr>
                <w:rFonts w:ascii="Arial" w:cs="Arial" w:eastAsia="Arial" w:hAnsi="Arial"/>
                <w:sz w:val="18"/>
                <w:szCs w:val="18"/>
                <w:b w:val="1"/>
                <w:bCs w:val="1"/>
                <w:color w:val="auto"/>
              </w:rPr>
              <w:t>Leidos Committees:</w:t>
            </w:r>
          </w:p>
        </w:tc>
        <w:tc>
          <w:tcPr>
            <w:tcW w:w="3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3880" w:type="dxa"/>
            <w:vAlign w:val="bottom"/>
          </w:tcPr>
          <w:p>
            <w:pPr>
              <w:spacing w:after="0" w:line="202" w:lineRule="exact"/>
              <w:rPr>
                <w:sz w:val="20"/>
                <w:szCs w:val="20"/>
                <w:color w:val="auto"/>
              </w:rPr>
            </w:pPr>
            <w:r>
              <w:rPr>
                <w:rFonts w:ascii="Arial" w:cs="Arial" w:eastAsia="Arial" w:hAnsi="Arial"/>
                <w:sz w:val="18"/>
                <w:szCs w:val="18"/>
                <w:color w:val="auto"/>
              </w:rPr>
              <w:t>Audit</w:t>
            </w:r>
          </w:p>
        </w:tc>
        <w:tc>
          <w:tcPr>
            <w:tcW w:w="3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80" w:type="dxa"/>
            <w:vAlign w:val="bottom"/>
          </w:tcPr>
          <w:p>
            <w:pPr>
              <w:spacing w:after="0" w:line="202" w:lineRule="exact"/>
              <w:rPr>
                <w:sz w:val="20"/>
                <w:szCs w:val="20"/>
                <w:color w:val="auto"/>
              </w:rPr>
            </w:pPr>
            <w:r>
              <w:rPr>
                <w:rFonts w:ascii="Arial" w:cs="Arial" w:eastAsia="Arial" w:hAnsi="Arial"/>
                <w:sz w:val="18"/>
                <w:szCs w:val="18"/>
                <w:color w:val="auto"/>
              </w:rPr>
              <w:t>Finance</w:t>
            </w:r>
          </w:p>
        </w:tc>
        <w:tc>
          <w:tcPr>
            <w:tcW w:w="3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3880" w:type="dxa"/>
            <w:vAlign w:val="bottom"/>
          </w:tcPr>
          <w:p>
            <w:pPr>
              <w:spacing w:after="0"/>
              <w:rPr>
                <w:sz w:val="20"/>
                <w:szCs w:val="20"/>
                <w:color w:val="auto"/>
              </w:rPr>
            </w:pPr>
            <w:r>
              <w:rPr>
                <w:rFonts w:ascii="Arial" w:cs="Arial" w:eastAsia="Arial" w:hAnsi="Arial"/>
                <w:sz w:val="18"/>
                <w:szCs w:val="18"/>
                <w:color w:val="auto"/>
              </w:rPr>
              <w:t>Nominating &amp; Corporate Governance (Chair)</w:t>
            </w:r>
          </w:p>
        </w:tc>
        <w:tc>
          <w:tcPr>
            <w:tcW w:w="39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-1200150</wp:posOffset>
            </wp:positionV>
            <wp:extent cx="986155" cy="11493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986155" cy="1149350"/>
                    </a:xfrm>
                    <a:prstGeom prst="rect">
                      <a:avLst/>
                    </a:prstGeom>
                    <a:noFill/>
                  </pic:spPr>
                </pic:pic>
              </a:graphicData>
            </a:graphic>
          </wp:anchor>
        </w:drawing>
      </w:r>
    </w:p>
    <w:p>
      <w:pPr>
        <w:spacing w:after="0" w:line="79"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b w:val="1"/>
          <w:bCs w:val="1"/>
          <w:color w:val="auto"/>
        </w:rPr>
        <w:t xml:space="preserve">Mr. Nussdorf </w:t>
      </w:r>
      <w:r>
        <w:rPr>
          <w:rFonts w:ascii="Arial" w:cs="Arial" w:eastAsia="Arial" w:hAnsi="Arial"/>
          <w:sz w:val="18"/>
          <w:szCs w:val="18"/>
          <w:color w:val="auto"/>
        </w:rPr>
        <w:t>is Chairman and Chief Executive Officer Clark Enterprises, Inc., a privately held company with extensive interests in real estate,</w:t>
      </w:r>
      <w:r>
        <w:rPr>
          <w:rFonts w:ascii="Arial" w:cs="Arial" w:eastAsia="Arial" w:hAnsi="Arial"/>
          <w:sz w:val="18"/>
          <w:szCs w:val="18"/>
          <w:b w:val="1"/>
          <w:bCs w:val="1"/>
          <w:color w:val="auto"/>
        </w:rPr>
        <w:t xml:space="preserve"> </w:t>
      </w:r>
      <w:r>
        <w:rPr>
          <w:rFonts w:ascii="Arial" w:cs="Arial" w:eastAsia="Arial" w:hAnsi="Arial"/>
          <w:sz w:val="18"/>
          <w:szCs w:val="18"/>
          <w:color w:val="auto"/>
        </w:rPr>
        <w:t>private equity and traditional investments. He previously served as President and Chief Operating Officer of Clark Enterprises from 1998 to 2015 and as Vice President and Treasurer of Clark Construction Group, LLC from 1977 through 2015.</w:t>
      </w:r>
    </w:p>
    <w:p>
      <w:pPr>
        <w:spacing w:after="0" w:line="218" w:lineRule="exact"/>
        <w:rPr>
          <w:sz w:val="20"/>
          <w:szCs w:val="20"/>
          <w:color w:val="auto"/>
        </w:rPr>
      </w:pPr>
    </w:p>
    <w:p>
      <w:pPr>
        <w:ind w:right="20"/>
        <w:spacing w:after="0"/>
        <w:rPr>
          <w:sz w:val="20"/>
          <w:szCs w:val="20"/>
          <w:color w:val="auto"/>
        </w:rPr>
      </w:pPr>
      <w:r>
        <w:rPr>
          <w:rFonts w:ascii="Arial" w:cs="Arial" w:eastAsia="Arial" w:hAnsi="Arial"/>
          <w:sz w:val="18"/>
          <w:szCs w:val="18"/>
          <w:color w:val="auto"/>
        </w:rPr>
        <w:t>Trained as an attorney and CPA, Mr. Nussdorf has been at the forefront of strategic and long-term planning and has vast experience managing operations and finance for multiple businesses. Our Board believes that this experience, as well as Mr. Nussdorf’s public company board leadership experience, adds valuable perspectives to our Board. He is an “audit committee financial expert” as defined in SEC rules.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266700</wp:posOffset>
            </wp:positionV>
            <wp:extent cx="986155" cy="11493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986155" cy="1149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483E65"/>
        </w:rPr>
        <w:t>ROBERT S. SHAPARD</w:t>
      </w:r>
    </w:p>
    <w:p>
      <w:pPr>
        <w:spacing w:after="0" w:line="117"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Director Since 2013</w:t>
      </w:r>
    </w:p>
    <w:p>
      <w:pPr>
        <w:spacing w:after="0" w:line="63"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Age: 61</w:t>
      </w:r>
    </w:p>
    <w:p>
      <w:pPr>
        <w:spacing w:after="0" w:line="63"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Leidos Committees:</w:t>
      </w:r>
    </w:p>
    <w:p>
      <w:pPr>
        <w:spacing w:after="0" w:line="13" w:lineRule="exact"/>
        <w:rPr>
          <w:sz w:val="20"/>
          <w:szCs w:val="20"/>
          <w:color w:val="auto"/>
        </w:rPr>
      </w:pPr>
    </w:p>
    <w:p>
      <w:pPr>
        <w:ind w:left="2640"/>
        <w:spacing w:after="0"/>
        <w:rPr>
          <w:sz w:val="20"/>
          <w:szCs w:val="20"/>
          <w:color w:val="auto"/>
        </w:rPr>
      </w:pPr>
      <w:r>
        <w:rPr>
          <w:rFonts w:ascii="Arial" w:cs="Arial" w:eastAsia="Arial" w:hAnsi="Arial"/>
          <w:sz w:val="18"/>
          <w:szCs w:val="18"/>
          <w:color w:val="auto"/>
        </w:rPr>
        <w:t>Audit</w:t>
      </w:r>
    </w:p>
    <w:p>
      <w:pPr>
        <w:ind w:left="2640"/>
        <w:spacing w:after="0"/>
        <w:rPr>
          <w:sz w:val="20"/>
          <w:szCs w:val="20"/>
          <w:color w:val="auto"/>
        </w:rPr>
      </w:pPr>
      <w:r>
        <w:rPr>
          <w:rFonts w:ascii="Arial" w:cs="Arial" w:eastAsia="Arial" w:hAnsi="Arial"/>
          <w:sz w:val="18"/>
          <w:szCs w:val="18"/>
          <w:color w:val="auto"/>
        </w:rPr>
        <w:t>Finance (Chair)</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Mr. Shapard </w:t>
      </w:r>
      <w:r>
        <w:rPr>
          <w:rFonts w:ascii="Arial" w:cs="Arial" w:eastAsia="Arial" w:hAnsi="Arial"/>
          <w:sz w:val="18"/>
          <w:szCs w:val="18"/>
          <w:color w:val="auto"/>
        </w:rPr>
        <w:t>has served as Chairman and Chief Executive Officer of Oncor Electric Delivery Company LLC since April 2007. He previously</w:t>
      </w:r>
      <w:r>
        <w:rPr>
          <w:rFonts w:ascii="Arial" w:cs="Arial" w:eastAsia="Arial" w:hAnsi="Arial"/>
          <w:sz w:val="18"/>
          <w:szCs w:val="18"/>
          <w:b w:val="1"/>
          <w:bCs w:val="1"/>
          <w:color w:val="auto"/>
        </w:rPr>
        <w:t xml:space="preserve"> </w:t>
      </w:r>
      <w:r>
        <w:rPr>
          <w:rFonts w:ascii="Arial" w:cs="Arial" w:eastAsia="Arial" w:hAnsi="Arial"/>
          <w:sz w:val="18"/>
          <w:szCs w:val="18"/>
          <w:color w:val="auto"/>
        </w:rPr>
        <w:t>served as a strategic advisor to Oncor, helping to implement and execute growth and development strategies. Between March and October 2005, he served as Chief Financial Officer of Tenet Healthcare Corporation, one of the largest for-profit hospital groups in the United States, and was Executive Vice President and Chief Financial Officer of Exelon Corporation, a large electricity generator and utility operator, from 2002 to February 2005. Before joining Exelon, he was Executive Vice President and Chief Financial Officer of Ultramar Diamond Shamrock, a North American refining and marketing company, since 2000. Previously, from 1998 to 2000, Mr. Shapard was CEO and managing director of TXU Australia Pty. Ltd., a subsidiary of the former TXU Corp., which owned and operated electric generation, wholesale trading, retail, and electric and gas regulated utility businesses.</w:t>
      </w:r>
    </w:p>
    <w:p>
      <w:pPr>
        <w:spacing w:after="0" w:line="230" w:lineRule="exact"/>
        <w:rPr>
          <w:sz w:val="20"/>
          <w:szCs w:val="20"/>
          <w:color w:val="auto"/>
        </w:rPr>
      </w:pPr>
    </w:p>
    <w:p>
      <w:pPr>
        <w:ind w:right="60"/>
        <w:spacing w:after="0"/>
        <w:rPr>
          <w:sz w:val="20"/>
          <w:szCs w:val="20"/>
          <w:color w:val="auto"/>
        </w:rPr>
      </w:pPr>
      <w:r>
        <w:rPr>
          <w:rFonts w:ascii="Arial" w:cs="Arial" w:eastAsia="Arial" w:hAnsi="Arial"/>
          <w:sz w:val="18"/>
          <w:szCs w:val="18"/>
          <w:color w:val="auto"/>
        </w:rPr>
        <w:t>As an experienced executive in the energy industry, Mr. Shapard brings to our Board a unique perspective on issues that are important to our business. In addition, his previous experience as a Chief Financial Officer provides expertise critical to his role as Chair of our Board’s Finance Committee and as a member of the Audit Committee. He is an “audit committee financial expert” as defined by SEC rules</w:t>
      </w:r>
      <w:r>
        <w:rPr>
          <w:rFonts w:ascii="Arial" w:cs="Arial" w:eastAsia="Arial" w:hAnsi="Arial"/>
          <w:sz w:val="18"/>
          <w:szCs w:val="18"/>
          <w:b w:val="1"/>
          <w:bCs w:val="1"/>
          <w:color w:val="auto"/>
        </w:rPr>
        <w:t>.</w:t>
      </w:r>
    </w:p>
    <w:p>
      <w:pPr>
        <w:spacing w:after="0" w:line="132" w:lineRule="exact"/>
        <w:rPr>
          <w:sz w:val="20"/>
          <w:szCs w:val="20"/>
          <w:color w:val="auto"/>
        </w:rPr>
      </w:pPr>
    </w:p>
    <w:p>
      <w:pPr>
        <w:spacing w:after="0"/>
        <w:tabs>
          <w:tab w:leader="none" w:pos="340" w:val="left"/>
          <w:tab w:leader="none" w:pos="580" w:val="left"/>
        </w:tabs>
        <w:rPr>
          <w:sz w:val="20"/>
          <w:szCs w:val="20"/>
          <w:color w:val="auto"/>
        </w:rPr>
      </w:pPr>
      <w:r>
        <w:rPr>
          <w:rFonts w:ascii="Arial" w:cs="Arial" w:eastAsia="Arial" w:hAnsi="Arial"/>
          <w:sz w:val="16"/>
          <w:szCs w:val="16"/>
          <w:b w:val="1"/>
          <w:bCs w:val="1"/>
          <w:color w:val="483E65"/>
        </w:rPr>
        <w:t>10</w:t>
        <w:tab/>
        <w:t>|</w:t>
        <w:tab/>
        <w:t>2017 Proxy Statement</w:t>
      </w:r>
    </w:p>
    <w:p>
      <w:pPr>
        <w:sectPr>
          <w:pgSz w:w="11900" w:h="16838" w:orient="portrait"/>
          <w:cols w:equalWidth="0" w:num="1">
            <w:col w:w="11380"/>
          </w:cols>
          <w:pgMar w:left="240" w:top="459" w:right="27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8" w:lineRule="exact"/>
        <w:rPr>
          <w:sz w:val="20"/>
          <w:szCs w:val="20"/>
          <w:color w:val="auto"/>
        </w:rPr>
      </w:pPr>
    </w:p>
    <w:p>
      <w:pPr>
        <w:spacing w:after="0"/>
        <w:rPr>
          <w:sz w:val="20"/>
          <w:szCs w:val="20"/>
          <w:color w:val="auto"/>
        </w:rPr>
      </w:pPr>
      <w:r>
        <w:rPr>
          <w:rFonts w:ascii="Arial" w:cs="Arial" w:eastAsia="Arial" w:hAnsi="Arial"/>
          <w:sz w:val="32"/>
          <w:szCs w:val="32"/>
          <w:color w:val="483E65"/>
        </w:rPr>
        <w:t>Proposal 1 —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149860</wp:posOffset>
            </wp:positionV>
            <wp:extent cx="72466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509905</wp:posOffset>
            </wp:positionV>
            <wp:extent cx="986155" cy="11493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986155" cy="1149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483E65"/>
        </w:rPr>
        <w:t>SUSAN M. STALNECKER</w:t>
      </w:r>
    </w:p>
    <w:p>
      <w:pPr>
        <w:spacing w:after="0" w:line="117"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Director Since 2016</w:t>
      </w:r>
    </w:p>
    <w:p>
      <w:pPr>
        <w:spacing w:after="0" w:line="63"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Age: 64</w:t>
      </w:r>
    </w:p>
    <w:p>
      <w:pPr>
        <w:spacing w:after="0" w:line="63"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Leidos Committees</w:t>
      </w:r>
    </w:p>
    <w:p>
      <w:pPr>
        <w:spacing w:after="0" w:line="13" w:lineRule="exact"/>
        <w:rPr>
          <w:sz w:val="20"/>
          <w:szCs w:val="20"/>
          <w:color w:val="auto"/>
        </w:rPr>
      </w:pPr>
    </w:p>
    <w:p>
      <w:pPr>
        <w:ind w:left="2640"/>
        <w:spacing w:after="0"/>
        <w:rPr>
          <w:sz w:val="20"/>
          <w:szCs w:val="20"/>
          <w:color w:val="auto"/>
        </w:rPr>
      </w:pPr>
      <w:r>
        <w:rPr>
          <w:rFonts w:ascii="Arial" w:cs="Arial" w:eastAsia="Arial" w:hAnsi="Arial"/>
          <w:sz w:val="18"/>
          <w:szCs w:val="18"/>
          <w:color w:val="auto"/>
        </w:rPr>
        <w:t>Audit</w:t>
      </w:r>
    </w:p>
    <w:p>
      <w:pPr>
        <w:ind w:left="2640"/>
        <w:spacing w:after="0"/>
        <w:rPr>
          <w:sz w:val="20"/>
          <w:szCs w:val="20"/>
          <w:color w:val="auto"/>
        </w:rPr>
      </w:pPr>
      <w:r>
        <w:rPr>
          <w:rFonts w:ascii="Arial" w:cs="Arial" w:eastAsia="Arial" w:hAnsi="Arial"/>
          <w:sz w:val="18"/>
          <w:szCs w:val="18"/>
          <w:color w:val="auto"/>
        </w:rPr>
        <w:t>Finance</w:t>
      </w:r>
    </w:p>
    <w:p>
      <w:pPr>
        <w:spacing w:after="0" w:line="109" w:lineRule="exact"/>
        <w:rPr>
          <w:sz w:val="20"/>
          <w:szCs w:val="20"/>
          <w:color w:val="auto"/>
        </w:rPr>
      </w:pPr>
    </w:p>
    <w:p>
      <w:pPr>
        <w:ind w:right="40"/>
        <w:spacing w:after="0" w:line="244" w:lineRule="auto"/>
        <w:rPr>
          <w:sz w:val="20"/>
          <w:szCs w:val="20"/>
          <w:color w:val="auto"/>
        </w:rPr>
      </w:pPr>
      <w:r>
        <w:rPr>
          <w:rFonts w:ascii="Arial" w:cs="Arial" w:eastAsia="Arial" w:hAnsi="Arial"/>
          <w:sz w:val="18"/>
          <w:szCs w:val="18"/>
          <w:b w:val="1"/>
          <w:bCs w:val="1"/>
          <w:color w:val="auto"/>
        </w:rPr>
        <w:t xml:space="preserve">Ms. Stalnecker </w:t>
      </w:r>
      <w:r>
        <w:rPr>
          <w:rFonts w:ascii="Arial" w:cs="Arial" w:eastAsia="Arial" w:hAnsi="Arial"/>
          <w:sz w:val="18"/>
          <w:szCs w:val="18"/>
          <w:color w:val="auto"/>
        </w:rPr>
        <w:t>was employed by E.I. du Pont de Nemours &amp; Co. from 1977 to 2016, serving in numerous senior roles during her tenure,</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10 years as Vice President and Treasurer and most recently as Vice President, Corporate Productivity and Hospitality. Ms. Stalnecker previously served on the board of directors of PPL Corporation, a public holding company of PPL Electric Utilities Corporation from December 2001 to January 2009, and on the board of trustees of Duke University from 2003 to 2015. She currently serves on the board of directors and audit committee at Duke University Health System, Inc.</w:t>
      </w:r>
    </w:p>
    <w:p>
      <w:pPr>
        <w:spacing w:after="0" w:line="226" w:lineRule="exact"/>
        <w:rPr>
          <w:sz w:val="20"/>
          <w:szCs w:val="20"/>
          <w:color w:val="auto"/>
        </w:rPr>
      </w:pPr>
    </w:p>
    <w:p>
      <w:pPr>
        <w:ind w:right="640"/>
        <w:spacing w:after="0" w:line="246" w:lineRule="auto"/>
        <w:rPr>
          <w:sz w:val="20"/>
          <w:szCs w:val="20"/>
          <w:color w:val="auto"/>
        </w:rPr>
      </w:pPr>
      <w:r>
        <w:rPr>
          <w:rFonts w:ascii="Arial" w:cs="Arial" w:eastAsia="Arial" w:hAnsi="Arial"/>
          <w:sz w:val="18"/>
          <w:szCs w:val="18"/>
          <w:color w:val="auto"/>
        </w:rPr>
        <w:t>Ms. Stalnecker brings to our Board diverse business experience, including financial acumen important to our Board’s Finance and Audit Committees. She is an “audit committee financial expert” as defined by SEC rules</w:t>
      </w:r>
      <w:r>
        <w:rPr>
          <w:rFonts w:ascii="Arial" w:cs="Arial" w:eastAsia="Arial" w:hAnsi="Arial"/>
          <w:sz w:val="18"/>
          <w:szCs w:val="18"/>
          <w:b w:val="1"/>
          <w:bCs w:val="1"/>
          <w:color w:val="auto"/>
        </w:rPr>
        <w:t>.</w:t>
      </w:r>
    </w:p>
    <w:p>
      <w:pPr>
        <w:spacing w:after="0" w:line="350"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483E65"/>
        </w:rPr>
        <w:t>NOEL B. WILLIAMS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986155" cy="11493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986155" cy="1149350"/>
                    </a:xfrm>
                    <a:prstGeom prst="rect">
                      <a:avLst/>
                    </a:prstGeom>
                    <a:noFill/>
                  </pic:spPr>
                </pic:pic>
              </a:graphicData>
            </a:graphic>
          </wp:anchor>
        </w:drawing>
      </w:r>
    </w:p>
    <w:p>
      <w:pPr>
        <w:spacing w:after="0" w:line="97"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Director Since 2013</w:t>
      </w:r>
    </w:p>
    <w:p>
      <w:pPr>
        <w:spacing w:after="0" w:line="117"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Age: 62</w:t>
      </w:r>
    </w:p>
    <w:p>
      <w:pPr>
        <w:spacing w:after="0" w:line="63"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Leidos Committees</w:t>
      </w:r>
    </w:p>
    <w:p>
      <w:pPr>
        <w:spacing w:after="0" w:line="13" w:lineRule="exact"/>
        <w:rPr>
          <w:sz w:val="20"/>
          <w:szCs w:val="20"/>
          <w:color w:val="auto"/>
        </w:rPr>
      </w:pPr>
    </w:p>
    <w:p>
      <w:pPr>
        <w:ind w:left="2640"/>
        <w:spacing w:after="0"/>
        <w:rPr>
          <w:sz w:val="20"/>
          <w:szCs w:val="20"/>
          <w:color w:val="auto"/>
        </w:rPr>
      </w:pPr>
      <w:r>
        <w:rPr>
          <w:rFonts w:ascii="Arial" w:cs="Arial" w:eastAsia="Arial" w:hAnsi="Arial"/>
          <w:sz w:val="18"/>
          <w:szCs w:val="18"/>
          <w:color w:val="auto"/>
        </w:rPr>
        <w:t>Ethics &amp; Corporate Responsibility (Chair)</w:t>
      </w:r>
    </w:p>
    <w:p>
      <w:pPr>
        <w:ind w:left="2640"/>
        <w:spacing w:after="0"/>
        <w:rPr>
          <w:sz w:val="20"/>
          <w:szCs w:val="20"/>
          <w:color w:val="auto"/>
        </w:rPr>
      </w:pPr>
      <w:r>
        <w:rPr>
          <w:rFonts w:ascii="Arial" w:cs="Arial" w:eastAsia="Arial" w:hAnsi="Arial"/>
          <w:sz w:val="18"/>
          <w:szCs w:val="18"/>
          <w:color w:val="auto"/>
        </w:rPr>
        <w:t>Human Resources &amp; Compensation</w:t>
      </w:r>
    </w:p>
    <w:p>
      <w:pPr>
        <w:spacing w:after="0" w:line="379" w:lineRule="exact"/>
        <w:rPr>
          <w:sz w:val="20"/>
          <w:szCs w:val="20"/>
          <w:color w:val="auto"/>
        </w:rPr>
      </w:pPr>
    </w:p>
    <w:p>
      <w:pPr>
        <w:ind w:right="40"/>
        <w:spacing w:after="0" w:line="241" w:lineRule="auto"/>
        <w:rPr>
          <w:sz w:val="20"/>
          <w:szCs w:val="20"/>
          <w:color w:val="auto"/>
        </w:rPr>
      </w:pPr>
      <w:r>
        <w:rPr>
          <w:rFonts w:ascii="Arial" w:cs="Arial" w:eastAsia="Arial" w:hAnsi="Arial"/>
          <w:sz w:val="18"/>
          <w:szCs w:val="18"/>
          <w:b w:val="1"/>
          <w:bCs w:val="1"/>
          <w:color w:val="auto"/>
        </w:rPr>
        <w:t xml:space="preserve">Ms. Williams </w:t>
      </w:r>
      <w:r>
        <w:rPr>
          <w:rFonts w:ascii="Arial" w:cs="Arial" w:eastAsia="Arial" w:hAnsi="Arial"/>
          <w:sz w:val="18"/>
          <w:szCs w:val="18"/>
          <w:color w:val="auto"/>
        </w:rPr>
        <w:t>is the retired President of HCA Information Technology &amp; Services, Inc., a wholly owned subsidiary of Nashville-based HCA</w:t>
      </w:r>
      <w:r>
        <w:rPr>
          <w:rFonts w:ascii="Arial" w:cs="Arial" w:eastAsia="Arial" w:hAnsi="Arial"/>
          <w:sz w:val="18"/>
          <w:szCs w:val="18"/>
          <w:b w:val="1"/>
          <w:bCs w:val="1"/>
          <w:color w:val="auto"/>
        </w:rPr>
        <w:t xml:space="preserve"> </w:t>
      </w:r>
      <w:r>
        <w:rPr>
          <w:rFonts w:ascii="Arial" w:cs="Arial" w:eastAsia="Arial" w:hAnsi="Arial"/>
          <w:sz w:val="18"/>
          <w:szCs w:val="18"/>
          <w:color w:val="auto"/>
        </w:rPr>
        <w:t>(Hospital Corporation of America). Ms. Williams has over 35 years of experience in healthcare IT. She spent 30 years in HCA’s Information Service Department in a variety of positions. Ms. Williams has previously served on the boards of Franklin Road Academy, the United Way of Middle Tennessee, The Nashville Alliance for Public Education, the National Alliance for Health Information Technology (NAHIT), The HCA Foundation and the American Hospital Association Working Group for Health IT Standards. Ms. Williams is an Emeritus member of the Vanderbilt University School of Engineering Committee of Visitors and a member of the Leadership Nashville class of 2010. She also served as an adjunct professor in the Owen School of Management of Vanderbilt University for several years.</w:t>
      </w:r>
    </w:p>
    <w:p>
      <w:pPr>
        <w:spacing w:after="0" w:line="228" w:lineRule="exact"/>
        <w:rPr>
          <w:sz w:val="20"/>
          <w:szCs w:val="20"/>
          <w:color w:val="auto"/>
        </w:rPr>
      </w:pPr>
    </w:p>
    <w:p>
      <w:pPr>
        <w:ind w:right="100"/>
        <w:spacing w:after="0" w:line="246" w:lineRule="auto"/>
        <w:rPr>
          <w:sz w:val="20"/>
          <w:szCs w:val="20"/>
          <w:color w:val="auto"/>
        </w:rPr>
      </w:pPr>
      <w:r>
        <w:rPr>
          <w:rFonts w:ascii="Arial" w:cs="Arial" w:eastAsia="Arial" w:hAnsi="Arial"/>
          <w:sz w:val="18"/>
          <w:szCs w:val="18"/>
          <w:color w:val="auto"/>
        </w:rPr>
        <w:t>Ms. Williams brings to our Board extensive leadership experience in healthcare information technology and provides insights and perspectives that our Board views as important to us as a provider of information technology services and solutions.</w:t>
      </w:r>
    </w:p>
    <w:p>
      <w:pPr>
        <w:spacing w:after="0" w:line="126" w:lineRule="exact"/>
        <w:rPr>
          <w:sz w:val="20"/>
          <w:szCs w:val="20"/>
          <w:color w:val="auto"/>
        </w:rPr>
      </w:pPr>
    </w:p>
    <w:p>
      <w:pPr>
        <w:jc w:val="right"/>
        <w:spacing w:after="0"/>
        <w:tabs>
          <w:tab w:leader="none" w:pos="380" w:val="left"/>
          <w:tab w:leader="none" w:pos="160" w:val="left"/>
        </w:tabs>
        <w:rPr>
          <w:sz w:val="20"/>
          <w:szCs w:val="20"/>
          <w:color w:val="auto"/>
        </w:rPr>
      </w:pPr>
      <w:r>
        <w:rPr>
          <w:rFonts w:ascii="Arial" w:cs="Arial" w:eastAsia="Arial" w:hAnsi="Arial"/>
          <w:sz w:val="16"/>
          <w:szCs w:val="16"/>
          <w:b w:val="1"/>
          <w:bCs w:val="1"/>
          <w:color w:val="483E65"/>
        </w:rPr>
        <w:t>2017 Proxy Statement</w:t>
        <w:tab/>
        <w:t>|</w:t>
        <w:tab/>
        <w:t>11</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8" w:lineRule="exact"/>
        <w:rPr>
          <w:sz w:val="20"/>
          <w:szCs w:val="20"/>
          <w:color w:val="auto"/>
        </w:rPr>
      </w:pPr>
    </w:p>
    <w:p>
      <w:pPr>
        <w:spacing w:after="0"/>
        <w:rPr>
          <w:sz w:val="20"/>
          <w:szCs w:val="20"/>
          <w:color w:val="auto"/>
        </w:rPr>
      </w:pPr>
      <w:r>
        <w:rPr>
          <w:rFonts w:ascii="Arial" w:cs="Arial" w:eastAsia="Arial" w:hAnsi="Arial"/>
          <w:sz w:val="32"/>
          <w:szCs w:val="32"/>
          <w:color w:val="483E65"/>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149860</wp:posOffset>
            </wp:positionV>
            <wp:extent cx="72466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483E65"/>
        </w:rPr>
        <w:t>Corporate Governance Guidelines</w:t>
      </w:r>
    </w:p>
    <w:p>
      <w:pPr>
        <w:spacing w:after="0" w:line="234"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Our Board recognizes the importance of strong corporate governance as a means of addressing the various needs of our stockholders, employees, customers and other stakeholders. As a result, our Board has adopted Corporate Governance Guidelines which, together with our certificate of incorporation, bylaws, committee charters and other key governance practices and policies, provide the framework for our corporate governance. Our Corporate Governance Guidelines cover a wide range of subjects, including criteria for determining the independence and qualification of our directors. These guidelines are available on our website at www.leidos.com by clicking on the link entitled “Corporate Governance.” The Board recognizes that observing good corporate governance practices is an ongoing responsibility. The Nominating and Corporate Governance Committee regularly reviews corporate governance developments and recommends revisions to these Corporate Governance Guidelines and other corporate governance documents as necessary to promote our and our stockholders’ best interests and to help ensure that we comply with all applicable laws, regulations and stock exchange requirements.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483E65"/>
        </w:rPr>
        <w:t>Codes of Conduct</w:t>
      </w:r>
    </w:p>
    <w:p>
      <w:pPr>
        <w:spacing w:after="0" w:line="234" w:lineRule="exact"/>
        <w:rPr>
          <w:sz w:val="20"/>
          <w:szCs w:val="20"/>
          <w:color w:val="auto"/>
        </w:rPr>
      </w:pPr>
    </w:p>
    <w:p>
      <w:pPr>
        <w:ind w:right="120"/>
        <w:spacing w:after="0" w:line="239" w:lineRule="auto"/>
        <w:rPr>
          <w:sz w:val="20"/>
          <w:szCs w:val="20"/>
          <w:color w:val="auto"/>
        </w:rPr>
      </w:pPr>
      <w:r>
        <w:rPr>
          <w:rFonts w:ascii="Arial" w:cs="Arial" w:eastAsia="Arial" w:hAnsi="Arial"/>
          <w:sz w:val="18"/>
          <w:szCs w:val="18"/>
          <w:color w:val="auto"/>
        </w:rPr>
        <w:t>All of our employees, including our executive officers, are required to comply with our Code of Conduct, which describes our standards for protecting company and customer assets, fostering a safe and healthy work environment, dealing fairly with customers and others, conducting international business properly, reporting misconduct and protecting employees from retaliation. This code forms the foundation of our corporate policies and procedures designed to promote ethical behavior in all aspects of our business.</w:t>
      </w:r>
    </w:p>
    <w:p>
      <w:pPr>
        <w:spacing w:after="0" w:line="202" w:lineRule="exact"/>
        <w:rPr>
          <w:sz w:val="20"/>
          <w:szCs w:val="20"/>
          <w:color w:val="auto"/>
        </w:rPr>
      </w:pPr>
    </w:p>
    <w:p>
      <w:pPr>
        <w:ind w:right="220"/>
        <w:spacing w:after="0" w:line="239" w:lineRule="auto"/>
        <w:rPr>
          <w:sz w:val="20"/>
          <w:szCs w:val="20"/>
          <w:color w:val="auto"/>
        </w:rPr>
      </w:pPr>
      <w:r>
        <w:rPr>
          <w:rFonts w:ascii="Arial" w:cs="Arial" w:eastAsia="Arial" w:hAnsi="Arial"/>
          <w:sz w:val="18"/>
          <w:szCs w:val="18"/>
          <w:color w:val="auto"/>
        </w:rPr>
        <w:t>Our directors also are required to comply with our Code of Business Conduct of the Board of Directors intended to describe areas of ethical risk, provide guidance to directors and help foster a culture of honesty and accountability. This code addresses areas of professional conduct relating to service on our Board, including conflicts of interest, protection of confidential information, fair dealing and compliance with all applicable laws and regulations.</w:t>
      </w:r>
    </w:p>
    <w:p>
      <w:pPr>
        <w:spacing w:after="0" w:line="202" w:lineRule="exact"/>
        <w:rPr>
          <w:sz w:val="20"/>
          <w:szCs w:val="20"/>
          <w:color w:val="auto"/>
        </w:rPr>
      </w:pPr>
    </w:p>
    <w:p>
      <w:pPr>
        <w:ind w:right="920"/>
        <w:spacing w:after="0" w:line="246" w:lineRule="auto"/>
        <w:rPr>
          <w:sz w:val="20"/>
          <w:szCs w:val="20"/>
          <w:color w:val="auto"/>
        </w:rPr>
      </w:pPr>
      <w:r>
        <w:rPr>
          <w:rFonts w:ascii="Arial" w:cs="Arial" w:eastAsia="Arial" w:hAnsi="Arial"/>
          <w:sz w:val="18"/>
          <w:szCs w:val="18"/>
          <w:color w:val="auto"/>
        </w:rPr>
        <w:t>These documents are available on our website at www.leidos.com by clicking on the links entitled “Investors” followed by “Corporate Governance.”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483E65"/>
        </w:rPr>
        <w:t>Director Independence</w:t>
      </w:r>
    </w:p>
    <w:p>
      <w:pPr>
        <w:spacing w:after="0" w:line="234"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The Board annually determines the independence of each of our directors and nominees in accordance with the Corporate Governance Guidelines. These guidelines provide that “independent” directors are those who are independent of management and free from any relationship that, in the judgment of the Board, would interfere with their exercise of independent judgment. No director qualifies as independent unless the Board affirmatively determines that the director has no material relationship with us (either directly or as a partner, stockholder or officer of an organization with which we have a relationship). The Board has established independence standards set forth in the Corporate Governance Guidelines that include all elements of independence required by the listing standards of the New York Stock Exchange, or NYSE.</w:t>
      </w:r>
    </w:p>
    <w:p>
      <w:pPr>
        <w:spacing w:after="0" w:line="205"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All members of the Audit, Human Resources and Compensation and Nominating and Corporate Governance Committees must be independent directors as defined by the Corporate Governance Guidelines. Members of the Audit Committee must also satisfy a separate independence requirement pursuant to the Securities Exchange Act of 1934 which requires that they may not accept directly or indirectly any consulting, advisory or other compensatory fee from us or any of our subsidiaries other than their directors’ compensation or be an affiliated person of ours or any of our subsidiaries.</w:t>
      </w:r>
    </w:p>
    <w:p>
      <w:pPr>
        <w:spacing w:after="0" w:line="203" w:lineRule="exact"/>
        <w:rPr>
          <w:sz w:val="20"/>
          <w:szCs w:val="20"/>
          <w:color w:val="auto"/>
        </w:rPr>
      </w:pPr>
    </w:p>
    <w:p>
      <w:pPr>
        <w:ind w:right="160"/>
        <w:spacing w:after="0" w:line="238" w:lineRule="auto"/>
        <w:rPr>
          <w:sz w:val="20"/>
          <w:szCs w:val="20"/>
          <w:color w:val="auto"/>
        </w:rPr>
      </w:pPr>
      <w:r>
        <w:rPr>
          <w:rFonts w:ascii="Arial" w:cs="Arial" w:eastAsia="Arial" w:hAnsi="Arial"/>
          <w:sz w:val="18"/>
          <w:szCs w:val="18"/>
          <w:color w:val="auto"/>
        </w:rPr>
        <w:t>Each year, our directors are obligated to complete a questionnaire which requires them to disclose any transactions with us in which the director or any member of his or her immediate family might have a direct or potential conflict of interest. Based on its review of an analysis of the responses, the Board determined that all directors are independent under its guidelines and free from any relationship that would interfere with the exercise of their independent judgment, except for John P. Jumper and Roger A. Krone because of their roles as our former and current Chief Executive Officer, respectively, and their receipt of compensation from us for serving in that role.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483E65"/>
        </w:rPr>
        <w:t>Criteria for Board Membership</w:t>
      </w:r>
    </w:p>
    <w:p>
      <w:pPr>
        <w:spacing w:after="0" w:line="234" w:lineRule="exact"/>
        <w:rPr>
          <w:sz w:val="20"/>
          <w:szCs w:val="20"/>
          <w:color w:val="auto"/>
        </w:rPr>
      </w:pPr>
    </w:p>
    <w:p>
      <w:pPr>
        <w:ind w:right="760"/>
        <w:spacing w:after="0" w:line="246" w:lineRule="auto"/>
        <w:rPr>
          <w:sz w:val="20"/>
          <w:szCs w:val="20"/>
          <w:color w:val="auto"/>
        </w:rPr>
      </w:pPr>
      <w:r>
        <w:rPr>
          <w:rFonts w:ascii="Arial" w:cs="Arial" w:eastAsia="Arial" w:hAnsi="Arial"/>
          <w:sz w:val="18"/>
          <w:szCs w:val="18"/>
          <w:color w:val="auto"/>
        </w:rPr>
        <w:t>To fulfill its responsibility to identify and recommend to the full Board nominees for election as directors, the Nominating and Corporate Governance Committee reviews the composition of the Board to determine the qualifications and areas of</w:t>
      </w:r>
    </w:p>
    <w:p>
      <w:pPr>
        <w:spacing w:after="0" w:line="112" w:lineRule="exact"/>
        <w:rPr>
          <w:sz w:val="20"/>
          <w:szCs w:val="20"/>
          <w:color w:val="auto"/>
        </w:rPr>
      </w:pPr>
    </w:p>
    <w:p>
      <w:pPr>
        <w:spacing w:after="0"/>
        <w:tabs>
          <w:tab w:leader="none" w:pos="340" w:val="left"/>
          <w:tab w:leader="none" w:pos="580" w:val="left"/>
        </w:tabs>
        <w:rPr>
          <w:sz w:val="20"/>
          <w:szCs w:val="20"/>
          <w:color w:val="auto"/>
        </w:rPr>
      </w:pPr>
      <w:r>
        <w:rPr>
          <w:rFonts w:ascii="Arial" w:cs="Arial" w:eastAsia="Arial" w:hAnsi="Arial"/>
          <w:sz w:val="16"/>
          <w:szCs w:val="16"/>
          <w:b w:val="1"/>
          <w:bCs w:val="1"/>
          <w:color w:val="483E65"/>
        </w:rPr>
        <w:t>12</w:t>
        <w:tab/>
        <w:t>|</w:t>
        <w:tab/>
        <w:t>2017 Proxy Statement</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8" w:lineRule="exact"/>
        <w:rPr>
          <w:sz w:val="20"/>
          <w:szCs w:val="20"/>
          <w:color w:val="auto"/>
        </w:rPr>
      </w:pPr>
    </w:p>
    <w:p>
      <w:pPr>
        <w:spacing w:after="0"/>
        <w:rPr>
          <w:sz w:val="20"/>
          <w:szCs w:val="20"/>
          <w:color w:val="auto"/>
        </w:rPr>
      </w:pPr>
      <w:r>
        <w:rPr>
          <w:rFonts w:ascii="Arial" w:cs="Arial" w:eastAsia="Arial" w:hAnsi="Arial"/>
          <w:sz w:val="32"/>
          <w:szCs w:val="32"/>
          <w:color w:val="483E65"/>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149860</wp:posOffset>
            </wp:positionV>
            <wp:extent cx="72466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18" w:lineRule="exact"/>
        <w:rPr>
          <w:sz w:val="20"/>
          <w:szCs w:val="20"/>
          <w:color w:val="auto"/>
        </w:rPr>
      </w:pPr>
    </w:p>
    <w:p>
      <w:pPr>
        <w:ind w:right="320"/>
        <w:spacing w:after="0" w:line="239" w:lineRule="auto"/>
        <w:rPr>
          <w:sz w:val="20"/>
          <w:szCs w:val="20"/>
          <w:color w:val="auto"/>
        </w:rPr>
      </w:pPr>
      <w:r>
        <w:rPr>
          <w:rFonts w:ascii="Arial" w:cs="Arial" w:eastAsia="Arial" w:hAnsi="Arial"/>
          <w:sz w:val="18"/>
          <w:szCs w:val="18"/>
          <w:color w:val="auto"/>
        </w:rPr>
        <w:t>expertise needed to further enhance the composition of the Board. In evaluating potential nominees, the Committee and the Board consider each individual in the context of the Board as a whole, with the objective of recommending to stockholders a slate of individual director nominees that can best continue the success of our business and advance stockholders’ interests. In evaluating the suitability of individual nominees, the Nominating and Corporate Governance Committee and the Board consider many factors, including:</w:t>
      </w:r>
    </w:p>
    <w:p>
      <w:pPr>
        <w:spacing w:after="0" w:line="229" w:lineRule="exact"/>
        <w:rPr>
          <w:sz w:val="20"/>
          <w:szCs w:val="20"/>
          <w:color w:val="auto"/>
        </w:rPr>
      </w:pPr>
    </w:p>
    <w:p>
      <w:pPr>
        <w:ind w:left="800" w:right="880" w:hanging="454"/>
        <w:spacing w:after="0" w:line="246" w:lineRule="auto"/>
        <w:tabs>
          <w:tab w:leader="none" w:pos="800" w:val="left"/>
        </w:tabs>
        <w:numPr>
          <w:ilvl w:val="0"/>
          <w:numId w:val="17"/>
        </w:numPr>
        <w:rPr>
          <w:rFonts w:ascii="Arial" w:cs="Arial" w:eastAsia="Arial" w:hAnsi="Arial"/>
          <w:sz w:val="15"/>
          <w:szCs w:val="15"/>
          <w:color w:val="77387A"/>
        </w:rPr>
      </w:pPr>
      <w:r>
        <w:rPr>
          <w:rFonts w:ascii="Arial" w:cs="Arial" w:eastAsia="Arial" w:hAnsi="Arial"/>
          <w:sz w:val="18"/>
          <w:szCs w:val="18"/>
          <w:color w:val="auto"/>
        </w:rPr>
        <w:t>expertise and involvement in areas relevant to our business such as defense, intelligence, science, finance, government or commercial and international business;</w:t>
      </w:r>
    </w:p>
    <w:p>
      <w:pPr>
        <w:spacing w:after="0" w:line="48" w:lineRule="exact"/>
        <w:rPr>
          <w:rFonts w:ascii="Arial" w:cs="Arial" w:eastAsia="Arial" w:hAnsi="Arial"/>
          <w:sz w:val="15"/>
          <w:szCs w:val="15"/>
          <w:color w:val="77387A"/>
        </w:rPr>
      </w:pPr>
    </w:p>
    <w:p>
      <w:pPr>
        <w:ind w:left="800" w:hanging="454"/>
        <w:spacing w:after="0"/>
        <w:tabs>
          <w:tab w:leader="none" w:pos="800" w:val="left"/>
        </w:tabs>
        <w:numPr>
          <w:ilvl w:val="0"/>
          <w:numId w:val="17"/>
        </w:numPr>
        <w:rPr>
          <w:rFonts w:ascii="Arial" w:cs="Arial" w:eastAsia="Arial" w:hAnsi="Arial"/>
          <w:sz w:val="15"/>
          <w:szCs w:val="15"/>
          <w:color w:val="77387A"/>
        </w:rPr>
      </w:pPr>
      <w:r>
        <w:rPr>
          <w:rFonts w:ascii="Arial" w:cs="Arial" w:eastAsia="Arial" w:hAnsi="Arial"/>
          <w:sz w:val="18"/>
          <w:szCs w:val="18"/>
          <w:color w:val="auto"/>
        </w:rPr>
        <w:t>interpersonal skills, substantial personal accomplishments and diversity as to gender, age, ethnic background and experience;</w:t>
      </w:r>
    </w:p>
    <w:p>
      <w:pPr>
        <w:spacing w:after="0" w:line="76" w:lineRule="exact"/>
        <w:rPr>
          <w:rFonts w:ascii="Arial" w:cs="Arial" w:eastAsia="Arial" w:hAnsi="Arial"/>
          <w:sz w:val="15"/>
          <w:szCs w:val="15"/>
          <w:color w:val="77387A"/>
        </w:rPr>
      </w:pPr>
    </w:p>
    <w:p>
      <w:pPr>
        <w:ind w:left="800" w:right="100" w:hanging="454"/>
        <w:spacing w:after="0" w:line="246" w:lineRule="auto"/>
        <w:tabs>
          <w:tab w:leader="none" w:pos="800" w:val="left"/>
        </w:tabs>
        <w:numPr>
          <w:ilvl w:val="0"/>
          <w:numId w:val="17"/>
        </w:numPr>
        <w:rPr>
          <w:rFonts w:ascii="Arial" w:cs="Arial" w:eastAsia="Arial" w:hAnsi="Arial"/>
          <w:sz w:val="15"/>
          <w:szCs w:val="15"/>
          <w:color w:val="77387A"/>
        </w:rPr>
      </w:pPr>
      <w:r>
        <w:rPr>
          <w:rFonts w:ascii="Arial" w:cs="Arial" w:eastAsia="Arial" w:hAnsi="Arial"/>
          <w:sz w:val="18"/>
          <w:szCs w:val="18"/>
          <w:color w:val="auto"/>
        </w:rPr>
        <w:t>commitment to business ethics, professional reputation, independence and understanding of the responsibilities of a director and the governance processes of a public company;</w:t>
      </w:r>
    </w:p>
    <w:p>
      <w:pPr>
        <w:spacing w:after="0" w:line="48" w:lineRule="exact"/>
        <w:rPr>
          <w:rFonts w:ascii="Arial" w:cs="Arial" w:eastAsia="Arial" w:hAnsi="Arial"/>
          <w:sz w:val="15"/>
          <w:szCs w:val="15"/>
          <w:color w:val="77387A"/>
        </w:rPr>
      </w:pPr>
    </w:p>
    <w:p>
      <w:pPr>
        <w:ind w:left="800" w:hanging="454"/>
        <w:spacing w:after="0"/>
        <w:tabs>
          <w:tab w:leader="none" w:pos="800" w:val="left"/>
        </w:tabs>
        <w:numPr>
          <w:ilvl w:val="0"/>
          <w:numId w:val="17"/>
        </w:numPr>
        <w:rPr>
          <w:rFonts w:ascii="Arial" w:cs="Arial" w:eastAsia="Arial" w:hAnsi="Arial"/>
          <w:sz w:val="15"/>
          <w:szCs w:val="15"/>
          <w:color w:val="77387A"/>
        </w:rPr>
      </w:pPr>
      <w:r>
        <w:rPr>
          <w:rFonts w:ascii="Arial" w:cs="Arial" w:eastAsia="Arial" w:hAnsi="Arial"/>
          <w:sz w:val="18"/>
          <w:szCs w:val="18"/>
          <w:color w:val="auto"/>
        </w:rPr>
        <w:t>demonstrated leadership, with the ability to exercise sound judgment informed by diversity of experience and perspectives; and</w:t>
      </w:r>
    </w:p>
    <w:p>
      <w:pPr>
        <w:spacing w:after="0" w:line="76" w:lineRule="exact"/>
        <w:rPr>
          <w:rFonts w:ascii="Arial" w:cs="Arial" w:eastAsia="Arial" w:hAnsi="Arial"/>
          <w:sz w:val="15"/>
          <w:szCs w:val="15"/>
          <w:color w:val="77387A"/>
        </w:rPr>
      </w:pPr>
    </w:p>
    <w:p>
      <w:pPr>
        <w:ind w:left="800" w:right="220" w:hanging="454"/>
        <w:spacing w:after="0"/>
        <w:tabs>
          <w:tab w:leader="none" w:pos="800" w:val="left"/>
        </w:tabs>
        <w:numPr>
          <w:ilvl w:val="0"/>
          <w:numId w:val="17"/>
        </w:numPr>
        <w:rPr>
          <w:rFonts w:ascii="Arial" w:cs="Arial" w:eastAsia="Arial" w:hAnsi="Arial"/>
          <w:sz w:val="15"/>
          <w:szCs w:val="15"/>
          <w:color w:val="77387A"/>
        </w:rPr>
      </w:pPr>
      <w:r>
        <w:rPr>
          <w:rFonts w:ascii="Arial" w:cs="Arial" w:eastAsia="Arial" w:hAnsi="Arial"/>
          <w:sz w:val="18"/>
          <w:szCs w:val="18"/>
          <w:color w:val="auto"/>
        </w:rPr>
        <w:t>benefits from the continuing service of qualified incumbent directors in promoting stability and continuity, contributing to the Board’s ability to work together as a collective body and giving the company the benefit of experience and insight that its directors have accumulated during their tenure.</w:t>
      </w:r>
    </w:p>
    <w:p>
      <w:pPr>
        <w:spacing w:after="0" w:line="203" w:lineRule="exact"/>
        <w:rPr>
          <w:sz w:val="20"/>
          <w:szCs w:val="20"/>
          <w:color w:val="auto"/>
        </w:rPr>
      </w:pPr>
    </w:p>
    <w:p>
      <w:pPr>
        <w:ind w:right="160"/>
        <w:spacing w:after="0"/>
        <w:rPr>
          <w:sz w:val="20"/>
          <w:szCs w:val="20"/>
          <w:color w:val="auto"/>
        </w:rPr>
      </w:pPr>
      <w:r>
        <w:rPr>
          <w:rFonts w:ascii="Arial" w:cs="Arial" w:eastAsia="Arial" w:hAnsi="Arial"/>
          <w:sz w:val="18"/>
          <w:szCs w:val="18"/>
          <w:color w:val="auto"/>
        </w:rPr>
        <w:t>The Nominating and Corporate Governance Committee reviews the director selection process annually and the Committee and the Board assess its effectiveness through an annual written evaluation process. In addition, the Nominating and Corporate Governance Committee has been directed by the Board to observe the following principles contained in our Corporate Governance Guidelines:</w:t>
      </w:r>
    </w:p>
    <w:p>
      <w:pPr>
        <w:spacing w:after="0" w:line="230" w:lineRule="exact"/>
        <w:rPr>
          <w:sz w:val="20"/>
          <w:szCs w:val="20"/>
          <w:color w:val="auto"/>
        </w:rPr>
      </w:pPr>
    </w:p>
    <w:p>
      <w:pPr>
        <w:ind w:left="800" w:hanging="454"/>
        <w:spacing w:after="0"/>
        <w:tabs>
          <w:tab w:leader="none" w:pos="800" w:val="left"/>
        </w:tabs>
        <w:numPr>
          <w:ilvl w:val="0"/>
          <w:numId w:val="18"/>
        </w:numPr>
        <w:rPr>
          <w:rFonts w:ascii="Arial" w:cs="Arial" w:eastAsia="Arial" w:hAnsi="Arial"/>
          <w:sz w:val="15"/>
          <w:szCs w:val="15"/>
          <w:color w:val="77387A"/>
        </w:rPr>
      </w:pPr>
      <w:r>
        <w:rPr>
          <w:rFonts w:ascii="Arial" w:cs="Arial" w:eastAsia="Arial" w:hAnsi="Arial"/>
          <w:sz w:val="18"/>
          <w:szCs w:val="18"/>
          <w:color w:val="auto"/>
        </w:rPr>
        <w:t>a majority of directors must meet the independence criteria established by the Board;</w:t>
      </w:r>
    </w:p>
    <w:p>
      <w:pPr>
        <w:spacing w:after="0" w:line="76" w:lineRule="exact"/>
        <w:rPr>
          <w:rFonts w:ascii="Arial" w:cs="Arial" w:eastAsia="Arial" w:hAnsi="Arial"/>
          <w:sz w:val="15"/>
          <w:szCs w:val="15"/>
          <w:color w:val="77387A"/>
        </w:rPr>
      </w:pPr>
    </w:p>
    <w:p>
      <w:pPr>
        <w:ind w:left="800" w:hanging="454"/>
        <w:spacing w:after="0"/>
        <w:tabs>
          <w:tab w:leader="none" w:pos="800" w:val="left"/>
        </w:tabs>
        <w:numPr>
          <w:ilvl w:val="0"/>
          <w:numId w:val="18"/>
        </w:numPr>
        <w:rPr>
          <w:rFonts w:ascii="Arial" w:cs="Arial" w:eastAsia="Arial" w:hAnsi="Arial"/>
          <w:sz w:val="15"/>
          <w:szCs w:val="15"/>
          <w:color w:val="77387A"/>
        </w:rPr>
      </w:pPr>
      <w:r>
        <w:rPr>
          <w:rFonts w:ascii="Arial" w:cs="Arial" w:eastAsia="Arial" w:hAnsi="Arial"/>
          <w:sz w:val="18"/>
          <w:szCs w:val="18"/>
          <w:color w:val="auto"/>
        </w:rPr>
        <w:t>based upon the desired number of 7 to 14 directors, no more than three directors may be an employee of ours;</w:t>
      </w:r>
    </w:p>
    <w:p>
      <w:pPr>
        <w:spacing w:after="0" w:line="76" w:lineRule="exact"/>
        <w:rPr>
          <w:rFonts w:ascii="Arial" w:cs="Arial" w:eastAsia="Arial" w:hAnsi="Arial"/>
          <w:sz w:val="15"/>
          <w:szCs w:val="15"/>
          <w:color w:val="77387A"/>
        </w:rPr>
      </w:pPr>
    </w:p>
    <w:p>
      <w:pPr>
        <w:ind w:left="800" w:right="220" w:hanging="454"/>
        <w:spacing w:after="0" w:line="246" w:lineRule="auto"/>
        <w:tabs>
          <w:tab w:leader="none" w:pos="800" w:val="left"/>
        </w:tabs>
        <w:numPr>
          <w:ilvl w:val="0"/>
          <w:numId w:val="18"/>
        </w:numPr>
        <w:rPr>
          <w:rFonts w:ascii="Arial" w:cs="Arial" w:eastAsia="Arial" w:hAnsi="Arial"/>
          <w:sz w:val="15"/>
          <w:szCs w:val="15"/>
          <w:color w:val="77387A"/>
        </w:rPr>
      </w:pPr>
      <w:r>
        <w:rPr>
          <w:rFonts w:ascii="Arial" w:cs="Arial" w:eastAsia="Arial" w:hAnsi="Arial"/>
          <w:sz w:val="18"/>
          <w:szCs w:val="18"/>
          <w:color w:val="auto"/>
        </w:rPr>
        <w:t>only a full-time employee who serves as either the Chief Executive Officer or one of his or her direct reports will be considered as a candidate for an employee director position; and</w:t>
      </w:r>
    </w:p>
    <w:p>
      <w:pPr>
        <w:spacing w:after="0" w:line="48" w:lineRule="exact"/>
        <w:rPr>
          <w:rFonts w:ascii="Arial" w:cs="Arial" w:eastAsia="Arial" w:hAnsi="Arial"/>
          <w:sz w:val="15"/>
          <w:szCs w:val="15"/>
          <w:color w:val="77387A"/>
        </w:rPr>
      </w:pPr>
    </w:p>
    <w:p>
      <w:pPr>
        <w:ind w:left="800" w:hanging="454"/>
        <w:spacing w:after="0"/>
        <w:tabs>
          <w:tab w:leader="none" w:pos="800" w:val="left"/>
        </w:tabs>
        <w:numPr>
          <w:ilvl w:val="0"/>
          <w:numId w:val="18"/>
        </w:numPr>
        <w:rPr>
          <w:rFonts w:ascii="Arial" w:cs="Arial" w:eastAsia="Arial" w:hAnsi="Arial"/>
          <w:sz w:val="15"/>
          <w:szCs w:val="15"/>
          <w:color w:val="77387A"/>
        </w:rPr>
      </w:pPr>
      <w:r>
        <w:rPr>
          <w:rFonts w:ascii="Arial" w:cs="Arial" w:eastAsia="Arial" w:hAnsi="Arial"/>
          <w:sz w:val="18"/>
          <w:szCs w:val="18"/>
          <w:color w:val="auto"/>
        </w:rPr>
        <w:t>no director nominee may be a consultant to us.</w:t>
      </w:r>
    </w:p>
    <w:p>
      <w:pPr>
        <w:spacing w:after="0" w:line="225"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color w:val="auto"/>
        </w:rPr>
        <w:t>The Board expects a high level of commitment from its members and will review a candidate’s other commitments and service on other boards to ensure that the candidate has sufficient time to devote to us. In addition, non-employee directors may not serve on the boards of directors of more than four other publicly-traded companies. Moreover, directors are expected to act ethically at all times and adhere to our Code of Business Conduct of the Board.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483E65"/>
        </w:rPr>
        <w:t>Board Leadership Structure</w:t>
      </w:r>
    </w:p>
    <w:p>
      <w:pPr>
        <w:spacing w:after="0" w:line="234"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The Board is currently led by Roger A. Krone as Chair and Lawrence C. Nussdorf as independent Lead Director. Our Board believes that it is in the best interests of stockholders for the Board to have the flexibility to determine the most qualified and appropriate individual to serve as Chair of the Board, whether that person is an independent director or the Chief Executive Officer. The Board selects the Chair annually and may decide to separate or combine the roles of Chair of the Board and Chief Executive Officer, if appropriate, any time in the future. In cases where the Board determines it is in the best interests of our stockholders to combine the positions of Chair and Chief Executive Officer, the Nominating and Corporate Governance Committee nominates an independent director to serve as “Lead Director,” who then must be approved by a majority of the independent directors.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The Lead Director has specifically delineated duties, which include:</w:t>
      </w:r>
    </w:p>
    <w:p>
      <w:pPr>
        <w:spacing w:after="0" w:line="239" w:lineRule="exact"/>
        <w:rPr>
          <w:sz w:val="20"/>
          <w:szCs w:val="20"/>
          <w:color w:val="auto"/>
        </w:rPr>
      </w:pPr>
    </w:p>
    <w:p>
      <w:pPr>
        <w:ind w:left="800" w:hanging="454"/>
        <w:spacing w:after="0"/>
        <w:tabs>
          <w:tab w:leader="none" w:pos="800" w:val="left"/>
        </w:tabs>
        <w:numPr>
          <w:ilvl w:val="0"/>
          <w:numId w:val="19"/>
        </w:numPr>
        <w:rPr>
          <w:rFonts w:ascii="Arial" w:cs="Arial" w:eastAsia="Arial" w:hAnsi="Arial"/>
          <w:sz w:val="15"/>
          <w:szCs w:val="15"/>
          <w:color w:val="77387A"/>
        </w:rPr>
      </w:pPr>
      <w:r>
        <w:rPr>
          <w:rFonts w:ascii="Arial" w:cs="Arial" w:eastAsia="Arial" w:hAnsi="Arial"/>
          <w:sz w:val="18"/>
          <w:szCs w:val="18"/>
          <w:color w:val="auto"/>
        </w:rPr>
        <w:t>reviewing and approving meeting agendas and the annual schedule of meetings;</w:t>
      </w:r>
    </w:p>
    <w:p>
      <w:pPr>
        <w:spacing w:after="0" w:line="76" w:lineRule="exact"/>
        <w:rPr>
          <w:rFonts w:ascii="Arial" w:cs="Arial" w:eastAsia="Arial" w:hAnsi="Arial"/>
          <w:sz w:val="15"/>
          <w:szCs w:val="15"/>
          <w:color w:val="77387A"/>
        </w:rPr>
      </w:pPr>
    </w:p>
    <w:p>
      <w:pPr>
        <w:ind w:left="800" w:hanging="454"/>
        <w:spacing w:after="0"/>
        <w:tabs>
          <w:tab w:leader="none" w:pos="800" w:val="left"/>
        </w:tabs>
        <w:numPr>
          <w:ilvl w:val="0"/>
          <w:numId w:val="19"/>
        </w:numPr>
        <w:rPr>
          <w:rFonts w:ascii="Arial" w:cs="Arial" w:eastAsia="Arial" w:hAnsi="Arial"/>
          <w:sz w:val="15"/>
          <w:szCs w:val="15"/>
          <w:color w:val="77387A"/>
        </w:rPr>
      </w:pPr>
      <w:r>
        <w:rPr>
          <w:rFonts w:ascii="Arial" w:cs="Arial" w:eastAsia="Arial" w:hAnsi="Arial"/>
          <w:sz w:val="18"/>
          <w:szCs w:val="18"/>
          <w:color w:val="auto"/>
        </w:rPr>
        <w:t>providing input to the Chair on the quantity, quality and timeliness of information provided to the Board;</w:t>
      </w:r>
    </w:p>
    <w:p>
      <w:pPr>
        <w:spacing w:after="0" w:line="76" w:lineRule="exact"/>
        <w:rPr>
          <w:rFonts w:ascii="Arial" w:cs="Arial" w:eastAsia="Arial" w:hAnsi="Arial"/>
          <w:sz w:val="15"/>
          <w:szCs w:val="15"/>
          <w:color w:val="77387A"/>
        </w:rPr>
      </w:pPr>
    </w:p>
    <w:p>
      <w:pPr>
        <w:ind w:left="800" w:hanging="454"/>
        <w:spacing w:after="0"/>
        <w:tabs>
          <w:tab w:leader="none" w:pos="800" w:val="left"/>
        </w:tabs>
        <w:numPr>
          <w:ilvl w:val="0"/>
          <w:numId w:val="19"/>
        </w:numPr>
        <w:rPr>
          <w:rFonts w:ascii="Arial" w:cs="Arial" w:eastAsia="Arial" w:hAnsi="Arial"/>
          <w:sz w:val="15"/>
          <w:szCs w:val="15"/>
          <w:color w:val="77387A"/>
        </w:rPr>
      </w:pPr>
      <w:r>
        <w:rPr>
          <w:rFonts w:ascii="Arial" w:cs="Arial" w:eastAsia="Arial" w:hAnsi="Arial"/>
          <w:sz w:val="18"/>
          <w:szCs w:val="18"/>
          <w:color w:val="auto"/>
        </w:rPr>
        <w:t>calling and chairing all meetings of the independent directors and apprising the Chair of the issues considered, as appropriate;</w:t>
      </w:r>
    </w:p>
    <w:p>
      <w:pPr>
        <w:spacing w:after="0" w:line="76" w:lineRule="exact"/>
        <w:rPr>
          <w:rFonts w:ascii="Arial" w:cs="Arial" w:eastAsia="Arial" w:hAnsi="Arial"/>
          <w:sz w:val="15"/>
          <w:szCs w:val="15"/>
          <w:color w:val="77387A"/>
        </w:rPr>
      </w:pPr>
    </w:p>
    <w:p>
      <w:pPr>
        <w:ind w:left="800" w:hanging="454"/>
        <w:spacing w:after="0"/>
        <w:tabs>
          <w:tab w:leader="none" w:pos="800" w:val="left"/>
        </w:tabs>
        <w:numPr>
          <w:ilvl w:val="0"/>
          <w:numId w:val="19"/>
        </w:numPr>
        <w:rPr>
          <w:rFonts w:ascii="Arial" w:cs="Arial" w:eastAsia="Arial" w:hAnsi="Arial"/>
          <w:sz w:val="15"/>
          <w:szCs w:val="15"/>
          <w:color w:val="77387A"/>
        </w:rPr>
      </w:pPr>
      <w:r>
        <w:rPr>
          <w:rFonts w:ascii="Arial" w:cs="Arial" w:eastAsia="Arial" w:hAnsi="Arial"/>
          <w:sz w:val="18"/>
          <w:szCs w:val="18"/>
          <w:color w:val="auto"/>
        </w:rPr>
        <w:t>presiding, in the Chair’s absence, at Board meetings and the annual meeting of stockholders;</w:t>
      </w:r>
    </w:p>
    <w:p>
      <w:pPr>
        <w:spacing w:after="0" w:line="76" w:lineRule="exact"/>
        <w:rPr>
          <w:rFonts w:ascii="Arial" w:cs="Arial" w:eastAsia="Arial" w:hAnsi="Arial"/>
          <w:sz w:val="15"/>
          <w:szCs w:val="15"/>
          <w:color w:val="77387A"/>
        </w:rPr>
      </w:pPr>
    </w:p>
    <w:p>
      <w:pPr>
        <w:ind w:left="800" w:right="380" w:hanging="454"/>
        <w:spacing w:after="0" w:line="246" w:lineRule="auto"/>
        <w:tabs>
          <w:tab w:leader="none" w:pos="800" w:val="left"/>
        </w:tabs>
        <w:numPr>
          <w:ilvl w:val="0"/>
          <w:numId w:val="19"/>
        </w:numPr>
        <w:rPr>
          <w:rFonts w:ascii="Arial" w:cs="Arial" w:eastAsia="Arial" w:hAnsi="Arial"/>
          <w:sz w:val="15"/>
          <w:szCs w:val="15"/>
          <w:color w:val="77387A"/>
        </w:rPr>
      </w:pPr>
      <w:r>
        <w:rPr>
          <w:rFonts w:ascii="Arial" w:cs="Arial" w:eastAsia="Arial" w:hAnsi="Arial"/>
          <w:sz w:val="18"/>
          <w:szCs w:val="18"/>
          <w:color w:val="auto"/>
        </w:rPr>
        <w:t>helping the Chair facilitate full and candid Board discussions, ensuring all directors express their views on key Board matters and assisting the Board in achieving a consensus;</w:t>
      </w:r>
    </w:p>
    <w:p>
      <w:pPr>
        <w:spacing w:after="0" w:line="112" w:lineRule="exact"/>
        <w:rPr>
          <w:sz w:val="20"/>
          <w:szCs w:val="20"/>
          <w:color w:val="auto"/>
        </w:rPr>
      </w:pPr>
    </w:p>
    <w:p>
      <w:pPr>
        <w:jc w:val="right"/>
        <w:spacing w:after="0"/>
        <w:tabs>
          <w:tab w:leader="none" w:pos="380" w:val="left"/>
          <w:tab w:leader="none" w:pos="160" w:val="left"/>
        </w:tabs>
        <w:rPr>
          <w:sz w:val="20"/>
          <w:szCs w:val="20"/>
          <w:color w:val="auto"/>
        </w:rPr>
      </w:pPr>
      <w:r>
        <w:rPr>
          <w:rFonts w:ascii="Arial" w:cs="Arial" w:eastAsia="Arial" w:hAnsi="Arial"/>
          <w:sz w:val="16"/>
          <w:szCs w:val="16"/>
          <w:b w:val="1"/>
          <w:bCs w:val="1"/>
          <w:color w:val="483E65"/>
        </w:rPr>
        <w:t>2017 Proxy Statement</w:t>
        <w:tab/>
        <w:t>|</w:t>
        <w:tab/>
        <w:t>13</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8" w:lineRule="exact"/>
        <w:rPr>
          <w:sz w:val="20"/>
          <w:szCs w:val="20"/>
          <w:color w:val="auto"/>
        </w:rPr>
      </w:pPr>
    </w:p>
    <w:p>
      <w:pPr>
        <w:spacing w:after="0"/>
        <w:rPr>
          <w:sz w:val="20"/>
          <w:szCs w:val="20"/>
          <w:color w:val="auto"/>
        </w:rPr>
      </w:pPr>
      <w:r>
        <w:rPr>
          <w:rFonts w:ascii="Arial" w:cs="Arial" w:eastAsia="Arial" w:hAnsi="Arial"/>
          <w:sz w:val="32"/>
          <w:szCs w:val="32"/>
          <w:color w:val="483E65"/>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149860</wp:posOffset>
            </wp:positionV>
            <wp:extent cx="72466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800" w:hanging="454"/>
        <w:spacing w:after="0"/>
        <w:tabs>
          <w:tab w:leader="none" w:pos="800" w:val="left"/>
        </w:tabs>
        <w:numPr>
          <w:ilvl w:val="0"/>
          <w:numId w:val="20"/>
        </w:numPr>
        <w:rPr>
          <w:rFonts w:ascii="Arial" w:cs="Arial" w:eastAsia="Arial" w:hAnsi="Arial"/>
          <w:sz w:val="15"/>
          <w:szCs w:val="15"/>
          <w:color w:val="77387A"/>
        </w:rPr>
      </w:pPr>
      <w:r>
        <w:rPr>
          <w:rFonts w:ascii="Arial" w:cs="Arial" w:eastAsia="Arial" w:hAnsi="Arial"/>
          <w:sz w:val="18"/>
          <w:szCs w:val="18"/>
          <w:color w:val="auto"/>
        </w:rPr>
        <w:t>being authorized to attend all committee meetings, as appropriate;</w:t>
      </w:r>
    </w:p>
    <w:p>
      <w:pPr>
        <w:spacing w:after="0" w:line="76" w:lineRule="exact"/>
        <w:rPr>
          <w:rFonts w:ascii="Arial" w:cs="Arial" w:eastAsia="Arial" w:hAnsi="Arial"/>
          <w:sz w:val="15"/>
          <w:szCs w:val="15"/>
          <w:color w:val="77387A"/>
        </w:rPr>
      </w:pPr>
    </w:p>
    <w:p>
      <w:pPr>
        <w:ind w:left="800" w:hanging="454"/>
        <w:spacing w:after="0"/>
        <w:tabs>
          <w:tab w:leader="none" w:pos="800" w:val="left"/>
        </w:tabs>
        <w:numPr>
          <w:ilvl w:val="0"/>
          <w:numId w:val="20"/>
        </w:numPr>
        <w:rPr>
          <w:rFonts w:ascii="Arial" w:cs="Arial" w:eastAsia="Arial" w:hAnsi="Arial"/>
          <w:sz w:val="15"/>
          <w:szCs w:val="15"/>
          <w:color w:val="77387A"/>
        </w:rPr>
      </w:pPr>
      <w:r>
        <w:rPr>
          <w:rFonts w:ascii="Arial" w:cs="Arial" w:eastAsia="Arial" w:hAnsi="Arial"/>
          <w:sz w:val="18"/>
          <w:szCs w:val="18"/>
          <w:color w:val="auto"/>
        </w:rPr>
        <w:t>serving as the liaison between the independent directors and the Chair and Chief Executive Officer;</w:t>
      </w:r>
    </w:p>
    <w:p>
      <w:pPr>
        <w:spacing w:after="0" w:line="76" w:lineRule="exact"/>
        <w:rPr>
          <w:rFonts w:ascii="Arial" w:cs="Arial" w:eastAsia="Arial" w:hAnsi="Arial"/>
          <w:sz w:val="15"/>
          <w:szCs w:val="15"/>
          <w:color w:val="77387A"/>
        </w:rPr>
      </w:pPr>
    </w:p>
    <w:p>
      <w:pPr>
        <w:ind w:left="800" w:hanging="454"/>
        <w:spacing w:after="0"/>
        <w:tabs>
          <w:tab w:leader="none" w:pos="800" w:val="left"/>
        </w:tabs>
        <w:numPr>
          <w:ilvl w:val="0"/>
          <w:numId w:val="20"/>
        </w:numPr>
        <w:rPr>
          <w:rFonts w:ascii="Arial" w:cs="Arial" w:eastAsia="Arial" w:hAnsi="Arial"/>
          <w:sz w:val="15"/>
          <w:szCs w:val="15"/>
          <w:color w:val="77387A"/>
        </w:rPr>
      </w:pPr>
      <w:r>
        <w:rPr>
          <w:rFonts w:ascii="Arial" w:cs="Arial" w:eastAsia="Arial" w:hAnsi="Arial"/>
          <w:sz w:val="18"/>
          <w:szCs w:val="18"/>
          <w:color w:val="auto"/>
        </w:rPr>
        <w:t>being available for consultation and direct communication with significant stockholders and other interested parties, if requested;</w:t>
      </w:r>
    </w:p>
    <w:p>
      <w:pPr>
        <w:spacing w:after="0" w:line="76" w:lineRule="exact"/>
        <w:rPr>
          <w:rFonts w:ascii="Arial" w:cs="Arial" w:eastAsia="Arial" w:hAnsi="Arial"/>
          <w:sz w:val="15"/>
          <w:szCs w:val="15"/>
          <w:color w:val="77387A"/>
        </w:rPr>
      </w:pPr>
    </w:p>
    <w:p>
      <w:pPr>
        <w:ind w:left="800" w:right="40" w:hanging="454"/>
        <w:spacing w:after="0" w:line="246" w:lineRule="auto"/>
        <w:tabs>
          <w:tab w:leader="none" w:pos="800" w:val="left"/>
        </w:tabs>
        <w:numPr>
          <w:ilvl w:val="0"/>
          <w:numId w:val="20"/>
        </w:numPr>
        <w:rPr>
          <w:rFonts w:ascii="Arial" w:cs="Arial" w:eastAsia="Arial" w:hAnsi="Arial"/>
          <w:sz w:val="15"/>
          <w:szCs w:val="15"/>
          <w:color w:val="77387A"/>
        </w:rPr>
      </w:pPr>
      <w:r>
        <w:rPr>
          <w:rFonts w:ascii="Arial" w:cs="Arial" w:eastAsia="Arial" w:hAnsi="Arial"/>
          <w:sz w:val="18"/>
          <w:szCs w:val="18"/>
          <w:color w:val="auto"/>
        </w:rPr>
        <w:t>collaborating with the Human Resources and Compensation Committee on the annual performance evaluation of the Chief Executive Officer;</w:t>
      </w:r>
    </w:p>
    <w:p>
      <w:pPr>
        <w:spacing w:after="0" w:line="48" w:lineRule="exact"/>
        <w:rPr>
          <w:rFonts w:ascii="Arial" w:cs="Arial" w:eastAsia="Arial" w:hAnsi="Arial"/>
          <w:sz w:val="15"/>
          <w:szCs w:val="15"/>
          <w:color w:val="77387A"/>
        </w:rPr>
      </w:pPr>
    </w:p>
    <w:p>
      <w:pPr>
        <w:ind w:left="800" w:right="500" w:hanging="454"/>
        <w:spacing w:after="0" w:line="246" w:lineRule="auto"/>
        <w:tabs>
          <w:tab w:leader="none" w:pos="800" w:val="left"/>
        </w:tabs>
        <w:numPr>
          <w:ilvl w:val="0"/>
          <w:numId w:val="20"/>
        </w:numPr>
        <w:rPr>
          <w:rFonts w:ascii="Arial" w:cs="Arial" w:eastAsia="Arial" w:hAnsi="Arial"/>
          <w:sz w:val="15"/>
          <w:szCs w:val="15"/>
          <w:color w:val="77387A"/>
        </w:rPr>
      </w:pPr>
      <w:r>
        <w:rPr>
          <w:rFonts w:ascii="Arial" w:cs="Arial" w:eastAsia="Arial" w:hAnsi="Arial"/>
          <w:sz w:val="18"/>
          <w:szCs w:val="18"/>
          <w:color w:val="auto"/>
        </w:rPr>
        <w:t>collaborating with the Nominating and Corporate Governance Committee on the performance and structure of the Board and its committees, including the performance of individual directors;</w:t>
      </w:r>
    </w:p>
    <w:p>
      <w:pPr>
        <w:spacing w:after="0" w:line="48" w:lineRule="exact"/>
        <w:rPr>
          <w:rFonts w:ascii="Arial" w:cs="Arial" w:eastAsia="Arial" w:hAnsi="Arial"/>
          <w:sz w:val="15"/>
          <w:szCs w:val="15"/>
          <w:color w:val="77387A"/>
        </w:rPr>
      </w:pPr>
    </w:p>
    <w:p>
      <w:pPr>
        <w:ind w:left="800" w:right="460" w:hanging="454"/>
        <w:spacing w:after="0" w:line="246" w:lineRule="auto"/>
        <w:tabs>
          <w:tab w:leader="none" w:pos="800" w:val="left"/>
        </w:tabs>
        <w:numPr>
          <w:ilvl w:val="0"/>
          <w:numId w:val="20"/>
        </w:numPr>
        <w:rPr>
          <w:rFonts w:ascii="Arial" w:cs="Arial" w:eastAsia="Arial" w:hAnsi="Arial"/>
          <w:sz w:val="15"/>
          <w:szCs w:val="15"/>
          <w:color w:val="77387A"/>
        </w:rPr>
      </w:pPr>
      <w:r>
        <w:rPr>
          <w:rFonts w:ascii="Arial" w:cs="Arial" w:eastAsia="Arial" w:hAnsi="Arial"/>
          <w:sz w:val="18"/>
          <w:szCs w:val="18"/>
          <w:color w:val="auto"/>
        </w:rPr>
        <w:t>on behalf of the independent directors, retaining such counsel or other advisors as they deem appropriate in the conduct of their duties and responsibilities; and</w:t>
      </w:r>
    </w:p>
    <w:p>
      <w:pPr>
        <w:spacing w:after="0" w:line="48" w:lineRule="exact"/>
        <w:rPr>
          <w:rFonts w:ascii="Arial" w:cs="Arial" w:eastAsia="Arial" w:hAnsi="Arial"/>
          <w:sz w:val="15"/>
          <w:szCs w:val="15"/>
          <w:color w:val="77387A"/>
        </w:rPr>
      </w:pPr>
    </w:p>
    <w:p>
      <w:pPr>
        <w:ind w:left="800" w:hanging="454"/>
        <w:spacing w:after="0"/>
        <w:tabs>
          <w:tab w:leader="none" w:pos="800" w:val="left"/>
        </w:tabs>
        <w:numPr>
          <w:ilvl w:val="0"/>
          <w:numId w:val="20"/>
        </w:numPr>
        <w:rPr>
          <w:rFonts w:ascii="Arial" w:cs="Arial" w:eastAsia="Arial" w:hAnsi="Arial"/>
          <w:sz w:val="15"/>
          <w:szCs w:val="15"/>
          <w:color w:val="77387A"/>
        </w:rPr>
      </w:pPr>
      <w:r>
        <w:rPr>
          <w:rFonts w:ascii="Arial" w:cs="Arial" w:eastAsia="Arial" w:hAnsi="Arial"/>
          <w:sz w:val="18"/>
          <w:szCs w:val="18"/>
          <w:color w:val="auto"/>
        </w:rPr>
        <w:t>performing such other duties as the Board may determine from time to time.</w:t>
      </w:r>
    </w:p>
    <w:p>
      <w:pPr>
        <w:spacing w:after="0" w:line="225"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Our Board is committed to strong corporate governance and believes that Board independence and oversight of management are effectively maintained through the Board’s current composition, committee structure and the position of Lead Director. Currently, 10 of our 12 directors are “independent” as defined by the NYSE rules and our Corporate Governance Guidelines. The Board’s Audit, Finance, Human Resources and Compensation and Nominating and Corporate Governance Committees are each comprised entirely of independent directors.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483E65"/>
        </w:rPr>
        <w:t>The Board’s Role in Risk Oversight</w:t>
      </w:r>
    </w:p>
    <w:p>
      <w:pPr>
        <w:spacing w:after="0" w:line="234"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As part of its oversight function, the Board and its committees monitor risk as part of their regular deliberations throughout the year. When granting authority to management, approving strategies, making decisions and receiving management reports, the Board considers, among other things, the risks facing the company. The Board also oversees risk in particular areas through its committee structure. The Audit Committee evaluates the company’s guidelines and policies regarding risk assessment and risk management, including risks related to internal control over financial reporting, the company’s major financial risk exposures and the steps management has taken to monitor and control such exposures. The Human Resources and Compensation Committee evaluates risks potentially arising from the company’s human resources and compensation policies and practices. The Finance Committee oversees financial, capital investment and insurance risks. The Ethics and Corporate Responsibility Committee oversees risks associated with unethical conduct and political, social, environmental and reputational risks. The Classified Business Oversight Committee oversees risk review activities applicable to the company’s classified business activities and receives reports from management on particular classified projects involving significant performance, financial or reputational risks. The company also utilizes an internal Enterprise Risk Management Committee, comprised of the Chief Executive Officer and senior management that, among other things, establishes the overall corporate risk strategy and ensures that policies, systems, processes and training are established to identify and address appropriate risk matters within the company. This committee reports periodically to the Audit Committee and annually to the full Board on its activities and findings, highlighting the key risks we face and management’s actions for managing those risks.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483E65"/>
        </w:rPr>
        <w:t>Board of Directors Meetings</w:t>
      </w:r>
    </w:p>
    <w:p>
      <w:pPr>
        <w:spacing w:after="0" w:line="234" w:lineRule="exact"/>
        <w:rPr>
          <w:sz w:val="20"/>
          <w:szCs w:val="20"/>
          <w:color w:val="auto"/>
        </w:rPr>
      </w:pPr>
    </w:p>
    <w:p>
      <w:pPr>
        <w:ind w:right="180"/>
        <w:spacing w:after="0" w:line="234" w:lineRule="auto"/>
        <w:rPr>
          <w:sz w:val="20"/>
          <w:szCs w:val="20"/>
          <w:color w:val="auto"/>
        </w:rPr>
      </w:pPr>
      <w:r>
        <w:rPr>
          <w:rFonts w:ascii="Arial" w:cs="Arial" w:eastAsia="Arial" w:hAnsi="Arial"/>
          <w:sz w:val="18"/>
          <w:szCs w:val="18"/>
          <w:color w:val="auto"/>
        </w:rPr>
        <w:t>During the 12-month period from January 2, 2016 to December 30, 2016 (“Fiscal 2016”), the Board held 11 meetings of the entire Board. The independent directors met seven times during the year, either in executive session of regular board meetings or in separate meetings.</w:t>
      </w:r>
    </w:p>
    <w:p>
      <w:pPr>
        <w:spacing w:after="0" w:line="2" w:lineRule="exact"/>
        <w:rPr>
          <w:sz w:val="20"/>
          <w:szCs w:val="20"/>
          <w:color w:val="auto"/>
        </w:rPr>
      </w:pPr>
    </w:p>
    <w:p>
      <w:pPr>
        <w:ind w:right="440"/>
        <w:spacing w:after="0" w:line="239" w:lineRule="auto"/>
        <w:rPr>
          <w:sz w:val="20"/>
          <w:szCs w:val="20"/>
          <w:color w:val="auto"/>
        </w:rPr>
      </w:pPr>
      <w:r>
        <w:rPr>
          <w:rFonts w:ascii="Arial" w:cs="Arial" w:eastAsia="Arial" w:hAnsi="Arial"/>
          <w:sz w:val="18"/>
          <w:szCs w:val="18"/>
          <w:color w:val="auto"/>
        </w:rPr>
        <w:t>Mr. Nussdorf, the independent Lead Director, presides at all executive sessions of our independent directors as provided by our Corporate Governance Guidelines. During Fiscal 2016, no director attended fewer than 75% of the aggregate of the meetings of the Board and committees of the Board on which they served. In addition, all directors, then serving as a director attended the 2016 annual meeting of stockholders. It is our policy to encourage all directors to attend our annual meeting.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483E65"/>
        </w:rPr>
        <w:t>Board Committees</w:t>
      </w:r>
    </w:p>
    <w:p>
      <w:pPr>
        <w:spacing w:after="0" w:line="234"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The Board has the following principal standing committees: Audit, Classified Business Oversight, Ethics and Corporate Responsibility, Finance, Human Resources and Compensation, and Nominating and Corporate Governance. The charters of these committees are available in print to any stockholder who requests them and are also available on our website at www.leidos.com by clicking on the links entitled “Investor Relations,” “Corporate Governance” and then “Board Committees.”</w:t>
      </w:r>
    </w:p>
    <w:p>
      <w:pPr>
        <w:spacing w:after="0" w:line="117" w:lineRule="exact"/>
        <w:rPr>
          <w:sz w:val="20"/>
          <w:szCs w:val="20"/>
          <w:color w:val="auto"/>
        </w:rPr>
      </w:pPr>
    </w:p>
    <w:p>
      <w:pPr>
        <w:spacing w:after="0"/>
        <w:tabs>
          <w:tab w:leader="none" w:pos="340" w:val="left"/>
          <w:tab w:leader="none" w:pos="580" w:val="left"/>
        </w:tabs>
        <w:rPr>
          <w:sz w:val="20"/>
          <w:szCs w:val="20"/>
          <w:color w:val="auto"/>
        </w:rPr>
      </w:pPr>
      <w:r>
        <w:rPr>
          <w:rFonts w:ascii="Arial" w:cs="Arial" w:eastAsia="Arial" w:hAnsi="Arial"/>
          <w:sz w:val="16"/>
          <w:szCs w:val="16"/>
          <w:b w:val="1"/>
          <w:bCs w:val="1"/>
          <w:color w:val="483E65"/>
        </w:rPr>
        <w:t>14</w:t>
        <w:tab/>
        <w:t>|</w:t>
        <w:tab/>
        <w:t>2017 Proxy Statement</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8" w:lineRule="exact"/>
        <w:rPr>
          <w:sz w:val="20"/>
          <w:szCs w:val="20"/>
          <w:color w:val="auto"/>
        </w:rPr>
      </w:pPr>
    </w:p>
    <w:p>
      <w:pPr>
        <w:spacing w:after="0"/>
        <w:rPr>
          <w:sz w:val="20"/>
          <w:szCs w:val="20"/>
          <w:color w:val="auto"/>
        </w:rPr>
      </w:pPr>
      <w:r>
        <w:rPr>
          <w:rFonts w:ascii="Arial" w:cs="Arial" w:eastAsia="Arial" w:hAnsi="Arial"/>
          <w:sz w:val="32"/>
          <w:szCs w:val="32"/>
          <w:color w:val="483E65"/>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149860</wp:posOffset>
            </wp:positionV>
            <wp:extent cx="72466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Listed below are the members of each of the six standing committees as of the date of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227266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2272665"/>
                    </a:xfrm>
                    <a:prstGeom prst="rect">
                      <a:avLst/>
                    </a:prstGeom>
                    <a:noFill/>
                  </pic:spPr>
                </pic:pic>
              </a:graphicData>
            </a:graphic>
          </wp:anchor>
        </w:drawing>
      </w:r>
    </w:p>
    <w:p>
      <w:pPr>
        <w:spacing w:after="0" w:line="207" w:lineRule="exact"/>
        <w:rPr>
          <w:sz w:val="20"/>
          <w:szCs w:val="20"/>
          <w:color w:val="auto"/>
        </w:rPr>
      </w:pPr>
    </w:p>
    <w:tbl>
      <w:tblPr>
        <w:tblLayout w:type="fixed"/>
        <w:tblInd w:w="4660" w:type="dxa"/>
        <w:tblCellMar>
          <w:top w:w="0" w:type="dxa"/>
          <w:left w:w="0" w:type="dxa"/>
          <w:bottom w:w="0" w:type="dxa"/>
          <w:right w:w="0" w:type="dxa"/>
        </w:tblCellMar>
      </w:tblPr>
      <w:tr>
        <w:trPr>
          <w:trHeight w:val="161"/>
        </w:trPr>
        <w:tc>
          <w:tcPr>
            <w:tcW w:w="900" w:type="dxa"/>
            <w:vAlign w:val="bottom"/>
            <w:shd w:val="clear" w:color="auto" w:fill="483E65"/>
          </w:tcPr>
          <w:p>
            <w:pPr>
              <w:spacing w:after="0"/>
              <w:rPr>
                <w:sz w:val="14"/>
                <w:szCs w:val="14"/>
                <w:color w:val="auto"/>
              </w:rPr>
            </w:pPr>
          </w:p>
        </w:tc>
        <w:tc>
          <w:tcPr>
            <w:tcW w:w="1120" w:type="dxa"/>
            <w:vAlign w:val="bottom"/>
            <w:shd w:val="clear" w:color="auto" w:fill="483E65"/>
          </w:tcPr>
          <w:p>
            <w:pPr>
              <w:ind w:left="240"/>
              <w:spacing w:after="0"/>
              <w:rPr>
                <w:sz w:val="20"/>
                <w:szCs w:val="20"/>
                <w:color w:val="auto"/>
              </w:rPr>
            </w:pPr>
            <w:r>
              <w:rPr>
                <w:rFonts w:ascii="Arial" w:cs="Arial" w:eastAsia="Arial" w:hAnsi="Arial"/>
                <w:sz w:val="14"/>
                <w:szCs w:val="14"/>
                <w:b w:val="1"/>
                <w:bCs w:val="1"/>
                <w:color w:val="FFFFFF"/>
              </w:rPr>
              <w:t>Classified</w:t>
            </w:r>
          </w:p>
        </w:tc>
        <w:tc>
          <w:tcPr>
            <w:tcW w:w="1340" w:type="dxa"/>
            <w:vAlign w:val="bottom"/>
            <w:shd w:val="clear" w:color="auto" w:fill="483E65"/>
          </w:tcPr>
          <w:p>
            <w:pPr>
              <w:jc w:val="center"/>
              <w:spacing w:after="0"/>
              <w:rPr>
                <w:sz w:val="20"/>
                <w:szCs w:val="20"/>
                <w:color w:val="auto"/>
              </w:rPr>
            </w:pPr>
            <w:r>
              <w:rPr>
                <w:rFonts w:ascii="Arial" w:cs="Arial" w:eastAsia="Arial" w:hAnsi="Arial"/>
                <w:sz w:val="14"/>
                <w:szCs w:val="14"/>
                <w:b w:val="1"/>
                <w:bCs w:val="1"/>
                <w:color w:val="FFFFFF"/>
                <w:w w:val="99"/>
              </w:rPr>
              <w:t>Ethics &amp;</w:t>
            </w:r>
          </w:p>
        </w:tc>
        <w:tc>
          <w:tcPr>
            <w:tcW w:w="860" w:type="dxa"/>
            <w:vAlign w:val="bottom"/>
            <w:shd w:val="clear" w:color="auto" w:fill="483E65"/>
          </w:tcPr>
          <w:p>
            <w:pPr>
              <w:spacing w:after="0"/>
              <w:rPr>
                <w:sz w:val="14"/>
                <w:szCs w:val="14"/>
                <w:color w:val="auto"/>
              </w:rPr>
            </w:pPr>
          </w:p>
        </w:tc>
        <w:tc>
          <w:tcPr>
            <w:tcW w:w="1320" w:type="dxa"/>
            <w:vAlign w:val="bottom"/>
            <w:shd w:val="clear" w:color="auto" w:fill="483E65"/>
          </w:tcPr>
          <w:p>
            <w:pPr>
              <w:jc w:val="center"/>
              <w:spacing w:after="0"/>
              <w:rPr>
                <w:sz w:val="20"/>
                <w:szCs w:val="20"/>
                <w:color w:val="auto"/>
              </w:rPr>
            </w:pPr>
            <w:r>
              <w:rPr>
                <w:rFonts w:ascii="Arial" w:cs="Arial" w:eastAsia="Arial" w:hAnsi="Arial"/>
                <w:sz w:val="14"/>
                <w:szCs w:val="14"/>
                <w:b w:val="1"/>
                <w:bCs w:val="1"/>
                <w:color w:val="FFFFFF"/>
              </w:rPr>
              <w:t>Human</w:t>
            </w:r>
          </w:p>
        </w:tc>
        <w:tc>
          <w:tcPr>
            <w:tcW w:w="1220" w:type="dxa"/>
            <w:vAlign w:val="bottom"/>
            <w:shd w:val="clear" w:color="auto" w:fill="483E65"/>
          </w:tcPr>
          <w:p>
            <w:pPr>
              <w:jc w:val="center"/>
              <w:spacing w:after="0"/>
              <w:rPr>
                <w:sz w:val="20"/>
                <w:szCs w:val="20"/>
                <w:color w:val="auto"/>
              </w:rPr>
            </w:pPr>
            <w:r>
              <w:rPr>
                <w:rFonts w:ascii="Arial" w:cs="Arial" w:eastAsia="Arial" w:hAnsi="Arial"/>
                <w:sz w:val="14"/>
                <w:szCs w:val="14"/>
                <w:b w:val="1"/>
                <w:bCs w:val="1"/>
                <w:color w:val="FFFFFF"/>
              </w:rPr>
              <w:t>Nominating &amp;</w:t>
            </w:r>
          </w:p>
        </w:tc>
      </w:tr>
      <w:tr>
        <w:trPr>
          <w:trHeight w:val="162"/>
        </w:trPr>
        <w:tc>
          <w:tcPr>
            <w:tcW w:w="900" w:type="dxa"/>
            <w:vAlign w:val="bottom"/>
            <w:shd w:val="clear" w:color="auto" w:fill="483E65"/>
          </w:tcPr>
          <w:p>
            <w:pPr>
              <w:spacing w:after="0"/>
              <w:rPr>
                <w:sz w:val="14"/>
                <w:szCs w:val="14"/>
                <w:color w:val="auto"/>
              </w:rPr>
            </w:pPr>
          </w:p>
        </w:tc>
        <w:tc>
          <w:tcPr>
            <w:tcW w:w="1120" w:type="dxa"/>
            <w:vAlign w:val="bottom"/>
            <w:shd w:val="clear" w:color="auto" w:fill="483E65"/>
          </w:tcPr>
          <w:p>
            <w:pPr>
              <w:ind w:left="260"/>
              <w:spacing w:after="0"/>
              <w:rPr>
                <w:sz w:val="20"/>
                <w:szCs w:val="20"/>
                <w:color w:val="auto"/>
              </w:rPr>
            </w:pPr>
            <w:r>
              <w:rPr>
                <w:rFonts w:ascii="Arial" w:cs="Arial" w:eastAsia="Arial" w:hAnsi="Arial"/>
                <w:sz w:val="14"/>
                <w:szCs w:val="14"/>
                <w:b w:val="1"/>
                <w:bCs w:val="1"/>
                <w:color w:val="FFFFFF"/>
              </w:rPr>
              <w:t>Business</w:t>
            </w:r>
          </w:p>
        </w:tc>
        <w:tc>
          <w:tcPr>
            <w:tcW w:w="1340" w:type="dxa"/>
            <w:vAlign w:val="bottom"/>
            <w:shd w:val="clear" w:color="auto" w:fill="483E65"/>
          </w:tcPr>
          <w:p>
            <w:pPr>
              <w:jc w:val="center"/>
              <w:spacing w:after="0"/>
              <w:rPr>
                <w:sz w:val="20"/>
                <w:szCs w:val="20"/>
                <w:color w:val="auto"/>
              </w:rPr>
            </w:pPr>
            <w:r>
              <w:rPr>
                <w:rFonts w:ascii="Arial" w:cs="Arial" w:eastAsia="Arial" w:hAnsi="Arial"/>
                <w:sz w:val="14"/>
                <w:szCs w:val="14"/>
                <w:b w:val="1"/>
                <w:bCs w:val="1"/>
                <w:color w:val="FFFFFF"/>
              </w:rPr>
              <w:t>Corporate</w:t>
            </w:r>
          </w:p>
        </w:tc>
        <w:tc>
          <w:tcPr>
            <w:tcW w:w="860" w:type="dxa"/>
            <w:vAlign w:val="bottom"/>
            <w:shd w:val="clear" w:color="auto" w:fill="483E65"/>
          </w:tcPr>
          <w:p>
            <w:pPr>
              <w:spacing w:after="0"/>
              <w:rPr>
                <w:sz w:val="14"/>
                <w:szCs w:val="14"/>
                <w:color w:val="auto"/>
              </w:rPr>
            </w:pPr>
          </w:p>
        </w:tc>
        <w:tc>
          <w:tcPr>
            <w:tcW w:w="1320" w:type="dxa"/>
            <w:vAlign w:val="bottom"/>
            <w:shd w:val="clear" w:color="auto" w:fill="483E65"/>
          </w:tcPr>
          <w:p>
            <w:pPr>
              <w:jc w:val="center"/>
              <w:spacing w:after="0"/>
              <w:rPr>
                <w:sz w:val="20"/>
                <w:szCs w:val="20"/>
                <w:color w:val="auto"/>
              </w:rPr>
            </w:pPr>
            <w:r>
              <w:rPr>
                <w:rFonts w:ascii="Arial" w:cs="Arial" w:eastAsia="Arial" w:hAnsi="Arial"/>
                <w:sz w:val="14"/>
                <w:szCs w:val="14"/>
                <w:b w:val="1"/>
                <w:bCs w:val="1"/>
                <w:color w:val="FFFFFF"/>
              </w:rPr>
              <w:t>Resources &amp;</w:t>
            </w:r>
          </w:p>
        </w:tc>
        <w:tc>
          <w:tcPr>
            <w:tcW w:w="1220" w:type="dxa"/>
            <w:vAlign w:val="bottom"/>
            <w:shd w:val="clear" w:color="auto" w:fill="483E65"/>
          </w:tcPr>
          <w:p>
            <w:pPr>
              <w:jc w:val="center"/>
              <w:spacing w:after="0"/>
              <w:rPr>
                <w:sz w:val="20"/>
                <w:szCs w:val="20"/>
                <w:color w:val="auto"/>
              </w:rPr>
            </w:pPr>
            <w:r>
              <w:rPr>
                <w:rFonts w:ascii="Arial" w:cs="Arial" w:eastAsia="Arial" w:hAnsi="Arial"/>
                <w:sz w:val="14"/>
                <w:szCs w:val="14"/>
                <w:b w:val="1"/>
                <w:bCs w:val="1"/>
                <w:color w:val="FFFFFF"/>
              </w:rPr>
              <w:t>Corporate</w:t>
            </w:r>
          </w:p>
        </w:tc>
      </w:tr>
      <w:tr>
        <w:trPr>
          <w:trHeight w:val="189"/>
        </w:trPr>
        <w:tc>
          <w:tcPr>
            <w:tcW w:w="900" w:type="dxa"/>
            <w:vAlign w:val="bottom"/>
            <w:shd w:val="clear" w:color="auto" w:fill="483E65"/>
          </w:tcPr>
          <w:p>
            <w:pPr>
              <w:ind w:left="300"/>
              <w:spacing w:after="0"/>
              <w:rPr>
                <w:sz w:val="20"/>
                <w:szCs w:val="20"/>
                <w:color w:val="auto"/>
              </w:rPr>
            </w:pPr>
            <w:r>
              <w:rPr>
                <w:rFonts w:ascii="Arial" w:cs="Arial" w:eastAsia="Arial" w:hAnsi="Arial"/>
                <w:sz w:val="14"/>
                <w:szCs w:val="14"/>
                <w:b w:val="1"/>
                <w:bCs w:val="1"/>
                <w:color w:val="FFFFFF"/>
              </w:rPr>
              <w:t>Audit</w:t>
            </w:r>
          </w:p>
        </w:tc>
        <w:tc>
          <w:tcPr>
            <w:tcW w:w="1120" w:type="dxa"/>
            <w:vAlign w:val="bottom"/>
            <w:shd w:val="clear" w:color="auto" w:fill="483E65"/>
          </w:tcPr>
          <w:p>
            <w:pPr>
              <w:ind w:left="240"/>
              <w:spacing w:after="0"/>
              <w:rPr>
                <w:sz w:val="20"/>
                <w:szCs w:val="20"/>
                <w:color w:val="auto"/>
              </w:rPr>
            </w:pPr>
            <w:r>
              <w:rPr>
                <w:rFonts w:ascii="Arial" w:cs="Arial" w:eastAsia="Arial" w:hAnsi="Arial"/>
                <w:sz w:val="14"/>
                <w:szCs w:val="14"/>
                <w:b w:val="1"/>
                <w:bCs w:val="1"/>
                <w:color w:val="FFFFFF"/>
              </w:rPr>
              <w:t>Oversight</w:t>
            </w:r>
          </w:p>
        </w:tc>
        <w:tc>
          <w:tcPr>
            <w:tcW w:w="1340" w:type="dxa"/>
            <w:vAlign w:val="bottom"/>
            <w:shd w:val="clear" w:color="auto" w:fill="483E65"/>
          </w:tcPr>
          <w:p>
            <w:pPr>
              <w:jc w:val="center"/>
              <w:spacing w:after="0"/>
              <w:rPr>
                <w:sz w:val="20"/>
                <w:szCs w:val="20"/>
                <w:color w:val="auto"/>
              </w:rPr>
            </w:pPr>
            <w:r>
              <w:rPr>
                <w:rFonts w:ascii="Arial" w:cs="Arial" w:eastAsia="Arial" w:hAnsi="Arial"/>
                <w:sz w:val="14"/>
                <w:szCs w:val="14"/>
                <w:b w:val="1"/>
                <w:bCs w:val="1"/>
                <w:color w:val="FFFFFF"/>
              </w:rPr>
              <w:t>Responsibility</w:t>
            </w:r>
          </w:p>
        </w:tc>
        <w:tc>
          <w:tcPr>
            <w:tcW w:w="860" w:type="dxa"/>
            <w:vAlign w:val="bottom"/>
            <w:shd w:val="clear" w:color="auto" w:fill="483E65"/>
          </w:tcPr>
          <w:p>
            <w:pPr>
              <w:ind w:left="160"/>
              <w:spacing w:after="0"/>
              <w:rPr>
                <w:sz w:val="20"/>
                <w:szCs w:val="20"/>
                <w:color w:val="auto"/>
              </w:rPr>
            </w:pPr>
            <w:r>
              <w:rPr>
                <w:rFonts w:ascii="Arial" w:cs="Arial" w:eastAsia="Arial" w:hAnsi="Arial"/>
                <w:sz w:val="14"/>
                <w:szCs w:val="14"/>
                <w:b w:val="1"/>
                <w:bCs w:val="1"/>
                <w:color w:val="FFFFFF"/>
              </w:rPr>
              <w:t>Finance</w:t>
            </w:r>
          </w:p>
        </w:tc>
        <w:tc>
          <w:tcPr>
            <w:tcW w:w="1320" w:type="dxa"/>
            <w:vAlign w:val="bottom"/>
            <w:shd w:val="clear" w:color="auto" w:fill="483E65"/>
          </w:tcPr>
          <w:p>
            <w:pPr>
              <w:jc w:val="center"/>
              <w:spacing w:after="0"/>
              <w:rPr>
                <w:sz w:val="20"/>
                <w:szCs w:val="20"/>
                <w:color w:val="auto"/>
              </w:rPr>
            </w:pPr>
            <w:r>
              <w:rPr>
                <w:rFonts w:ascii="Arial" w:cs="Arial" w:eastAsia="Arial" w:hAnsi="Arial"/>
                <w:sz w:val="14"/>
                <w:szCs w:val="14"/>
                <w:b w:val="1"/>
                <w:bCs w:val="1"/>
                <w:color w:val="FFFFFF"/>
              </w:rPr>
              <w:t>Compensation</w:t>
            </w:r>
          </w:p>
        </w:tc>
        <w:tc>
          <w:tcPr>
            <w:tcW w:w="1220" w:type="dxa"/>
            <w:vAlign w:val="bottom"/>
            <w:shd w:val="clear" w:color="auto" w:fill="483E65"/>
          </w:tcPr>
          <w:p>
            <w:pPr>
              <w:jc w:val="center"/>
              <w:spacing w:after="0"/>
              <w:rPr>
                <w:sz w:val="20"/>
                <w:szCs w:val="20"/>
                <w:color w:val="auto"/>
              </w:rPr>
            </w:pPr>
            <w:r>
              <w:rPr>
                <w:rFonts w:ascii="Arial" w:cs="Arial" w:eastAsia="Arial" w:hAnsi="Arial"/>
                <w:sz w:val="14"/>
                <w:szCs w:val="14"/>
                <w:b w:val="1"/>
                <w:bCs w:val="1"/>
                <w:color w:val="FFFFFF"/>
              </w:rPr>
              <w:t>Governance</w:t>
            </w:r>
          </w:p>
        </w:tc>
      </w:tr>
    </w:tbl>
    <w:p>
      <w:pPr>
        <w:spacing w:after="0" w:line="26" w:lineRule="exact"/>
        <w:rPr>
          <w:sz w:val="20"/>
          <w:szCs w:val="20"/>
          <w:color w:val="auto"/>
        </w:rPr>
      </w:pPr>
    </w:p>
    <w:p>
      <w:pPr>
        <w:ind w:left="60"/>
        <w:spacing w:after="0"/>
        <w:rPr>
          <w:sz w:val="20"/>
          <w:szCs w:val="20"/>
          <w:color w:val="auto"/>
        </w:rPr>
      </w:pPr>
      <w:r>
        <w:rPr>
          <w:rFonts w:ascii="Arial" w:cs="Arial" w:eastAsia="Arial" w:hAnsi="Arial"/>
          <w:sz w:val="18"/>
          <w:szCs w:val="18"/>
          <w:color w:val="auto"/>
        </w:rPr>
        <w:t>Gregory R. Dahlberg</w:t>
      </w:r>
    </w:p>
    <w:p>
      <w:pPr>
        <w:spacing w:after="0" w:line="50" w:lineRule="exact"/>
        <w:rPr>
          <w:sz w:val="20"/>
          <w:szCs w:val="20"/>
          <w:color w:val="auto"/>
        </w:rPr>
      </w:pPr>
    </w:p>
    <w:p>
      <w:pPr>
        <w:ind w:left="60"/>
        <w:spacing w:after="0"/>
        <w:rPr>
          <w:sz w:val="20"/>
          <w:szCs w:val="20"/>
          <w:color w:val="auto"/>
        </w:rPr>
      </w:pPr>
      <w:r>
        <w:rPr>
          <w:rFonts w:ascii="Arial" w:cs="Arial" w:eastAsia="Arial" w:hAnsi="Arial"/>
          <w:sz w:val="18"/>
          <w:szCs w:val="18"/>
          <w:color w:val="auto"/>
        </w:rPr>
        <w:t>David G. Fubini</w:t>
      </w:r>
    </w:p>
    <w:p>
      <w:pPr>
        <w:spacing w:after="0" w:line="50" w:lineRule="exact"/>
        <w:rPr>
          <w:sz w:val="20"/>
          <w:szCs w:val="20"/>
          <w:color w:val="auto"/>
        </w:rPr>
      </w:pPr>
    </w:p>
    <w:p>
      <w:pPr>
        <w:ind w:left="60"/>
        <w:spacing w:after="0"/>
        <w:rPr>
          <w:sz w:val="20"/>
          <w:szCs w:val="20"/>
          <w:color w:val="auto"/>
        </w:rPr>
      </w:pPr>
      <w:r>
        <w:rPr>
          <w:rFonts w:ascii="Arial" w:cs="Arial" w:eastAsia="Arial" w:hAnsi="Arial"/>
          <w:sz w:val="18"/>
          <w:szCs w:val="18"/>
          <w:color w:val="auto"/>
        </w:rPr>
        <w:t>Miriam E. John</w:t>
      </w:r>
    </w:p>
    <w:p>
      <w:pPr>
        <w:spacing w:after="0" w:line="50" w:lineRule="exact"/>
        <w:rPr>
          <w:sz w:val="20"/>
          <w:szCs w:val="20"/>
          <w:color w:val="auto"/>
        </w:rPr>
      </w:pPr>
    </w:p>
    <w:p>
      <w:pPr>
        <w:ind w:left="60"/>
        <w:spacing w:after="0"/>
        <w:rPr>
          <w:sz w:val="20"/>
          <w:szCs w:val="20"/>
          <w:color w:val="auto"/>
        </w:rPr>
      </w:pPr>
      <w:r>
        <w:rPr>
          <w:rFonts w:ascii="Arial" w:cs="Arial" w:eastAsia="Arial" w:hAnsi="Arial"/>
          <w:sz w:val="18"/>
          <w:szCs w:val="18"/>
          <w:color w:val="auto"/>
        </w:rPr>
        <w:t>John P. Jumper</w:t>
      </w:r>
    </w:p>
    <w:p>
      <w:pPr>
        <w:spacing w:after="0" w:line="37" w:lineRule="exact"/>
        <w:rPr>
          <w:sz w:val="20"/>
          <w:szCs w:val="20"/>
          <w:color w:val="auto"/>
        </w:rPr>
      </w:pPr>
    </w:p>
    <w:p>
      <w:pPr>
        <w:ind w:left="60"/>
        <w:spacing w:after="0"/>
        <w:rPr>
          <w:sz w:val="20"/>
          <w:szCs w:val="20"/>
          <w:color w:val="auto"/>
        </w:rPr>
      </w:pPr>
      <w:r>
        <w:rPr>
          <w:rFonts w:ascii="Arial" w:cs="Arial" w:eastAsia="Arial" w:hAnsi="Arial"/>
          <w:sz w:val="18"/>
          <w:szCs w:val="18"/>
          <w:color w:val="auto"/>
        </w:rPr>
        <w:t xml:space="preserve">Harry M.J. Kraemer, Jr. </w:t>
      </w:r>
      <w:r>
        <w:rPr>
          <w:sz w:val="1"/>
          <w:szCs w:val="1"/>
          <w:color w:val="auto"/>
        </w:rPr>
        <w:drawing>
          <wp:inline distT="0" distB="0" distL="0" distR="0">
            <wp:extent cx="94615" cy="111760"/>
            <wp:effectExtent l="0" t="0" r="0" b="0"/>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94615" cy="111760"/>
                    </a:xfrm>
                    <a:prstGeom prst="rect">
                      <a:avLst/>
                    </a:prstGeom>
                    <a:noFill/>
                    <a:ln>
                      <a:noFill/>
                    </a:ln>
                  </pic:spPr>
                </pic:pic>
              </a:graphicData>
            </a:graphic>
          </wp:inline>
        </w:drawing>
      </w:r>
    </w:p>
    <w:p>
      <w:pPr>
        <w:spacing w:after="0" w:line="56" w:lineRule="exact"/>
        <w:rPr>
          <w:sz w:val="20"/>
          <w:szCs w:val="20"/>
          <w:color w:val="auto"/>
        </w:rPr>
      </w:pPr>
    </w:p>
    <w:p>
      <w:pPr>
        <w:ind w:left="60"/>
        <w:spacing w:after="0"/>
        <w:rPr>
          <w:sz w:val="20"/>
          <w:szCs w:val="20"/>
          <w:color w:val="auto"/>
        </w:rPr>
      </w:pPr>
      <w:r>
        <w:rPr>
          <w:rFonts w:ascii="Arial" w:cs="Arial" w:eastAsia="Arial" w:hAnsi="Arial"/>
          <w:sz w:val="18"/>
          <w:szCs w:val="18"/>
          <w:color w:val="auto"/>
        </w:rPr>
        <w:t>Roger A. Krone</w:t>
      </w:r>
    </w:p>
    <w:p>
      <w:pPr>
        <w:spacing w:after="0" w:line="50" w:lineRule="exact"/>
        <w:rPr>
          <w:sz w:val="20"/>
          <w:szCs w:val="20"/>
          <w:color w:val="auto"/>
        </w:rPr>
      </w:pPr>
    </w:p>
    <w:p>
      <w:pPr>
        <w:ind w:left="60"/>
        <w:spacing w:after="0"/>
        <w:rPr>
          <w:sz w:val="20"/>
          <w:szCs w:val="20"/>
          <w:color w:val="auto"/>
        </w:rPr>
      </w:pPr>
      <w:r>
        <w:rPr>
          <w:rFonts w:ascii="Arial" w:cs="Arial" w:eastAsia="Arial" w:hAnsi="Arial"/>
          <w:sz w:val="18"/>
          <w:szCs w:val="18"/>
          <w:color w:val="auto"/>
        </w:rPr>
        <w:t>Gary S. May</w:t>
      </w:r>
    </w:p>
    <w:p>
      <w:pPr>
        <w:spacing w:after="0" w:line="50" w:lineRule="exact"/>
        <w:rPr>
          <w:sz w:val="20"/>
          <w:szCs w:val="20"/>
          <w:color w:val="auto"/>
        </w:rPr>
      </w:pPr>
    </w:p>
    <w:p>
      <w:pPr>
        <w:ind w:left="60"/>
        <w:spacing w:after="0"/>
        <w:rPr>
          <w:sz w:val="20"/>
          <w:szCs w:val="20"/>
          <w:color w:val="auto"/>
        </w:rPr>
      </w:pPr>
      <w:r>
        <w:rPr>
          <w:rFonts w:ascii="Arial" w:cs="Arial" w:eastAsia="Arial" w:hAnsi="Arial"/>
          <w:sz w:val="18"/>
          <w:szCs w:val="18"/>
          <w:color w:val="auto"/>
        </w:rPr>
        <w:t>Surya N. Mohapatra</w:t>
      </w:r>
    </w:p>
    <w:p>
      <w:pPr>
        <w:spacing w:after="0" w:line="37" w:lineRule="exact"/>
        <w:rPr>
          <w:sz w:val="20"/>
          <w:szCs w:val="20"/>
          <w:color w:val="auto"/>
        </w:rPr>
      </w:pPr>
    </w:p>
    <w:p>
      <w:pPr>
        <w:ind w:left="60"/>
        <w:spacing w:after="0"/>
        <w:rPr>
          <w:sz w:val="20"/>
          <w:szCs w:val="20"/>
          <w:color w:val="auto"/>
        </w:rPr>
      </w:pPr>
      <w:r>
        <w:rPr>
          <w:rFonts w:ascii="Arial" w:cs="Arial" w:eastAsia="Arial" w:hAnsi="Arial"/>
          <w:sz w:val="18"/>
          <w:szCs w:val="18"/>
          <w:color w:val="auto"/>
        </w:rPr>
        <w:t xml:space="preserve">Lawrence C. Nussdorf </w:t>
      </w:r>
      <w:r>
        <w:rPr>
          <w:sz w:val="1"/>
          <w:szCs w:val="1"/>
          <w:color w:val="auto"/>
        </w:rPr>
        <w:drawing>
          <wp:inline distT="0" distB="0" distL="0" distR="0">
            <wp:extent cx="94615" cy="111760"/>
            <wp:effectExtent l="0" t="0" r="0" b="0"/>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94615" cy="111760"/>
                    </a:xfrm>
                    <a:prstGeom prst="rect">
                      <a:avLst/>
                    </a:prstGeom>
                    <a:noFill/>
                    <a:ln>
                      <a:noFill/>
                    </a:ln>
                  </pic:spPr>
                </pic:pic>
              </a:graphicData>
            </a:graphic>
          </wp:inline>
        </w:drawing>
      </w:r>
    </w:p>
    <w:p>
      <w:pPr>
        <w:spacing w:after="0" w:line="43" w:lineRule="exact"/>
        <w:rPr>
          <w:sz w:val="20"/>
          <w:szCs w:val="20"/>
          <w:color w:val="auto"/>
        </w:rPr>
      </w:pPr>
    </w:p>
    <w:p>
      <w:pPr>
        <w:ind w:left="60"/>
        <w:spacing w:after="0"/>
        <w:rPr>
          <w:sz w:val="20"/>
          <w:szCs w:val="20"/>
          <w:color w:val="auto"/>
        </w:rPr>
      </w:pPr>
      <w:r>
        <w:rPr>
          <w:rFonts w:ascii="Arial" w:cs="Arial" w:eastAsia="Arial" w:hAnsi="Arial"/>
          <w:sz w:val="18"/>
          <w:szCs w:val="18"/>
          <w:color w:val="auto"/>
        </w:rPr>
        <w:t xml:space="preserve">Robert S. Shapard </w:t>
      </w:r>
      <w:r>
        <w:rPr>
          <w:sz w:val="1"/>
          <w:szCs w:val="1"/>
          <w:color w:val="auto"/>
        </w:rPr>
        <w:drawing>
          <wp:inline distT="0" distB="0" distL="0" distR="0">
            <wp:extent cx="111760" cy="111760"/>
            <wp:effectExtent l="0" t="0" r="0" b="0"/>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11760" cy="111760"/>
                    </a:xfrm>
                    <a:prstGeom prst="rect">
                      <a:avLst/>
                    </a:prstGeom>
                    <a:noFill/>
                    <a:ln>
                      <a:noFill/>
                    </a:ln>
                  </pic:spPr>
                </pic:pic>
              </a:graphicData>
            </a:graphic>
          </wp:inline>
        </w:drawing>
      </w:r>
    </w:p>
    <w:p>
      <w:pPr>
        <w:spacing w:after="0" w:line="43" w:lineRule="exact"/>
        <w:rPr>
          <w:sz w:val="20"/>
          <w:szCs w:val="20"/>
          <w:color w:val="auto"/>
        </w:rPr>
      </w:pPr>
    </w:p>
    <w:p>
      <w:pPr>
        <w:ind w:left="60"/>
        <w:spacing w:after="0"/>
        <w:rPr>
          <w:sz w:val="20"/>
          <w:szCs w:val="20"/>
          <w:color w:val="auto"/>
        </w:rPr>
      </w:pPr>
      <w:r>
        <w:rPr>
          <w:rFonts w:ascii="Arial" w:cs="Arial" w:eastAsia="Arial" w:hAnsi="Arial"/>
          <w:sz w:val="18"/>
          <w:szCs w:val="18"/>
          <w:color w:val="auto"/>
        </w:rPr>
        <w:t xml:space="preserve">Susan M. Stalnecker </w:t>
      </w:r>
      <w:r>
        <w:rPr>
          <w:sz w:val="1"/>
          <w:szCs w:val="1"/>
          <w:color w:val="auto"/>
        </w:rPr>
        <w:drawing>
          <wp:inline distT="0" distB="0" distL="0" distR="0">
            <wp:extent cx="94615" cy="111760"/>
            <wp:effectExtent l="0" t="0" r="0" b="0"/>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94615" cy="111760"/>
                    </a:xfrm>
                    <a:prstGeom prst="rect">
                      <a:avLst/>
                    </a:prstGeom>
                    <a:noFill/>
                    <a:ln>
                      <a:noFill/>
                    </a:ln>
                  </pic:spPr>
                </pic:pic>
              </a:graphicData>
            </a:graphic>
          </wp:inline>
        </w:drawing>
      </w:r>
    </w:p>
    <w:p>
      <w:pPr>
        <w:spacing w:after="0" w:line="56"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Noel B. Williams</w:t>
      </w:r>
    </w:p>
    <w:p>
      <w:pPr>
        <w:spacing w:after="0" w:line="145" w:lineRule="exact"/>
        <w:rPr>
          <w:sz w:val="20"/>
          <w:szCs w:val="20"/>
          <w:color w:val="auto"/>
        </w:rPr>
      </w:pPr>
    </w:p>
    <w:p>
      <w:pPr>
        <w:ind w:left="100"/>
        <w:spacing w:after="0"/>
        <w:rPr>
          <w:sz w:val="20"/>
          <w:szCs w:val="20"/>
          <w:color w:val="auto"/>
        </w:rPr>
      </w:pPr>
      <w:r>
        <w:rPr>
          <w:sz w:val="1"/>
          <w:szCs w:val="1"/>
          <w:color w:val="auto"/>
        </w:rPr>
        <w:drawing>
          <wp:inline distT="0" distB="0" distL="0" distR="0">
            <wp:extent cx="94615" cy="163195"/>
            <wp:effectExtent l="0" t="0" r="0" b="0"/>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94615" cy="163195"/>
                    </a:xfrm>
                    <a:prstGeom prst="rect">
                      <a:avLst/>
                    </a:prstGeom>
                    <a:noFill/>
                    <a:ln>
                      <a:noFill/>
                    </a:ln>
                  </pic:spPr>
                </pic:pic>
              </a:graphicData>
            </a:graphic>
          </wp:inline>
        </w:drawing>
      </w:r>
      <w:r>
        <w:rPr>
          <w:rFonts w:ascii="Arial" w:cs="Arial" w:eastAsia="Arial" w:hAnsi="Arial"/>
          <w:sz w:val="18"/>
          <w:szCs w:val="18"/>
          <w:color w:val="auto"/>
        </w:rPr>
        <w:t xml:space="preserve"> Committee Chair</w:t>
      </w:r>
    </w:p>
    <w:p>
      <w:pPr>
        <w:spacing w:after="0" w:line="70" w:lineRule="exact"/>
        <w:rPr>
          <w:sz w:val="20"/>
          <w:szCs w:val="20"/>
          <w:color w:val="auto"/>
        </w:rPr>
      </w:pPr>
    </w:p>
    <w:p>
      <w:pPr>
        <w:ind w:left="100"/>
        <w:spacing w:after="0"/>
        <w:rPr>
          <w:sz w:val="20"/>
          <w:szCs w:val="20"/>
          <w:color w:val="auto"/>
        </w:rPr>
      </w:pPr>
      <w:r>
        <w:rPr>
          <w:sz w:val="1"/>
          <w:szCs w:val="1"/>
          <w:color w:val="auto"/>
        </w:rPr>
        <w:drawing>
          <wp:inline distT="0" distB="0" distL="0" distR="0">
            <wp:extent cx="94615" cy="111760"/>
            <wp:effectExtent l="0" t="0" r="0" b="0"/>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94615" cy="111760"/>
                    </a:xfrm>
                    <a:prstGeom prst="rect">
                      <a:avLst/>
                    </a:prstGeom>
                    <a:noFill/>
                    <a:ln>
                      <a:noFill/>
                    </a:ln>
                  </pic:spPr>
                </pic:pic>
              </a:graphicData>
            </a:graphic>
          </wp:inline>
        </w:drawing>
      </w:r>
      <w:r>
        <w:rPr>
          <w:rFonts w:ascii="Arial" w:cs="Arial" w:eastAsia="Arial" w:hAnsi="Arial"/>
          <w:sz w:val="18"/>
          <w:szCs w:val="18"/>
          <w:color w:val="auto"/>
        </w:rPr>
        <w:t xml:space="preserve"> Audit Committee Financial Expert</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483E65"/>
        </w:rPr>
        <w:t>Committee Responsibilities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Following are descriptions of the primary areas of responsibility for each of the six standing committees:</w:t>
      </w:r>
    </w:p>
    <w:p>
      <w:pPr>
        <w:spacing w:after="0" w:line="338" w:lineRule="exact"/>
        <w:rPr>
          <w:sz w:val="20"/>
          <w:szCs w:val="20"/>
          <w:color w:val="auto"/>
        </w:rPr>
      </w:pPr>
    </w:p>
    <w:p>
      <w:pPr>
        <w:ind w:left="300"/>
        <w:spacing w:after="0"/>
        <w:tabs>
          <w:tab w:leader="none" w:pos="6940" w:val="left"/>
        </w:tabs>
        <w:rPr>
          <w:sz w:val="20"/>
          <w:szCs w:val="20"/>
          <w:color w:val="auto"/>
        </w:rPr>
      </w:pPr>
      <w:r>
        <w:rPr>
          <w:rFonts w:ascii="Arial" w:cs="Arial" w:eastAsia="Arial" w:hAnsi="Arial"/>
          <w:sz w:val="18"/>
          <w:szCs w:val="18"/>
          <w:b w:val="1"/>
          <w:bCs w:val="1"/>
          <w:color w:val="483E65"/>
        </w:rPr>
        <w:t>Audit Committee</w:t>
      </w:r>
      <w:r>
        <w:rPr>
          <w:sz w:val="20"/>
          <w:szCs w:val="20"/>
          <w:color w:val="auto"/>
        </w:rPr>
        <w:tab/>
      </w:r>
      <w:r>
        <w:rPr>
          <w:rFonts w:ascii="Arial" w:cs="Arial" w:eastAsia="Arial" w:hAnsi="Arial"/>
          <w:sz w:val="17"/>
          <w:szCs w:val="17"/>
          <w:b w:val="1"/>
          <w:bCs w:val="1"/>
          <w:color w:val="483E65"/>
        </w:rPr>
        <w:t>Number of Meetings in Last Fiscal Year: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246620" cy="12890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128905"/>
                    </a:xfrm>
                    <a:prstGeom prst="rect">
                      <a:avLst/>
                    </a:prstGeom>
                    <a:noFill/>
                  </pic:spPr>
                </pic:pic>
              </a:graphicData>
            </a:graphic>
          </wp:anchor>
        </w:drawing>
      </w:r>
    </w:p>
    <w:p>
      <w:pPr>
        <w:spacing w:after="0" w:line="119" w:lineRule="exact"/>
        <w:rPr>
          <w:sz w:val="20"/>
          <w:szCs w:val="20"/>
          <w:color w:val="auto"/>
        </w:rPr>
      </w:pPr>
    </w:p>
    <w:p>
      <w:pPr>
        <w:ind w:left="540" w:hanging="316"/>
        <w:spacing w:after="0"/>
        <w:tabs>
          <w:tab w:leader="none" w:pos="540" w:val="left"/>
        </w:tabs>
        <w:numPr>
          <w:ilvl w:val="0"/>
          <w:numId w:val="21"/>
        </w:numPr>
        <w:rPr>
          <w:rFonts w:ascii="Arial" w:cs="Arial" w:eastAsia="Arial" w:hAnsi="Arial"/>
          <w:sz w:val="15"/>
          <w:szCs w:val="15"/>
          <w:color w:val="77387A"/>
        </w:rPr>
      </w:pPr>
      <w:r>
        <w:rPr>
          <w:rFonts w:ascii="Arial" w:cs="Arial" w:eastAsia="Arial" w:hAnsi="Arial"/>
          <w:sz w:val="18"/>
          <w:szCs w:val="18"/>
          <w:color w:val="auto"/>
        </w:rPr>
        <w:t>Appoints and evaluates independent auditor and approves fees;</w:t>
      </w:r>
    </w:p>
    <w:p>
      <w:pPr>
        <w:spacing w:after="0" w:line="130" w:lineRule="exact"/>
        <w:rPr>
          <w:rFonts w:ascii="Arial" w:cs="Arial" w:eastAsia="Arial" w:hAnsi="Arial"/>
          <w:sz w:val="15"/>
          <w:szCs w:val="15"/>
          <w:color w:val="77387A"/>
        </w:rPr>
      </w:pPr>
    </w:p>
    <w:p>
      <w:pPr>
        <w:ind w:left="540" w:hanging="316"/>
        <w:spacing w:after="0"/>
        <w:tabs>
          <w:tab w:leader="none" w:pos="540" w:val="left"/>
        </w:tabs>
        <w:numPr>
          <w:ilvl w:val="0"/>
          <w:numId w:val="21"/>
        </w:numPr>
        <w:rPr>
          <w:rFonts w:ascii="Arial" w:cs="Arial" w:eastAsia="Arial" w:hAnsi="Arial"/>
          <w:sz w:val="15"/>
          <w:szCs w:val="15"/>
          <w:color w:val="77387A"/>
        </w:rPr>
      </w:pPr>
      <w:r>
        <w:rPr>
          <w:rFonts w:ascii="Arial" w:cs="Arial" w:eastAsia="Arial" w:hAnsi="Arial"/>
          <w:sz w:val="18"/>
          <w:szCs w:val="18"/>
          <w:color w:val="auto"/>
        </w:rPr>
        <w:t>Pre-approves audit and permitted non-audit services;</w:t>
      </w:r>
    </w:p>
    <w:p>
      <w:pPr>
        <w:spacing w:after="0" w:line="130" w:lineRule="exact"/>
        <w:rPr>
          <w:rFonts w:ascii="Arial" w:cs="Arial" w:eastAsia="Arial" w:hAnsi="Arial"/>
          <w:sz w:val="15"/>
          <w:szCs w:val="15"/>
          <w:color w:val="77387A"/>
        </w:rPr>
      </w:pPr>
    </w:p>
    <w:p>
      <w:pPr>
        <w:ind w:left="540" w:hanging="316"/>
        <w:spacing w:after="0"/>
        <w:tabs>
          <w:tab w:leader="none" w:pos="540" w:val="left"/>
        </w:tabs>
        <w:numPr>
          <w:ilvl w:val="0"/>
          <w:numId w:val="21"/>
        </w:numPr>
        <w:rPr>
          <w:rFonts w:ascii="Arial" w:cs="Arial" w:eastAsia="Arial" w:hAnsi="Arial"/>
          <w:sz w:val="15"/>
          <w:szCs w:val="15"/>
          <w:color w:val="77387A"/>
        </w:rPr>
      </w:pPr>
      <w:r>
        <w:rPr>
          <w:rFonts w:ascii="Arial" w:cs="Arial" w:eastAsia="Arial" w:hAnsi="Arial"/>
          <w:sz w:val="18"/>
          <w:szCs w:val="18"/>
          <w:color w:val="auto"/>
        </w:rPr>
        <w:t>Reviews any audit problems;</w:t>
      </w:r>
    </w:p>
    <w:p>
      <w:pPr>
        <w:spacing w:after="0" w:line="130" w:lineRule="exact"/>
        <w:rPr>
          <w:rFonts w:ascii="Arial" w:cs="Arial" w:eastAsia="Arial" w:hAnsi="Arial"/>
          <w:sz w:val="15"/>
          <w:szCs w:val="15"/>
          <w:color w:val="77387A"/>
        </w:rPr>
      </w:pPr>
    </w:p>
    <w:p>
      <w:pPr>
        <w:ind w:left="540" w:hanging="316"/>
        <w:spacing w:after="0"/>
        <w:tabs>
          <w:tab w:leader="none" w:pos="540" w:val="left"/>
        </w:tabs>
        <w:numPr>
          <w:ilvl w:val="0"/>
          <w:numId w:val="21"/>
        </w:numPr>
        <w:rPr>
          <w:rFonts w:ascii="Arial" w:cs="Arial" w:eastAsia="Arial" w:hAnsi="Arial"/>
          <w:sz w:val="15"/>
          <w:szCs w:val="15"/>
          <w:color w:val="77387A"/>
        </w:rPr>
      </w:pPr>
      <w:r>
        <w:rPr>
          <w:rFonts w:ascii="Arial" w:cs="Arial" w:eastAsia="Arial" w:hAnsi="Arial"/>
          <w:sz w:val="18"/>
          <w:szCs w:val="18"/>
          <w:color w:val="auto"/>
        </w:rPr>
        <w:t>Reviews adequacy of internal controls over financial reporting and disclosure controls and procedures;</w:t>
      </w:r>
    </w:p>
    <w:p>
      <w:pPr>
        <w:spacing w:after="0" w:line="130" w:lineRule="exact"/>
        <w:rPr>
          <w:rFonts w:ascii="Arial" w:cs="Arial" w:eastAsia="Arial" w:hAnsi="Arial"/>
          <w:sz w:val="15"/>
          <w:szCs w:val="15"/>
          <w:color w:val="77387A"/>
        </w:rPr>
      </w:pPr>
    </w:p>
    <w:p>
      <w:pPr>
        <w:ind w:left="540" w:hanging="316"/>
        <w:spacing w:after="0"/>
        <w:tabs>
          <w:tab w:leader="none" w:pos="540" w:val="left"/>
        </w:tabs>
        <w:numPr>
          <w:ilvl w:val="0"/>
          <w:numId w:val="21"/>
        </w:numPr>
        <w:rPr>
          <w:rFonts w:ascii="Arial" w:cs="Arial" w:eastAsia="Arial" w:hAnsi="Arial"/>
          <w:sz w:val="15"/>
          <w:szCs w:val="15"/>
          <w:color w:val="77387A"/>
        </w:rPr>
      </w:pPr>
      <w:r>
        <w:rPr>
          <w:rFonts w:ascii="Arial" w:cs="Arial" w:eastAsia="Arial" w:hAnsi="Arial"/>
          <w:sz w:val="18"/>
          <w:szCs w:val="18"/>
          <w:color w:val="auto"/>
        </w:rPr>
        <w:t>Reviews and updates the internal audit plan;</w:t>
      </w:r>
    </w:p>
    <w:p>
      <w:pPr>
        <w:spacing w:after="0" w:line="130" w:lineRule="exact"/>
        <w:rPr>
          <w:rFonts w:ascii="Arial" w:cs="Arial" w:eastAsia="Arial" w:hAnsi="Arial"/>
          <w:sz w:val="15"/>
          <w:szCs w:val="15"/>
          <w:color w:val="77387A"/>
        </w:rPr>
      </w:pPr>
    </w:p>
    <w:p>
      <w:pPr>
        <w:ind w:left="540" w:hanging="316"/>
        <w:spacing w:after="0"/>
        <w:tabs>
          <w:tab w:leader="none" w:pos="540" w:val="left"/>
        </w:tabs>
        <w:numPr>
          <w:ilvl w:val="0"/>
          <w:numId w:val="21"/>
        </w:numPr>
        <w:rPr>
          <w:rFonts w:ascii="Arial" w:cs="Arial" w:eastAsia="Arial" w:hAnsi="Arial"/>
          <w:sz w:val="15"/>
          <w:szCs w:val="15"/>
          <w:color w:val="77387A"/>
        </w:rPr>
      </w:pPr>
      <w:r>
        <w:rPr>
          <w:rFonts w:ascii="Arial" w:cs="Arial" w:eastAsia="Arial" w:hAnsi="Arial"/>
          <w:sz w:val="18"/>
          <w:szCs w:val="18"/>
          <w:color w:val="auto"/>
        </w:rPr>
        <w:t>Reviews any significant risks and exposures and steps taken to minimize risks;</w:t>
      </w:r>
    </w:p>
    <w:p>
      <w:pPr>
        <w:spacing w:after="0" w:line="130" w:lineRule="exact"/>
        <w:rPr>
          <w:rFonts w:ascii="Arial" w:cs="Arial" w:eastAsia="Arial" w:hAnsi="Arial"/>
          <w:sz w:val="15"/>
          <w:szCs w:val="15"/>
          <w:color w:val="77387A"/>
        </w:rPr>
      </w:pPr>
    </w:p>
    <w:p>
      <w:pPr>
        <w:ind w:left="540" w:hanging="316"/>
        <w:spacing w:after="0"/>
        <w:tabs>
          <w:tab w:leader="none" w:pos="540" w:val="left"/>
        </w:tabs>
        <w:numPr>
          <w:ilvl w:val="0"/>
          <w:numId w:val="21"/>
        </w:numPr>
        <w:rPr>
          <w:rFonts w:ascii="Arial" w:cs="Arial" w:eastAsia="Arial" w:hAnsi="Arial"/>
          <w:sz w:val="15"/>
          <w:szCs w:val="15"/>
          <w:color w:val="77387A"/>
        </w:rPr>
      </w:pPr>
      <w:r>
        <w:rPr>
          <w:rFonts w:ascii="Arial" w:cs="Arial" w:eastAsia="Arial" w:hAnsi="Arial"/>
          <w:sz w:val="18"/>
          <w:szCs w:val="18"/>
          <w:color w:val="auto"/>
        </w:rPr>
        <w:t>Reviews quarterly and annual financial statements prior to public release;</w:t>
      </w:r>
    </w:p>
    <w:p>
      <w:pPr>
        <w:spacing w:after="0" w:line="130" w:lineRule="exact"/>
        <w:rPr>
          <w:rFonts w:ascii="Arial" w:cs="Arial" w:eastAsia="Arial" w:hAnsi="Arial"/>
          <w:sz w:val="15"/>
          <w:szCs w:val="15"/>
          <w:color w:val="77387A"/>
        </w:rPr>
      </w:pPr>
    </w:p>
    <w:p>
      <w:pPr>
        <w:ind w:left="540" w:hanging="316"/>
        <w:spacing w:after="0"/>
        <w:tabs>
          <w:tab w:leader="none" w:pos="540" w:val="left"/>
        </w:tabs>
        <w:numPr>
          <w:ilvl w:val="0"/>
          <w:numId w:val="21"/>
        </w:numPr>
        <w:rPr>
          <w:rFonts w:ascii="Arial" w:cs="Arial" w:eastAsia="Arial" w:hAnsi="Arial"/>
          <w:sz w:val="15"/>
          <w:szCs w:val="15"/>
          <w:color w:val="77387A"/>
        </w:rPr>
      </w:pPr>
      <w:r>
        <w:rPr>
          <w:rFonts w:ascii="Arial" w:cs="Arial" w:eastAsia="Arial" w:hAnsi="Arial"/>
          <w:sz w:val="18"/>
          <w:szCs w:val="18"/>
          <w:color w:val="auto"/>
        </w:rPr>
        <w:t>Reviews critical accounting policies or changes in accounting policies; and</w:t>
      </w:r>
    </w:p>
    <w:p>
      <w:pPr>
        <w:spacing w:after="0" w:line="130" w:lineRule="exact"/>
        <w:rPr>
          <w:rFonts w:ascii="Arial" w:cs="Arial" w:eastAsia="Arial" w:hAnsi="Arial"/>
          <w:sz w:val="15"/>
          <w:szCs w:val="15"/>
          <w:color w:val="77387A"/>
        </w:rPr>
      </w:pPr>
    </w:p>
    <w:p>
      <w:pPr>
        <w:ind w:left="540" w:hanging="316"/>
        <w:spacing w:after="0"/>
        <w:tabs>
          <w:tab w:leader="none" w:pos="540" w:val="left"/>
        </w:tabs>
        <w:numPr>
          <w:ilvl w:val="0"/>
          <w:numId w:val="21"/>
        </w:numPr>
        <w:rPr>
          <w:rFonts w:ascii="Arial" w:cs="Arial" w:eastAsia="Arial" w:hAnsi="Arial"/>
          <w:sz w:val="15"/>
          <w:szCs w:val="15"/>
          <w:color w:val="77387A"/>
        </w:rPr>
      </w:pPr>
      <w:r>
        <w:rPr>
          <w:rFonts w:ascii="Arial" w:cs="Arial" w:eastAsia="Arial" w:hAnsi="Arial"/>
          <w:sz w:val="18"/>
          <w:szCs w:val="18"/>
          <w:color w:val="auto"/>
        </w:rPr>
        <w:t>Reviews periodically legal matters that may impact the financial statements.</w:t>
      </w:r>
    </w:p>
    <w:p>
      <w:pPr>
        <w:spacing w:after="0" w:line="352" w:lineRule="exact"/>
        <w:rPr>
          <w:sz w:val="20"/>
          <w:szCs w:val="20"/>
          <w:color w:val="auto"/>
        </w:rPr>
      </w:pPr>
    </w:p>
    <w:p>
      <w:pPr>
        <w:ind w:left="300"/>
        <w:spacing w:after="0"/>
        <w:tabs>
          <w:tab w:leader="none" w:pos="6940" w:val="left"/>
        </w:tabs>
        <w:rPr>
          <w:sz w:val="20"/>
          <w:szCs w:val="20"/>
          <w:color w:val="auto"/>
        </w:rPr>
      </w:pPr>
      <w:r>
        <w:rPr>
          <w:rFonts w:ascii="Arial" w:cs="Arial" w:eastAsia="Arial" w:hAnsi="Arial"/>
          <w:sz w:val="18"/>
          <w:szCs w:val="18"/>
          <w:b w:val="1"/>
          <w:bCs w:val="1"/>
          <w:color w:val="483E65"/>
        </w:rPr>
        <w:t>Classified Business Oversight Committee</w:t>
      </w:r>
      <w:r>
        <w:rPr>
          <w:sz w:val="20"/>
          <w:szCs w:val="20"/>
          <w:color w:val="auto"/>
        </w:rPr>
        <w:tab/>
      </w:r>
      <w:r>
        <w:rPr>
          <w:rFonts w:ascii="Arial" w:cs="Arial" w:eastAsia="Arial" w:hAnsi="Arial"/>
          <w:sz w:val="17"/>
          <w:szCs w:val="17"/>
          <w:b w:val="1"/>
          <w:bCs w:val="1"/>
          <w:color w:val="483E65"/>
        </w:rPr>
        <w:t>Number of Meetings in Last Fiscal Year: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246620" cy="12890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128905"/>
                    </a:xfrm>
                    <a:prstGeom prst="rect">
                      <a:avLst/>
                    </a:prstGeom>
                    <a:noFill/>
                  </pic:spPr>
                </pic:pic>
              </a:graphicData>
            </a:graphic>
          </wp:anchor>
        </w:drawing>
      </w:r>
    </w:p>
    <w:p>
      <w:pPr>
        <w:spacing w:after="0" w:line="119" w:lineRule="exact"/>
        <w:rPr>
          <w:sz w:val="20"/>
          <w:szCs w:val="20"/>
          <w:color w:val="auto"/>
        </w:rPr>
      </w:pPr>
    </w:p>
    <w:p>
      <w:pPr>
        <w:ind w:left="540" w:hanging="316"/>
        <w:spacing w:after="0"/>
        <w:tabs>
          <w:tab w:leader="none" w:pos="540" w:val="left"/>
        </w:tabs>
        <w:numPr>
          <w:ilvl w:val="0"/>
          <w:numId w:val="22"/>
        </w:numPr>
        <w:rPr>
          <w:rFonts w:ascii="Arial" w:cs="Arial" w:eastAsia="Arial" w:hAnsi="Arial"/>
          <w:sz w:val="15"/>
          <w:szCs w:val="15"/>
          <w:color w:val="77387A"/>
        </w:rPr>
      </w:pPr>
      <w:r>
        <w:rPr>
          <w:rFonts w:ascii="Arial" w:cs="Arial" w:eastAsia="Arial" w:hAnsi="Arial"/>
          <w:sz w:val="18"/>
          <w:szCs w:val="18"/>
          <w:color w:val="auto"/>
        </w:rPr>
        <w:t>Reviews policies, processes, procedures, training and risk review activities applicable to our classified business activities;</w:t>
      </w:r>
    </w:p>
    <w:p>
      <w:pPr>
        <w:spacing w:after="0" w:line="130" w:lineRule="exact"/>
        <w:rPr>
          <w:rFonts w:ascii="Arial" w:cs="Arial" w:eastAsia="Arial" w:hAnsi="Arial"/>
          <w:sz w:val="15"/>
          <w:szCs w:val="15"/>
          <w:color w:val="77387A"/>
        </w:rPr>
      </w:pPr>
    </w:p>
    <w:p>
      <w:pPr>
        <w:ind w:left="540" w:hanging="316"/>
        <w:spacing w:after="0"/>
        <w:tabs>
          <w:tab w:leader="none" w:pos="540" w:val="left"/>
        </w:tabs>
        <w:numPr>
          <w:ilvl w:val="0"/>
          <w:numId w:val="22"/>
        </w:numPr>
        <w:rPr>
          <w:rFonts w:ascii="Arial" w:cs="Arial" w:eastAsia="Arial" w:hAnsi="Arial"/>
          <w:sz w:val="15"/>
          <w:szCs w:val="15"/>
          <w:color w:val="77387A"/>
        </w:rPr>
      </w:pPr>
      <w:r>
        <w:rPr>
          <w:rFonts w:ascii="Arial" w:cs="Arial" w:eastAsia="Arial" w:hAnsi="Arial"/>
          <w:sz w:val="18"/>
          <w:szCs w:val="18"/>
          <w:color w:val="auto"/>
        </w:rPr>
        <w:t>Reviews reports from management on particular classified projects involving significant performance, financial or reputational risks; and</w:t>
      </w:r>
    </w:p>
    <w:p>
      <w:pPr>
        <w:spacing w:after="0" w:line="130" w:lineRule="exact"/>
        <w:rPr>
          <w:rFonts w:ascii="Arial" w:cs="Arial" w:eastAsia="Arial" w:hAnsi="Arial"/>
          <w:sz w:val="15"/>
          <w:szCs w:val="15"/>
          <w:color w:val="77387A"/>
        </w:rPr>
      </w:pPr>
    </w:p>
    <w:p>
      <w:pPr>
        <w:ind w:left="540" w:hanging="316"/>
        <w:spacing w:after="0"/>
        <w:tabs>
          <w:tab w:leader="none" w:pos="540" w:val="left"/>
        </w:tabs>
        <w:numPr>
          <w:ilvl w:val="0"/>
          <w:numId w:val="22"/>
        </w:numPr>
        <w:rPr>
          <w:rFonts w:ascii="Arial" w:cs="Arial" w:eastAsia="Arial" w:hAnsi="Arial"/>
          <w:sz w:val="15"/>
          <w:szCs w:val="15"/>
          <w:color w:val="77387A"/>
        </w:rPr>
      </w:pPr>
      <w:r>
        <w:rPr>
          <w:rFonts w:ascii="Arial" w:cs="Arial" w:eastAsia="Arial" w:hAnsi="Arial"/>
          <w:sz w:val="18"/>
          <w:szCs w:val="18"/>
          <w:color w:val="auto"/>
        </w:rPr>
        <w:t>Reviews other classified business issues that the Board or management would like the Committee to review.</w:t>
      </w:r>
    </w:p>
    <w:p>
      <w:pPr>
        <w:spacing w:after="0" w:line="140" w:lineRule="exact"/>
        <w:rPr>
          <w:sz w:val="20"/>
          <w:szCs w:val="20"/>
          <w:color w:val="auto"/>
        </w:rPr>
      </w:pPr>
    </w:p>
    <w:p>
      <w:pPr>
        <w:jc w:val="right"/>
        <w:spacing w:after="0"/>
        <w:tabs>
          <w:tab w:leader="none" w:pos="380" w:val="left"/>
          <w:tab w:leader="none" w:pos="160" w:val="left"/>
        </w:tabs>
        <w:rPr>
          <w:sz w:val="20"/>
          <w:szCs w:val="20"/>
          <w:color w:val="auto"/>
        </w:rPr>
      </w:pPr>
      <w:r>
        <w:rPr>
          <w:rFonts w:ascii="Arial" w:cs="Arial" w:eastAsia="Arial" w:hAnsi="Arial"/>
          <w:sz w:val="16"/>
          <w:szCs w:val="16"/>
          <w:b w:val="1"/>
          <w:bCs w:val="1"/>
          <w:color w:val="483E65"/>
        </w:rPr>
        <w:t>2017 Proxy Statement</w:t>
        <w:tab/>
        <w:t>|</w:t>
        <w:tab/>
        <w:t>15</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8" w:lineRule="exact"/>
        <w:rPr>
          <w:sz w:val="20"/>
          <w:szCs w:val="20"/>
          <w:color w:val="auto"/>
        </w:rPr>
      </w:pPr>
    </w:p>
    <w:p>
      <w:pPr>
        <w:spacing w:after="0"/>
        <w:rPr>
          <w:sz w:val="20"/>
          <w:szCs w:val="20"/>
          <w:color w:val="auto"/>
        </w:rPr>
      </w:pPr>
      <w:r>
        <w:rPr>
          <w:rFonts w:ascii="Arial" w:cs="Arial" w:eastAsia="Arial" w:hAnsi="Arial"/>
          <w:sz w:val="32"/>
          <w:szCs w:val="32"/>
          <w:color w:val="483E65"/>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149860</wp:posOffset>
            </wp:positionV>
            <wp:extent cx="72466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300"/>
        <w:spacing w:after="0"/>
        <w:tabs>
          <w:tab w:leader="none" w:pos="6940" w:val="left"/>
        </w:tabs>
        <w:rPr>
          <w:sz w:val="20"/>
          <w:szCs w:val="20"/>
          <w:color w:val="auto"/>
        </w:rPr>
      </w:pPr>
      <w:r>
        <w:rPr>
          <w:rFonts w:ascii="Arial" w:cs="Arial" w:eastAsia="Arial" w:hAnsi="Arial"/>
          <w:sz w:val="18"/>
          <w:szCs w:val="18"/>
          <w:b w:val="1"/>
          <w:bCs w:val="1"/>
          <w:color w:val="483E65"/>
        </w:rPr>
        <w:t>Ethics &amp; Corporate Responsibility Committee</w:t>
      </w:r>
      <w:r>
        <w:rPr>
          <w:sz w:val="20"/>
          <w:szCs w:val="20"/>
          <w:color w:val="auto"/>
        </w:rPr>
        <w:tab/>
      </w:r>
      <w:r>
        <w:rPr>
          <w:rFonts w:ascii="Arial" w:cs="Arial" w:eastAsia="Arial" w:hAnsi="Arial"/>
          <w:sz w:val="17"/>
          <w:szCs w:val="17"/>
          <w:b w:val="1"/>
          <w:bCs w:val="1"/>
          <w:color w:val="483E65"/>
        </w:rPr>
        <w:t>Number of Meetings in Last Fiscal Year: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246620" cy="12890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6620" cy="128905"/>
                    </a:xfrm>
                    <a:prstGeom prst="rect">
                      <a:avLst/>
                    </a:prstGeom>
                    <a:noFill/>
                  </pic:spPr>
                </pic:pic>
              </a:graphicData>
            </a:graphic>
          </wp:anchor>
        </w:drawing>
      </w:r>
    </w:p>
    <w:p>
      <w:pPr>
        <w:spacing w:after="0" w:line="119" w:lineRule="exact"/>
        <w:rPr>
          <w:sz w:val="20"/>
          <w:szCs w:val="20"/>
          <w:color w:val="auto"/>
        </w:rPr>
      </w:pPr>
    </w:p>
    <w:p>
      <w:pPr>
        <w:ind w:left="540" w:hanging="316"/>
        <w:spacing w:after="0"/>
        <w:tabs>
          <w:tab w:leader="none" w:pos="540" w:val="left"/>
        </w:tabs>
        <w:numPr>
          <w:ilvl w:val="0"/>
          <w:numId w:val="23"/>
        </w:numPr>
        <w:rPr>
          <w:rFonts w:ascii="Arial" w:cs="Arial" w:eastAsia="Arial" w:hAnsi="Arial"/>
          <w:sz w:val="15"/>
          <w:szCs w:val="15"/>
          <w:color w:val="77387A"/>
        </w:rPr>
      </w:pPr>
      <w:r>
        <w:rPr>
          <w:rFonts w:ascii="Arial" w:cs="Arial" w:eastAsia="Arial" w:hAnsi="Arial"/>
          <w:sz w:val="18"/>
          <w:szCs w:val="18"/>
          <w:color w:val="auto"/>
        </w:rPr>
        <w:t>Oversees ethical responsibilities of employees and consultants under our policies and procedures;</w:t>
      </w:r>
    </w:p>
    <w:p>
      <w:pPr>
        <w:spacing w:after="0" w:line="130" w:lineRule="exact"/>
        <w:rPr>
          <w:rFonts w:ascii="Arial" w:cs="Arial" w:eastAsia="Arial" w:hAnsi="Arial"/>
          <w:sz w:val="15"/>
          <w:szCs w:val="15"/>
          <w:color w:val="77387A"/>
        </w:rPr>
      </w:pPr>
    </w:p>
    <w:p>
      <w:pPr>
        <w:ind w:left="540" w:hanging="316"/>
        <w:spacing w:after="0"/>
        <w:tabs>
          <w:tab w:leader="none" w:pos="540" w:val="left"/>
        </w:tabs>
        <w:numPr>
          <w:ilvl w:val="0"/>
          <w:numId w:val="23"/>
        </w:numPr>
        <w:rPr>
          <w:rFonts w:ascii="Arial" w:cs="Arial" w:eastAsia="Arial" w:hAnsi="Arial"/>
          <w:sz w:val="15"/>
          <w:szCs w:val="15"/>
          <w:color w:val="77387A"/>
        </w:rPr>
      </w:pPr>
      <w:r>
        <w:rPr>
          <w:rFonts w:ascii="Arial" w:cs="Arial" w:eastAsia="Arial" w:hAnsi="Arial"/>
          <w:sz w:val="18"/>
          <w:szCs w:val="18"/>
          <w:color w:val="auto"/>
        </w:rPr>
        <w:t>Reviews policies and procedures addressing the resolution of conflicts;</w:t>
      </w:r>
    </w:p>
    <w:p>
      <w:pPr>
        <w:spacing w:after="0" w:line="130" w:lineRule="exact"/>
        <w:rPr>
          <w:rFonts w:ascii="Arial" w:cs="Arial" w:eastAsia="Arial" w:hAnsi="Arial"/>
          <w:sz w:val="15"/>
          <w:szCs w:val="15"/>
          <w:color w:val="77387A"/>
        </w:rPr>
      </w:pPr>
    </w:p>
    <w:p>
      <w:pPr>
        <w:ind w:left="540" w:right="100" w:hanging="316"/>
        <w:spacing w:after="0" w:line="246" w:lineRule="auto"/>
        <w:tabs>
          <w:tab w:leader="none" w:pos="540" w:val="left"/>
        </w:tabs>
        <w:numPr>
          <w:ilvl w:val="0"/>
          <w:numId w:val="23"/>
        </w:numPr>
        <w:rPr>
          <w:rFonts w:ascii="Arial" w:cs="Arial" w:eastAsia="Arial" w:hAnsi="Arial"/>
          <w:sz w:val="15"/>
          <w:szCs w:val="15"/>
          <w:color w:val="77387A"/>
        </w:rPr>
      </w:pPr>
      <w:r>
        <w:rPr>
          <w:rFonts w:ascii="Arial" w:cs="Arial" w:eastAsia="Arial" w:hAnsi="Arial"/>
          <w:sz w:val="18"/>
          <w:szCs w:val="18"/>
          <w:color w:val="auto"/>
        </w:rPr>
        <w:t>Reviews procedures for the receipt, retention and treatment of complaints regarding violations of our policies related to ethical conduct and legal compliance;</w:t>
      </w:r>
    </w:p>
    <w:p>
      <w:pPr>
        <w:spacing w:after="0" w:line="102" w:lineRule="exact"/>
        <w:rPr>
          <w:rFonts w:ascii="Arial" w:cs="Arial" w:eastAsia="Arial" w:hAnsi="Arial"/>
          <w:sz w:val="15"/>
          <w:szCs w:val="15"/>
          <w:color w:val="77387A"/>
        </w:rPr>
      </w:pPr>
    </w:p>
    <w:p>
      <w:pPr>
        <w:ind w:left="540" w:hanging="316"/>
        <w:spacing w:after="0"/>
        <w:tabs>
          <w:tab w:leader="none" w:pos="540" w:val="left"/>
        </w:tabs>
        <w:numPr>
          <w:ilvl w:val="0"/>
          <w:numId w:val="23"/>
        </w:numPr>
        <w:rPr>
          <w:rFonts w:ascii="Arial" w:cs="Arial" w:eastAsia="Arial" w:hAnsi="Arial"/>
          <w:sz w:val="15"/>
          <w:szCs w:val="15"/>
          <w:color w:val="77387A"/>
        </w:rPr>
      </w:pPr>
      <w:r>
        <w:rPr>
          <w:rFonts w:ascii="Arial" w:cs="Arial" w:eastAsia="Arial" w:hAnsi="Arial"/>
          <w:sz w:val="18"/>
          <w:szCs w:val="18"/>
          <w:color w:val="auto"/>
        </w:rPr>
        <w:t>Monitors the effectiveness of our ethics, compliance and training programs and related administrative policies; and</w:t>
      </w:r>
    </w:p>
    <w:p>
      <w:pPr>
        <w:spacing w:after="0" w:line="130" w:lineRule="exact"/>
        <w:rPr>
          <w:rFonts w:ascii="Arial" w:cs="Arial" w:eastAsia="Arial" w:hAnsi="Arial"/>
          <w:sz w:val="15"/>
          <w:szCs w:val="15"/>
          <w:color w:val="77387A"/>
        </w:rPr>
      </w:pPr>
    </w:p>
    <w:p>
      <w:pPr>
        <w:ind w:left="540" w:hanging="316"/>
        <w:spacing w:after="0" w:line="246" w:lineRule="auto"/>
        <w:tabs>
          <w:tab w:leader="none" w:pos="540" w:val="left"/>
        </w:tabs>
        <w:numPr>
          <w:ilvl w:val="0"/>
          <w:numId w:val="23"/>
        </w:numPr>
        <w:rPr>
          <w:rFonts w:ascii="Arial" w:cs="Arial" w:eastAsia="Arial" w:hAnsi="Arial"/>
          <w:sz w:val="15"/>
          <w:szCs w:val="15"/>
          <w:color w:val="77387A"/>
        </w:rPr>
      </w:pPr>
      <w:r>
        <w:rPr>
          <w:rFonts w:ascii="Arial" w:cs="Arial" w:eastAsia="Arial" w:hAnsi="Arial"/>
          <w:sz w:val="18"/>
          <w:szCs w:val="18"/>
          <w:color w:val="auto"/>
        </w:rPr>
        <w:t>Reviews policies and practices in the areas of corporate responsibility including such political, social and environmental issues that may affect our business operations, performance, public image or reputation.</w:t>
      </w:r>
    </w:p>
    <w:p>
      <w:pPr>
        <w:spacing w:after="0" w:line="323" w:lineRule="exact"/>
        <w:rPr>
          <w:sz w:val="20"/>
          <w:szCs w:val="20"/>
          <w:color w:val="auto"/>
        </w:rPr>
      </w:pPr>
    </w:p>
    <w:p>
      <w:pPr>
        <w:ind w:left="300"/>
        <w:spacing w:after="0"/>
        <w:tabs>
          <w:tab w:leader="none" w:pos="6940" w:val="left"/>
        </w:tabs>
        <w:rPr>
          <w:sz w:val="20"/>
          <w:szCs w:val="20"/>
          <w:color w:val="auto"/>
        </w:rPr>
      </w:pPr>
      <w:r>
        <w:rPr>
          <w:rFonts w:ascii="Arial" w:cs="Arial" w:eastAsia="Arial" w:hAnsi="Arial"/>
          <w:sz w:val="18"/>
          <w:szCs w:val="18"/>
          <w:b w:val="1"/>
          <w:bCs w:val="1"/>
          <w:color w:val="483E65"/>
        </w:rPr>
        <w:t>Finance Committee</w:t>
      </w:r>
      <w:r>
        <w:rPr>
          <w:sz w:val="20"/>
          <w:szCs w:val="20"/>
          <w:color w:val="auto"/>
        </w:rPr>
        <w:tab/>
      </w:r>
      <w:r>
        <w:rPr>
          <w:rFonts w:ascii="Arial" w:cs="Arial" w:eastAsia="Arial" w:hAnsi="Arial"/>
          <w:sz w:val="17"/>
          <w:szCs w:val="17"/>
          <w:b w:val="1"/>
          <w:bCs w:val="1"/>
          <w:color w:val="483E65"/>
        </w:rPr>
        <w:t>Number of Meetings in Last Fiscal Year: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246620" cy="12890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6620" cy="128905"/>
                    </a:xfrm>
                    <a:prstGeom prst="rect">
                      <a:avLst/>
                    </a:prstGeom>
                    <a:noFill/>
                  </pic:spPr>
                </pic:pic>
              </a:graphicData>
            </a:graphic>
          </wp:anchor>
        </w:drawing>
      </w:r>
    </w:p>
    <w:p>
      <w:pPr>
        <w:spacing w:after="0" w:line="119" w:lineRule="exact"/>
        <w:rPr>
          <w:sz w:val="20"/>
          <w:szCs w:val="20"/>
          <w:color w:val="auto"/>
        </w:rPr>
      </w:pPr>
    </w:p>
    <w:p>
      <w:pPr>
        <w:ind w:left="540" w:hanging="316"/>
        <w:spacing w:after="0"/>
        <w:tabs>
          <w:tab w:leader="none" w:pos="540" w:val="left"/>
        </w:tabs>
        <w:numPr>
          <w:ilvl w:val="0"/>
          <w:numId w:val="24"/>
        </w:numPr>
        <w:rPr>
          <w:rFonts w:ascii="Arial" w:cs="Arial" w:eastAsia="Arial" w:hAnsi="Arial"/>
          <w:sz w:val="15"/>
          <w:szCs w:val="15"/>
          <w:color w:val="77387A"/>
        </w:rPr>
      </w:pPr>
      <w:r>
        <w:rPr>
          <w:rFonts w:ascii="Arial" w:cs="Arial" w:eastAsia="Arial" w:hAnsi="Arial"/>
          <w:sz w:val="18"/>
          <w:szCs w:val="18"/>
          <w:color w:val="auto"/>
        </w:rPr>
        <w:t>Reviews and makes any necessary recommendations to the Board and management concerning:</w:t>
      </w:r>
    </w:p>
    <w:p>
      <w:pPr>
        <w:spacing w:after="0" w:line="130" w:lineRule="exact"/>
        <w:rPr>
          <w:rFonts w:ascii="Arial" w:cs="Arial" w:eastAsia="Arial" w:hAnsi="Arial"/>
          <w:sz w:val="15"/>
          <w:szCs w:val="15"/>
          <w:color w:val="77387A"/>
        </w:rPr>
      </w:pPr>
    </w:p>
    <w:p>
      <w:pPr>
        <w:ind w:left="580"/>
        <w:spacing w:after="0"/>
        <w:rPr>
          <w:rFonts w:ascii="Arial" w:cs="Arial" w:eastAsia="Arial" w:hAnsi="Arial"/>
          <w:sz w:val="15"/>
          <w:szCs w:val="15"/>
          <w:color w:val="77387A"/>
        </w:rPr>
      </w:pPr>
      <w:r>
        <w:rPr>
          <w:rFonts w:ascii="Arial" w:cs="Arial" w:eastAsia="Arial" w:hAnsi="Arial"/>
          <w:sz w:val="18"/>
          <w:szCs w:val="18"/>
          <w:color w:val="auto"/>
        </w:rPr>
        <w:t>–    capital structure, issuance of equity and debt securities and the incurrence of indebtedness;</w:t>
      </w:r>
    </w:p>
    <w:p>
      <w:pPr>
        <w:spacing w:after="0" w:line="117" w:lineRule="exact"/>
        <w:rPr>
          <w:rFonts w:ascii="Arial" w:cs="Arial" w:eastAsia="Arial" w:hAnsi="Arial"/>
          <w:sz w:val="15"/>
          <w:szCs w:val="15"/>
          <w:color w:val="77387A"/>
        </w:rPr>
      </w:pPr>
    </w:p>
    <w:p>
      <w:pPr>
        <w:ind w:left="580"/>
        <w:spacing w:after="0"/>
        <w:rPr>
          <w:rFonts w:ascii="Arial" w:cs="Arial" w:eastAsia="Arial" w:hAnsi="Arial"/>
          <w:sz w:val="15"/>
          <w:szCs w:val="15"/>
          <w:color w:val="77387A"/>
        </w:rPr>
      </w:pPr>
      <w:r>
        <w:rPr>
          <w:rFonts w:ascii="Arial" w:cs="Arial" w:eastAsia="Arial" w:hAnsi="Arial"/>
          <w:sz w:val="18"/>
          <w:szCs w:val="18"/>
          <w:color w:val="auto"/>
        </w:rPr>
        <w:t>–    payment of dividends and stock repurchases;</w:t>
      </w:r>
    </w:p>
    <w:p>
      <w:pPr>
        <w:spacing w:after="0" w:line="117" w:lineRule="exact"/>
        <w:rPr>
          <w:rFonts w:ascii="Arial" w:cs="Arial" w:eastAsia="Arial" w:hAnsi="Arial"/>
          <w:sz w:val="15"/>
          <w:szCs w:val="15"/>
          <w:color w:val="77387A"/>
        </w:rPr>
      </w:pPr>
    </w:p>
    <w:p>
      <w:pPr>
        <w:ind w:left="580"/>
        <w:spacing w:after="0"/>
        <w:rPr>
          <w:rFonts w:ascii="Arial" w:cs="Arial" w:eastAsia="Arial" w:hAnsi="Arial"/>
          <w:sz w:val="15"/>
          <w:szCs w:val="15"/>
          <w:color w:val="77387A"/>
        </w:rPr>
      </w:pPr>
      <w:r>
        <w:rPr>
          <w:rFonts w:ascii="Arial" w:cs="Arial" w:eastAsia="Arial" w:hAnsi="Arial"/>
          <w:sz w:val="18"/>
          <w:szCs w:val="18"/>
          <w:color w:val="auto"/>
        </w:rPr>
        <w:t>–    financial projections and guidance;</w:t>
      </w:r>
    </w:p>
    <w:p>
      <w:pPr>
        <w:spacing w:after="0" w:line="117" w:lineRule="exact"/>
        <w:rPr>
          <w:rFonts w:ascii="Arial" w:cs="Arial" w:eastAsia="Arial" w:hAnsi="Arial"/>
          <w:sz w:val="15"/>
          <w:szCs w:val="15"/>
          <w:color w:val="77387A"/>
        </w:rPr>
      </w:pPr>
    </w:p>
    <w:p>
      <w:pPr>
        <w:ind w:left="580"/>
        <w:spacing w:after="0"/>
        <w:rPr>
          <w:rFonts w:ascii="Arial" w:cs="Arial" w:eastAsia="Arial" w:hAnsi="Arial"/>
          <w:sz w:val="15"/>
          <w:szCs w:val="15"/>
          <w:color w:val="77387A"/>
        </w:rPr>
      </w:pPr>
      <w:r>
        <w:rPr>
          <w:rFonts w:ascii="Arial" w:cs="Arial" w:eastAsia="Arial" w:hAnsi="Arial"/>
          <w:sz w:val="18"/>
          <w:szCs w:val="18"/>
          <w:color w:val="auto"/>
        </w:rPr>
        <w:t>–    general financial planning, cash flow and working capital management, capital budgeting and expenditures;</w:t>
      </w:r>
    </w:p>
    <w:p>
      <w:pPr>
        <w:spacing w:after="0" w:line="117" w:lineRule="exact"/>
        <w:rPr>
          <w:rFonts w:ascii="Arial" w:cs="Arial" w:eastAsia="Arial" w:hAnsi="Arial"/>
          <w:sz w:val="15"/>
          <w:szCs w:val="15"/>
          <w:color w:val="77387A"/>
        </w:rPr>
      </w:pPr>
    </w:p>
    <w:p>
      <w:pPr>
        <w:ind w:left="580"/>
        <w:spacing w:after="0"/>
        <w:rPr>
          <w:rFonts w:ascii="Arial" w:cs="Arial" w:eastAsia="Arial" w:hAnsi="Arial"/>
          <w:sz w:val="15"/>
          <w:szCs w:val="15"/>
          <w:color w:val="77387A"/>
        </w:rPr>
      </w:pPr>
      <w:r>
        <w:rPr>
          <w:rFonts w:ascii="Arial" w:cs="Arial" w:eastAsia="Arial" w:hAnsi="Arial"/>
          <w:sz w:val="18"/>
          <w:szCs w:val="18"/>
          <w:color w:val="auto"/>
        </w:rPr>
        <w:t>–    tax planning and compliance;</w:t>
      </w:r>
    </w:p>
    <w:p>
      <w:pPr>
        <w:spacing w:after="0" w:line="117" w:lineRule="exact"/>
        <w:rPr>
          <w:rFonts w:ascii="Arial" w:cs="Arial" w:eastAsia="Arial" w:hAnsi="Arial"/>
          <w:sz w:val="15"/>
          <w:szCs w:val="15"/>
          <w:color w:val="77387A"/>
        </w:rPr>
      </w:pPr>
    </w:p>
    <w:p>
      <w:pPr>
        <w:ind w:left="580"/>
        <w:spacing w:after="0"/>
        <w:rPr>
          <w:rFonts w:ascii="Arial" w:cs="Arial" w:eastAsia="Arial" w:hAnsi="Arial"/>
          <w:sz w:val="15"/>
          <w:szCs w:val="15"/>
          <w:color w:val="77387A"/>
        </w:rPr>
      </w:pPr>
      <w:r>
        <w:rPr>
          <w:rFonts w:ascii="Arial" w:cs="Arial" w:eastAsia="Arial" w:hAnsi="Arial"/>
          <w:sz w:val="18"/>
          <w:szCs w:val="18"/>
          <w:color w:val="auto"/>
        </w:rPr>
        <w:t>–    mergers, acquisitions and strategic transactions; and</w:t>
      </w:r>
    </w:p>
    <w:p>
      <w:pPr>
        <w:spacing w:after="0" w:line="117" w:lineRule="exact"/>
        <w:rPr>
          <w:rFonts w:ascii="Arial" w:cs="Arial" w:eastAsia="Arial" w:hAnsi="Arial"/>
          <w:sz w:val="15"/>
          <w:szCs w:val="15"/>
          <w:color w:val="77387A"/>
        </w:rPr>
      </w:pPr>
    </w:p>
    <w:p>
      <w:pPr>
        <w:ind w:left="580"/>
        <w:spacing w:after="0"/>
        <w:rPr>
          <w:rFonts w:ascii="Arial" w:cs="Arial" w:eastAsia="Arial" w:hAnsi="Arial"/>
          <w:sz w:val="15"/>
          <w:szCs w:val="15"/>
          <w:color w:val="77387A"/>
        </w:rPr>
      </w:pPr>
      <w:r>
        <w:rPr>
          <w:rFonts w:ascii="Arial" w:cs="Arial" w:eastAsia="Arial" w:hAnsi="Arial"/>
          <w:sz w:val="18"/>
          <w:szCs w:val="18"/>
          <w:color w:val="auto"/>
        </w:rPr>
        <w:t>–    investor relations programs and policies.</w:t>
      </w:r>
    </w:p>
    <w:p>
      <w:pPr>
        <w:spacing w:after="0" w:line="338" w:lineRule="exact"/>
        <w:rPr>
          <w:sz w:val="20"/>
          <w:szCs w:val="20"/>
          <w:color w:val="auto"/>
        </w:rPr>
      </w:pPr>
    </w:p>
    <w:p>
      <w:pPr>
        <w:ind w:left="300"/>
        <w:spacing w:after="0"/>
        <w:tabs>
          <w:tab w:leader="none" w:pos="6940" w:val="left"/>
        </w:tabs>
        <w:rPr>
          <w:sz w:val="20"/>
          <w:szCs w:val="20"/>
          <w:color w:val="auto"/>
        </w:rPr>
      </w:pPr>
      <w:r>
        <w:rPr>
          <w:rFonts w:ascii="Arial" w:cs="Arial" w:eastAsia="Arial" w:hAnsi="Arial"/>
          <w:sz w:val="18"/>
          <w:szCs w:val="18"/>
          <w:b w:val="1"/>
          <w:bCs w:val="1"/>
          <w:color w:val="483E65"/>
        </w:rPr>
        <w:t>Human Resources &amp; Compensation Committee</w:t>
      </w:r>
      <w:r>
        <w:rPr>
          <w:sz w:val="20"/>
          <w:szCs w:val="20"/>
          <w:color w:val="auto"/>
        </w:rPr>
        <w:tab/>
      </w:r>
      <w:r>
        <w:rPr>
          <w:rFonts w:ascii="Arial" w:cs="Arial" w:eastAsia="Arial" w:hAnsi="Arial"/>
          <w:sz w:val="17"/>
          <w:szCs w:val="17"/>
          <w:b w:val="1"/>
          <w:bCs w:val="1"/>
          <w:color w:val="483E65"/>
        </w:rPr>
        <w:t>Number of Meetings in Last Fiscal Year: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246620" cy="12890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6620" cy="128905"/>
                    </a:xfrm>
                    <a:prstGeom prst="rect">
                      <a:avLst/>
                    </a:prstGeom>
                    <a:noFill/>
                  </pic:spPr>
                </pic:pic>
              </a:graphicData>
            </a:graphic>
          </wp:anchor>
        </w:drawing>
      </w:r>
    </w:p>
    <w:p>
      <w:pPr>
        <w:spacing w:after="0" w:line="119" w:lineRule="exact"/>
        <w:rPr>
          <w:sz w:val="20"/>
          <w:szCs w:val="20"/>
          <w:color w:val="auto"/>
        </w:rPr>
      </w:pPr>
    </w:p>
    <w:p>
      <w:pPr>
        <w:ind w:left="540" w:hanging="316"/>
        <w:spacing w:after="0"/>
        <w:tabs>
          <w:tab w:leader="none" w:pos="540" w:val="left"/>
        </w:tabs>
        <w:numPr>
          <w:ilvl w:val="0"/>
          <w:numId w:val="25"/>
        </w:numPr>
        <w:rPr>
          <w:rFonts w:ascii="Arial" w:cs="Arial" w:eastAsia="Arial" w:hAnsi="Arial"/>
          <w:sz w:val="15"/>
          <w:szCs w:val="15"/>
          <w:color w:val="77387A"/>
        </w:rPr>
      </w:pPr>
      <w:r>
        <w:rPr>
          <w:rFonts w:ascii="Arial" w:cs="Arial" w:eastAsia="Arial" w:hAnsi="Arial"/>
          <w:sz w:val="18"/>
          <w:szCs w:val="18"/>
          <w:color w:val="auto"/>
        </w:rPr>
        <w:t>Determines CEO compensation and approves compensation of our other executive officers;</w:t>
      </w:r>
    </w:p>
    <w:p>
      <w:pPr>
        <w:spacing w:after="0" w:line="130" w:lineRule="exact"/>
        <w:rPr>
          <w:rFonts w:ascii="Arial" w:cs="Arial" w:eastAsia="Arial" w:hAnsi="Arial"/>
          <w:sz w:val="15"/>
          <w:szCs w:val="15"/>
          <w:color w:val="77387A"/>
        </w:rPr>
      </w:pPr>
    </w:p>
    <w:p>
      <w:pPr>
        <w:ind w:left="540" w:hanging="316"/>
        <w:spacing w:after="0"/>
        <w:tabs>
          <w:tab w:leader="none" w:pos="540" w:val="left"/>
        </w:tabs>
        <w:numPr>
          <w:ilvl w:val="0"/>
          <w:numId w:val="25"/>
        </w:numPr>
        <w:rPr>
          <w:rFonts w:ascii="Arial" w:cs="Arial" w:eastAsia="Arial" w:hAnsi="Arial"/>
          <w:sz w:val="15"/>
          <w:szCs w:val="15"/>
          <w:color w:val="77387A"/>
        </w:rPr>
      </w:pPr>
      <w:r>
        <w:rPr>
          <w:rFonts w:ascii="Arial" w:cs="Arial" w:eastAsia="Arial" w:hAnsi="Arial"/>
          <w:sz w:val="18"/>
          <w:szCs w:val="18"/>
          <w:color w:val="auto"/>
        </w:rPr>
        <w:t>Exercises all rights, authority and functions under our stock, retirement and other compensation;</w:t>
      </w:r>
    </w:p>
    <w:p>
      <w:pPr>
        <w:spacing w:after="0" w:line="130" w:lineRule="exact"/>
        <w:rPr>
          <w:rFonts w:ascii="Arial" w:cs="Arial" w:eastAsia="Arial" w:hAnsi="Arial"/>
          <w:sz w:val="15"/>
          <w:szCs w:val="15"/>
          <w:color w:val="77387A"/>
        </w:rPr>
      </w:pPr>
    </w:p>
    <w:p>
      <w:pPr>
        <w:ind w:left="540" w:hanging="316"/>
        <w:spacing w:after="0"/>
        <w:tabs>
          <w:tab w:leader="none" w:pos="540" w:val="left"/>
        </w:tabs>
        <w:numPr>
          <w:ilvl w:val="0"/>
          <w:numId w:val="25"/>
        </w:numPr>
        <w:rPr>
          <w:rFonts w:ascii="Arial" w:cs="Arial" w:eastAsia="Arial" w:hAnsi="Arial"/>
          <w:sz w:val="15"/>
          <w:szCs w:val="15"/>
          <w:color w:val="77387A"/>
        </w:rPr>
      </w:pPr>
      <w:r>
        <w:rPr>
          <w:rFonts w:ascii="Arial" w:cs="Arial" w:eastAsia="Arial" w:hAnsi="Arial"/>
          <w:sz w:val="18"/>
          <w:szCs w:val="18"/>
          <w:color w:val="auto"/>
        </w:rPr>
        <w:t>Approves non-employee director compensation;</w:t>
      </w:r>
    </w:p>
    <w:p>
      <w:pPr>
        <w:spacing w:after="0" w:line="130" w:lineRule="exact"/>
        <w:rPr>
          <w:rFonts w:ascii="Arial" w:cs="Arial" w:eastAsia="Arial" w:hAnsi="Arial"/>
          <w:sz w:val="15"/>
          <w:szCs w:val="15"/>
          <w:color w:val="77387A"/>
        </w:rPr>
      </w:pPr>
    </w:p>
    <w:p>
      <w:pPr>
        <w:ind w:left="540" w:hanging="316"/>
        <w:spacing w:after="0"/>
        <w:tabs>
          <w:tab w:leader="none" w:pos="540" w:val="left"/>
        </w:tabs>
        <w:numPr>
          <w:ilvl w:val="0"/>
          <w:numId w:val="25"/>
        </w:numPr>
        <w:rPr>
          <w:rFonts w:ascii="Arial" w:cs="Arial" w:eastAsia="Arial" w:hAnsi="Arial"/>
          <w:sz w:val="15"/>
          <w:szCs w:val="15"/>
          <w:color w:val="77387A"/>
        </w:rPr>
      </w:pPr>
      <w:r>
        <w:rPr>
          <w:rFonts w:ascii="Arial" w:cs="Arial" w:eastAsia="Arial" w:hAnsi="Arial"/>
          <w:sz w:val="18"/>
          <w:szCs w:val="18"/>
          <w:color w:val="auto"/>
        </w:rPr>
        <w:t>Reviews and approves and annual report on executive compensation for inclusion in our proxy statement;</w:t>
      </w:r>
    </w:p>
    <w:p>
      <w:pPr>
        <w:spacing w:after="0" w:line="130" w:lineRule="exact"/>
        <w:rPr>
          <w:rFonts w:ascii="Arial" w:cs="Arial" w:eastAsia="Arial" w:hAnsi="Arial"/>
          <w:sz w:val="15"/>
          <w:szCs w:val="15"/>
          <w:color w:val="77387A"/>
        </w:rPr>
      </w:pPr>
    </w:p>
    <w:p>
      <w:pPr>
        <w:ind w:left="540" w:hanging="316"/>
        <w:spacing w:after="0"/>
        <w:tabs>
          <w:tab w:leader="none" w:pos="540" w:val="left"/>
        </w:tabs>
        <w:numPr>
          <w:ilvl w:val="0"/>
          <w:numId w:val="25"/>
        </w:numPr>
        <w:rPr>
          <w:rFonts w:ascii="Arial" w:cs="Arial" w:eastAsia="Arial" w:hAnsi="Arial"/>
          <w:sz w:val="15"/>
          <w:szCs w:val="15"/>
          <w:color w:val="77387A"/>
        </w:rPr>
      </w:pPr>
      <w:r>
        <w:rPr>
          <w:rFonts w:ascii="Arial" w:cs="Arial" w:eastAsia="Arial" w:hAnsi="Arial"/>
          <w:sz w:val="18"/>
          <w:szCs w:val="18"/>
          <w:color w:val="auto"/>
        </w:rPr>
        <w:t>Reviews compensation risk; and</w:t>
      </w:r>
    </w:p>
    <w:p>
      <w:pPr>
        <w:spacing w:after="0" w:line="130" w:lineRule="exact"/>
        <w:rPr>
          <w:rFonts w:ascii="Arial" w:cs="Arial" w:eastAsia="Arial" w:hAnsi="Arial"/>
          <w:sz w:val="15"/>
          <w:szCs w:val="15"/>
          <w:color w:val="77387A"/>
        </w:rPr>
      </w:pPr>
    </w:p>
    <w:p>
      <w:pPr>
        <w:ind w:left="540" w:hanging="316"/>
        <w:spacing w:after="0"/>
        <w:tabs>
          <w:tab w:leader="none" w:pos="540" w:val="left"/>
        </w:tabs>
        <w:numPr>
          <w:ilvl w:val="0"/>
          <w:numId w:val="25"/>
        </w:numPr>
        <w:rPr>
          <w:rFonts w:ascii="Arial" w:cs="Arial" w:eastAsia="Arial" w:hAnsi="Arial"/>
          <w:sz w:val="15"/>
          <w:szCs w:val="15"/>
          <w:color w:val="77387A"/>
        </w:rPr>
      </w:pPr>
      <w:r>
        <w:rPr>
          <w:rFonts w:ascii="Arial" w:cs="Arial" w:eastAsia="Arial" w:hAnsi="Arial"/>
          <w:sz w:val="18"/>
          <w:szCs w:val="18"/>
          <w:color w:val="auto"/>
        </w:rPr>
        <w:t>Periodically reviews our human resources strategy, policies and programs.</w:t>
      </w:r>
    </w:p>
    <w:p>
      <w:pPr>
        <w:spacing w:after="0" w:line="203"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483E65"/>
        </w:rPr>
        <w:t>Role of Independent Consultant</w:t>
      </w:r>
    </w:p>
    <w:p>
      <w:pPr>
        <w:spacing w:after="0" w:line="234" w:lineRule="exact"/>
        <w:rPr>
          <w:sz w:val="20"/>
          <w:szCs w:val="20"/>
          <w:color w:val="auto"/>
        </w:rPr>
      </w:pPr>
    </w:p>
    <w:p>
      <w:pPr>
        <w:ind w:right="200"/>
        <w:spacing w:after="0" w:line="239" w:lineRule="auto"/>
        <w:rPr>
          <w:sz w:val="20"/>
          <w:szCs w:val="20"/>
          <w:color w:val="auto"/>
        </w:rPr>
      </w:pPr>
      <w:r>
        <w:rPr>
          <w:rFonts w:ascii="Arial" w:cs="Arial" w:eastAsia="Arial" w:hAnsi="Arial"/>
          <w:sz w:val="18"/>
          <w:szCs w:val="18"/>
          <w:color w:val="auto"/>
        </w:rPr>
        <w:t>The Human Resources and Compensation Committee has retained Frederic W. Cook &amp; Co., as its independent compensation consultant to assist the Committee in evaluating executive compensation programs and in setting executive officer compensation. The consultant only serves the Committee in an advisory role and does not decide or approve any compensation actions. The consultant reports directly to the Committee and does not perform any services for management. The consultant’s duties include the following:</w:t>
      </w:r>
    </w:p>
    <w:p>
      <w:pPr>
        <w:spacing w:after="0" w:line="229" w:lineRule="exact"/>
        <w:rPr>
          <w:sz w:val="20"/>
          <w:szCs w:val="20"/>
          <w:color w:val="auto"/>
        </w:rPr>
      </w:pPr>
    </w:p>
    <w:p>
      <w:pPr>
        <w:ind w:left="540" w:hanging="316"/>
        <w:spacing w:after="0"/>
        <w:tabs>
          <w:tab w:leader="none" w:pos="540" w:val="left"/>
        </w:tabs>
        <w:numPr>
          <w:ilvl w:val="0"/>
          <w:numId w:val="26"/>
        </w:numPr>
        <w:rPr>
          <w:rFonts w:ascii="Arial" w:cs="Arial" w:eastAsia="Arial" w:hAnsi="Arial"/>
          <w:sz w:val="15"/>
          <w:szCs w:val="15"/>
          <w:color w:val="77387A"/>
        </w:rPr>
      </w:pPr>
      <w:r>
        <w:rPr>
          <w:rFonts w:ascii="Arial" w:cs="Arial" w:eastAsia="Arial" w:hAnsi="Arial"/>
          <w:sz w:val="18"/>
          <w:szCs w:val="18"/>
          <w:color w:val="auto"/>
        </w:rPr>
        <w:t>reviewing our total compensation philosophy, peer group, and target competitive positioning for reasonableness and appropriateness;</w:t>
      </w:r>
    </w:p>
    <w:p>
      <w:pPr>
        <w:spacing w:after="0" w:line="130" w:lineRule="exact"/>
        <w:rPr>
          <w:rFonts w:ascii="Arial" w:cs="Arial" w:eastAsia="Arial" w:hAnsi="Arial"/>
          <w:sz w:val="15"/>
          <w:szCs w:val="15"/>
          <w:color w:val="77387A"/>
        </w:rPr>
      </w:pPr>
    </w:p>
    <w:p>
      <w:pPr>
        <w:ind w:left="540" w:hanging="316"/>
        <w:spacing w:after="0"/>
        <w:tabs>
          <w:tab w:leader="none" w:pos="540" w:val="left"/>
        </w:tabs>
        <w:numPr>
          <w:ilvl w:val="0"/>
          <w:numId w:val="26"/>
        </w:numPr>
        <w:rPr>
          <w:rFonts w:ascii="Arial" w:cs="Arial" w:eastAsia="Arial" w:hAnsi="Arial"/>
          <w:sz w:val="15"/>
          <w:szCs w:val="15"/>
          <w:color w:val="77387A"/>
        </w:rPr>
      </w:pPr>
      <w:r>
        <w:rPr>
          <w:rFonts w:ascii="Arial" w:cs="Arial" w:eastAsia="Arial" w:hAnsi="Arial"/>
          <w:sz w:val="18"/>
          <w:szCs w:val="18"/>
          <w:color w:val="auto"/>
        </w:rPr>
        <w:t>reviewing our overall executive compensation program and advising the Committee on evolving best practices;</w:t>
      </w:r>
    </w:p>
    <w:p>
      <w:pPr>
        <w:spacing w:after="0" w:line="130" w:lineRule="exact"/>
        <w:rPr>
          <w:rFonts w:ascii="Arial" w:cs="Arial" w:eastAsia="Arial" w:hAnsi="Arial"/>
          <w:sz w:val="15"/>
          <w:szCs w:val="15"/>
          <w:color w:val="77387A"/>
        </w:rPr>
      </w:pPr>
    </w:p>
    <w:p>
      <w:pPr>
        <w:ind w:left="540" w:right="200" w:hanging="316"/>
        <w:spacing w:after="0" w:line="246" w:lineRule="auto"/>
        <w:tabs>
          <w:tab w:leader="none" w:pos="540" w:val="left"/>
        </w:tabs>
        <w:numPr>
          <w:ilvl w:val="0"/>
          <w:numId w:val="26"/>
        </w:numPr>
        <w:rPr>
          <w:rFonts w:ascii="Arial" w:cs="Arial" w:eastAsia="Arial" w:hAnsi="Arial"/>
          <w:sz w:val="15"/>
          <w:szCs w:val="15"/>
          <w:color w:val="77387A"/>
        </w:rPr>
      </w:pPr>
      <w:r>
        <w:rPr>
          <w:rFonts w:ascii="Arial" w:cs="Arial" w:eastAsia="Arial" w:hAnsi="Arial"/>
          <w:sz w:val="18"/>
          <w:szCs w:val="18"/>
          <w:color w:val="auto"/>
        </w:rPr>
        <w:t>providing independent analyses and recommendations to the Committee on executive officers’ compensation and new programs that management submits to the Committee for approval; and</w:t>
      </w:r>
    </w:p>
    <w:p>
      <w:pPr>
        <w:spacing w:after="0" w:line="102" w:lineRule="exact"/>
        <w:rPr>
          <w:rFonts w:ascii="Arial" w:cs="Arial" w:eastAsia="Arial" w:hAnsi="Arial"/>
          <w:sz w:val="15"/>
          <w:szCs w:val="15"/>
          <w:color w:val="77387A"/>
        </w:rPr>
      </w:pPr>
    </w:p>
    <w:p>
      <w:pPr>
        <w:ind w:left="540" w:hanging="316"/>
        <w:spacing w:after="0"/>
        <w:tabs>
          <w:tab w:leader="none" w:pos="540" w:val="left"/>
        </w:tabs>
        <w:numPr>
          <w:ilvl w:val="0"/>
          <w:numId w:val="26"/>
        </w:numPr>
        <w:rPr>
          <w:rFonts w:ascii="Arial" w:cs="Arial" w:eastAsia="Arial" w:hAnsi="Arial"/>
          <w:sz w:val="15"/>
          <w:szCs w:val="15"/>
          <w:color w:val="77387A"/>
        </w:rPr>
      </w:pPr>
      <w:r>
        <w:rPr>
          <w:rFonts w:ascii="Arial" w:cs="Arial" w:eastAsia="Arial" w:hAnsi="Arial"/>
          <w:sz w:val="18"/>
          <w:szCs w:val="18"/>
          <w:color w:val="auto"/>
        </w:rPr>
        <w:t>reviewing the Compensation Discussion and Analysis for our Proxy Statement.</w:t>
      </w:r>
    </w:p>
    <w:p>
      <w:pPr>
        <w:spacing w:after="0" w:line="140" w:lineRule="exact"/>
        <w:rPr>
          <w:sz w:val="20"/>
          <w:szCs w:val="20"/>
          <w:color w:val="auto"/>
        </w:rPr>
      </w:pPr>
    </w:p>
    <w:p>
      <w:pPr>
        <w:spacing w:after="0"/>
        <w:tabs>
          <w:tab w:leader="none" w:pos="340" w:val="left"/>
          <w:tab w:leader="none" w:pos="580" w:val="left"/>
        </w:tabs>
        <w:rPr>
          <w:sz w:val="20"/>
          <w:szCs w:val="20"/>
          <w:color w:val="auto"/>
        </w:rPr>
      </w:pPr>
      <w:r>
        <w:rPr>
          <w:rFonts w:ascii="Arial" w:cs="Arial" w:eastAsia="Arial" w:hAnsi="Arial"/>
          <w:sz w:val="16"/>
          <w:szCs w:val="16"/>
          <w:b w:val="1"/>
          <w:bCs w:val="1"/>
          <w:color w:val="483E65"/>
        </w:rPr>
        <w:t>16</w:t>
        <w:tab/>
        <w:t>|</w:t>
        <w:tab/>
        <w:t>2017 Proxy Statement</w:t>
      </w:r>
    </w:p>
    <w:p>
      <w:pPr>
        <w:sectPr>
          <w:pgSz w:w="11900" w:h="16838" w:orient="portrait"/>
          <w:cols w:equalWidth="0" w:num="1">
            <w:col w:w="11320"/>
          </w:cols>
          <w:pgMar w:left="240" w:top="459" w:right="3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8" w:lineRule="exact"/>
        <w:rPr>
          <w:sz w:val="20"/>
          <w:szCs w:val="20"/>
          <w:color w:val="auto"/>
        </w:rPr>
      </w:pPr>
    </w:p>
    <w:p>
      <w:pPr>
        <w:spacing w:after="0"/>
        <w:rPr>
          <w:sz w:val="20"/>
          <w:szCs w:val="20"/>
          <w:color w:val="auto"/>
        </w:rPr>
      </w:pPr>
      <w:r>
        <w:rPr>
          <w:rFonts w:ascii="Arial" w:cs="Arial" w:eastAsia="Arial" w:hAnsi="Arial"/>
          <w:sz w:val="32"/>
          <w:szCs w:val="32"/>
          <w:color w:val="483E65"/>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149860</wp:posOffset>
            </wp:positionV>
            <wp:extent cx="724662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18" w:lineRule="exact"/>
        <w:rPr>
          <w:sz w:val="20"/>
          <w:szCs w:val="20"/>
          <w:color w:val="auto"/>
        </w:rPr>
      </w:pPr>
    </w:p>
    <w:p>
      <w:pPr>
        <w:ind w:right="200"/>
        <w:spacing w:after="0"/>
        <w:rPr>
          <w:sz w:val="20"/>
          <w:szCs w:val="20"/>
          <w:color w:val="auto"/>
        </w:rPr>
      </w:pPr>
      <w:r>
        <w:rPr>
          <w:rFonts w:ascii="Arial" w:cs="Arial" w:eastAsia="Arial" w:hAnsi="Arial"/>
          <w:sz w:val="18"/>
          <w:szCs w:val="18"/>
          <w:color w:val="auto"/>
        </w:rPr>
        <w:t>The consultant interacts directly with members of management only on matters under the Committee’s oversight and with the knowledge and permission of the Committee. The Committee has assessed the independence of Frederic W. Cook &amp; Co. pursuant to SEC rules and concluded that the firm’s work for the Committee does not raise any conflict of interest.</w:t>
      </w:r>
    </w:p>
    <w:p>
      <w:pPr>
        <w:spacing w:after="0" w:line="181"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483E65"/>
        </w:rPr>
        <w:t>Compensation Committee Interlocks and Insider Participation</w:t>
      </w:r>
    </w:p>
    <w:p>
      <w:pPr>
        <w:spacing w:after="0" w:line="234" w:lineRule="exact"/>
        <w:rPr>
          <w:sz w:val="20"/>
          <w:szCs w:val="20"/>
          <w:color w:val="auto"/>
        </w:rPr>
      </w:pPr>
    </w:p>
    <w:p>
      <w:pPr>
        <w:jc w:val="both"/>
        <w:ind w:right="100"/>
        <w:spacing w:after="0"/>
        <w:rPr>
          <w:sz w:val="20"/>
          <w:szCs w:val="20"/>
          <w:color w:val="auto"/>
        </w:rPr>
      </w:pPr>
      <w:r>
        <w:rPr>
          <w:rFonts w:ascii="Arial" w:cs="Arial" w:eastAsia="Arial" w:hAnsi="Arial"/>
          <w:sz w:val="18"/>
          <w:szCs w:val="18"/>
          <w:color w:val="auto"/>
        </w:rPr>
        <w:t>None of the members of our Human Resources and Compensation Committee has, at any time, been an officer or employee of ours. None of our executive officers currently serves, or in the past fiscal year has served, as a member of the board of directors or compensation committee of any entity that has one or more executive officers serving on our Board or Human Resources and Compensation Committee.</w:t>
      </w:r>
    </w:p>
    <w:p>
      <w:pPr>
        <w:spacing w:after="0" w:line="329" w:lineRule="exact"/>
        <w:rPr>
          <w:sz w:val="20"/>
          <w:szCs w:val="20"/>
          <w:color w:val="auto"/>
        </w:rPr>
      </w:pPr>
    </w:p>
    <w:p>
      <w:pPr>
        <w:ind w:left="300"/>
        <w:spacing w:after="0"/>
        <w:tabs>
          <w:tab w:leader="none" w:pos="6940" w:val="left"/>
        </w:tabs>
        <w:rPr>
          <w:sz w:val="20"/>
          <w:szCs w:val="20"/>
          <w:color w:val="auto"/>
        </w:rPr>
      </w:pPr>
      <w:r>
        <w:rPr>
          <w:rFonts w:ascii="Arial" w:cs="Arial" w:eastAsia="Arial" w:hAnsi="Arial"/>
          <w:sz w:val="18"/>
          <w:szCs w:val="18"/>
          <w:b w:val="1"/>
          <w:bCs w:val="1"/>
          <w:color w:val="483E65"/>
        </w:rPr>
        <w:t>Nominating &amp; Corporate Governance Committee</w:t>
      </w:r>
      <w:r>
        <w:rPr>
          <w:sz w:val="20"/>
          <w:szCs w:val="20"/>
          <w:color w:val="auto"/>
        </w:rPr>
        <w:tab/>
      </w:r>
      <w:r>
        <w:rPr>
          <w:rFonts w:ascii="Arial" w:cs="Arial" w:eastAsia="Arial" w:hAnsi="Arial"/>
          <w:sz w:val="17"/>
          <w:szCs w:val="17"/>
          <w:b w:val="1"/>
          <w:bCs w:val="1"/>
          <w:color w:val="483E65"/>
        </w:rPr>
        <w:t>Number of Meetings in Last Fiscal Year: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246620" cy="12890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46620" cy="128905"/>
                    </a:xfrm>
                    <a:prstGeom prst="rect">
                      <a:avLst/>
                    </a:prstGeom>
                    <a:noFill/>
                  </pic:spPr>
                </pic:pic>
              </a:graphicData>
            </a:graphic>
          </wp:anchor>
        </w:drawing>
      </w:r>
    </w:p>
    <w:p>
      <w:pPr>
        <w:spacing w:after="0" w:line="119" w:lineRule="exact"/>
        <w:rPr>
          <w:sz w:val="20"/>
          <w:szCs w:val="20"/>
          <w:color w:val="auto"/>
        </w:rPr>
      </w:pPr>
    </w:p>
    <w:p>
      <w:pPr>
        <w:ind w:left="540" w:hanging="316"/>
        <w:spacing w:after="0"/>
        <w:tabs>
          <w:tab w:leader="none" w:pos="540" w:val="left"/>
        </w:tabs>
        <w:numPr>
          <w:ilvl w:val="0"/>
          <w:numId w:val="27"/>
        </w:numPr>
        <w:rPr>
          <w:rFonts w:ascii="Arial" w:cs="Arial" w:eastAsia="Arial" w:hAnsi="Arial"/>
          <w:sz w:val="15"/>
          <w:szCs w:val="15"/>
          <w:color w:val="77387A"/>
        </w:rPr>
      </w:pPr>
      <w:r>
        <w:rPr>
          <w:rFonts w:ascii="Arial" w:cs="Arial" w:eastAsia="Arial" w:hAnsi="Arial"/>
          <w:sz w:val="18"/>
          <w:szCs w:val="18"/>
          <w:color w:val="auto"/>
        </w:rPr>
        <w:t>Evaluates, identifies and recommends director nominees;</w:t>
      </w:r>
    </w:p>
    <w:p>
      <w:pPr>
        <w:spacing w:after="0" w:line="130" w:lineRule="exact"/>
        <w:rPr>
          <w:rFonts w:ascii="Arial" w:cs="Arial" w:eastAsia="Arial" w:hAnsi="Arial"/>
          <w:sz w:val="15"/>
          <w:szCs w:val="15"/>
          <w:color w:val="77387A"/>
        </w:rPr>
      </w:pPr>
    </w:p>
    <w:p>
      <w:pPr>
        <w:ind w:left="540" w:hanging="316"/>
        <w:spacing w:after="0"/>
        <w:tabs>
          <w:tab w:leader="none" w:pos="540" w:val="left"/>
        </w:tabs>
        <w:numPr>
          <w:ilvl w:val="0"/>
          <w:numId w:val="27"/>
        </w:numPr>
        <w:rPr>
          <w:rFonts w:ascii="Arial" w:cs="Arial" w:eastAsia="Arial" w:hAnsi="Arial"/>
          <w:sz w:val="15"/>
          <w:szCs w:val="15"/>
          <w:color w:val="77387A"/>
        </w:rPr>
      </w:pPr>
      <w:r>
        <w:rPr>
          <w:rFonts w:ascii="Arial" w:cs="Arial" w:eastAsia="Arial" w:hAnsi="Arial"/>
          <w:sz w:val="18"/>
          <w:szCs w:val="18"/>
          <w:color w:val="auto"/>
        </w:rPr>
        <w:t>Reviews the composition and procedures of the Board;</w:t>
      </w:r>
    </w:p>
    <w:p>
      <w:pPr>
        <w:spacing w:after="0" w:line="130" w:lineRule="exact"/>
        <w:rPr>
          <w:rFonts w:ascii="Arial" w:cs="Arial" w:eastAsia="Arial" w:hAnsi="Arial"/>
          <w:sz w:val="15"/>
          <w:szCs w:val="15"/>
          <w:color w:val="77387A"/>
        </w:rPr>
      </w:pPr>
    </w:p>
    <w:p>
      <w:pPr>
        <w:ind w:left="540" w:hanging="316"/>
        <w:spacing w:after="0"/>
        <w:tabs>
          <w:tab w:leader="none" w:pos="540" w:val="left"/>
        </w:tabs>
        <w:numPr>
          <w:ilvl w:val="0"/>
          <w:numId w:val="27"/>
        </w:numPr>
        <w:rPr>
          <w:rFonts w:ascii="Arial" w:cs="Arial" w:eastAsia="Arial" w:hAnsi="Arial"/>
          <w:sz w:val="15"/>
          <w:szCs w:val="15"/>
          <w:color w:val="77387A"/>
        </w:rPr>
      </w:pPr>
      <w:r>
        <w:rPr>
          <w:rFonts w:ascii="Arial" w:cs="Arial" w:eastAsia="Arial" w:hAnsi="Arial"/>
          <w:sz w:val="18"/>
          <w:szCs w:val="18"/>
          <w:color w:val="auto"/>
        </w:rPr>
        <w:t>Makes recommendations regarding the size, composition and charters of the Board’s committees;</w:t>
      </w:r>
    </w:p>
    <w:p>
      <w:pPr>
        <w:spacing w:after="0" w:line="130" w:lineRule="exact"/>
        <w:rPr>
          <w:rFonts w:ascii="Arial" w:cs="Arial" w:eastAsia="Arial" w:hAnsi="Arial"/>
          <w:sz w:val="15"/>
          <w:szCs w:val="15"/>
          <w:color w:val="77387A"/>
        </w:rPr>
      </w:pPr>
    </w:p>
    <w:p>
      <w:pPr>
        <w:ind w:left="540" w:hanging="316"/>
        <w:spacing w:after="0"/>
        <w:tabs>
          <w:tab w:leader="none" w:pos="540" w:val="left"/>
        </w:tabs>
        <w:numPr>
          <w:ilvl w:val="0"/>
          <w:numId w:val="27"/>
        </w:numPr>
        <w:rPr>
          <w:rFonts w:ascii="Arial" w:cs="Arial" w:eastAsia="Arial" w:hAnsi="Arial"/>
          <w:sz w:val="15"/>
          <w:szCs w:val="15"/>
          <w:color w:val="77387A"/>
        </w:rPr>
      </w:pPr>
      <w:r>
        <w:rPr>
          <w:rFonts w:ascii="Arial" w:cs="Arial" w:eastAsia="Arial" w:hAnsi="Arial"/>
          <w:sz w:val="18"/>
          <w:szCs w:val="18"/>
          <w:color w:val="auto"/>
        </w:rPr>
        <w:t>Reviews and develops long-range plans for CEO and management succession;</w:t>
      </w:r>
    </w:p>
    <w:p>
      <w:pPr>
        <w:spacing w:after="0" w:line="130" w:lineRule="exact"/>
        <w:rPr>
          <w:rFonts w:ascii="Arial" w:cs="Arial" w:eastAsia="Arial" w:hAnsi="Arial"/>
          <w:sz w:val="15"/>
          <w:szCs w:val="15"/>
          <w:color w:val="77387A"/>
        </w:rPr>
      </w:pPr>
    </w:p>
    <w:p>
      <w:pPr>
        <w:ind w:left="540" w:hanging="316"/>
        <w:spacing w:after="0"/>
        <w:tabs>
          <w:tab w:leader="none" w:pos="540" w:val="left"/>
        </w:tabs>
        <w:numPr>
          <w:ilvl w:val="0"/>
          <w:numId w:val="27"/>
        </w:numPr>
        <w:rPr>
          <w:rFonts w:ascii="Arial" w:cs="Arial" w:eastAsia="Arial" w:hAnsi="Arial"/>
          <w:sz w:val="15"/>
          <w:szCs w:val="15"/>
          <w:color w:val="77387A"/>
        </w:rPr>
      </w:pPr>
      <w:r>
        <w:rPr>
          <w:rFonts w:ascii="Arial" w:cs="Arial" w:eastAsia="Arial" w:hAnsi="Arial"/>
          <w:sz w:val="18"/>
          <w:szCs w:val="18"/>
          <w:color w:val="auto"/>
        </w:rPr>
        <w:t>Develops a set of corporate governance principles;</w:t>
      </w:r>
    </w:p>
    <w:p>
      <w:pPr>
        <w:spacing w:after="0" w:line="130" w:lineRule="exact"/>
        <w:rPr>
          <w:rFonts w:ascii="Arial" w:cs="Arial" w:eastAsia="Arial" w:hAnsi="Arial"/>
          <w:sz w:val="15"/>
          <w:szCs w:val="15"/>
          <w:color w:val="77387A"/>
        </w:rPr>
      </w:pPr>
    </w:p>
    <w:p>
      <w:pPr>
        <w:ind w:left="540" w:hanging="316"/>
        <w:spacing w:after="0"/>
        <w:tabs>
          <w:tab w:leader="none" w:pos="540" w:val="left"/>
        </w:tabs>
        <w:numPr>
          <w:ilvl w:val="0"/>
          <w:numId w:val="27"/>
        </w:numPr>
        <w:rPr>
          <w:rFonts w:ascii="Arial" w:cs="Arial" w:eastAsia="Arial" w:hAnsi="Arial"/>
          <w:sz w:val="15"/>
          <w:szCs w:val="15"/>
          <w:color w:val="77387A"/>
        </w:rPr>
      </w:pPr>
      <w:r>
        <w:rPr>
          <w:rFonts w:ascii="Arial" w:cs="Arial" w:eastAsia="Arial" w:hAnsi="Arial"/>
          <w:sz w:val="18"/>
          <w:szCs w:val="18"/>
          <w:color w:val="auto"/>
        </w:rPr>
        <w:t>Recommends an independent director to serve as non-executive Chair of the Board or as Lead Director; and</w:t>
      </w:r>
    </w:p>
    <w:p>
      <w:pPr>
        <w:spacing w:after="0" w:line="130" w:lineRule="exact"/>
        <w:rPr>
          <w:rFonts w:ascii="Arial" w:cs="Arial" w:eastAsia="Arial" w:hAnsi="Arial"/>
          <w:sz w:val="15"/>
          <w:szCs w:val="15"/>
          <w:color w:val="77387A"/>
        </w:rPr>
      </w:pPr>
    </w:p>
    <w:p>
      <w:pPr>
        <w:ind w:left="540" w:hanging="316"/>
        <w:spacing w:after="0"/>
        <w:tabs>
          <w:tab w:leader="none" w:pos="540" w:val="left"/>
        </w:tabs>
        <w:numPr>
          <w:ilvl w:val="0"/>
          <w:numId w:val="27"/>
        </w:numPr>
        <w:rPr>
          <w:rFonts w:ascii="Arial" w:cs="Arial" w:eastAsia="Arial" w:hAnsi="Arial"/>
          <w:sz w:val="15"/>
          <w:szCs w:val="15"/>
          <w:color w:val="77387A"/>
        </w:rPr>
      </w:pPr>
      <w:r>
        <w:rPr>
          <w:rFonts w:ascii="Arial" w:cs="Arial" w:eastAsia="Arial" w:hAnsi="Arial"/>
          <w:sz w:val="18"/>
          <w:szCs w:val="18"/>
          <w:color w:val="auto"/>
        </w:rPr>
        <w:t>Develops and oversees an annual self-evaluation process of the Board and its committees.</w:t>
      </w:r>
    </w:p>
    <w:p>
      <w:pPr>
        <w:spacing w:after="0" w:line="203"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483E65"/>
        </w:rPr>
        <w:t>Director Nominations Process</w:t>
      </w:r>
    </w:p>
    <w:p>
      <w:pPr>
        <w:spacing w:after="0" w:line="234" w:lineRule="exact"/>
        <w:rPr>
          <w:sz w:val="20"/>
          <w:szCs w:val="20"/>
          <w:color w:val="auto"/>
        </w:rPr>
      </w:pPr>
    </w:p>
    <w:p>
      <w:pPr>
        <w:jc w:val="both"/>
        <w:ind w:right="240"/>
        <w:spacing w:after="0"/>
        <w:rPr>
          <w:sz w:val="20"/>
          <w:szCs w:val="20"/>
          <w:color w:val="auto"/>
        </w:rPr>
      </w:pPr>
      <w:r>
        <w:rPr>
          <w:rFonts w:ascii="Arial" w:cs="Arial" w:eastAsia="Arial" w:hAnsi="Arial"/>
          <w:sz w:val="18"/>
          <w:szCs w:val="18"/>
          <w:color w:val="auto"/>
        </w:rPr>
        <w:t>The Nominating and Corporate Governance Committee utilizes a variety of methods for identifying and evaluating nominees for director. The Committee regularly assesses the Board’s current and projected strengths and needs by, among other things, reviewing the Board’s current profile, the criteria for board membership described in this proxy statement beginning on page 12 and our current and future needs.</w:t>
      </w:r>
    </w:p>
    <w:p>
      <w:pPr>
        <w:spacing w:after="0" w:line="203"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To the extent that vacancies on the Board are anticipated or otherwise arise, the Committee prepares a target candidate profile and develops an initial list of director candidates identified by the current members of the Board, business contacts, community leaders and members of management. The Committee may also retain a professional search firm to assist it in developing a list of qualified candidates. The Nominating and Corporate Governance Committee would also consider any stockholder recommendations for director nominees that are properly received. The Committee then screens and evaluates the resulting slate of director candidates to identify those individuals who best fit the target candidate profile and Board membership criteria and provides the Board with its recommendations. The Board then considers the recommendations and votes on whether to nominate the director candidate for election by the stockholders at the annual meeting or to appoint the director candidate to fill a vacancy on the Board.</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483E65"/>
        </w:rPr>
        <w:t>Stockholder Nominations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Any stockholder may nominate a person for election as a director by complying with the procedures set forth in our bylaws.</w:t>
      </w:r>
    </w:p>
    <w:p>
      <w:pPr>
        <w:spacing w:after="0" w:line="212"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Under Section 3.03 of our bylaws, in order for a stockholder to nominate a person for election as a director without inclusion in our Proxy Statement, such stockholder must give timely notice to our Corporate Secretary prior to the meeting at which directors are to be elected. To be timely, notice must be delivered to the Corporate Secretary not later than the close of business on the 90th day, nor earlier than the close of business on the 120th day, prior to the first anniversary of the preceding year’s annual meeting. If the date of the annual meeting is more than 30 days before or more than 70 days after such anniversary date, however, notice by the stockholder must be delivered not earlier than the close of business on the 120th day prior to such annual meeting and not later than the close of business on the 90th day prior to such annual meeting or the 10th day following the day on which we first publicly announce the date of such annual meeting, whichever occurs later.</w:t>
      </w:r>
    </w:p>
    <w:p>
      <w:pPr>
        <w:spacing w:after="0" w:line="119" w:lineRule="exact"/>
        <w:rPr>
          <w:sz w:val="20"/>
          <w:szCs w:val="20"/>
          <w:color w:val="auto"/>
        </w:rPr>
      </w:pPr>
    </w:p>
    <w:p>
      <w:pPr>
        <w:jc w:val="right"/>
        <w:spacing w:after="0"/>
        <w:tabs>
          <w:tab w:leader="none" w:pos="380" w:val="left"/>
          <w:tab w:leader="none" w:pos="160" w:val="left"/>
        </w:tabs>
        <w:rPr>
          <w:sz w:val="20"/>
          <w:szCs w:val="20"/>
          <w:color w:val="auto"/>
        </w:rPr>
      </w:pPr>
      <w:r>
        <w:rPr>
          <w:rFonts w:ascii="Arial" w:cs="Arial" w:eastAsia="Arial" w:hAnsi="Arial"/>
          <w:sz w:val="16"/>
          <w:szCs w:val="16"/>
          <w:b w:val="1"/>
          <w:bCs w:val="1"/>
          <w:color w:val="483E65"/>
        </w:rPr>
        <w:t>2017 Proxy Statement</w:t>
        <w:tab/>
        <w:t>|</w:t>
        <w:tab/>
        <w:t>17</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8" w:lineRule="exact"/>
        <w:rPr>
          <w:sz w:val="20"/>
          <w:szCs w:val="20"/>
          <w:color w:val="auto"/>
        </w:rPr>
      </w:pPr>
    </w:p>
    <w:p>
      <w:pPr>
        <w:spacing w:after="0"/>
        <w:rPr>
          <w:sz w:val="20"/>
          <w:szCs w:val="20"/>
          <w:color w:val="auto"/>
        </w:rPr>
      </w:pPr>
      <w:r>
        <w:rPr>
          <w:rFonts w:ascii="Arial" w:cs="Arial" w:eastAsia="Arial" w:hAnsi="Arial"/>
          <w:sz w:val="32"/>
          <w:szCs w:val="32"/>
          <w:color w:val="483E65"/>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149860</wp:posOffset>
            </wp:positionV>
            <wp:extent cx="724662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18" w:lineRule="exact"/>
        <w:rPr>
          <w:sz w:val="20"/>
          <w:szCs w:val="20"/>
          <w:color w:val="auto"/>
        </w:rPr>
      </w:pPr>
    </w:p>
    <w:p>
      <w:pPr>
        <w:ind w:right="40"/>
        <w:spacing w:after="0" w:line="234" w:lineRule="auto"/>
        <w:rPr>
          <w:sz w:val="20"/>
          <w:szCs w:val="20"/>
          <w:color w:val="auto"/>
        </w:rPr>
      </w:pPr>
      <w:r>
        <w:rPr>
          <w:rFonts w:ascii="Arial" w:cs="Arial" w:eastAsia="Arial" w:hAnsi="Arial"/>
          <w:sz w:val="18"/>
          <w:szCs w:val="18"/>
          <w:color w:val="auto"/>
        </w:rPr>
        <w:t>On April 12, 2016, our board adopted a proxy access bylaw. Under Section 3.03(c) of our bylaws, a stockholder or group of stockholders (up to 20) who have owned at least three percent of common stock for at least three years to submit director nominees, limited to the greater of</w:t>
      </w:r>
    </w:p>
    <w:p>
      <w:pPr>
        <w:spacing w:after="0" w:line="2" w:lineRule="exact"/>
        <w:rPr>
          <w:sz w:val="20"/>
          <w:szCs w:val="20"/>
          <w:color w:val="auto"/>
        </w:rPr>
      </w:pPr>
    </w:p>
    <w:p>
      <w:pPr>
        <w:ind w:firstLine="8"/>
        <w:spacing w:after="0" w:line="237" w:lineRule="auto"/>
        <w:tabs>
          <w:tab w:leader="none" w:pos="27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two or (b) 20% of the board, for inclusion in our proxy statement if the nominating stockholder(s) satisfies the requirements specified in the bylaws. To be timely, the notice must be delivered to the Corporate Secretary not later than the close of business on the 120</w:t>
      </w:r>
      <w:r>
        <w:rPr>
          <w:rFonts w:ascii="Arial" w:cs="Arial" w:eastAsia="Arial" w:hAnsi="Arial"/>
          <w:sz w:val="15"/>
          <w:szCs w:val="15"/>
          <w:color w:val="auto"/>
        </w:rPr>
        <w:t>th</w:t>
      </w:r>
      <w:r>
        <w:rPr>
          <w:rFonts w:ascii="Arial" w:cs="Arial" w:eastAsia="Arial" w:hAnsi="Arial"/>
          <w:sz w:val="18"/>
          <w:szCs w:val="18"/>
          <w:color w:val="auto"/>
        </w:rPr>
        <w:t xml:space="preserve"> day, nor earlier than the close of business on the 150</w:t>
      </w:r>
      <w:r>
        <w:rPr>
          <w:rFonts w:ascii="Arial" w:cs="Arial" w:eastAsia="Arial" w:hAnsi="Arial"/>
          <w:sz w:val="15"/>
          <w:szCs w:val="15"/>
          <w:color w:val="auto"/>
        </w:rPr>
        <w:t>th</w:t>
      </w:r>
      <w:r>
        <w:rPr>
          <w:rFonts w:ascii="Arial" w:cs="Arial" w:eastAsia="Arial" w:hAnsi="Arial"/>
          <w:sz w:val="18"/>
          <w:szCs w:val="18"/>
          <w:color w:val="auto"/>
        </w:rPr>
        <w:t xml:space="preserve"> day, prior to the first anniversary of the date that the proxy statement for the annual meeting was sent to stockholders. In the event, however, that the annual meeting is not scheduled to be held within a period that begins 30 days before the first anniversary date of the preceding year’s annual meeting of stockholders and ends 30 days after the first anniversary date of the preceding year’s annual meeting of stockholders, then the notice of nomination must be provided by the later of the close of business on the date that is 180 days prior to the annual meeting or the tenth day following the date such annual meeting is first publicly announced or disclosed.</w:t>
      </w:r>
    </w:p>
    <w:p>
      <w:pPr>
        <w:spacing w:after="0" w:line="203"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In each case, such stockholder’s notice must include certain information as provided in our bylaws about the nominee, the stockholder and the underlying beneficial owner, if any, including his or her name, age, address, occupation, shares, information about derivatives, hedges, short positions, understandings or agreements regarding the economic and voting interests of the nominee, the stockholder and related persons with respect to our stock, if any, and such other information as would be required to be disclosed in a proxy statement soliciting proxies for the election of the proposed nominee. In addition, the notice must contain certain information about the stockholder proposing to nominate that person. We may require any proposed nominee to furnish such other information as may reasonably be required to determine the eligibility of such proposed nominee to serve as a director. A stockholder’s notice must be updated, if necessary so that the information submitted is true and correct as of the record date for determining stockholders entitled to receive notice of the meeting.</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483E65"/>
        </w:rPr>
        <w:t>Mandatory Retirement Policy</w:t>
      </w:r>
    </w:p>
    <w:p>
      <w:pPr>
        <w:spacing w:after="0" w:line="234" w:lineRule="exact"/>
        <w:rPr>
          <w:sz w:val="20"/>
          <w:szCs w:val="20"/>
          <w:color w:val="auto"/>
        </w:rPr>
      </w:pPr>
    </w:p>
    <w:p>
      <w:pPr>
        <w:ind w:right="40"/>
        <w:spacing w:after="0"/>
        <w:rPr>
          <w:sz w:val="20"/>
          <w:szCs w:val="20"/>
          <w:color w:val="auto"/>
        </w:rPr>
      </w:pPr>
      <w:r>
        <w:rPr>
          <w:rFonts w:ascii="Arial" w:cs="Arial" w:eastAsia="Arial" w:hAnsi="Arial"/>
          <w:sz w:val="18"/>
          <w:szCs w:val="18"/>
          <w:color w:val="auto"/>
        </w:rPr>
        <w:t>The Board has adopted a mandatory retirement age of 75 for non-employee directors and 65 for employee directors. It is the general policy of the Nominating and Corporate Governance Committee not to nominate candidates for re-election at any annual stockholder meeting to be held after he or she has attained the applicable retirement age.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483E65"/>
        </w:rPr>
        <w:t>Director Compensation</w:t>
      </w:r>
    </w:p>
    <w:p>
      <w:pPr>
        <w:spacing w:after="0" w:line="234" w:lineRule="exact"/>
        <w:rPr>
          <w:sz w:val="20"/>
          <w:szCs w:val="20"/>
          <w:color w:val="auto"/>
        </w:rPr>
      </w:pPr>
    </w:p>
    <w:p>
      <w:pPr>
        <w:ind w:right="160"/>
        <w:spacing w:after="0" w:line="238" w:lineRule="auto"/>
        <w:rPr>
          <w:sz w:val="20"/>
          <w:szCs w:val="20"/>
          <w:color w:val="auto"/>
        </w:rPr>
      </w:pPr>
      <w:r>
        <w:rPr>
          <w:rFonts w:ascii="Arial" w:cs="Arial" w:eastAsia="Arial" w:hAnsi="Arial"/>
          <w:sz w:val="18"/>
          <w:szCs w:val="18"/>
          <w:color w:val="auto"/>
        </w:rPr>
        <w:t>The Board uses a combination of cash and stock-based incentives to attract and retain qualified candidates to serve as directors. In determining director compensation, the Board considers the significant amount of time required of our directors in fulfilling their duties, as well as the skill and expertise of our directors. The Human Resources and Compensation Committee periodically reviews director compensation with the assistance of independent compensation consultants and recommends to the Board the form and amount of compensation to be provided.</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compensation that we provide to our non-employee directors:</w:t>
      </w:r>
    </w:p>
    <w:p>
      <w:pPr>
        <w:spacing w:after="0" w:line="190"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483E65"/>
        </w:rPr>
        <w:t>Cash Compensation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directors receive a cash retainer for their service on the Board. For Fiscal 2016 our directors were paid an annual retainer of $50,000,</w:t>
      </w:r>
    </w:p>
    <w:p>
      <w:pPr>
        <w:spacing w:after="0" w:line="234" w:lineRule="auto"/>
        <w:rPr>
          <w:sz w:val="20"/>
          <w:szCs w:val="20"/>
          <w:color w:val="auto"/>
        </w:rPr>
      </w:pPr>
      <w:r>
        <w:rPr>
          <w:rFonts w:ascii="Arial" w:cs="Arial" w:eastAsia="Arial" w:hAnsi="Arial"/>
          <w:sz w:val="18"/>
          <w:szCs w:val="18"/>
          <w:color w:val="auto"/>
        </w:rPr>
        <w:t>except that our new directors, Mr. Dahlberg, Dr. Mohapatra, and Ms. Stalnecker, joined the board in August 2016 and so were each paid a</w:t>
      </w:r>
    </w:p>
    <w:p>
      <w:pPr>
        <w:spacing w:after="0" w:line="235" w:lineRule="auto"/>
        <w:rPr>
          <w:sz w:val="20"/>
          <w:szCs w:val="20"/>
          <w:color w:val="auto"/>
        </w:rPr>
      </w:pPr>
      <w:r>
        <w:rPr>
          <w:rFonts w:ascii="Arial" w:cs="Arial" w:eastAsia="Arial" w:hAnsi="Arial"/>
          <w:sz w:val="18"/>
          <w:szCs w:val="18"/>
          <w:color w:val="auto"/>
        </w:rPr>
        <w:t>pro-rata portion of the annual retainer in the amount of $12,500. The Chairs of the Audit Committee and the Human Resources and</w:t>
      </w:r>
    </w:p>
    <w:p>
      <w:pPr>
        <w:spacing w:after="0" w:line="235" w:lineRule="auto"/>
        <w:rPr>
          <w:sz w:val="20"/>
          <w:szCs w:val="20"/>
          <w:color w:val="auto"/>
        </w:rPr>
      </w:pPr>
      <w:r>
        <w:rPr>
          <w:rFonts w:ascii="Arial" w:cs="Arial" w:eastAsia="Arial" w:hAnsi="Arial"/>
          <w:sz w:val="18"/>
          <w:szCs w:val="18"/>
          <w:color w:val="auto"/>
        </w:rPr>
        <w:t>Compensation Committee were paid an additional retainer of $20,000 and $15,000 respectively. The chair of each other committee of the</w:t>
      </w:r>
    </w:p>
    <w:p>
      <w:pPr>
        <w:spacing w:after="0" w:line="235" w:lineRule="auto"/>
        <w:rPr>
          <w:sz w:val="20"/>
          <w:szCs w:val="20"/>
          <w:color w:val="auto"/>
        </w:rPr>
      </w:pPr>
      <w:r>
        <w:rPr>
          <w:rFonts w:ascii="Arial" w:cs="Arial" w:eastAsia="Arial" w:hAnsi="Arial"/>
          <w:sz w:val="18"/>
          <w:szCs w:val="18"/>
          <w:color w:val="auto"/>
        </w:rPr>
        <w:t>Board was paid an additional annual retainer of $10,000. The independent Lead Director also receives an additional annual retainer of</w:t>
      </w:r>
    </w:p>
    <w:p>
      <w:pPr>
        <w:spacing w:after="0" w:line="235" w:lineRule="auto"/>
        <w:rPr>
          <w:sz w:val="20"/>
          <w:szCs w:val="20"/>
          <w:color w:val="auto"/>
        </w:rPr>
      </w:pPr>
      <w:r>
        <w:rPr>
          <w:rFonts w:ascii="Arial" w:cs="Arial" w:eastAsia="Arial" w:hAnsi="Arial"/>
          <w:sz w:val="18"/>
          <w:szCs w:val="18"/>
          <w:color w:val="auto"/>
        </w:rPr>
        <w:t>$25,000. In addition to the cash retainers, non-employee directors also received $2,000 for each meeting of the Board and committee they</w:t>
      </w:r>
    </w:p>
    <w:p>
      <w:pPr>
        <w:spacing w:after="0"/>
        <w:rPr>
          <w:sz w:val="20"/>
          <w:szCs w:val="20"/>
          <w:color w:val="auto"/>
        </w:rPr>
      </w:pPr>
      <w:r>
        <w:rPr>
          <w:rFonts w:ascii="Arial" w:cs="Arial" w:eastAsia="Arial" w:hAnsi="Arial"/>
          <w:sz w:val="18"/>
          <w:szCs w:val="18"/>
          <w:color w:val="auto"/>
        </w:rPr>
        <w:t>attended. We also reimburse our directors for expenses incurred while attending meetings or otherwise performing services as a director.</w:t>
      </w:r>
    </w:p>
    <w:p>
      <w:pPr>
        <w:spacing w:after="0" w:line="190"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483E65"/>
        </w:rPr>
        <w:t>Equity Compensation</w:t>
      </w:r>
    </w:p>
    <w:p>
      <w:pPr>
        <w:spacing w:after="0" w:line="234" w:lineRule="exact"/>
        <w:rPr>
          <w:sz w:val="20"/>
          <w:szCs w:val="20"/>
          <w:color w:val="auto"/>
        </w:rPr>
      </w:pPr>
    </w:p>
    <w:p>
      <w:pPr>
        <w:ind w:right="40"/>
        <w:spacing w:after="0" w:line="246" w:lineRule="auto"/>
        <w:rPr>
          <w:sz w:val="20"/>
          <w:szCs w:val="20"/>
          <w:color w:val="auto"/>
        </w:rPr>
      </w:pPr>
      <w:r>
        <w:rPr>
          <w:rFonts w:ascii="Arial" w:cs="Arial" w:eastAsia="Arial" w:hAnsi="Arial"/>
          <w:sz w:val="18"/>
          <w:szCs w:val="18"/>
          <w:color w:val="auto"/>
        </w:rPr>
        <w:t>Directors receive annual equity awards under our equity incentive plan. For Fiscal 2016, each of our directors received equity awards valued at approximately $150,000, of which two-thirds was in the form of restricted stock units and one-third</w:t>
      </w:r>
    </w:p>
    <w:p>
      <w:pPr>
        <w:spacing w:after="0" w:line="112" w:lineRule="exact"/>
        <w:rPr>
          <w:sz w:val="20"/>
          <w:szCs w:val="20"/>
          <w:color w:val="auto"/>
        </w:rPr>
      </w:pPr>
    </w:p>
    <w:p>
      <w:pPr>
        <w:spacing w:after="0"/>
        <w:tabs>
          <w:tab w:leader="none" w:pos="340" w:val="left"/>
          <w:tab w:leader="none" w:pos="580" w:val="left"/>
        </w:tabs>
        <w:rPr>
          <w:sz w:val="20"/>
          <w:szCs w:val="20"/>
          <w:color w:val="auto"/>
        </w:rPr>
      </w:pPr>
      <w:r>
        <w:rPr>
          <w:rFonts w:ascii="Arial" w:cs="Arial" w:eastAsia="Arial" w:hAnsi="Arial"/>
          <w:sz w:val="16"/>
          <w:szCs w:val="16"/>
          <w:b w:val="1"/>
          <w:bCs w:val="1"/>
          <w:color w:val="483E65"/>
        </w:rPr>
        <w:t>18</w:t>
        <w:tab/>
        <w:t>|</w:t>
        <w:tab/>
        <w:t>2017 Proxy Statement</w:t>
      </w:r>
    </w:p>
    <w:p>
      <w:pPr>
        <w:sectPr>
          <w:pgSz w:w="11900" w:h="16838" w:orient="portrait"/>
          <w:cols w:equalWidth="0" w:num="1">
            <w:col w:w="11400"/>
          </w:cols>
          <w:pgMar w:left="240" w:top="45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8" w:lineRule="exact"/>
        <w:rPr>
          <w:sz w:val="20"/>
          <w:szCs w:val="20"/>
          <w:color w:val="auto"/>
        </w:rPr>
      </w:pPr>
    </w:p>
    <w:p>
      <w:pPr>
        <w:spacing w:after="0"/>
        <w:rPr>
          <w:sz w:val="20"/>
          <w:szCs w:val="20"/>
          <w:color w:val="auto"/>
        </w:rPr>
      </w:pPr>
      <w:r>
        <w:rPr>
          <w:rFonts w:ascii="Arial" w:cs="Arial" w:eastAsia="Arial" w:hAnsi="Arial"/>
          <w:sz w:val="32"/>
          <w:szCs w:val="32"/>
          <w:color w:val="483E65"/>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149860</wp:posOffset>
            </wp:positionV>
            <wp:extent cx="724662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18" w:lineRule="exact"/>
        <w:rPr>
          <w:sz w:val="20"/>
          <w:szCs w:val="20"/>
          <w:color w:val="auto"/>
        </w:rPr>
      </w:pPr>
    </w:p>
    <w:p>
      <w:pPr>
        <w:ind w:right="280"/>
        <w:spacing w:after="0"/>
        <w:rPr>
          <w:sz w:val="20"/>
          <w:szCs w:val="20"/>
          <w:color w:val="auto"/>
        </w:rPr>
      </w:pPr>
      <w:r>
        <w:rPr>
          <w:rFonts w:ascii="Arial" w:cs="Arial" w:eastAsia="Arial" w:hAnsi="Arial"/>
          <w:sz w:val="18"/>
          <w:szCs w:val="18"/>
          <w:color w:val="auto"/>
        </w:rPr>
        <w:t>was in the form of stock options. These equity awards vest on the earlier of one year from the date of grant or on the date of the next annual meeting of stockholders following the date of grant. If a director retires due to our mandatory retirement policy, the director’s equity awards continue to vest as scheduled and options remain exercisable for the remainder of the option term.</w:t>
      </w:r>
    </w:p>
    <w:p>
      <w:pPr>
        <w:spacing w:after="0" w:line="181"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483E65"/>
        </w:rPr>
        <w:t>Deferral Plans</w:t>
      </w:r>
    </w:p>
    <w:p>
      <w:pPr>
        <w:spacing w:after="0" w:line="234" w:lineRule="exact"/>
        <w:rPr>
          <w:sz w:val="20"/>
          <w:szCs w:val="20"/>
          <w:color w:val="auto"/>
        </w:rPr>
      </w:pPr>
    </w:p>
    <w:p>
      <w:pPr>
        <w:ind w:right="60"/>
        <w:spacing w:after="0"/>
        <w:rPr>
          <w:sz w:val="20"/>
          <w:szCs w:val="20"/>
          <w:color w:val="auto"/>
        </w:rPr>
      </w:pPr>
      <w:r>
        <w:rPr>
          <w:rFonts w:ascii="Arial" w:cs="Arial" w:eastAsia="Arial" w:hAnsi="Arial"/>
          <w:sz w:val="18"/>
          <w:szCs w:val="18"/>
          <w:color w:val="auto"/>
        </w:rPr>
        <w:t>The directors are eligible to defer all or any portion of their cash retainers or fees or certain equity compensation into our Keystaff Deferral Plan or Key Executive Stock Deferral Plan, or both. These plans are described in further detail under the caption “Executive Compensation— Nonqualified Deferred Compensation” below.</w:t>
      </w:r>
    </w:p>
    <w:p>
      <w:pPr>
        <w:spacing w:after="0" w:line="181"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483E65"/>
        </w:rPr>
        <w:t>Stock Ownership Guidelines and Policies</w:t>
      </w:r>
    </w:p>
    <w:p>
      <w:pPr>
        <w:spacing w:after="0" w:line="234"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The Board believes that its members should acquire and hold shares of our stock in an amount that is meaningful and appropriate. To encourage directors to have a material investment in our stock, the Board has adopted stock ownership guidelines that call for directors to hold shares of our stock with a value of at least five times the amount of the annual cash retainer within three years of joining the Board. All of our directors met this requirement in Fiscal 2016. In addition to these ownership guidelines, our directors are also subject to policies that prohibit certain short-term or speculative transactions in our securities that we believe carry a greater risk of liability for insider trading violations or may create an appearance of impropriety. Our policy requires directors to obtain preclearance from our General Counsel for all transactions in our securities.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information regarding the compensation paid to our directors for service in Fiscal 2016.</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40" w:type="dxa"/>
            <w:vAlign w:val="bottom"/>
          </w:tcPr>
          <w:p>
            <w:pPr>
              <w:spacing w:after="0"/>
              <w:rPr>
                <w:sz w:val="17"/>
                <w:szCs w:val="17"/>
                <w:color w:val="auto"/>
              </w:rPr>
            </w:pPr>
          </w:p>
        </w:tc>
        <w:tc>
          <w:tcPr>
            <w:tcW w:w="2940" w:type="dxa"/>
            <w:vAlign w:val="bottom"/>
          </w:tcPr>
          <w:p>
            <w:pPr>
              <w:jc w:val="right"/>
              <w:ind w:right="270"/>
              <w:spacing w:after="0"/>
              <w:rPr>
                <w:sz w:val="20"/>
                <w:szCs w:val="20"/>
                <w:color w:val="auto"/>
              </w:rPr>
            </w:pPr>
            <w:r>
              <w:rPr>
                <w:rFonts w:ascii="Arial" w:cs="Arial" w:eastAsia="Arial" w:hAnsi="Arial"/>
                <w:sz w:val="18"/>
                <w:szCs w:val="18"/>
                <w:color w:val="483E65"/>
              </w:rPr>
              <w:t>Fees earned or</w:t>
            </w:r>
          </w:p>
        </w:tc>
        <w:tc>
          <w:tcPr>
            <w:tcW w:w="202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3240" w:type="dxa"/>
            <w:vAlign w:val="bottom"/>
            <w:vMerge w:val="restart"/>
          </w:tcPr>
          <w:p>
            <w:pPr>
              <w:ind w:left="200"/>
              <w:spacing w:after="0"/>
              <w:rPr>
                <w:sz w:val="20"/>
                <w:szCs w:val="20"/>
                <w:color w:val="auto"/>
              </w:rPr>
            </w:pPr>
            <w:r>
              <w:rPr>
                <w:rFonts w:ascii="Arial" w:cs="Arial" w:eastAsia="Arial" w:hAnsi="Arial"/>
                <w:sz w:val="18"/>
                <w:szCs w:val="18"/>
                <w:color w:val="483E65"/>
              </w:rPr>
              <w:t>Name</w:t>
            </w:r>
            <w:r>
              <w:rPr>
                <w:rFonts w:ascii="Arial" w:cs="Arial" w:eastAsia="Arial" w:hAnsi="Arial"/>
                <w:sz w:val="15"/>
                <w:szCs w:val="15"/>
                <w:color w:val="483E65"/>
              </w:rPr>
              <w:t>(1)</w:t>
            </w:r>
          </w:p>
        </w:tc>
        <w:tc>
          <w:tcPr>
            <w:tcW w:w="2940" w:type="dxa"/>
            <w:vAlign w:val="bottom"/>
          </w:tcPr>
          <w:p>
            <w:pPr>
              <w:jc w:val="right"/>
              <w:ind w:right="110"/>
              <w:spacing w:after="0"/>
              <w:rPr>
                <w:sz w:val="20"/>
                <w:szCs w:val="20"/>
                <w:color w:val="auto"/>
              </w:rPr>
            </w:pPr>
            <w:r>
              <w:rPr>
                <w:rFonts w:ascii="Arial" w:cs="Arial" w:eastAsia="Arial" w:hAnsi="Arial"/>
                <w:sz w:val="18"/>
                <w:szCs w:val="18"/>
                <w:color w:val="483E65"/>
              </w:rPr>
              <w:t xml:space="preserve">paid in cash ($) </w:t>
            </w:r>
            <w:r>
              <w:rPr>
                <w:rFonts w:ascii="Arial" w:cs="Arial" w:eastAsia="Arial" w:hAnsi="Arial"/>
                <w:sz w:val="15"/>
                <w:szCs w:val="15"/>
                <w:color w:val="483E65"/>
              </w:rPr>
              <w:t>(3)</w:t>
            </w:r>
          </w:p>
        </w:tc>
        <w:tc>
          <w:tcPr>
            <w:tcW w:w="2020" w:type="dxa"/>
            <w:vAlign w:val="bottom"/>
            <w:vMerge w:val="restart"/>
          </w:tcPr>
          <w:p>
            <w:pPr>
              <w:jc w:val="right"/>
              <w:ind w:right="150"/>
              <w:spacing w:after="0"/>
              <w:rPr>
                <w:sz w:val="20"/>
                <w:szCs w:val="20"/>
                <w:color w:val="auto"/>
              </w:rPr>
            </w:pPr>
            <w:r>
              <w:rPr>
                <w:rFonts w:ascii="Arial" w:cs="Arial" w:eastAsia="Arial" w:hAnsi="Arial"/>
                <w:sz w:val="18"/>
                <w:szCs w:val="18"/>
                <w:color w:val="483E65"/>
              </w:rPr>
              <w:t xml:space="preserve">Stock awards ($) </w:t>
            </w:r>
            <w:r>
              <w:rPr>
                <w:rFonts w:ascii="Arial" w:cs="Arial" w:eastAsia="Arial" w:hAnsi="Arial"/>
                <w:sz w:val="15"/>
                <w:szCs w:val="15"/>
                <w:color w:val="483E65"/>
              </w:rPr>
              <w:t>(4)</w:t>
            </w:r>
          </w:p>
        </w:tc>
        <w:tc>
          <w:tcPr>
            <w:tcW w:w="2100" w:type="dxa"/>
            <w:vAlign w:val="bottom"/>
          </w:tcPr>
          <w:p>
            <w:pPr>
              <w:jc w:val="right"/>
              <w:ind w:right="90"/>
              <w:spacing w:after="0"/>
              <w:rPr>
                <w:sz w:val="20"/>
                <w:szCs w:val="20"/>
                <w:color w:val="auto"/>
              </w:rPr>
            </w:pPr>
            <w:r>
              <w:rPr>
                <w:rFonts w:ascii="Arial" w:cs="Arial" w:eastAsia="Arial" w:hAnsi="Arial"/>
                <w:sz w:val="18"/>
                <w:szCs w:val="18"/>
                <w:color w:val="483E65"/>
              </w:rPr>
              <w:t xml:space="preserve">Option awards ($) </w:t>
            </w:r>
            <w:r>
              <w:rPr>
                <w:rFonts w:ascii="Arial" w:cs="Arial" w:eastAsia="Arial" w:hAnsi="Arial"/>
                <w:sz w:val="15"/>
                <w:szCs w:val="15"/>
                <w:color w:val="483E65"/>
              </w:rPr>
              <w:t>(5)</w:t>
            </w:r>
          </w:p>
        </w:tc>
        <w:tc>
          <w:tcPr>
            <w:tcW w:w="1120" w:type="dxa"/>
            <w:vAlign w:val="bottom"/>
            <w:vMerge w:val="restart"/>
          </w:tcPr>
          <w:p>
            <w:pPr>
              <w:jc w:val="right"/>
              <w:ind w:right="110"/>
              <w:spacing w:after="0"/>
              <w:rPr>
                <w:sz w:val="20"/>
                <w:szCs w:val="20"/>
                <w:color w:val="auto"/>
              </w:rPr>
            </w:pPr>
            <w:r>
              <w:rPr>
                <w:rFonts w:ascii="Arial" w:cs="Arial" w:eastAsia="Arial" w:hAnsi="Arial"/>
                <w:sz w:val="18"/>
                <w:szCs w:val="18"/>
                <w:color w:val="483E65"/>
              </w:rPr>
              <w:t>Total ($)</w:t>
            </w:r>
          </w:p>
        </w:tc>
        <w:tc>
          <w:tcPr>
            <w:tcW w:w="0" w:type="dxa"/>
            <w:vAlign w:val="bottom"/>
          </w:tcPr>
          <w:p>
            <w:pPr>
              <w:spacing w:after="0"/>
              <w:rPr>
                <w:sz w:val="1"/>
                <w:szCs w:val="1"/>
                <w:color w:val="auto"/>
              </w:rPr>
            </w:pPr>
          </w:p>
        </w:tc>
      </w:tr>
      <w:tr>
        <w:trPr>
          <w:trHeight w:val="203"/>
        </w:trPr>
        <w:tc>
          <w:tcPr>
            <w:tcW w:w="3240" w:type="dxa"/>
            <w:vAlign w:val="bottom"/>
            <w:vMerge w:val="continue"/>
          </w:tcPr>
          <w:p>
            <w:pPr>
              <w:spacing w:after="0"/>
              <w:rPr>
                <w:sz w:val="17"/>
                <w:szCs w:val="17"/>
                <w:color w:val="auto"/>
              </w:rPr>
            </w:pPr>
          </w:p>
        </w:tc>
        <w:tc>
          <w:tcPr>
            <w:tcW w:w="2940" w:type="dxa"/>
            <w:vAlign w:val="bottom"/>
          </w:tcPr>
          <w:p>
            <w:pPr>
              <w:spacing w:after="0"/>
              <w:rPr>
                <w:sz w:val="17"/>
                <w:szCs w:val="17"/>
                <w:color w:val="auto"/>
              </w:rPr>
            </w:pPr>
          </w:p>
        </w:tc>
        <w:tc>
          <w:tcPr>
            <w:tcW w:w="2020" w:type="dxa"/>
            <w:vAlign w:val="bottom"/>
            <w:vMerge w:val="continue"/>
          </w:tcPr>
          <w:p>
            <w:pPr>
              <w:spacing w:after="0"/>
              <w:rPr>
                <w:sz w:val="17"/>
                <w:szCs w:val="17"/>
                <w:color w:val="auto"/>
              </w:rPr>
            </w:pPr>
          </w:p>
        </w:tc>
        <w:tc>
          <w:tcPr>
            <w:tcW w:w="2100" w:type="dxa"/>
            <w:vAlign w:val="bottom"/>
          </w:tcPr>
          <w:p>
            <w:pPr>
              <w:spacing w:after="0"/>
              <w:rPr>
                <w:sz w:val="17"/>
                <w:szCs w:val="17"/>
                <w:color w:val="auto"/>
              </w:rPr>
            </w:pPr>
          </w:p>
        </w:tc>
        <w:tc>
          <w:tcPr>
            <w:tcW w:w="11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41"/>
        </w:trPr>
        <w:tc>
          <w:tcPr>
            <w:tcW w:w="3240" w:type="dxa"/>
            <w:vAlign w:val="bottom"/>
            <w:tcBorders>
              <w:bottom w:val="single" w:sz="8" w:color="483E65"/>
            </w:tcBorders>
          </w:tcPr>
          <w:p>
            <w:pPr>
              <w:spacing w:after="0"/>
              <w:rPr>
                <w:sz w:val="3"/>
                <w:szCs w:val="3"/>
                <w:color w:val="auto"/>
              </w:rPr>
            </w:pPr>
          </w:p>
        </w:tc>
        <w:tc>
          <w:tcPr>
            <w:tcW w:w="2940" w:type="dxa"/>
            <w:vAlign w:val="bottom"/>
            <w:tcBorders>
              <w:bottom w:val="single" w:sz="8" w:color="483E65"/>
            </w:tcBorders>
          </w:tcPr>
          <w:p>
            <w:pPr>
              <w:spacing w:after="0"/>
              <w:rPr>
                <w:sz w:val="3"/>
                <w:szCs w:val="3"/>
                <w:color w:val="auto"/>
              </w:rPr>
            </w:pPr>
          </w:p>
        </w:tc>
        <w:tc>
          <w:tcPr>
            <w:tcW w:w="2020" w:type="dxa"/>
            <w:vAlign w:val="bottom"/>
            <w:tcBorders>
              <w:bottom w:val="single" w:sz="8" w:color="483E65"/>
            </w:tcBorders>
          </w:tcPr>
          <w:p>
            <w:pPr>
              <w:spacing w:after="0"/>
              <w:rPr>
                <w:sz w:val="3"/>
                <w:szCs w:val="3"/>
                <w:color w:val="auto"/>
              </w:rPr>
            </w:pPr>
          </w:p>
        </w:tc>
        <w:tc>
          <w:tcPr>
            <w:tcW w:w="2100" w:type="dxa"/>
            <w:vAlign w:val="bottom"/>
            <w:tcBorders>
              <w:bottom w:val="single" w:sz="8" w:color="483E65"/>
            </w:tcBorders>
          </w:tcPr>
          <w:p>
            <w:pPr>
              <w:spacing w:after="0"/>
              <w:rPr>
                <w:sz w:val="3"/>
                <w:szCs w:val="3"/>
                <w:color w:val="auto"/>
              </w:rPr>
            </w:pPr>
          </w:p>
        </w:tc>
        <w:tc>
          <w:tcPr>
            <w:tcW w:w="1120" w:type="dxa"/>
            <w:vAlign w:val="bottom"/>
            <w:tcBorders>
              <w:bottom w:val="single" w:sz="8" w:color="483E65"/>
            </w:tcBorders>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3240" w:type="dxa"/>
            <w:vAlign w:val="bottom"/>
          </w:tcPr>
          <w:p>
            <w:pPr>
              <w:ind w:left="100"/>
              <w:spacing w:after="0" w:line="196" w:lineRule="exact"/>
              <w:rPr>
                <w:sz w:val="20"/>
                <w:szCs w:val="20"/>
                <w:color w:val="auto"/>
              </w:rPr>
            </w:pPr>
            <w:r>
              <w:rPr>
                <w:rFonts w:ascii="Arial" w:cs="Arial" w:eastAsia="Arial" w:hAnsi="Arial"/>
                <w:sz w:val="18"/>
                <w:szCs w:val="18"/>
                <w:color w:val="auto"/>
              </w:rPr>
              <w:t>Gregory R. Dahlberg</w:t>
            </w:r>
          </w:p>
        </w:tc>
        <w:tc>
          <w:tcPr>
            <w:tcW w:w="2940" w:type="dxa"/>
            <w:vAlign w:val="bottom"/>
          </w:tcPr>
          <w:p>
            <w:pPr>
              <w:jc w:val="right"/>
              <w:ind w:right="630"/>
              <w:spacing w:after="0" w:line="196" w:lineRule="exact"/>
              <w:rPr>
                <w:sz w:val="20"/>
                <w:szCs w:val="20"/>
                <w:color w:val="auto"/>
              </w:rPr>
            </w:pPr>
            <w:r>
              <w:rPr>
                <w:rFonts w:ascii="Arial" w:cs="Arial" w:eastAsia="Arial" w:hAnsi="Arial"/>
                <w:sz w:val="18"/>
                <w:szCs w:val="18"/>
                <w:color w:val="auto"/>
              </w:rPr>
              <w:t>24,500</w:t>
            </w:r>
          </w:p>
        </w:tc>
        <w:tc>
          <w:tcPr>
            <w:tcW w:w="2020" w:type="dxa"/>
            <w:vAlign w:val="bottom"/>
          </w:tcPr>
          <w:p>
            <w:pPr>
              <w:jc w:val="right"/>
              <w:ind w:right="650"/>
              <w:spacing w:after="0" w:line="196" w:lineRule="exact"/>
              <w:rPr>
                <w:sz w:val="20"/>
                <w:szCs w:val="20"/>
                <w:color w:val="auto"/>
              </w:rPr>
            </w:pPr>
            <w:r>
              <w:rPr>
                <w:rFonts w:ascii="Arial" w:cs="Arial" w:eastAsia="Arial" w:hAnsi="Arial"/>
                <w:sz w:val="18"/>
                <w:szCs w:val="18"/>
                <w:color w:val="auto"/>
              </w:rPr>
              <w:t>100,004</w:t>
            </w:r>
          </w:p>
        </w:tc>
        <w:tc>
          <w:tcPr>
            <w:tcW w:w="2100" w:type="dxa"/>
            <w:vAlign w:val="bottom"/>
          </w:tcPr>
          <w:p>
            <w:pPr>
              <w:jc w:val="right"/>
              <w:ind w:right="750"/>
              <w:spacing w:after="0" w:line="196" w:lineRule="exact"/>
              <w:rPr>
                <w:sz w:val="20"/>
                <w:szCs w:val="20"/>
                <w:color w:val="auto"/>
              </w:rPr>
            </w:pPr>
            <w:r>
              <w:rPr>
                <w:rFonts w:ascii="Arial" w:cs="Arial" w:eastAsia="Arial" w:hAnsi="Arial"/>
                <w:sz w:val="18"/>
                <w:szCs w:val="18"/>
                <w:color w:val="auto"/>
              </w:rPr>
              <w:t>50,372</w:t>
            </w:r>
          </w:p>
        </w:tc>
        <w:tc>
          <w:tcPr>
            <w:tcW w:w="1120" w:type="dxa"/>
            <w:vAlign w:val="bottom"/>
          </w:tcPr>
          <w:p>
            <w:pPr>
              <w:jc w:val="right"/>
              <w:ind w:right="190"/>
              <w:spacing w:after="0" w:line="196" w:lineRule="exact"/>
              <w:rPr>
                <w:sz w:val="20"/>
                <w:szCs w:val="20"/>
                <w:color w:val="auto"/>
              </w:rPr>
            </w:pPr>
            <w:r>
              <w:rPr>
                <w:rFonts w:ascii="Arial" w:cs="Arial" w:eastAsia="Arial" w:hAnsi="Arial"/>
                <w:sz w:val="18"/>
                <w:szCs w:val="18"/>
                <w:color w:val="auto"/>
              </w:rPr>
              <w:t>174,876</w:t>
            </w:r>
          </w:p>
        </w:tc>
        <w:tc>
          <w:tcPr>
            <w:tcW w:w="0" w:type="dxa"/>
            <w:vAlign w:val="bottom"/>
          </w:tcPr>
          <w:p>
            <w:pPr>
              <w:spacing w:after="0"/>
              <w:rPr>
                <w:sz w:val="1"/>
                <w:szCs w:val="1"/>
                <w:color w:val="auto"/>
              </w:rPr>
            </w:pPr>
          </w:p>
        </w:tc>
      </w:tr>
      <w:tr>
        <w:trPr>
          <w:trHeight w:val="203"/>
        </w:trPr>
        <w:tc>
          <w:tcPr>
            <w:tcW w:w="3240" w:type="dxa"/>
            <w:vAlign w:val="bottom"/>
            <w:shd w:val="clear" w:color="auto" w:fill="ACABA7"/>
          </w:tcPr>
          <w:p>
            <w:pPr>
              <w:ind w:left="100"/>
              <w:spacing w:after="0" w:line="202" w:lineRule="exact"/>
              <w:rPr>
                <w:sz w:val="20"/>
                <w:szCs w:val="20"/>
                <w:color w:val="auto"/>
              </w:rPr>
            </w:pPr>
            <w:r>
              <w:rPr>
                <w:rFonts w:ascii="Arial" w:cs="Arial" w:eastAsia="Arial" w:hAnsi="Arial"/>
                <w:sz w:val="18"/>
                <w:szCs w:val="18"/>
                <w:color w:val="auto"/>
              </w:rPr>
              <w:t>David G. Fubini</w:t>
            </w:r>
          </w:p>
        </w:tc>
        <w:tc>
          <w:tcPr>
            <w:tcW w:w="2940" w:type="dxa"/>
            <w:vAlign w:val="bottom"/>
            <w:shd w:val="clear" w:color="auto" w:fill="ACABA7"/>
          </w:tcPr>
          <w:p>
            <w:pPr>
              <w:jc w:val="right"/>
              <w:ind w:right="630"/>
              <w:spacing w:after="0" w:line="202" w:lineRule="exact"/>
              <w:rPr>
                <w:sz w:val="20"/>
                <w:szCs w:val="20"/>
                <w:color w:val="auto"/>
              </w:rPr>
            </w:pPr>
            <w:r>
              <w:rPr>
                <w:rFonts w:ascii="Arial" w:cs="Arial" w:eastAsia="Arial" w:hAnsi="Arial"/>
                <w:sz w:val="18"/>
                <w:szCs w:val="18"/>
                <w:color w:val="auto"/>
              </w:rPr>
              <w:t>84,000</w:t>
            </w:r>
          </w:p>
        </w:tc>
        <w:tc>
          <w:tcPr>
            <w:tcW w:w="2020" w:type="dxa"/>
            <w:vAlign w:val="bottom"/>
            <w:shd w:val="clear" w:color="auto" w:fill="ACABA7"/>
          </w:tcPr>
          <w:p>
            <w:pPr>
              <w:jc w:val="right"/>
              <w:ind w:right="650"/>
              <w:spacing w:after="0" w:line="202" w:lineRule="exact"/>
              <w:rPr>
                <w:sz w:val="20"/>
                <w:szCs w:val="20"/>
                <w:color w:val="auto"/>
              </w:rPr>
            </w:pPr>
            <w:r>
              <w:rPr>
                <w:rFonts w:ascii="Arial" w:cs="Arial" w:eastAsia="Arial" w:hAnsi="Arial"/>
                <w:sz w:val="18"/>
                <w:szCs w:val="18"/>
                <w:color w:val="auto"/>
              </w:rPr>
              <w:t>100,004</w:t>
            </w:r>
          </w:p>
        </w:tc>
        <w:tc>
          <w:tcPr>
            <w:tcW w:w="2100" w:type="dxa"/>
            <w:vAlign w:val="bottom"/>
            <w:shd w:val="clear" w:color="auto" w:fill="ACABA7"/>
          </w:tcPr>
          <w:p>
            <w:pPr>
              <w:jc w:val="right"/>
              <w:ind w:right="750"/>
              <w:spacing w:after="0" w:line="202" w:lineRule="exact"/>
              <w:rPr>
                <w:sz w:val="20"/>
                <w:szCs w:val="20"/>
                <w:color w:val="auto"/>
              </w:rPr>
            </w:pPr>
            <w:r>
              <w:rPr>
                <w:rFonts w:ascii="Arial" w:cs="Arial" w:eastAsia="Arial" w:hAnsi="Arial"/>
                <w:sz w:val="18"/>
                <w:szCs w:val="18"/>
                <w:color w:val="auto"/>
              </w:rPr>
              <w:t>50,372</w:t>
            </w:r>
          </w:p>
        </w:tc>
        <w:tc>
          <w:tcPr>
            <w:tcW w:w="1120" w:type="dxa"/>
            <w:vAlign w:val="bottom"/>
            <w:shd w:val="clear" w:color="auto" w:fill="ACABA7"/>
          </w:tcPr>
          <w:p>
            <w:pPr>
              <w:jc w:val="right"/>
              <w:ind w:right="190"/>
              <w:spacing w:after="0" w:line="202" w:lineRule="exact"/>
              <w:rPr>
                <w:sz w:val="20"/>
                <w:szCs w:val="20"/>
                <w:color w:val="auto"/>
              </w:rPr>
            </w:pPr>
            <w:r>
              <w:rPr>
                <w:rFonts w:ascii="Arial" w:cs="Arial" w:eastAsia="Arial" w:hAnsi="Arial"/>
                <w:sz w:val="18"/>
                <w:szCs w:val="18"/>
                <w:color w:val="auto"/>
              </w:rPr>
              <w:t>234,376</w:t>
            </w:r>
          </w:p>
        </w:tc>
        <w:tc>
          <w:tcPr>
            <w:tcW w:w="0" w:type="dxa"/>
            <w:vAlign w:val="bottom"/>
          </w:tcPr>
          <w:p>
            <w:pPr>
              <w:spacing w:after="0"/>
              <w:rPr>
                <w:sz w:val="1"/>
                <w:szCs w:val="1"/>
                <w:color w:val="auto"/>
              </w:rPr>
            </w:pPr>
          </w:p>
        </w:tc>
      </w:tr>
      <w:tr>
        <w:trPr>
          <w:trHeight w:val="203"/>
        </w:trPr>
        <w:tc>
          <w:tcPr>
            <w:tcW w:w="3240" w:type="dxa"/>
            <w:vAlign w:val="bottom"/>
          </w:tcPr>
          <w:p>
            <w:pPr>
              <w:ind w:left="100"/>
              <w:spacing w:after="0" w:line="202" w:lineRule="exact"/>
              <w:rPr>
                <w:sz w:val="20"/>
                <w:szCs w:val="20"/>
                <w:color w:val="auto"/>
              </w:rPr>
            </w:pPr>
            <w:r>
              <w:rPr>
                <w:rFonts w:ascii="Arial" w:cs="Arial" w:eastAsia="Arial" w:hAnsi="Arial"/>
                <w:sz w:val="18"/>
                <w:szCs w:val="18"/>
                <w:color w:val="auto"/>
              </w:rPr>
              <w:t>John J. Hamre</w:t>
            </w:r>
            <w:r>
              <w:rPr>
                <w:rFonts w:ascii="Arial" w:cs="Arial" w:eastAsia="Arial" w:hAnsi="Arial"/>
                <w:sz w:val="15"/>
                <w:szCs w:val="15"/>
                <w:color w:val="auto"/>
              </w:rPr>
              <w:t>(2)</w:t>
            </w:r>
          </w:p>
        </w:tc>
        <w:tc>
          <w:tcPr>
            <w:tcW w:w="2940" w:type="dxa"/>
            <w:vAlign w:val="bottom"/>
          </w:tcPr>
          <w:p>
            <w:pPr>
              <w:jc w:val="right"/>
              <w:ind w:right="630"/>
              <w:spacing w:after="0" w:line="202" w:lineRule="exact"/>
              <w:rPr>
                <w:sz w:val="20"/>
                <w:szCs w:val="20"/>
                <w:color w:val="auto"/>
              </w:rPr>
            </w:pPr>
            <w:r>
              <w:rPr>
                <w:rFonts w:ascii="Arial" w:cs="Arial" w:eastAsia="Arial" w:hAnsi="Arial"/>
                <w:sz w:val="18"/>
                <w:szCs w:val="18"/>
                <w:color w:val="auto"/>
              </w:rPr>
              <w:t>68,250</w:t>
            </w:r>
          </w:p>
        </w:tc>
        <w:tc>
          <w:tcPr>
            <w:tcW w:w="2020" w:type="dxa"/>
            <w:vAlign w:val="bottom"/>
          </w:tcPr>
          <w:p>
            <w:pPr>
              <w:jc w:val="right"/>
              <w:ind w:right="650"/>
              <w:spacing w:after="0" w:line="202" w:lineRule="exact"/>
              <w:rPr>
                <w:sz w:val="20"/>
                <w:szCs w:val="20"/>
                <w:color w:val="auto"/>
              </w:rPr>
            </w:pPr>
            <w:r>
              <w:rPr>
                <w:rFonts w:ascii="Arial" w:cs="Arial" w:eastAsia="Arial" w:hAnsi="Arial"/>
                <w:sz w:val="18"/>
                <w:szCs w:val="18"/>
                <w:color w:val="auto"/>
              </w:rPr>
              <w:t>—</w:t>
            </w:r>
          </w:p>
        </w:tc>
        <w:tc>
          <w:tcPr>
            <w:tcW w:w="2100" w:type="dxa"/>
            <w:vAlign w:val="bottom"/>
          </w:tcPr>
          <w:p>
            <w:pPr>
              <w:jc w:val="right"/>
              <w:ind w:right="750"/>
              <w:spacing w:after="0" w:line="202" w:lineRule="exact"/>
              <w:rPr>
                <w:sz w:val="20"/>
                <w:szCs w:val="20"/>
                <w:color w:val="auto"/>
              </w:rPr>
            </w:pPr>
            <w:r>
              <w:rPr>
                <w:rFonts w:ascii="Arial" w:cs="Arial" w:eastAsia="Arial" w:hAnsi="Arial"/>
                <w:sz w:val="18"/>
                <w:szCs w:val="18"/>
                <w:color w:val="auto"/>
              </w:rPr>
              <w:t>—</w:t>
            </w:r>
          </w:p>
        </w:tc>
        <w:tc>
          <w:tcPr>
            <w:tcW w:w="112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68,250</w:t>
            </w:r>
          </w:p>
        </w:tc>
        <w:tc>
          <w:tcPr>
            <w:tcW w:w="0" w:type="dxa"/>
            <w:vAlign w:val="bottom"/>
          </w:tcPr>
          <w:p>
            <w:pPr>
              <w:spacing w:after="0"/>
              <w:rPr>
                <w:sz w:val="1"/>
                <w:szCs w:val="1"/>
                <w:color w:val="auto"/>
              </w:rPr>
            </w:pPr>
          </w:p>
        </w:tc>
      </w:tr>
      <w:tr>
        <w:trPr>
          <w:trHeight w:val="203"/>
        </w:trPr>
        <w:tc>
          <w:tcPr>
            <w:tcW w:w="3240" w:type="dxa"/>
            <w:vAlign w:val="bottom"/>
            <w:shd w:val="clear" w:color="auto" w:fill="ACABA7"/>
          </w:tcPr>
          <w:p>
            <w:pPr>
              <w:ind w:left="100"/>
              <w:spacing w:after="0" w:line="202" w:lineRule="exact"/>
              <w:rPr>
                <w:sz w:val="20"/>
                <w:szCs w:val="20"/>
                <w:color w:val="auto"/>
              </w:rPr>
            </w:pPr>
            <w:r>
              <w:rPr>
                <w:rFonts w:ascii="Arial" w:cs="Arial" w:eastAsia="Arial" w:hAnsi="Arial"/>
                <w:sz w:val="18"/>
                <w:szCs w:val="18"/>
                <w:color w:val="auto"/>
              </w:rPr>
              <w:t>Miriam E. John</w:t>
            </w:r>
          </w:p>
        </w:tc>
        <w:tc>
          <w:tcPr>
            <w:tcW w:w="2940" w:type="dxa"/>
            <w:vAlign w:val="bottom"/>
            <w:shd w:val="clear" w:color="auto" w:fill="ACABA7"/>
          </w:tcPr>
          <w:p>
            <w:pPr>
              <w:jc w:val="right"/>
              <w:ind w:right="630"/>
              <w:spacing w:after="0" w:line="202" w:lineRule="exact"/>
              <w:rPr>
                <w:sz w:val="20"/>
                <w:szCs w:val="20"/>
                <w:color w:val="auto"/>
              </w:rPr>
            </w:pPr>
            <w:r>
              <w:rPr>
                <w:rFonts w:ascii="Arial" w:cs="Arial" w:eastAsia="Arial" w:hAnsi="Arial"/>
                <w:sz w:val="18"/>
                <w:szCs w:val="18"/>
                <w:color w:val="auto"/>
              </w:rPr>
              <w:t>109,000</w:t>
            </w:r>
          </w:p>
        </w:tc>
        <w:tc>
          <w:tcPr>
            <w:tcW w:w="2020" w:type="dxa"/>
            <w:vAlign w:val="bottom"/>
            <w:shd w:val="clear" w:color="auto" w:fill="ACABA7"/>
          </w:tcPr>
          <w:p>
            <w:pPr>
              <w:jc w:val="right"/>
              <w:ind w:right="650"/>
              <w:spacing w:after="0" w:line="202" w:lineRule="exact"/>
              <w:rPr>
                <w:sz w:val="20"/>
                <w:szCs w:val="20"/>
                <w:color w:val="auto"/>
              </w:rPr>
            </w:pPr>
            <w:r>
              <w:rPr>
                <w:rFonts w:ascii="Arial" w:cs="Arial" w:eastAsia="Arial" w:hAnsi="Arial"/>
                <w:sz w:val="18"/>
                <w:szCs w:val="18"/>
                <w:color w:val="auto"/>
              </w:rPr>
              <w:t>100,004</w:t>
            </w:r>
          </w:p>
        </w:tc>
        <w:tc>
          <w:tcPr>
            <w:tcW w:w="2100" w:type="dxa"/>
            <w:vAlign w:val="bottom"/>
            <w:shd w:val="clear" w:color="auto" w:fill="ACABA7"/>
          </w:tcPr>
          <w:p>
            <w:pPr>
              <w:jc w:val="right"/>
              <w:ind w:right="750"/>
              <w:spacing w:after="0" w:line="202" w:lineRule="exact"/>
              <w:rPr>
                <w:sz w:val="20"/>
                <w:szCs w:val="20"/>
                <w:color w:val="auto"/>
              </w:rPr>
            </w:pPr>
            <w:r>
              <w:rPr>
                <w:rFonts w:ascii="Arial" w:cs="Arial" w:eastAsia="Arial" w:hAnsi="Arial"/>
                <w:sz w:val="18"/>
                <w:szCs w:val="18"/>
                <w:color w:val="auto"/>
              </w:rPr>
              <w:t>50,372</w:t>
            </w:r>
          </w:p>
        </w:tc>
        <w:tc>
          <w:tcPr>
            <w:tcW w:w="1120" w:type="dxa"/>
            <w:vAlign w:val="bottom"/>
            <w:shd w:val="clear" w:color="auto" w:fill="ACABA7"/>
          </w:tcPr>
          <w:p>
            <w:pPr>
              <w:jc w:val="right"/>
              <w:ind w:right="190"/>
              <w:spacing w:after="0" w:line="202" w:lineRule="exact"/>
              <w:rPr>
                <w:sz w:val="20"/>
                <w:szCs w:val="20"/>
                <w:color w:val="auto"/>
              </w:rPr>
            </w:pPr>
            <w:r>
              <w:rPr>
                <w:rFonts w:ascii="Arial" w:cs="Arial" w:eastAsia="Arial" w:hAnsi="Arial"/>
                <w:sz w:val="18"/>
                <w:szCs w:val="18"/>
                <w:color w:val="auto"/>
              </w:rPr>
              <w:t>259,376</w:t>
            </w:r>
          </w:p>
        </w:tc>
        <w:tc>
          <w:tcPr>
            <w:tcW w:w="0" w:type="dxa"/>
            <w:vAlign w:val="bottom"/>
          </w:tcPr>
          <w:p>
            <w:pPr>
              <w:spacing w:after="0"/>
              <w:rPr>
                <w:sz w:val="1"/>
                <w:szCs w:val="1"/>
                <w:color w:val="auto"/>
              </w:rPr>
            </w:pPr>
          </w:p>
        </w:tc>
      </w:tr>
      <w:tr>
        <w:trPr>
          <w:trHeight w:val="203"/>
        </w:trPr>
        <w:tc>
          <w:tcPr>
            <w:tcW w:w="3240" w:type="dxa"/>
            <w:vAlign w:val="bottom"/>
          </w:tcPr>
          <w:p>
            <w:pPr>
              <w:ind w:left="100"/>
              <w:spacing w:after="0" w:line="202" w:lineRule="exact"/>
              <w:rPr>
                <w:sz w:val="20"/>
                <w:szCs w:val="20"/>
                <w:color w:val="auto"/>
              </w:rPr>
            </w:pPr>
            <w:r>
              <w:rPr>
                <w:rFonts w:ascii="Arial" w:cs="Arial" w:eastAsia="Arial" w:hAnsi="Arial"/>
                <w:sz w:val="18"/>
                <w:szCs w:val="18"/>
                <w:color w:val="auto"/>
              </w:rPr>
              <w:t>John P. Jumper</w:t>
            </w:r>
          </w:p>
        </w:tc>
        <w:tc>
          <w:tcPr>
            <w:tcW w:w="2940" w:type="dxa"/>
            <w:vAlign w:val="bottom"/>
          </w:tcPr>
          <w:p>
            <w:pPr>
              <w:jc w:val="right"/>
              <w:ind w:right="630"/>
              <w:spacing w:after="0" w:line="202" w:lineRule="exact"/>
              <w:rPr>
                <w:sz w:val="20"/>
                <w:szCs w:val="20"/>
                <w:color w:val="auto"/>
              </w:rPr>
            </w:pPr>
            <w:r>
              <w:rPr>
                <w:rFonts w:ascii="Arial" w:cs="Arial" w:eastAsia="Arial" w:hAnsi="Arial"/>
                <w:sz w:val="18"/>
                <w:szCs w:val="18"/>
                <w:color w:val="auto"/>
              </w:rPr>
              <w:t>87,750</w:t>
            </w:r>
          </w:p>
        </w:tc>
        <w:tc>
          <w:tcPr>
            <w:tcW w:w="2020" w:type="dxa"/>
            <w:vAlign w:val="bottom"/>
          </w:tcPr>
          <w:p>
            <w:pPr>
              <w:jc w:val="right"/>
              <w:ind w:right="650"/>
              <w:spacing w:after="0" w:line="202" w:lineRule="exact"/>
              <w:rPr>
                <w:sz w:val="20"/>
                <w:szCs w:val="20"/>
                <w:color w:val="auto"/>
              </w:rPr>
            </w:pPr>
            <w:r>
              <w:rPr>
                <w:rFonts w:ascii="Arial" w:cs="Arial" w:eastAsia="Arial" w:hAnsi="Arial"/>
                <w:sz w:val="18"/>
                <w:szCs w:val="18"/>
                <w:color w:val="auto"/>
              </w:rPr>
              <w:t>100,004</w:t>
            </w:r>
          </w:p>
        </w:tc>
        <w:tc>
          <w:tcPr>
            <w:tcW w:w="2100" w:type="dxa"/>
            <w:vAlign w:val="bottom"/>
          </w:tcPr>
          <w:p>
            <w:pPr>
              <w:jc w:val="right"/>
              <w:ind w:right="750"/>
              <w:spacing w:after="0" w:line="202" w:lineRule="exact"/>
              <w:rPr>
                <w:sz w:val="20"/>
                <w:szCs w:val="20"/>
                <w:color w:val="auto"/>
              </w:rPr>
            </w:pPr>
            <w:r>
              <w:rPr>
                <w:rFonts w:ascii="Arial" w:cs="Arial" w:eastAsia="Arial" w:hAnsi="Arial"/>
                <w:sz w:val="18"/>
                <w:szCs w:val="18"/>
                <w:color w:val="auto"/>
              </w:rPr>
              <w:t>50,372</w:t>
            </w:r>
          </w:p>
        </w:tc>
        <w:tc>
          <w:tcPr>
            <w:tcW w:w="112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238,126</w:t>
            </w:r>
          </w:p>
        </w:tc>
        <w:tc>
          <w:tcPr>
            <w:tcW w:w="0" w:type="dxa"/>
            <w:vAlign w:val="bottom"/>
          </w:tcPr>
          <w:p>
            <w:pPr>
              <w:spacing w:after="0"/>
              <w:rPr>
                <w:sz w:val="1"/>
                <w:szCs w:val="1"/>
                <w:color w:val="auto"/>
              </w:rPr>
            </w:pPr>
          </w:p>
        </w:tc>
      </w:tr>
      <w:tr>
        <w:trPr>
          <w:trHeight w:val="203"/>
        </w:trPr>
        <w:tc>
          <w:tcPr>
            <w:tcW w:w="3240" w:type="dxa"/>
            <w:vAlign w:val="bottom"/>
            <w:shd w:val="clear" w:color="auto" w:fill="ACABA7"/>
          </w:tcPr>
          <w:p>
            <w:pPr>
              <w:ind w:left="100"/>
              <w:spacing w:after="0" w:line="202" w:lineRule="exact"/>
              <w:rPr>
                <w:sz w:val="20"/>
                <w:szCs w:val="20"/>
                <w:color w:val="auto"/>
              </w:rPr>
            </w:pPr>
            <w:r>
              <w:rPr>
                <w:rFonts w:ascii="Arial" w:cs="Arial" w:eastAsia="Arial" w:hAnsi="Arial"/>
                <w:sz w:val="18"/>
                <w:szCs w:val="18"/>
                <w:color w:val="auto"/>
              </w:rPr>
              <w:t>Harry M.J. Kraemer, Jr.</w:t>
            </w:r>
          </w:p>
        </w:tc>
        <w:tc>
          <w:tcPr>
            <w:tcW w:w="2940" w:type="dxa"/>
            <w:vAlign w:val="bottom"/>
            <w:shd w:val="clear" w:color="auto" w:fill="ACABA7"/>
          </w:tcPr>
          <w:p>
            <w:pPr>
              <w:jc w:val="right"/>
              <w:ind w:right="630"/>
              <w:spacing w:after="0" w:line="202" w:lineRule="exact"/>
              <w:rPr>
                <w:sz w:val="20"/>
                <w:szCs w:val="20"/>
                <w:color w:val="auto"/>
              </w:rPr>
            </w:pPr>
            <w:r>
              <w:rPr>
                <w:rFonts w:ascii="Arial" w:cs="Arial" w:eastAsia="Arial" w:hAnsi="Arial"/>
                <w:sz w:val="18"/>
                <w:szCs w:val="18"/>
                <w:color w:val="auto"/>
              </w:rPr>
              <w:t>112,000</w:t>
            </w:r>
          </w:p>
        </w:tc>
        <w:tc>
          <w:tcPr>
            <w:tcW w:w="2020" w:type="dxa"/>
            <w:vAlign w:val="bottom"/>
            <w:shd w:val="clear" w:color="auto" w:fill="ACABA7"/>
          </w:tcPr>
          <w:p>
            <w:pPr>
              <w:jc w:val="right"/>
              <w:ind w:right="650"/>
              <w:spacing w:after="0" w:line="202" w:lineRule="exact"/>
              <w:rPr>
                <w:sz w:val="20"/>
                <w:szCs w:val="20"/>
                <w:color w:val="auto"/>
              </w:rPr>
            </w:pPr>
            <w:r>
              <w:rPr>
                <w:rFonts w:ascii="Arial" w:cs="Arial" w:eastAsia="Arial" w:hAnsi="Arial"/>
                <w:sz w:val="18"/>
                <w:szCs w:val="18"/>
                <w:color w:val="auto"/>
              </w:rPr>
              <w:t>100,004</w:t>
            </w:r>
          </w:p>
        </w:tc>
        <w:tc>
          <w:tcPr>
            <w:tcW w:w="2100" w:type="dxa"/>
            <w:vAlign w:val="bottom"/>
            <w:shd w:val="clear" w:color="auto" w:fill="ACABA7"/>
          </w:tcPr>
          <w:p>
            <w:pPr>
              <w:jc w:val="right"/>
              <w:ind w:right="750"/>
              <w:spacing w:after="0" w:line="202" w:lineRule="exact"/>
              <w:rPr>
                <w:sz w:val="20"/>
                <w:szCs w:val="20"/>
                <w:color w:val="auto"/>
              </w:rPr>
            </w:pPr>
            <w:r>
              <w:rPr>
                <w:rFonts w:ascii="Arial" w:cs="Arial" w:eastAsia="Arial" w:hAnsi="Arial"/>
                <w:sz w:val="18"/>
                <w:szCs w:val="18"/>
                <w:color w:val="auto"/>
              </w:rPr>
              <w:t>50,372</w:t>
            </w:r>
          </w:p>
        </w:tc>
        <w:tc>
          <w:tcPr>
            <w:tcW w:w="1120" w:type="dxa"/>
            <w:vAlign w:val="bottom"/>
            <w:shd w:val="clear" w:color="auto" w:fill="ACABA7"/>
          </w:tcPr>
          <w:p>
            <w:pPr>
              <w:jc w:val="right"/>
              <w:ind w:right="190"/>
              <w:spacing w:after="0" w:line="202" w:lineRule="exact"/>
              <w:rPr>
                <w:sz w:val="20"/>
                <w:szCs w:val="20"/>
                <w:color w:val="auto"/>
              </w:rPr>
            </w:pPr>
            <w:r>
              <w:rPr>
                <w:rFonts w:ascii="Arial" w:cs="Arial" w:eastAsia="Arial" w:hAnsi="Arial"/>
                <w:sz w:val="18"/>
                <w:szCs w:val="18"/>
                <w:color w:val="auto"/>
              </w:rPr>
              <w:t>262,376</w:t>
            </w:r>
          </w:p>
        </w:tc>
        <w:tc>
          <w:tcPr>
            <w:tcW w:w="0" w:type="dxa"/>
            <w:vAlign w:val="bottom"/>
          </w:tcPr>
          <w:p>
            <w:pPr>
              <w:spacing w:after="0"/>
              <w:rPr>
                <w:sz w:val="1"/>
                <w:szCs w:val="1"/>
                <w:color w:val="auto"/>
              </w:rPr>
            </w:pPr>
          </w:p>
        </w:tc>
      </w:tr>
      <w:tr>
        <w:trPr>
          <w:trHeight w:val="203"/>
        </w:trPr>
        <w:tc>
          <w:tcPr>
            <w:tcW w:w="3240" w:type="dxa"/>
            <w:vAlign w:val="bottom"/>
          </w:tcPr>
          <w:p>
            <w:pPr>
              <w:ind w:left="100"/>
              <w:spacing w:after="0" w:line="202" w:lineRule="exact"/>
              <w:rPr>
                <w:sz w:val="20"/>
                <w:szCs w:val="20"/>
                <w:color w:val="auto"/>
              </w:rPr>
            </w:pPr>
            <w:r>
              <w:rPr>
                <w:rFonts w:ascii="Arial" w:cs="Arial" w:eastAsia="Arial" w:hAnsi="Arial"/>
                <w:sz w:val="18"/>
                <w:szCs w:val="18"/>
                <w:color w:val="auto"/>
              </w:rPr>
              <w:t>Gary S. May</w:t>
            </w:r>
          </w:p>
        </w:tc>
        <w:tc>
          <w:tcPr>
            <w:tcW w:w="2940" w:type="dxa"/>
            <w:vAlign w:val="bottom"/>
          </w:tcPr>
          <w:p>
            <w:pPr>
              <w:jc w:val="right"/>
              <w:ind w:right="630"/>
              <w:spacing w:after="0" w:line="202" w:lineRule="exact"/>
              <w:rPr>
                <w:sz w:val="20"/>
                <w:szCs w:val="20"/>
                <w:color w:val="auto"/>
              </w:rPr>
            </w:pPr>
            <w:r>
              <w:rPr>
                <w:rFonts w:ascii="Arial" w:cs="Arial" w:eastAsia="Arial" w:hAnsi="Arial"/>
                <w:sz w:val="18"/>
                <w:szCs w:val="18"/>
                <w:color w:val="auto"/>
              </w:rPr>
              <w:t>90,000</w:t>
            </w:r>
          </w:p>
        </w:tc>
        <w:tc>
          <w:tcPr>
            <w:tcW w:w="2020" w:type="dxa"/>
            <w:vAlign w:val="bottom"/>
          </w:tcPr>
          <w:p>
            <w:pPr>
              <w:jc w:val="right"/>
              <w:ind w:right="650"/>
              <w:spacing w:after="0" w:line="202" w:lineRule="exact"/>
              <w:rPr>
                <w:sz w:val="20"/>
                <w:szCs w:val="20"/>
                <w:color w:val="auto"/>
              </w:rPr>
            </w:pPr>
            <w:r>
              <w:rPr>
                <w:rFonts w:ascii="Arial" w:cs="Arial" w:eastAsia="Arial" w:hAnsi="Arial"/>
                <w:sz w:val="18"/>
                <w:szCs w:val="18"/>
                <w:color w:val="auto"/>
              </w:rPr>
              <w:t>100,004</w:t>
            </w:r>
          </w:p>
        </w:tc>
        <w:tc>
          <w:tcPr>
            <w:tcW w:w="2100" w:type="dxa"/>
            <w:vAlign w:val="bottom"/>
          </w:tcPr>
          <w:p>
            <w:pPr>
              <w:jc w:val="right"/>
              <w:ind w:right="750"/>
              <w:spacing w:after="0" w:line="202" w:lineRule="exact"/>
              <w:rPr>
                <w:sz w:val="20"/>
                <w:szCs w:val="20"/>
                <w:color w:val="auto"/>
              </w:rPr>
            </w:pPr>
            <w:r>
              <w:rPr>
                <w:rFonts w:ascii="Arial" w:cs="Arial" w:eastAsia="Arial" w:hAnsi="Arial"/>
                <w:sz w:val="18"/>
                <w:szCs w:val="18"/>
                <w:color w:val="auto"/>
              </w:rPr>
              <w:t>50,372</w:t>
            </w:r>
          </w:p>
        </w:tc>
        <w:tc>
          <w:tcPr>
            <w:tcW w:w="112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240,376</w:t>
            </w:r>
          </w:p>
        </w:tc>
        <w:tc>
          <w:tcPr>
            <w:tcW w:w="0" w:type="dxa"/>
            <w:vAlign w:val="bottom"/>
          </w:tcPr>
          <w:p>
            <w:pPr>
              <w:spacing w:after="0"/>
              <w:rPr>
                <w:sz w:val="1"/>
                <w:szCs w:val="1"/>
                <w:color w:val="auto"/>
              </w:rPr>
            </w:pPr>
          </w:p>
        </w:tc>
      </w:tr>
      <w:tr>
        <w:trPr>
          <w:trHeight w:val="203"/>
        </w:trPr>
        <w:tc>
          <w:tcPr>
            <w:tcW w:w="3240" w:type="dxa"/>
            <w:vAlign w:val="bottom"/>
            <w:shd w:val="clear" w:color="auto" w:fill="ACABA7"/>
          </w:tcPr>
          <w:p>
            <w:pPr>
              <w:ind w:left="100"/>
              <w:spacing w:after="0" w:line="202" w:lineRule="exact"/>
              <w:rPr>
                <w:sz w:val="20"/>
                <w:szCs w:val="20"/>
                <w:color w:val="auto"/>
              </w:rPr>
            </w:pPr>
            <w:r>
              <w:rPr>
                <w:rFonts w:ascii="Arial" w:cs="Arial" w:eastAsia="Arial" w:hAnsi="Arial"/>
                <w:sz w:val="18"/>
                <w:szCs w:val="18"/>
                <w:color w:val="auto"/>
              </w:rPr>
              <w:t>Surya N. Mohapatra</w:t>
            </w:r>
          </w:p>
        </w:tc>
        <w:tc>
          <w:tcPr>
            <w:tcW w:w="2940" w:type="dxa"/>
            <w:vAlign w:val="bottom"/>
            <w:shd w:val="clear" w:color="auto" w:fill="ACABA7"/>
          </w:tcPr>
          <w:p>
            <w:pPr>
              <w:jc w:val="right"/>
              <w:ind w:right="630"/>
              <w:spacing w:after="0" w:line="202" w:lineRule="exact"/>
              <w:rPr>
                <w:sz w:val="20"/>
                <w:szCs w:val="20"/>
                <w:color w:val="auto"/>
              </w:rPr>
            </w:pPr>
            <w:r>
              <w:rPr>
                <w:rFonts w:ascii="Arial" w:cs="Arial" w:eastAsia="Arial" w:hAnsi="Arial"/>
                <w:sz w:val="18"/>
                <w:szCs w:val="18"/>
                <w:color w:val="auto"/>
              </w:rPr>
              <w:t>24,500</w:t>
            </w:r>
          </w:p>
        </w:tc>
        <w:tc>
          <w:tcPr>
            <w:tcW w:w="2020" w:type="dxa"/>
            <w:vAlign w:val="bottom"/>
            <w:shd w:val="clear" w:color="auto" w:fill="ACABA7"/>
          </w:tcPr>
          <w:p>
            <w:pPr>
              <w:jc w:val="right"/>
              <w:ind w:right="650"/>
              <w:spacing w:after="0" w:line="202" w:lineRule="exact"/>
              <w:rPr>
                <w:sz w:val="20"/>
                <w:szCs w:val="20"/>
                <w:color w:val="auto"/>
              </w:rPr>
            </w:pPr>
            <w:r>
              <w:rPr>
                <w:rFonts w:ascii="Arial" w:cs="Arial" w:eastAsia="Arial" w:hAnsi="Arial"/>
                <w:sz w:val="18"/>
                <w:szCs w:val="18"/>
                <w:color w:val="auto"/>
              </w:rPr>
              <w:t>100,004</w:t>
            </w:r>
          </w:p>
        </w:tc>
        <w:tc>
          <w:tcPr>
            <w:tcW w:w="2100" w:type="dxa"/>
            <w:vAlign w:val="bottom"/>
            <w:shd w:val="clear" w:color="auto" w:fill="ACABA7"/>
          </w:tcPr>
          <w:p>
            <w:pPr>
              <w:jc w:val="right"/>
              <w:ind w:right="750"/>
              <w:spacing w:after="0" w:line="202" w:lineRule="exact"/>
              <w:rPr>
                <w:sz w:val="20"/>
                <w:szCs w:val="20"/>
                <w:color w:val="auto"/>
              </w:rPr>
            </w:pPr>
            <w:r>
              <w:rPr>
                <w:rFonts w:ascii="Arial" w:cs="Arial" w:eastAsia="Arial" w:hAnsi="Arial"/>
                <w:sz w:val="18"/>
                <w:szCs w:val="18"/>
                <w:color w:val="auto"/>
              </w:rPr>
              <w:t>50,372</w:t>
            </w:r>
          </w:p>
        </w:tc>
        <w:tc>
          <w:tcPr>
            <w:tcW w:w="1120" w:type="dxa"/>
            <w:vAlign w:val="bottom"/>
            <w:shd w:val="clear" w:color="auto" w:fill="ACABA7"/>
          </w:tcPr>
          <w:p>
            <w:pPr>
              <w:jc w:val="right"/>
              <w:ind w:right="190"/>
              <w:spacing w:after="0" w:line="202" w:lineRule="exact"/>
              <w:rPr>
                <w:sz w:val="20"/>
                <w:szCs w:val="20"/>
                <w:color w:val="auto"/>
              </w:rPr>
            </w:pPr>
            <w:r>
              <w:rPr>
                <w:rFonts w:ascii="Arial" w:cs="Arial" w:eastAsia="Arial" w:hAnsi="Arial"/>
                <w:sz w:val="18"/>
                <w:szCs w:val="18"/>
                <w:color w:val="auto"/>
              </w:rPr>
              <w:t>174,876</w:t>
            </w:r>
          </w:p>
        </w:tc>
        <w:tc>
          <w:tcPr>
            <w:tcW w:w="0" w:type="dxa"/>
            <w:vAlign w:val="bottom"/>
          </w:tcPr>
          <w:p>
            <w:pPr>
              <w:spacing w:after="0"/>
              <w:rPr>
                <w:sz w:val="1"/>
                <w:szCs w:val="1"/>
                <w:color w:val="auto"/>
              </w:rPr>
            </w:pPr>
          </w:p>
        </w:tc>
      </w:tr>
      <w:tr>
        <w:trPr>
          <w:trHeight w:val="203"/>
        </w:trPr>
        <w:tc>
          <w:tcPr>
            <w:tcW w:w="3240" w:type="dxa"/>
            <w:vAlign w:val="bottom"/>
          </w:tcPr>
          <w:p>
            <w:pPr>
              <w:ind w:left="100"/>
              <w:spacing w:after="0" w:line="202" w:lineRule="exact"/>
              <w:rPr>
                <w:sz w:val="20"/>
                <w:szCs w:val="20"/>
                <w:color w:val="auto"/>
              </w:rPr>
            </w:pPr>
            <w:r>
              <w:rPr>
                <w:rFonts w:ascii="Arial" w:cs="Arial" w:eastAsia="Arial" w:hAnsi="Arial"/>
                <w:sz w:val="18"/>
                <w:szCs w:val="18"/>
                <w:color w:val="auto"/>
              </w:rPr>
              <w:t>Lawrence C. Nussdorf</w:t>
            </w:r>
          </w:p>
        </w:tc>
        <w:tc>
          <w:tcPr>
            <w:tcW w:w="2940" w:type="dxa"/>
            <w:vAlign w:val="bottom"/>
          </w:tcPr>
          <w:p>
            <w:pPr>
              <w:jc w:val="right"/>
              <w:ind w:right="630"/>
              <w:spacing w:after="0" w:line="202" w:lineRule="exact"/>
              <w:rPr>
                <w:sz w:val="20"/>
                <w:szCs w:val="20"/>
                <w:color w:val="auto"/>
              </w:rPr>
            </w:pPr>
            <w:r>
              <w:rPr>
                <w:rFonts w:ascii="Arial" w:cs="Arial" w:eastAsia="Arial" w:hAnsi="Arial"/>
                <w:sz w:val="18"/>
                <w:szCs w:val="18"/>
                <w:color w:val="auto"/>
              </w:rPr>
              <w:t>135,500</w:t>
            </w:r>
          </w:p>
        </w:tc>
        <w:tc>
          <w:tcPr>
            <w:tcW w:w="2020" w:type="dxa"/>
            <w:vAlign w:val="bottom"/>
          </w:tcPr>
          <w:p>
            <w:pPr>
              <w:jc w:val="right"/>
              <w:ind w:right="650"/>
              <w:spacing w:after="0" w:line="202" w:lineRule="exact"/>
              <w:rPr>
                <w:sz w:val="20"/>
                <w:szCs w:val="20"/>
                <w:color w:val="auto"/>
              </w:rPr>
            </w:pPr>
            <w:r>
              <w:rPr>
                <w:rFonts w:ascii="Arial" w:cs="Arial" w:eastAsia="Arial" w:hAnsi="Arial"/>
                <w:sz w:val="18"/>
                <w:szCs w:val="18"/>
                <w:color w:val="auto"/>
              </w:rPr>
              <w:t>100,004</w:t>
            </w:r>
          </w:p>
        </w:tc>
        <w:tc>
          <w:tcPr>
            <w:tcW w:w="2100" w:type="dxa"/>
            <w:vAlign w:val="bottom"/>
          </w:tcPr>
          <w:p>
            <w:pPr>
              <w:jc w:val="right"/>
              <w:ind w:right="750"/>
              <w:spacing w:after="0" w:line="202" w:lineRule="exact"/>
              <w:rPr>
                <w:sz w:val="20"/>
                <w:szCs w:val="20"/>
                <w:color w:val="auto"/>
              </w:rPr>
            </w:pPr>
            <w:r>
              <w:rPr>
                <w:rFonts w:ascii="Arial" w:cs="Arial" w:eastAsia="Arial" w:hAnsi="Arial"/>
                <w:sz w:val="18"/>
                <w:szCs w:val="18"/>
                <w:color w:val="auto"/>
              </w:rPr>
              <w:t>50,372</w:t>
            </w:r>
          </w:p>
        </w:tc>
        <w:tc>
          <w:tcPr>
            <w:tcW w:w="112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285,876</w:t>
            </w:r>
          </w:p>
        </w:tc>
        <w:tc>
          <w:tcPr>
            <w:tcW w:w="0" w:type="dxa"/>
            <w:vAlign w:val="bottom"/>
          </w:tcPr>
          <w:p>
            <w:pPr>
              <w:spacing w:after="0"/>
              <w:rPr>
                <w:sz w:val="1"/>
                <w:szCs w:val="1"/>
                <w:color w:val="auto"/>
              </w:rPr>
            </w:pPr>
          </w:p>
        </w:tc>
      </w:tr>
      <w:tr>
        <w:trPr>
          <w:trHeight w:val="203"/>
        </w:trPr>
        <w:tc>
          <w:tcPr>
            <w:tcW w:w="3240" w:type="dxa"/>
            <w:vAlign w:val="bottom"/>
            <w:shd w:val="clear" w:color="auto" w:fill="ACABA7"/>
          </w:tcPr>
          <w:p>
            <w:pPr>
              <w:ind w:left="100"/>
              <w:spacing w:after="0" w:line="202" w:lineRule="exact"/>
              <w:rPr>
                <w:sz w:val="20"/>
                <w:szCs w:val="20"/>
                <w:color w:val="auto"/>
              </w:rPr>
            </w:pPr>
            <w:r>
              <w:rPr>
                <w:rFonts w:ascii="Arial" w:cs="Arial" w:eastAsia="Arial" w:hAnsi="Arial"/>
                <w:sz w:val="18"/>
                <w:szCs w:val="18"/>
                <w:color w:val="auto"/>
              </w:rPr>
              <w:t>Robert S. Shapard</w:t>
            </w:r>
          </w:p>
        </w:tc>
        <w:tc>
          <w:tcPr>
            <w:tcW w:w="2940" w:type="dxa"/>
            <w:vAlign w:val="bottom"/>
            <w:shd w:val="clear" w:color="auto" w:fill="ACABA7"/>
          </w:tcPr>
          <w:p>
            <w:pPr>
              <w:jc w:val="right"/>
              <w:ind w:right="630"/>
              <w:spacing w:after="0" w:line="202" w:lineRule="exact"/>
              <w:rPr>
                <w:sz w:val="20"/>
                <w:szCs w:val="20"/>
                <w:color w:val="auto"/>
              </w:rPr>
            </w:pPr>
            <w:r>
              <w:rPr>
                <w:rFonts w:ascii="Arial" w:cs="Arial" w:eastAsia="Arial" w:hAnsi="Arial"/>
                <w:sz w:val="18"/>
                <w:szCs w:val="18"/>
                <w:color w:val="auto"/>
              </w:rPr>
              <w:t>104,500</w:t>
            </w:r>
          </w:p>
        </w:tc>
        <w:tc>
          <w:tcPr>
            <w:tcW w:w="2020" w:type="dxa"/>
            <w:vAlign w:val="bottom"/>
            <w:shd w:val="clear" w:color="auto" w:fill="ACABA7"/>
          </w:tcPr>
          <w:p>
            <w:pPr>
              <w:jc w:val="right"/>
              <w:ind w:right="650"/>
              <w:spacing w:after="0" w:line="202" w:lineRule="exact"/>
              <w:rPr>
                <w:sz w:val="20"/>
                <w:szCs w:val="20"/>
                <w:color w:val="auto"/>
              </w:rPr>
            </w:pPr>
            <w:r>
              <w:rPr>
                <w:rFonts w:ascii="Arial" w:cs="Arial" w:eastAsia="Arial" w:hAnsi="Arial"/>
                <w:sz w:val="18"/>
                <w:szCs w:val="18"/>
                <w:color w:val="auto"/>
              </w:rPr>
              <w:t>100,004</w:t>
            </w:r>
          </w:p>
        </w:tc>
        <w:tc>
          <w:tcPr>
            <w:tcW w:w="2100" w:type="dxa"/>
            <w:vAlign w:val="bottom"/>
            <w:shd w:val="clear" w:color="auto" w:fill="ACABA7"/>
          </w:tcPr>
          <w:p>
            <w:pPr>
              <w:jc w:val="right"/>
              <w:ind w:right="750"/>
              <w:spacing w:after="0" w:line="202" w:lineRule="exact"/>
              <w:rPr>
                <w:sz w:val="20"/>
                <w:szCs w:val="20"/>
                <w:color w:val="auto"/>
              </w:rPr>
            </w:pPr>
            <w:r>
              <w:rPr>
                <w:rFonts w:ascii="Arial" w:cs="Arial" w:eastAsia="Arial" w:hAnsi="Arial"/>
                <w:sz w:val="18"/>
                <w:szCs w:val="18"/>
                <w:color w:val="auto"/>
              </w:rPr>
              <w:t>50,372</w:t>
            </w:r>
          </w:p>
        </w:tc>
        <w:tc>
          <w:tcPr>
            <w:tcW w:w="1120" w:type="dxa"/>
            <w:vAlign w:val="bottom"/>
            <w:shd w:val="clear" w:color="auto" w:fill="ACABA7"/>
          </w:tcPr>
          <w:p>
            <w:pPr>
              <w:jc w:val="right"/>
              <w:ind w:right="190"/>
              <w:spacing w:after="0" w:line="202" w:lineRule="exact"/>
              <w:rPr>
                <w:sz w:val="20"/>
                <w:szCs w:val="20"/>
                <w:color w:val="auto"/>
              </w:rPr>
            </w:pPr>
            <w:r>
              <w:rPr>
                <w:rFonts w:ascii="Arial" w:cs="Arial" w:eastAsia="Arial" w:hAnsi="Arial"/>
                <w:sz w:val="18"/>
                <w:szCs w:val="18"/>
                <w:color w:val="auto"/>
              </w:rPr>
              <w:t>254,876</w:t>
            </w:r>
          </w:p>
        </w:tc>
        <w:tc>
          <w:tcPr>
            <w:tcW w:w="0" w:type="dxa"/>
            <w:vAlign w:val="bottom"/>
          </w:tcPr>
          <w:p>
            <w:pPr>
              <w:spacing w:after="0"/>
              <w:rPr>
                <w:sz w:val="1"/>
                <w:szCs w:val="1"/>
                <w:color w:val="auto"/>
              </w:rPr>
            </w:pPr>
          </w:p>
        </w:tc>
      </w:tr>
      <w:tr>
        <w:trPr>
          <w:trHeight w:val="203"/>
        </w:trPr>
        <w:tc>
          <w:tcPr>
            <w:tcW w:w="3240" w:type="dxa"/>
            <w:vAlign w:val="bottom"/>
          </w:tcPr>
          <w:p>
            <w:pPr>
              <w:ind w:left="100"/>
              <w:spacing w:after="0" w:line="202" w:lineRule="exact"/>
              <w:rPr>
                <w:sz w:val="20"/>
                <w:szCs w:val="20"/>
                <w:color w:val="auto"/>
              </w:rPr>
            </w:pPr>
            <w:r>
              <w:rPr>
                <w:rFonts w:ascii="Arial" w:cs="Arial" w:eastAsia="Arial" w:hAnsi="Arial"/>
                <w:sz w:val="18"/>
                <w:szCs w:val="18"/>
                <w:color w:val="auto"/>
              </w:rPr>
              <w:t>Susan M. Stalnecker</w:t>
            </w:r>
          </w:p>
        </w:tc>
        <w:tc>
          <w:tcPr>
            <w:tcW w:w="2940" w:type="dxa"/>
            <w:vAlign w:val="bottom"/>
          </w:tcPr>
          <w:p>
            <w:pPr>
              <w:jc w:val="right"/>
              <w:ind w:right="630"/>
              <w:spacing w:after="0" w:line="202" w:lineRule="exact"/>
              <w:rPr>
                <w:sz w:val="20"/>
                <w:szCs w:val="20"/>
                <w:color w:val="auto"/>
              </w:rPr>
            </w:pPr>
            <w:r>
              <w:rPr>
                <w:rFonts w:ascii="Arial" w:cs="Arial" w:eastAsia="Arial" w:hAnsi="Arial"/>
                <w:sz w:val="18"/>
                <w:szCs w:val="18"/>
                <w:color w:val="auto"/>
              </w:rPr>
              <w:t>26,500</w:t>
            </w:r>
          </w:p>
        </w:tc>
        <w:tc>
          <w:tcPr>
            <w:tcW w:w="2020" w:type="dxa"/>
            <w:vAlign w:val="bottom"/>
          </w:tcPr>
          <w:p>
            <w:pPr>
              <w:jc w:val="right"/>
              <w:ind w:right="650"/>
              <w:spacing w:after="0" w:line="202" w:lineRule="exact"/>
              <w:rPr>
                <w:sz w:val="20"/>
                <w:szCs w:val="20"/>
                <w:color w:val="auto"/>
              </w:rPr>
            </w:pPr>
            <w:r>
              <w:rPr>
                <w:rFonts w:ascii="Arial" w:cs="Arial" w:eastAsia="Arial" w:hAnsi="Arial"/>
                <w:sz w:val="18"/>
                <w:szCs w:val="18"/>
                <w:color w:val="auto"/>
              </w:rPr>
              <w:t>100,004</w:t>
            </w:r>
          </w:p>
        </w:tc>
        <w:tc>
          <w:tcPr>
            <w:tcW w:w="2100" w:type="dxa"/>
            <w:vAlign w:val="bottom"/>
          </w:tcPr>
          <w:p>
            <w:pPr>
              <w:jc w:val="right"/>
              <w:ind w:right="750"/>
              <w:spacing w:after="0" w:line="202" w:lineRule="exact"/>
              <w:rPr>
                <w:sz w:val="20"/>
                <w:szCs w:val="20"/>
                <w:color w:val="auto"/>
              </w:rPr>
            </w:pPr>
            <w:r>
              <w:rPr>
                <w:rFonts w:ascii="Arial" w:cs="Arial" w:eastAsia="Arial" w:hAnsi="Arial"/>
                <w:sz w:val="18"/>
                <w:szCs w:val="18"/>
                <w:color w:val="auto"/>
              </w:rPr>
              <w:t>50,372</w:t>
            </w:r>
          </w:p>
        </w:tc>
        <w:tc>
          <w:tcPr>
            <w:tcW w:w="112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176,876</w:t>
            </w:r>
          </w:p>
        </w:tc>
        <w:tc>
          <w:tcPr>
            <w:tcW w:w="0" w:type="dxa"/>
            <w:vAlign w:val="bottom"/>
          </w:tcPr>
          <w:p>
            <w:pPr>
              <w:spacing w:after="0"/>
              <w:rPr>
                <w:sz w:val="1"/>
                <w:szCs w:val="1"/>
                <w:color w:val="auto"/>
              </w:rPr>
            </w:pPr>
          </w:p>
        </w:tc>
      </w:tr>
      <w:tr>
        <w:trPr>
          <w:trHeight w:val="203"/>
        </w:trPr>
        <w:tc>
          <w:tcPr>
            <w:tcW w:w="3240" w:type="dxa"/>
            <w:vAlign w:val="bottom"/>
            <w:shd w:val="clear" w:color="auto" w:fill="ACABA7"/>
          </w:tcPr>
          <w:p>
            <w:pPr>
              <w:ind w:left="100"/>
              <w:spacing w:after="0" w:line="202" w:lineRule="exact"/>
              <w:rPr>
                <w:sz w:val="20"/>
                <w:szCs w:val="20"/>
                <w:color w:val="auto"/>
              </w:rPr>
            </w:pPr>
            <w:r>
              <w:rPr>
                <w:rFonts w:ascii="Arial" w:cs="Arial" w:eastAsia="Arial" w:hAnsi="Arial"/>
                <w:sz w:val="18"/>
                <w:szCs w:val="18"/>
                <w:color w:val="auto"/>
              </w:rPr>
              <w:t>Noel B. Williams</w:t>
            </w:r>
          </w:p>
        </w:tc>
        <w:tc>
          <w:tcPr>
            <w:tcW w:w="2940" w:type="dxa"/>
            <w:vAlign w:val="bottom"/>
            <w:shd w:val="clear" w:color="auto" w:fill="ACABA7"/>
          </w:tcPr>
          <w:p>
            <w:pPr>
              <w:jc w:val="right"/>
              <w:ind w:right="630"/>
              <w:spacing w:after="0" w:line="202" w:lineRule="exact"/>
              <w:rPr>
                <w:sz w:val="20"/>
                <w:szCs w:val="20"/>
                <w:color w:val="auto"/>
              </w:rPr>
            </w:pPr>
            <w:r>
              <w:rPr>
                <w:rFonts w:ascii="Arial" w:cs="Arial" w:eastAsia="Arial" w:hAnsi="Arial"/>
                <w:sz w:val="18"/>
                <w:szCs w:val="18"/>
                <w:color w:val="auto"/>
              </w:rPr>
              <w:t>104,500</w:t>
            </w:r>
          </w:p>
        </w:tc>
        <w:tc>
          <w:tcPr>
            <w:tcW w:w="2020" w:type="dxa"/>
            <w:vAlign w:val="bottom"/>
            <w:shd w:val="clear" w:color="auto" w:fill="ACABA7"/>
          </w:tcPr>
          <w:p>
            <w:pPr>
              <w:jc w:val="right"/>
              <w:ind w:right="650"/>
              <w:spacing w:after="0" w:line="202" w:lineRule="exact"/>
              <w:rPr>
                <w:sz w:val="20"/>
                <w:szCs w:val="20"/>
                <w:color w:val="auto"/>
              </w:rPr>
            </w:pPr>
            <w:r>
              <w:rPr>
                <w:rFonts w:ascii="Arial" w:cs="Arial" w:eastAsia="Arial" w:hAnsi="Arial"/>
                <w:sz w:val="18"/>
                <w:szCs w:val="18"/>
                <w:color w:val="auto"/>
              </w:rPr>
              <w:t>100,004</w:t>
            </w:r>
          </w:p>
        </w:tc>
        <w:tc>
          <w:tcPr>
            <w:tcW w:w="2100" w:type="dxa"/>
            <w:vAlign w:val="bottom"/>
            <w:shd w:val="clear" w:color="auto" w:fill="ACABA7"/>
          </w:tcPr>
          <w:p>
            <w:pPr>
              <w:jc w:val="right"/>
              <w:ind w:right="750"/>
              <w:spacing w:after="0" w:line="202" w:lineRule="exact"/>
              <w:rPr>
                <w:sz w:val="20"/>
                <w:szCs w:val="20"/>
                <w:color w:val="auto"/>
              </w:rPr>
            </w:pPr>
            <w:r>
              <w:rPr>
                <w:rFonts w:ascii="Arial" w:cs="Arial" w:eastAsia="Arial" w:hAnsi="Arial"/>
                <w:sz w:val="18"/>
                <w:szCs w:val="18"/>
                <w:color w:val="auto"/>
              </w:rPr>
              <w:t>50,372</w:t>
            </w:r>
          </w:p>
        </w:tc>
        <w:tc>
          <w:tcPr>
            <w:tcW w:w="1120" w:type="dxa"/>
            <w:vAlign w:val="bottom"/>
            <w:shd w:val="clear" w:color="auto" w:fill="ACABA7"/>
          </w:tcPr>
          <w:p>
            <w:pPr>
              <w:jc w:val="right"/>
              <w:ind w:right="190"/>
              <w:spacing w:after="0" w:line="202" w:lineRule="exact"/>
              <w:rPr>
                <w:sz w:val="20"/>
                <w:szCs w:val="20"/>
                <w:color w:val="auto"/>
              </w:rPr>
            </w:pPr>
            <w:r>
              <w:rPr>
                <w:rFonts w:ascii="Arial" w:cs="Arial" w:eastAsia="Arial" w:hAnsi="Arial"/>
                <w:sz w:val="18"/>
                <w:szCs w:val="18"/>
                <w:color w:val="auto"/>
              </w:rPr>
              <w:t>254,876</w:t>
            </w:r>
          </w:p>
        </w:tc>
        <w:tc>
          <w:tcPr>
            <w:tcW w:w="0" w:type="dxa"/>
            <w:vAlign w:val="bottom"/>
          </w:tcPr>
          <w:p>
            <w:pPr>
              <w:spacing w:after="0"/>
              <w:rPr>
                <w:sz w:val="1"/>
                <w:szCs w:val="1"/>
                <w:color w:val="auto"/>
              </w:rPr>
            </w:pPr>
          </w:p>
        </w:tc>
      </w:tr>
    </w:tbl>
    <w:p>
      <w:pPr>
        <w:spacing w:after="0" w:line="121" w:lineRule="exact"/>
        <w:rPr>
          <w:sz w:val="20"/>
          <w:szCs w:val="20"/>
          <w:color w:val="auto"/>
        </w:rPr>
      </w:pPr>
    </w:p>
    <w:p>
      <w:pPr>
        <w:ind w:left="460" w:right="560" w:hanging="452"/>
        <w:spacing w:after="0" w:line="246" w:lineRule="auto"/>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Roger A. Krone, our Chief Executive Officer, is not included in this table because he did not receive additional compensation for his services as a director.</w:t>
      </w:r>
    </w:p>
    <w:p>
      <w:pPr>
        <w:spacing w:after="0" w:line="102" w:lineRule="exact"/>
        <w:rPr>
          <w:rFonts w:ascii="Arial" w:cs="Arial" w:eastAsia="Arial" w:hAnsi="Arial"/>
          <w:sz w:val="18"/>
          <w:szCs w:val="18"/>
          <w:color w:val="auto"/>
        </w:rPr>
      </w:pPr>
    </w:p>
    <w:p>
      <w:pPr>
        <w:ind w:left="460" w:hanging="452"/>
        <w:spacing w:after="0"/>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John J. Hamre retired from the board in August 2016.</w:t>
      </w:r>
    </w:p>
    <w:p>
      <w:pPr>
        <w:spacing w:after="0" w:line="117" w:lineRule="exact"/>
        <w:rPr>
          <w:rFonts w:ascii="Arial" w:cs="Arial" w:eastAsia="Arial" w:hAnsi="Arial"/>
          <w:sz w:val="18"/>
          <w:szCs w:val="18"/>
          <w:color w:val="auto"/>
        </w:rPr>
      </w:pPr>
    </w:p>
    <w:p>
      <w:pPr>
        <w:ind w:left="460" w:right="200" w:hanging="452"/>
        <w:spacing w:after="0" w:line="239" w:lineRule="auto"/>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Amounts in this column represent the aggregate dollar amount of all fees earned or paid in cash for services as a director for annual retainer fees, committee and/or chair fees and meeting fees. The directors are eligible to defer such cash fees into our Keystaff Deferral Plan and Key Executive Stock Deferral Plan. Dr. John and Mr. Kraemer elected to defer all of their fees earned in Fiscal 2016 into our Keystaff Deferral Plan.</w:t>
      </w:r>
    </w:p>
    <w:p>
      <w:pPr>
        <w:spacing w:after="0" w:line="107" w:lineRule="exact"/>
        <w:rPr>
          <w:rFonts w:ascii="Arial" w:cs="Arial" w:eastAsia="Arial" w:hAnsi="Arial"/>
          <w:sz w:val="18"/>
          <w:szCs w:val="18"/>
          <w:color w:val="auto"/>
        </w:rPr>
      </w:pPr>
    </w:p>
    <w:p>
      <w:pPr>
        <w:ind w:left="460" w:right="120" w:hanging="452"/>
        <w:spacing w:after="0" w:line="238" w:lineRule="auto"/>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Amounts in this column reflect the grant date fair value computed in accordance with stock-based compensation accounting rules (FASB ASC Topic 718). For more information regarding our application of FASB ASC Topic 718, including the assumptions used in the calculations of these amounts, see Note 14 of Notes to Consolidated Financial Statements included in our Annual Report on Form 10-K as filed with the SEC on February 24, 2017. For Fiscal 2016, each of our non-employee directors received restricted stock units with a grant date fair value of approximately $100,000.</w:t>
      </w:r>
    </w:p>
    <w:p>
      <w:pPr>
        <w:spacing w:after="0" w:line="118" w:lineRule="exact"/>
        <w:rPr>
          <w:sz w:val="20"/>
          <w:szCs w:val="20"/>
          <w:color w:val="auto"/>
        </w:rPr>
      </w:pPr>
    </w:p>
    <w:p>
      <w:pPr>
        <w:jc w:val="right"/>
        <w:spacing w:after="0"/>
        <w:tabs>
          <w:tab w:leader="none" w:pos="380" w:val="left"/>
          <w:tab w:leader="none" w:pos="160" w:val="left"/>
        </w:tabs>
        <w:rPr>
          <w:sz w:val="20"/>
          <w:szCs w:val="20"/>
          <w:color w:val="auto"/>
        </w:rPr>
      </w:pPr>
      <w:r>
        <w:rPr>
          <w:rFonts w:ascii="Arial" w:cs="Arial" w:eastAsia="Arial" w:hAnsi="Arial"/>
          <w:sz w:val="16"/>
          <w:szCs w:val="16"/>
          <w:b w:val="1"/>
          <w:bCs w:val="1"/>
          <w:color w:val="483E65"/>
        </w:rPr>
        <w:t>2017 Proxy Statement</w:t>
        <w:tab/>
        <w:t>|</w:t>
        <w:tab/>
        <w:t>19</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8" w:lineRule="exact"/>
        <w:rPr>
          <w:sz w:val="20"/>
          <w:szCs w:val="20"/>
          <w:color w:val="auto"/>
        </w:rPr>
      </w:pPr>
    </w:p>
    <w:p>
      <w:pPr>
        <w:spacing w:after="0"/>
        <w:rPr>
          <w:sz w:val="20"/>
          <w:szCs w:val="20"/>
          <w:color w:val="auto"/>
        </w:rPr>
      </w:pPr>
      <w:r>
        <w:rPr>
          <w:rFonts w:ascii="Arial" w:cs="Arial" w:eastAsia="Arial" w:hAnsi="Arial"/>
          <w:sz w:val="32"/>
          <w:szCs w:val="32"/>
          <w:color w:val="483E65"/>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149860</wp:posOffset>
            </wp:positionV>
            <wp:extent cx="724662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18" w:lineRule="exact"/>
        <w:rPr>
          <w:sz w:val="20"/>
          <w:szCs w:val="20"/>
          <w:color w:val="auto"/>
        </w:rPr>
      </w:pPr>
    </w:p>
    <w:p>
      <w:pPr>
        <w:ind w:left="460" w:right="360"/>
        <w:spacing w:after="0" w:line="246" w:lineRule="auto"/>
        <w:rPr>
          <w:sz w:val="20"/>
          <w:szCs w:val="20"/>
          <w:color w:val="auto"/>
        </w:rPr>
      </w:pPr>
      <w:r>
        <w:rPr>
          <w:rFonts w:ascii="Arial" w:cs="Arial" w:eastAsia="Arial" w:hAnsi="Arial"/>
          <w:sz w:val="18"/>
          <w:szCs w:val="18"/>
          <w:color w:val="auto"/>
        </w:rPr>
        <w:t>At the end of Fiscal 2016, the following non-employee directors held the following number of unvested stock units, including unvested stock units in our Key Executive Stock Deferral Plan:</w:t>
      </w:r>
    </w:p>
    <w:p>
      <w:pPr>
        <w:spacing w:after="0" w:line="224" w:lineRule="exact"/>
        <w:rPr>
          <w:sz w:val="20"/>
          <w:szCs w:val="20"/>
          <w:color w:val="auto"/>
        </w:rPr>
      </w:pPr>
    </w:p>
    <w:tbl>
      <w:tblPr>
        <w:tblLayout w:type="fixed"/>
        <w:tblInd w:w="820" w:type="dxa"/>
        <w:tblCellMar>
          <w:top w:w="0" w:type="dxa"/>
          <w:left w:w="0" w:type="dxa"/>
          <w:bottom w:w="0" w:type="dxa"/>
          <w:right w:w="0" w:type="dxa"/>
        </w:tblCellMar>
      </w:tblPr>
      <w:tr>
        <w:trPr>
          <w:trHeight w:val="217"/>
        </w:trPr>
        <w:tc>
          <w:tcPr>
            <w:tcW w:w="4880" w:type="dxa"/>
            <w:vAlign w:val="bottom"/>
          </w:tcPr>
          <w:p>
            <w:pPr>
              <w:ind w:left="200"/>
              <w:spacing w:after="0"/>
              <w:rPr>
                <w:sz w:val="20"/>
                <w:szCs w:val="20"/>
                <w:color w:val="auto"/>
              </w:rPr>
            </w:pPr>
            <w:r>
              <w:rPr>
                <w:rFonts w:ascii="Arial" w:cs="Arial" w:eastAsia="Arial" w:hAnsi="Arial"/>
                <w:sz w:val="18"/>
                <w:szCs w:val="18"/>
                <w:color w:val="483E65"/>
              </w:rPr>
              <w:t>Name</w:t>
            </w:r>
          </w:p>
        </w:tc>
        <w:tc>
          <w:tcPr>
            <w:tcW w:w="5720" w:type="dxa"/>
            <w:vAlign w:val="bottom"/>
          </w:tcPr>
          <w:p>
            <w:pPr>
              <w:jc w:val="right"/>
              <w:ind w:right="770"/>
              <w:spacing w:after="0"/>
              <w:rPr>
                <w:sz w:val="20"/>
                <w:szCs w:val="20"/>
                <w:color w:val="auto"/>
              </w:rPr>
            </w:pPr>
            <w:r>
              <w:rPr>
                <w:rFonts w:ascii="Arial" w:cs="Arial" w:eastAsia="Arial" w:hAnsi="Arial"/>
                <w:sz w:val="18"/>
                <w:szCs w:val="18"/>
                <w:color w:val="483E65"/>
              </w:rPr>
              <w:t>Unvested stock units (#)</w:t>
            </w:r>
          </w:p>
        </w:tc>
      </w:tr>
      <w:tr>
        <w:trPr>
          <w:trHeight w:val="41"/>
        </w:trPr>
        <w:tc>
          <w:tcPr>
            <w:tcW w:w="4880" w:type="dxa"/>
            <w:vAlign w:val="bottom"/>
            <w:tcBorders>
              <w:bottom w:val="single" w:sz="8" w:color="483E65"/>
            </w:tcBorders>
          </w:tcPr>
          <w:p>
            <w:pPr>
              <w:spacing w:after="0"/>
              <w:rPr>
                <w:sz w:val="3"/>
                <w:szCs w:val="3"/>
                <w:color w:val="auto"/>
              </w:rPr>
            </w:pPr>
          </w:p>
        </w:tc>
        <w:tc>
          <w:tcPr>
            <w:tcW w:w="5720" w:type="dxa"/>
            <w:vAlign w:val="bottom"/>
            <w:tcBorders>
              <w:bottom w:val="single" w:sz="8" w:color="483E65"/>
            </w:tcBorders>
          </w:tcPr>
          <w:p>
            <w:pPr>
              <w:spacing w:after="0"/>
              <w:rPr>
                <w:sz w:val="3"/>
                <w:szCs w:val="3"/>
                <w:color w:val="auto"/>
              </w:rPr>
            </w:pPr>
          </w:p>
        </w:tc>
      </w:tr>
      <w:tr>
        <w:trPr>
          <w:trHeight w:val="196"/>
        </w:trPr>
        <w:tc>
          <w:tcPr>
            <w:tcW w:w="4880" w:type="dxa"/>
            <w:vAlign w:val="bottom"/>
          </w:tcPr>
          <w:p>
            <w:pPr>
              <w:ind w:left="100"/>
              <w:spacing w:after="0" w:line="196" w:lineRule="exact"/>
              <w:rPr>
                <w:sz w:val="20"/>
                <w:szCs w:val="20"/>
                <w:color w:val="auto"/>
              </w:rPr>
            </w:pPr>
            <w:r>
              <w:rPr>
                <w:rFonts w:ascii="Arial" w:cs="Arial" w:eastAsia="Arial" w:hAnsi="Arial"/>
                <w:sz w:val="18"/>
                <w:szCs w:val="18"/>
                <w:color w:val="auto"/>
              </w:rPr>
              <w:t>Gregory R. Dahlberg</w:t>
            </w:r>
          </w:p>
        </w:tc>
        <w:tc>
          <w:tcPr>
            <w:tcW w:w="5720" w:type="dxa"/>
            <w:vAlign w:val="bottom"/>
          </w:tcPr>
          <w:p>
            <w:pPr>
              <w:jc w:val="right"/>
              <w:ind w:right="1310"/>
              <w:spacing w:after="0" w:line="196" w:lineRule="exact"/>
              <w:rPr>
                <w:sz w:val="20"/>
                <w:szCs w:val="20"/>
                <w:color w:val="auto"/>
              </w:rPr>
            </w:pPr>
            <w:r>
              <w:rPr>
                <w:rFonts w:ascii="Arial" w:cs="Arial" w:eastAsia="Arial" w:hAnsi="Arial"/>
                <w:sz w:val="18"/>
                <w:szCs w:val="18"/>
                <w:color w:val="auto"/>
              </w:rPr>
              <w:t>2,519</w:t>
            </w:r>
          </w:p>
        </w:tc>
      </w:tr>
      <w:tr>
        <w:trPr>
          <w:trHeight w:val="203"/>
        </w:trPr>
        <w:tc>
          <w:tcPr>
            <w:tcW w:w="4880" w:type="dxa"/>
            <w:vAlign w:val="bottom"/>
            <w:shd w:val="clear" w:color="auto" w:fill="ACABA7"/>
          </w:tcPr>
          <w:p>
            <w:pPr>
              <w:ind w:left="100"/>
              <w:spacing w:after="0" w:line="202" w:lineRule="exact"/>
              <w:rPr>
                <w:sz w:val="20"/>
                <w:szCs w:val="20"/>
                <w:color w:val="auto"/>
              </w:rPr>
            </w:pPr>
            <w:r>
              <w:rPr>
                <w:rFonts w:ascii="Arial" w:cs="Arial" w:eastAsia="Arial" w:hAnsi="Arial"/>
                <w:sz w:val="18"/>
                <w:szCs w:val="18"/>
                <w:color w:val="auto"/>
              </w:rPr>
              <w:t>David G. Fubini</w:t>
            </w:r>
          </w:p>
        </w:tc>
        <w:tc>
          <w:tcPr>
            <w:tcW w:w="5720" w:type="dxa"/>
            <w:vAlign w:val="bottom"/>
            <w:shd w:val="clear" w:color="auto" w:fill="ACABA7"/>
          </w:tcPr>
          <w:p>
            <w:pPr>
              <w:jc w:val="right"/>
              <w:ind w:right="1310"/>
              <w:spacing w:after="0" w:line="202" w:lineRule="exact"/>
              <w:rPr>
                <w:sz w:val="20"/>
                <w:szCs w:val="20"/>
                <w:color w:val="auto"/>
              </w:rPr>
            </w:pPr>
            <w:r>
              <w:rPr>
                <w:rFonts w:ascii="Arial" w:cs="Arial" w:eastAsia="Arial" w:hAnsi="Arial"/>
                <w:sz w:val="18"/>
                <w:szCs w:val="18"/>
                <w:color w:val="auto"/>
              </w:rPr>
              <w:t>2,519</w:t>
            </w:r>
          </w:p>
        </w:tc>
      </w:tr>
      <w:tr>
        <w:trPr>
          <w:trHeight w:val="203"/>
        </w:trPr>
        <w:tc>
          <w:tcPr>
            <w:tcW w:w="4880" w:type="dxa"/>
            <w:vAlign w:val="bottom"/>
          </w:tcPr>
          <w:p>
            <w:pPr>
              <w:ind w:left="100"/>
              <w:spacing w:after="0" w:line="202" w:lineRule="exact"/>
              <w:rPr>
                <w:sz w:val="20"/>
                <w:szCs w:val="20"/>
                <w:color w:val="auto"/>
              </w:rPr>
            </w:pPr>
            <w:r>
              <w:rPr>
                <w:rFonts w:ascii="Arial" w:cs="Arial" w:eastAsia="Arial" w:hAnsi="Arial"/>
                <w:sz w:val="18"/>
                <w:szCs w:val="18"/>
                <w:color w:val="auto"/>
              </w:rPr>
              <w:t>John J. Hamre</w:t>
            </w:r>
          </w:p>
        </w:tc>
        <w:tc>
          <w:tcPr>
            <w:tcW w:w="5720" w:type="dxa"/>
            <w:vAlign w:val="bottom"/>
          </w:tcPr>
          <w:p>
            <w:pPr>
              <w:jc w:val="right"/>
              <w:ind w:right="1310"/>
              <w:spacing w:after="0" w:line="202" w:lineRule="exact"/>
              <w:rPr>
                <w:sz w:val="20"/>
                <w:szCs w:val="20"/>
                <w:color w:val="auto"/>
              </w:rPr>
            </w:pPr>
            <w:r>
              <w:rPr>
                <w:rFonts w:ascii="Arial" w:cs="Arial" w:eastAsia="Arial" w:hAnsi="Arial"/>
                <w:sz w:val="18"/>
                <w:szCs w:val="18"/>
                <w:color w:val="auto"/>
              </w:rPr>
              <w:t>—</w:t>
            </w:r>
          </w:p>
        </w:tc>
      </w:tr>
      <w:tr>
        <w:trPr>
          <w:trHeight w:val="203"/>
        </w:trPr>
        <w:tc>
          <w:tcPr>
            <w:tcW w:w="4880" w:type="dxa"/>
            <w:vAlign w:val="bottom"/>
            <w:shd w:val="clear" w:color="auto" w:fill="ACABA7"/>
          </w:tcPr>
          <w:p>
            <w:pPr>
              <w:ind w:left="100"/>
              <w:spacing w:after="0" w:line="202" w:lineRule="exact"/>
              <w:rPr>
                <w:sz w:val="20"/>
                <w:szCs w:val="20"/>
                <w:color w:val="auto"/>
              </w:rPr>
            </w:pPr>
            <w:r>
              <w:rPr>
                <w:rFonts w:ascii="Arial" w:cs="Arial" w:eastAsia="Arial" w:hAnsi="Arial"/>
                <w:sz w:val="18"/>
                <w:szCs w:val="18"/>
                <w:color w:val="auto"/>
              </w:rPr>
              <w:t>Miriam E. John</w:t>
            </w:r>
          </w:p>
        </w:tc>
        <w:tc>
          <w:tcPr>
            <w:tcW w:w="5720" w:type="dxa"/>
            <w:vAlign w:val="bottom"/>
            <w:shd w:val="clear" w:color="auto" w:fill="ACABA7"/>
          </w:tcPr>
          <w:p>
            <w:pPr>
              <w:jc w:val="right"/>
              <w:ind w:right="1310"/>
              <w:spacing w:after="0" w:line="202" w:lineRule="exact"/>
              <w:rPr>
                <w:sz w:val="20"/>
                <w:szCs w:val="20"/>
                <w:color w:val="auto"/>
              </w:rPr>
            </w:pPr>
            <w:r>
              <w:rPr>
                <w:rFonts w:ascii="Arial" w:cs="Arial" w:eastAsia="Arial" w:hAnsi="Arial"/>
                <w:sz w:val="18"/>
                <w:szCs w:val="18"/>
                <w:color w:val="auto"/>
              </w:rPr>
              <w:t>2,519</w:t>
            </w:r>
          </w:p>
        </w:tc>
      </w:tr>
      <w:tr>
        <w:trPr>
          <w:trHeight w:val="203"/>
        </w:trPr>
        <w:tc>
          <w:tcPr>
            <w:tcW w:w="4880" w:type="dxa"/>
            <w:vAlign w:val="bottom"/>
          </w:tcPr>
          <w:p>
            <w:pPr>
              <w:ind w:left="100"/>
              <w:spacing w:after="0" w:line="202" w:lineRule="exact"/>
              <w:rPr>
                <w:sz w:val="20"/>
                <w:szCs w:val="20"/>
                <w:color w:val="auto"/>
              </w:rPr>
            </w:pPr>
            <w:r>
              <w:rPr>
                <w:rFonts w:ascii="Arial" w:cs="Arial" w:eastAsia="Arial" w:hAnsi="Arial"/>
                <w:sz w:val="18"/>
                <w:szCs w:val="18"/>
                <w:color w:val="auto"/>
              </w:rPr>
              <w:t>John P. Jumper*</w:t>
            </w:r>
          </w:p>
        </w:tc>
        <w:tc>
          <w:tcPr>
            <w:tcW w:w="5720" w:type="dxa"/>
            <w:vAlign w:val="bottom"/>
          </w:tcPr>
          <w:p>
            <w:pPr>
              <w:jc w:val="right"/>
              <w:ind w:right="1250"/>
              <w:spacing w:after="0" w:line="202" w:lineRule="exact"/>
              <w:rPr>
                <w:sz w:val="20"/>
                <w:szCs w:val="20"/>
                <w:color w:val="auto"/>
              </w:rPr>
            </w:pPr>
            <w:r>
              <w:rPr>
                <w:rFonts w:ascii="Arial" w:cs="Arial" w:eastAsia="Arial" w:hAnsi="Arial"/>
                <w:sz w:val="18"/>
                <w:szCs w:val="18"/>
                <w:color w:val="auto"/>
              </w:rPr>
              <w:t>31,886*</w:t>
            </w:r>
          </w:p>
        </w:tc>
      </w:tr>
      <w:tr>
        <w:trPr>
          <w:trHeight w:val="203"/>
        </w:trPr>
        <w:tc>
          <w:tcPr>
            <w:tcW w:w="4880" w:type="dxa"/>
            <w:vAlign w:val="bottom"/>
            <w:shd w:val="clear" w:color="auto" w:fill="ACABA7"/>
          </w:tcPr>
          <w:p>
            <w:pPr>
              <w:ind w:left="100"/>
              <w:spacing w:after="0" w:line="202" w:lineRule="exact"/>
              <w:rPr>
                <w:sz w:val="20"/>
                <w:szCs w:val="20"/>
                <w:color w:val="auto"/>
              </w:rPr>
            </w:pPr>
            <w:r>
              <w:rPr>
                <w:rFonts w:ascii="Arial" w:cs="Arial" w:eastAsia="Arial" w:hAnsi="Arial"/>
                <w:sz w:val="18"/>
                <w:szCs w:val="18"/>
                <w:color w:val="auto"/>
              </w:rPr>
              <w:t>Harry M.J. Kraemer, Jr.</w:t>
            </w:r>
          </w:p>
        </w:tc>
        <w:tc>
          <w:tcPr>
            <w:tcW w:w="5720" w:type="dxa"/>
            <w:vAlign w:val="bottom"/>
            <w:shd w:val="clear" w:color="auto" w:fill="ACABA7"/>
          </w:tcPr>
          <w:p>
            <w:pPr>
              <w:jc w:val="right"/>
              <w:ind w:right="1310"/>
              <w:spacing w:after="0" w:line="202" w:lineRule="exact"/>
              <w:rPr>
                <w:sz w:val="20"/>
                <w:szCs w:val="20"/>
                <w:color w:val="auto"/>
              </w:rPr>
            </w:pPr>
            <w:r>
              <w:rPr>
                <w:rFonts w:ascii="Arial" w:cs="Arial" w:eastAsia="Arial" w:hAnsi="Arial"/>
                <w:sz w:val="18"/>
                <w:szCs w:val="18"/>
                <w:color w:val="auto"/>
              </w:rPr>
              <w:t>2,519</w:t>
            </w:r>
          </w:p>
        </w:tc>
      </w:tr>
      <w:tr>
        <w:trPr>
          <w:trHeight w:val="203"/>
        </w:trPr>
        <w:tc>
          <w:tcPr>
            <w:tcW w:w="4880" w:type="dxa"/>
            <w:vAlign w:val="bottom"/>
          </w:tcPr>
          <w:p>
            <w:pPr>
              <w:ind w:left="100"/>
              <w:spacing w:after="0" w:line="202" w:lineRule="exact"/>
              <w:rPr>
                <w:sz w:val="20"/>
                <w:szCs w:val="20"/>
                <w:color w:val="auto"/>
              </w:rPr>
            </w:pPr>
            <w:r>
              <w:rPr>
                <w:rFonts w:ascii="Arial" w:cs="Arial" w:eastAsia="Arial" w:hAnsi="Arial"/>
                <w:sz w:val="18"/>
                <w:szCs w:val="18"/>
                <w:color w:val="auto"/>
              </w:rPr>
              <w:t>Gary S. May</w:t>
            </w:r>
          </w:p>
        </w:tc>
        <w:tc>
          <w:tcPr>
            <w:tcW w:w="5720" w:type="dxa"/>
            <w:vAlign w:val="bottom"/>
          </w:tcPr>
          <w:p>
            <w:pPr>
              <w:jc w:val="right"/>
              <w:ind w:right="1310"/>
              <w:spacing w:after="0" w:line="202" w:lineRule="exact"/>
              <w:rPr>
                <w:sz w:val="20"/>
                <w:szCs w:val="20"/>
                <w:color w:val="auto"/>
              </w:rPr>
            </w:pPr>
            <w:r>
              <w:rPr>
                <w:rFonts w:ascii="Arial" w:cs="Arial" w:eastAsia="Arial" w:hAnsi="Arial"/>
                <w:sz w:val="18"/>
                <w:szCs w:val="18"/>
                <w:color w:val="auto"/>
              </w:rPr>
              <w:t>2,519</w:t>
            </w:r>
          </w:p>
        </w:tc>
      </w:tr>
      <w:tr>
        <w:trPr>
          <w:trHeight w:val="203"/>
        </w:trPr>
        <w:tc>
          <w:tcPr>
            <w:tcW w:w="4880" w:type="dxa"/>
            <w:vAlign w:val="bottom"/>
            <w:shd w:val="clear" w:color="auto" w:fill="ACABA7"/>
          </w:tcPr>
          <w:p>
            <w:pPr>
              <w:ind w:left="100"/>
              <w:spacing w:after="0" w:line="202" w:lineRule="exact"/>
              <w:rPr>
                <w:sz w:val="20"/>
                <w:szCs w:val="20"/>
                <w:color w:val="auto"/>
              </w:rPr>
            </w:pPr>
            <w:r>
              <w:rPr>
                <w:rFonts w:ascii="Arial" w:cs="Arial" w:eastAsia="Arial" w:hAnsi="Arial"/>
                <w:sz w:val="18"/>
                <w:szCs w:val="18"/>
                <w:color w:val="auto"/>
              </w:rPr>
              <w:t>Surya N. Mohapatra</w:t>
            </w:r>
          </w:p>
        </w:tc>
        <w:tc>
          <w:tcPr>
            <w:tcW w:w="5720" w:type="dxa"/>
            <w:vAlign w:val="bottom"/>
            <w:shd w:val="clear" w:color="auto" w:fill="ACABA7"/>
          </w:tcPr>
          <w:p>
            <w:pPr>
              <w:jc w:val="right"/>
              <w:ind w:right="1310"/>
              <w:spacing w:after="0" w:line="202" w:lineRule="exact"/>
              <w:rPr>
                <w:sz w:val="20"/>
                <w:szCs w:val="20"/>
                <w:color w:val="auto"/>
              </w:rPr>
            </w:pPr>
            <w:r>
              <w:rPr>
                <w:rFonts w:ascii="Arial" w:cs="Arial" w:eastAsia="Arial" w:hAnsi="Arial"/>
                <w:sz w:val="18"/>
                <w:szCs w:val="18"/>
                <w:color w:val="auto"/>
              </w:rPr>
              <w:t>2,519</w:t>
            </w:r>
          </w:p>
        </w:tc>
      </w:tr>
      <w:tr>
        <w:trPr>
          <w:trHeight w:val="203"/>
        </w:trPr>
        <w:tc>
          <w:tcPr>
            <w:tcW w:w="4880" w:type="dxa"/>
            <w:vAlign w:val="bottom"/>
          </w:tcPr>
          <w:p>
            <w:pPr>
              <w:ind w:left="100"/>
              <w:spacing w:after="0" w:line="202" w:lineRule="exact"/>
              <w:rPr>
                <w:sz w:val="20"/>
                <w:szCs w:val="20"/>
                <w:color w:val="auto"/>
              </w:rPr>
            </w:pPr>
            <w:r>
              <w:rPr>
                <w:rFonts w:ascii="Arial" w:cs="Arial" w:eastAsia="Arial" w:hAnsi="Arial"/>
                <w:sz w:val="18"/>
                <w:szCs w:val="18"/>
                <w:color w:val="auto"/>
              </w:rPr>
              <w:t>Lawrence C. Nussdorf</w:t>
            </w:r>
          </w:p>
        </w:tc>
        <w:tc>
          <w:tcPr>
            <w:tcW w:w="5720" w:type="dxa"/>
            <w:vAlign w:val="bottom"/>
          </w:tcPr>
          <w:p>
            <w:pPr>
              <w:jc w:val="right"/>
              <w:ind w:right="1310"/>
              <w:spacing w:after="0" w:line="202" w:lineRule="exact"/>
              <w:rPr>
                <w:sz w:val="20"/>
                <w:szCs w:val="20"/>
                <w:color w:val="auto"/>
              </w:rPr>
            </w:pPr>
            <w:r>
              <w:rPr>
                <w:rFonts w:ascii="Arial" w:cs="Arial" w:eastAsia="Arial" w:hAnsi="Arial"/>
                <w:sz w:val="18"/>
                <w:szCs w:val="18"/>
                <w:color w:val="auto"/>
              </w:rPr>
              <w:t>2,519</w:t>
            </w:r>
          </w:p>
        </w:tc>
      </w:tr>
      <w:tr>
        <w:trPr>
          <w:trHeight w:val="203"/>
        </w:trPr>
        <w:tc>
          <w:tcPr>
            <w:tcW w:w="4880" w:type="dxa"/>
            <w:vAlign w:val="bottom"/>
            <w:shd w:val="clear" w:color="auto" w:fill="ACABA7"/>
          </w:tcPr>
          <w:p>
            <w:pPr>
              <w:ind w:left="100"/>
              <w:spacing w:after="0" w:line="202" w:lineRule="exact"/>
              <w:rPr>
                <w:sz w:val="20"/>
                <w:szCs w:val="20"/>
                <w:color w:val="auto"/>
              </w:rPr>
            </w:pPr>
            <w:r>
              <w:rPr>
                <w:rFonts w:ascii="Arial" w:cs="Arial" w:eastAsia="Arial" w:hAnsi="Arial"/>
                <w:sz w:val="18"/>
                <w:szCs w:val="18"/>
                <w:color w:val="auto"/>
              </w:rPr>
              <w:t>Robert S. Shapard</w:t>
            </w:r>
          </w:p>
        </w:tc>
        <w:tc>
          <w:tcPr>
            <w:tcW w:w="5720" w:type="dxa"/>
            <w:vAlign w:val="bottom"/>
            <w:shd w:val="clear" w:color="auto" w:fill="ACABA7"/>
          </w:tcPr>
          <w:p>
            <w:pPr>
              <w:jc w:val="right"/>
              <w:ind w:right="1310"/>
              <w:spacing w:after="0" w:line="202" w:lineRule="exact"/>
              <w:rPr>
                <w:sz w:val="20"/>
                <w:szCs w:val="20"/>
                <w:color w:val="auto"/>
              </w:rPr>
            </w:pPr>
            <w:r>
              <w:rPr>
                <w:rFonts w:ascii="Arial" w:cs="Arial" w:eastAsia="Arial" w:hAnsi="Arial"/>
                <w:sz w:val="18"/>
                <w:szCs w:val="18"/>
                <w:color w:val="auto"/>
              </w:rPr>
              <w:t>2,519</w:t>
            </w:r>
          </w:p>
        </w:tc>
      </w:tr>
      <w:tr>
        <w:trPr>
          <w:trHeight w:val="203"/>
        </w:trPr>
        <w:tc>
          <w:tcPr>
            <w:tcW w:w="4880" w:type="dxa"/>
            <w:vAlign w:val="bottom"/>
          </w:tcPr>
          <w:p>
            <w:pPr>
              <w:ind w:left="100"/>
              <w:spacing w:after="0" w:line="202" w:lineRule="exact"/>
              <w:rPr>
                <w:sz w:val="20"/>
                <w:szCs w:val="20"/>
                <w:color w:val="auto"/>
              </w:rPr>
            </w:pPr>
            <w:r>
              <w:rPr>
                <w:rFonts w:ascii="Arial" w:cs="Arial" w:eastAsia="Arial" w:hAnsi="Arial"/>
                <w:sz w:val="18"/>
                <w:szCs w:val="18"/>
                <w:color w:val="auto"/>
              </w:rPr>
              <w:t>Susan M. Stalnecker</w:t>
            </w:r>
          </w:p>
        </w:tc>
        <w:tc>
          <w:tcPr>
            <w:tcW w:w="5720" w:type="dxa"/>
            <w:vAlign w:val="bottom"/>
          </w:tcPr>
          <w:p>
            <w:pPr>
              <w:jc w:val="right"/>
              <w:ind w:right="1310"/>
              <w:spacing w:after="0" w:line="202" w:lineRule="exact"/>
              <w:rPr>
                <w:sz w:val="20"/>
                <w:szCs w:val="20"/>
                <w:color w:val="auto"/>
              </w:rPr>
            </w:pPr>
            <w:r>
              <w:rPr>
                <w:rFonts w:ascii="Arial" w:cs="Arial" w:eastAsia="Arial" w:hAnsi="Arial"/>
                <w:sz w:val="18"/>
                <w:szCs w:val="18"/>
                <w:color w:val="auto"/>
              </w:rPr>
              <w:t>2,519</w:t>
            </w:r>
          </w:p>
        </w:tc>
      </w:tr>
      <w:tr>
        <w:trPr>
          <w:trHeight w:val="203"/>
        </w:trPr>
        <w:tc>
          <w:tcPr>
            <w:tcW w:w="4880" w:type="dxa"/>
            <w:vAlign w:val="bottom"/>
            <w:shd w:val="clear" w:color="auto" w:fill="ACABA7"/>
          </w:tcPr>
          <w:p>
            <w:pPr>
              <w:ind w:left="100"/>
              <w:spacing w:after="0" w:line="202" w:lineRule="exact"/>
              <w:rPr>
                <w:sz w:val="20"/>
                <w:szCs w:val="20"/>
                <w:color w:val="auto"/>
              </w:rPr>
            </w:pPr>
            <w:r>
              <w:rPr>
                <w:rFonts w:ascii="Arial" w:cs="Arial" w:eastAsia="Arial" w:hAnsi="Arial"/>
                <w:sz w:val="18"/>
                <w:szCs w:val="18"/>
                <w:color w:val="auto"/>
              </w:rPr>
              <w:t>Noel B. Williams</w:t>
            </w:r>
          </w:p>
        </w:tc>
        <w:tc>
          <w:tcPr>
            <w:tcW w:w="5720" w:type="dxa"/>
            <w:vAlign w:val="bottom"/>
            <w:shd w:val="clear" w:color="auto" w:fill="ACABA7"/>
          </w:tcPr>
          <w:p>
            <w:pPr>
              <w:jc w:val="right"/>
              <w:ind w:right="1310"/>
              <w:spacing w:after="0" w:line="202" w:lineRule="exact"/>
              <w:rPr>
                <w:sz w:val="20"/>
                <w:szCs w:val="20"/>
                <w:color w:val="auto"/>
              </w:rPr>
            </w:pPr>
            <w:r>
              <w:rPr>
                <w:rFonts w:ascii="Arial" w:cs="Arial" w:eastAsia="Arial" w:hAnsi="Arial"/>
                <w:sz w:val="18"/>
                <w:szCs w:val="18"/>
                <w:color w:val="auto"/>
              </w:rPr>
              <w:t>2,519</w:t>
            </w:r>
          </w:p>
        </w:tc>
      </w:tr>
    </w:tbl>
    <w:p>
      <w:pPr>
        <w:spacing w:after="0" w:line="40" w:lineRule="exact"/>
        <w:rPr>
          <w:sz w:val="20"/>
          <w:szCs w:val="20"/>
          <w:color w:val="auto"/>
        </w:rPr>
      </w:pPr>
    </w:p>
    <w:p>
      <w:pPr>
        <w:ind w:left="920" w:hanging="113"/>
        <w:spacing w:after="0"/>
        <w:tabs>
          <w:tab w:leader="none" w:pos="920" w:val="left"/>
        </w:tabs>
        <w:numPr>
          <w:ilvl w:val="1"/>
          <w:numId w:val="30"/>
        </w:numPr>
        <w:rPr>
          <w:rFonts w:ascii="Arial" w:cs="Arial" w:eastAsia="Arial" w:hAnsi="Arial"/>
          <w:sz w:val="18"/>
          <w:szCs w:val="18"/>
          <w:color w:val="auto"/>
        </w:rPr>
      </w:pPr>
      <w:r>
        <w:rPr>
          <w:rFonts w:ascii="Arial" w:cs="Arial" w:eastAsia="Arial" w:hAnsi="Arial"/>
          <w:sz w:val="18"/>
          <w:szCs w:val="18"/>
          <w:color w:val="auto"/>
        </w:rPr>
        <w:t>Some of the unvested stock units held by Mr. Jumper were earned in his capacity as our Chief Executive Officer.</w:t>
      </w:r>
    </w:p>
    <w:p>
      <w:pPr>
        <w:spacing w:after="0" w:line="117" w:lineRule="exact"/>
        <w:rPr>
          <w:rFonts w:ascii="Arial" w:cs="Arial" w:eastAsia="Arial" w:hAnsi="Arial"/>
          <w:sz w:val="18"/>
          <w:szCs w:val="18"/>
          <w:color w:val="auto"/>
        </w:rPr>
      </w:pPr>
    </w:p>
    <w:p>
      <w:pPr>
        <w:jc w:val="both"/>
        <w:ind w:left="460" w:right="320" w:hanging="452"/>
        <w:spacing w:after="0"/>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Amounts in this column reflect the grant date fair value computed in accordance with FASB ASC Topic 718. Option awards granted to directors in Fiscal 2016 vest on the earlier of one year from the date of grant or on the date of the next annual meeting of stockholders following the date of grant.</w:t>
      </w:r>
    </w:p>
    <w:p>
      <w:pPr>
        <w:spacing w:after="0" w:line="94" w:lineRule="exact"/>
        <w:rPr>
          <w:rFonts w:ascii="Arial" w:cs="Arial" w:eastAsia="Arial" w:hAnsi="Arial"/>
          <w:sz w:val="18"/>
          <w:szCs w:val="18"/>
          <w:color w:val="auto"/>
        </w:rPr>
      </w:pPr>
    </w:p>
    <w:p>
      <w:pPr>
        <w:jc w:val="both"/>
        <w:ind w:left="460" w:right="60"/>
        <w:spacing w:after="0"/>
        <w:rPr>
          <w:rFonts w:ascii="Arial" w:cs="Arial" w:eastAsia="Arial" w:hAnsi="Arial"/>
          <w:sz w:val="18"/>
          <w:szCs w:val="18"/>
          <w:color w:val="auto"/>
        </w:rPr>
      </w:pPr>
      <w:r>
        <w:rPr>
          <w:rFonts w:ascii="Arial" w:cs="Arial" w:eastAsia="Arial" w:hAnsi="Arial"/>
          <w:sz w:val="18"/>
          <w:szCs w:val="18"/>
          <w:color w:val="auto"/>
        </w:rPr>
        <w:t>During Fiscal 2016, our non-employee directors were each issued options to purchase shares of our common stock, with a grant date fair value of approximately $50,000. At the end of fiscal 2016, our non-employee directors held vested and unvested options to purchase the following number of shares of our common stock:</w:t>
      </w:r>
    </w:p>
    <w:p>
      <w:pPr>
        <w:spacing w:after="0" w:line="230" w:lineRule="exact"/>
        <w:rPr>
          <w:sz w:val="20"/>
          <w:szCs w:val="20"/>
          <w:color w:val="auto"/>
        </w:rPr>
      </w:pPr>
    </w:p>
    <w:tbl>
      <w:tblPr>
        <w:tblLayout w:type="fixed"/>
        <w:tblInd w:w="820" w:type="dxa"/>
        <w:tblCellMar>
          <w:top w:w="0" w:type="dxa"/>
          <w:left w:w="0" w:type="dxa"/>
          <w:bottom w:w="0" w:type="dxa"/>
          <w:right w:w="0" w:type="dxa"/>
        </w:tblCellMar>
      </w:tblPr>
      <w:tr>
        <w:trPr>
          <w:trHeight w:val="217"/>
        </w:trPr>
        <w:tc>
          <w:tcPr>
            <w:tcW w:w="3940" w:type="dxa"/>
            <w:vAlign w:val="bottom"/>
          </w:tcPr>
          <w:p>
            <w:pPr>
              <w:ind w:left="200"/>
              <w:spacing w:after="0"/>
              <w:rPr>
                <w:sz w:val="20"/>
                <w:szCs w:val="20"/>
                <w:color w:val="auto"/>
              </w:rPr>
            </w:pPr>
            <w:r>
              <w:rPr>
                <w:rFonts w:ascii="Arial" w:cs="Arial" w:eastAsia="Arial" w:hAnsi="Arial"/>
                <w:sz w:val="18"/>
                <w:szCs w:val="18"/>
                <w:color w:val="483E65"/>
              </w:rPr>
              <w:t>Name</w:t>
            </w:r>
          </w:p>
        </w:tc>
        <w:tc>
          <w:tcPr>
            <w:tcW w:w="6660" w:type="dxa"/>
            <w:vAlign w:val="bottom"/>
          </w:tcPr>
          <w:p>
            <w:pPr>
              <w:jc w:val="right"/>
              <w:ind w:right="430"/>
              <w:spacing w:after="0"/>
              <w:rPr>
                <w:sz w:val="20"/>
                <w:szCs w:val="20"/>
                <w:color w:val="auto"/>
              </w:rPr>
            </w:pPr>
            <w:r>
              <w:rPr>
                <w:rFonts w:ascii="Arial" w:cs="Arial" w:eastAsia="Arial" w:hAnsi="Arial"/>
                <w:sz w:val="18"/>
                <w:szCs w:val="18"/>
                <w:color w:val="483E65"/>
              </w:rPr>
              <w:t>Aggregate shares subject to outstanding options (#)</w:t>
            </w:r>
          </w:p>
        </w:tc>
      </w:tr>
      <w:tr>
        <w:trPr>
          <w:trHeight w:val="41"/>
        </w:trPr>
        <w:tc>
          <w:tcPr>
            <w:tcW w:w="3940" w:type="dxa"/>
            <w:vAlign w:val="bottom"/>
            <w:tcBorders>
              <w:bottom w:val="single" w:sz="8" w:color="483E65"/>
            </w:tcBorders>
          </w:tcPr>
          <w:p>
            <w:pPr>
              <w:spacing w:after="0"/>
              <w:rPr>
                <w:sz w:val="3"/>
                <w:szCs w:val="3"/>
                <w:color w:val="auto"/>
              </w:rPr>
            </w:pPr>
          </w:p>
        </w:tc>
        <w:tc>
          <w:tcPr>
            <w:tcW w:w="6660" w:type="dxa"/>
            <w:vAlign w:val="bottom"/>
            <w:tcBorders>
              <w:bottom w:val="single" w:sz="8" w:color="483E65"/>
            </w:tcBorders>
          </w:tcPr>
          <w:p>
            <w:pPr>
              <w:spacing w:after="0"/>
              <w:rPr>
                <w:sz w:val="3"/>
                <w:szCs w:val="3"/>
                <w:color w:val="auto"/>
              </w:rPr>
            </w:pPr>
          </w:p>
        </w:tc>
      </w:tr>
      <w:tr>
        <w:trPr>
          <w:trHeight w:val="196"/>
        </w:trPr>
        <w:tc>
          <w:tcPr>
            <w:tcW w:w="3940" w:type="dxa"/>
            <w:vAlign w:val="bottom"/>
          </w:tcPr>
          <w:p>
            <w:pPr>
              <w:ind w:left="100"/>
              <w:spacing w:after="0" w:line="196" w:lineRule="exact"/>
              <w:rPr>
                <w:sz w:val="20"/>
                <w:szCs w:val="20"/>
                <w:color w:val="auto"/>
              </w:rPr>
            </w:pPr>
            <w:r>
              <w:rPr>
                <w:rFonts w:ascii="Arial" w:cs="Arial" w:eastAsia="Arial" w:hAnsi="Arial"/>
                <w:sz w:val="18"/>
                <w:szCs w:val="18"/>
                <w:color w:val="auto"/>
              </w:rPr>
              <w:t>Gregory R. Dahlberg</w:t>
            </w:r>
          </w:p>
        </w:tc>
        <w:tc>
          <w:tcPr>
            <w:tcW w:w="6660" w:type="dxa"/>
            <w:vAlign w:val="bottom"/>
          </w:tcPr>
          <w:p>
            <w:pPr>
              <w:jc w:val="right"/>
              <w:ind w:right="2130"/>
              <w:spacing w:after="0" w:line="196" w:lineRule="exact"/>
              <w:rPr>
                <w:sz w:val="20"/>
                <w:szCs w:val="20"/>
                <w:color w:val="auto"/>
              </w:rPr>
            </w:pPr>
            <w:r>
              <w:rPr>
                <w:rFonts w:ascii="Arial" w:cs="Arial" w:eastAsia="Arial" w:hAnsi="Arial"/>
                <w:sz w:val="18"/>
                <w:szCs w:val="18"/>
                <w:color w:val="auto"/>
              </w:rPr>
              <w:t>5,193</w:t>
            </w:r>
          </w:p>
        </w:tc>
      </w:tr>
      <w:tr>
        <w:trPr>
          <w:trHeight w:val="203"/>
        </w:trPr>
        <w:tc>
          <w:tcPr>
            <w:tcW w:w="3940" w:type="dxa"/>
            <w:vAlign w:val="bottom"/>
            <w:shd w:val="clear" w:color="auto" w:fill="ACABA7"/>
          </w:tcPr>
          <w:p>
            <w:pPr>
              <w:ind w:left="100"/>
              <w:spacing w:after="0" w:line="202" w:lineRule="exact"/>
              <w:rPr>
                <w:sz w:val="20"/>
                <w:szCs w:val="20"/>
                <w:color w:val="auto"/>
              </w:rPr>
            </w:pPr>
            <w:r>
              <w:rPr>
                <w:rFonts w:ascii="Arial" w:cs="Arial" w:eastAsia="Arial" w:hAnsi="Arial"/>
                <w:sz w:val="18"/>
                <w:szCs w:val="18"/>
                <w:color w:val="auto"/>
              </w:rPr>
              <w:t>David G. Fubini</w:t>
            </w:r>
          </w:p>
        </w:tc>
        <w:tc>
          <w:tcPr>
            <w:tcW w:w="6660" w:type="dxa"/>
            <w:vAlign w:val="bottom"/>
            <w:shd w:val="clear" w:color="auto" w:fill="ACABA7"/>
          </w:tcPr>
          <w:p>
            <w:pPr>
              <w:jc w:val="right"/>
              <w:ind w:right="2130"/>
              <w:spacing w:after="0" w:line="202" w:lineRule="exact"/>
              <w:rPr>
                <w:sz w:val="20"/>
                <w:szCs w:val="20"/>
                <w:color w:val="auto"/>
              </w:rPr>
            </w:pPr>
            <w:r>
              <w:rPr>
                <w:rFonts w:ascii="Arial" w:cs="Arial" w:eastAsia="Arial" w:hAnsi="Arial"/>
                <w:sz w:val="18"/>
                <w:szCs w:val="18"/>
                <w:color w:val="auto"/>
              </w:rPr>
              <w:t>37,545</w:t>
            </w:r>
          </w:p>
        </w:tc>
      </w:tr>
      <w:tr>
        <w:trPr>
          <w:trHeight w:val="203"/>
        </w:trPr>
        <w:tc>
          <w:tcPr>
            <w:tcW w:w="3940" w:type="dxa"/>
            <w:vAlign w:val="bottom"/>
          </w:tcPr>
          <w:p>
            <w:pPr>
              <w:ind w:left="100"/>
              <w:spacing w:after="0" w:line="202" w:lineRule="exact"/>
              <w:rPr>
                <w:sz w:val="20"/>
                <w:szCs w:val="20"/>
                <w:color w:val="auto"/>
              </w:rPr>
            </w:pPr>
            <w:r>
              <w:rPr>
                <w:rFonts w:ascii="Arial" w:cs="Arial" w:eastAsia="Arial" w:hAnsi="Arial"/>
                <w:sz w:val="18"/>
                <w:szCs w:val="18"/>
                <w:color w:val="auto"/>
              </w:rPr>
              <w:t>John J. Hamre</w:t>
            </w:r>
          </w:p>
        </w:tc>
        <w:tc>
          <w:tcPr>
            <w:tcW w:w="6660" w:type="dxa"/>
            <w:vAlign w:val="bottom"/>
          </w:tcPr>
          <w:p>
            <w:pPr>
              <w:jc w:val="right"/>
              <w:ind w:right="2130"/>
              <w:spacing w:after="0" w:line="202" w:lineRule="exact"/>
              <w:rPr>
                <w:sz w:val="20"/>
                <w:szCs w:val="20"/>
                <w:color w:val="auto"/>
              </w:rPr>
            </w:pPr>
            <w:r>
              <w:rPr>
                <w:rFonts w:ascii="Arial" w:cs="Arial" w:eastAsia="Arial" w:hAnsi="Arial"/>
                <w:sz w:val="18"/>
                <w:szCs w:val="18"/>
                <w:color w:val="auto"/>
              </w:rPr>
              <w:t>—</w:t>
            </w:r>
          </w:p>
        </w:tc>
      </w:tr>
      <w:tr>
        <w:trPr>
          <w:trHeight w:val="203"/>
        </w:trPr>
        <w:tc>
          <w:tcPr>
            <w:tcW w:w="3940" w:type="dxa"/>
            <w:vAlign w:val="bottom"/>
            <w:shd w:val="clear" w:color="auto" w:fill="ACABA7"/>
          </w:tcPr>
          <w:p>
            <w:pPr>
              <w:ind w:left="100"/>
              <w:spacing w:after="0" w:line="202" w:lineRule="exact"/>
              <w:rPr>
                <w:sz w:val="20"/>
                <w:szCs w:val="20"/>
                <w:color w:val="auto"/>
              </w:rPr>
            </w:pPr>
            <w:r>
              <w:rPr>
                <w:rFonts w:ascii="Arial" w:cs="Arial" w:eastAsia="Arial" w:hAnsi="Arial"/>
                <w:sz w:val="18"/>
                <w:szCs w:val="18"/>
                <w:color w:val="auto"/>
              </w:rPr>
              <w:t>Miriam E. John</w:t>
            </w:r>
          </w:p>
        </w:tc>
        <w:tc>
          <w:tcPr>
            <w:tcW w:w="6660" w:type="dxa"/>
            <w:vAlign w:val="bottom"/>
            <w:shd w:val="clear" w:color="auto" w:fill="ACABA7"/>
          </w:tcPr>
          <w:p>
            <w:pPr>
              <w:jc w:val="right"/>
              <w:ind w:right="2130"/>
              <w:spacing w:after="0" w:line="202" w:lineRule="exact"/>
              <w:rPr>
                <w:sz w:val="20"/>
                <w:szCs w:val="20"/>
                <w:color w:val="auto"/>
              </w:rPr>
            </w:pPr>
            <w:r>
              <w:rPr>
                <w:rFonts w:ascii="Arial" w:cs="Arial" w:eastAsia="Arial" w:hAnsi="Arial"/>
                <w:sz w:val="18"/>
                <w:szCs w:val="18"/>
                <w:color w:val="auto"/>
              </w:rPr>
              <w:t>51,528</w:t>
            </w:r>
          </w:p>
        </w:tc>
      </w:tr>
      <w:tr>
        <w:trPr>
          <w:trHeight w:val="203"/>
        </w:trPr>
        <w:tc>
          <w:tcPr>
            <w:tcW w:w="3940" w:type="dxa"/>
            <w:vAlign w:val="bottom"/>
          </w:tcPr>
          <w:p>
            <w:pPr>
              <w:ind w:left="100"/>
              <w:spacing w:after="0" w:line="202" w:lineRule="exact"/>
              <w:rPr>
                <w:sz w:val="20"/>
                <w:szCs w:val="20"/>
                <w:color w:val="auto"/>
              </w:rPr>
            </w:pPr>
            <w:r>
              <w:rPr>
                <w:rFonts w:ascii="Arial" w:cs="Arial" w:eastAsia="Arial" w:hAnsi="Arial"/>
                <w:sz w:val="18"/>
                <w:szCs w:val="18"/>
                <w:color w:val="auto"/>
              </w:rPr>
              <w:t>John P. Jumper*</w:t>
            </w:r>
          </w:p>
        </w:tc>
        <w:tc>
          <w:tcPr>
            <w:tcW w:w="6660" w:type="dxa"/>
            <w:vAlign w:val="bottom"/>
          </w:tcPr>
          <w:p>
            <w:pPr>
              <w:jc w:val="right"/>
              <w:ind w:right="2070"/>
              <w:spacing w:after="0" w:line="202" w:lineRule="exact"/>
              <w:rPr>
                <w:sz w:val="20"/>
                <w:szCs w:val="20"/>
                <w:color w:val="auto"/>
              </w:rPr>
            </w:pPr>
            <w:r>
              <w:rPr>
                <w:rFonts w:ascii="Arial" w:cs="Arial" w:eastAsia="Arial" w:hAnsi="Arial"/>
                <w:sz w:val="18"/>
                <w:szCs w:val="18"/>
                <w:color w:val="auto"/>
              </w:rPr>
              <w:t>396,140*</w:t>
            </w:r>
          </w:p>
        </w:tc>
      </w:tr>
      <w:tr>
        <w:trPr>
          <w:trHeight w:val="203"/>
        </w:trPr>
        <w:tc>
          <w:tcPr>
            <w:tcW w:w="3940" w:type="dxa"/>
            <w:vAlign w:val="bottom"/>
            <w:shd w:val="clear" w:color="auto" w:fill="ACABA7"/>
          </w:tcPr>
          <w:p>
            <w:pPr>
              <w:ind w:left="100"/>
              <w:spacing w:after="0" w:line="202" w:lineRule="exact"/>
              <w:rPr>
                <w:sz w:val="20"/>
                <w:szCs w:val="20"/>
                <w:color w:val="auto"/>
              </w:rPr>
            </w:pPr>
            <w:r>
              <w:rPr>
                <w:rFonts w:ascii="Arial" w:cs="Arial" w:eastAsia="Arial" w:hAnsi="Arial"/>
                <w:sz w:val="18"/>
                <w:szCs w:val="18"/>
                <w:color w:val="auto"/>
              </w:rPr>
              <w:t>Harry M.J. Kraemer, Jr.</w:t>
            </w:r>
          </w:p>
        </w:tc>
        <w:tc>
          <w:tcPr>
            <w:tcW w:w="6660" w:type="dxa"/>
            <w:vAlign w:val="bottom"/>
            <w:shd w:val="clear" w:color="auto" w:fill="ACABA7"/>
          </w:tcPr>
          <w:p>
            <w:pPr>
              <w:jc w:val="right"/>
              <w:ind w:right="2130"/>
              <w:spacing w:after="0" w:line="202" w:lineRule="exact"/>
              <w:rPr>
                <w:sz w:val="20"/>
                <w:szCs w:val="20"/>
                <w:color w:val="auto"/>
              </w:rPr>
            </w:pPr>
            <w:r>
              <w:rPr>
                <w:rFonts w:ascii="Arial" w:cs="Arial" w:eastAsia="Arial" w:hAnsi="Arial"/>
                <w:sz w:val="18"/>
                <w:szCs w:val="18"/>
                <w:color w:val="auto"/>
              </w:rPr>
              <w:t>51,528</w:t>
            </w:r>
          </w:p>
        </w:tc>
      </w:tr>
      <w:tr>
        <w:trPr>
          <w:trHeight w:val="203"/>
        </w:trPr>
        <w:tc>
          <w:tcPr>
            <w:tcW w:w="3940" w:type="dxa"/>
            <w:vAlign w:val="bottom"/>
          </w:tcPr>
          <w:p>
            <w:pPr>
              <w:ind w:left="100"/>
              <w:spacing w:after="0" w:line="202" w:lineRule="exact"/>
              <w:rPr>
                <w:sz w:val="20"/>
                <w:szCs w:val="20"/>
                <w:color w:val="auto"/>
              </w:rPr>
            </w:pPr>
            <w:r>
              <w:rPr>
                <w:rFonts w:ascii="Arial" w:cs="Arial" w:eastAsia="Arial" w:hAnsi="Arial"/>
                <w:sz w:val="18"/>
                <w:szCs w:val="18"/>
                <w:color w:val="auto"/>
              </w:rPr>
              <w:t>Gary S. May</w:t>
            </w:r>
          </w:p>
        </w:tc>
        <w:tc>
          <w:tcPr>
            <w:tcW w:w="6660" w:type="dxa"/>
            <w:vAlign w:val="bottom"/>
          </w:tcPr>
          <w:p>
            <w:pPr>
              <w:jc w:val="right"/>
              <w:ind w:right="2130"/>
              <w:spacing w:after="0" w:line="202" w:lineRule="exact"/>
              <w:rPr>
                <w:sz w:val="20"/>
                <w:szCs w:val="20"/>
                <w:color w:val="auto"/>
              </w:rPr>
            </w:pPr>
            <w:r>
              <w:rPr>
                <w:rFonts w:ascii="Arial" w:cs="Arial" w:eastAsia="Arial" w:hAnsi="Arial"/>
                <w:sz w:val="18"/>
                <w:szCs w:val="18"/>
                <w:color w:val="auto"/>
              </w:rPr>
              <w:t>19,346</w:t>
            </w:r>
          </w:p>
        </w:tc>
      </w:tr>
      <w:tr>
        <w:trPr>
          <w:trHeight w:val="203"/>
        </w:trPr>
        <w:tc>
          <w:tcPr>
            <w:tcW w:w="3940" w:type="dxa"/>
            <w:vAlign w:val="bottom"/>
            <w:shd w:val="clear" w:color="auto" w:fill="ACABA7"/>
          </w:tcPr>
          <w:p>
            <w:pPr>
              <w:ind w:left="100"/>
              <w:spacing w:after="0" w:line="202" w:lineRule="exact"/>
              <w:rPr>
                <w:sz w:val="20"/>
                <w:szCs w:val="20"/>
                <w:color w:val="auto"/>
              </w:rPr>
            </w:pPr>
            <w:r>
              <w:rPr>
                <w:rFonts w:ascii="Arial" w:cs="Arial" w:eastAsia="Arial" w:hAnsi="Arial"/>
                <w:sz w:val="18"/>
                <w:szCs w:val="18"/>
                <w:color w:val="auto"/>
              </w:rPr>
              <w:t>Surya N. Mohapatra</w:t>
            </w:r>
          </w:p>
        </w:tc>
        <w:tc>
          <w:tcPr>
            <w:tcW w:w="6660" w:type="dxa"/>
            <w:vAlign w:val="bottom"/>
            <w:shd w:val="clear" w:color="auto" w:fill="ACABA7"/>
          </w:tcPr>
          <w:p>
            <w:pPr>
              <w:jc w:val="right"/>
              <w:ind w:right="2130"/>
              <w:spacing w:after="0" w:line="202" w:lineRule="exact"/>
              <w:rPr>
                <w:sz w:val="20"/>
                <w:szCs w:val="20"/>
                <w:color w:val="auto"/>
              </w:rPr>
            </w:pPr>
            <w:r>
              <w:rPr>
                <w:rFonts w:ascii="Arial" w:cs="Arial" w:eastAsia="Arial" w:hAnsi="Arial"/>
                <w:sz w:val="18"/>
                <w:szCs w:val="18"/>
                <w:color w:val="auto"/>
              </w:rPr>
              <w:t>5,193</w:t>
            </w:r>
          </w:p>
        </w:tc>
      </w:tr>
      <w:tr>
        <w:trPr>
          <w:trHeight w:val="203"/>
        </w:trPr>
        <w:tc>
          <w:tcPr>
            <w:tcW w:w="3940" w:type="dxa"/>
            <w:vAlign w:val="bottom"/>
          </w:tcPr>
          <w:p>
            <w:pPr>
              <w:ind w:left="100"/>
              <w:spacing w:after="0" w:line="202" w:lineRule="exact"/>
              <w:rPr>
                <w:sz w:val="20"/>
                <w:szCs w:val="20"/>
                <w:color w:val="auto"/>
              </w:rPr>
            </w:pPr>
            <w:r>
              <w:rPr>
                <w:rFonts w:ascii="Arial" w:cs="Arial" w:eastAsia="Arial" w:hAnsi="Arial"/>
                <w:sz w:val="18"/>
                <w:szCs w:val="18"/>
                <w:color w:val="auto"/>
              </w:rPr>
              <w:t>Lawrence C. Nussdorf</w:t>
            </w:r>
          </w:p>
        </w:tc>
        <w:tc>
          <w:tcPr>
            <w:tcW w:w="6660" w:type="dxa"/>
            <w:vAlign w:val="bottom"/>
          </w:tcPr>
          <w:p>
            <w:pPr>
              <w:jc w:val="right"/>
              <w:ind w:right="2130"/>
              <w:spacing w:after="0" w:line="202" w:lineRule="exact"/>
              <w:rPr>
                <w:sz w:val="20"/>
                <w:szCs w:val="20"/>
                <w:color w:val="auto"/>
              </w:rPr>
            </w:pPr>
            <w:r>
              <w:rPr>
                <w:rFonts w:ascii="Arial" w:cs="Arial" w:eastAsia="Arial" w:hAnsi="Arial"/>
                <w:sz w:val="18"/>
                <w:szCs w:val="18"/>
                <w:color w:val="auto"/>
              </w:rPr>
              <w:t>51,528</w:t>
            </w:r>
          </w:p>
        </w:tc>
      </w:tr>
      <w:tr>
        <w:trPr>
          <w:trHeight w:val="203"/>
        </w:trPr>
        <w:tc>
          <w:tcPr>
            <w:tcW w:w="3940" w:type="dxa"/>
            <w:vAlign w:val="bottom"/>
            <w:shd w:val="clear" w:color="auto" w:fill="ACABA7"/>
          </w:tcPr>
          <w:p>
            <w:pPr>
              <w:ind w:left="100"/>
              <w:spacing w:after="0" w:line="202" w:lineRule="exact"/>
              <w:rPr>
                <w:sz w:val="20"/>
                <w:szCs w:val="20"/>
                <w:color w:val="auto"/>
              </w:rPr>
            </w:pPr>
            <w:r>
              <w:rPr>
                <w:rFonts w:ascii="Arial" w:cs="Arial" w:eastAsia="Arial" w:hAnsi="Arial"/>
                <w:sz w:val="18"/>
                <w:szCs w:val="18"/>
                <w:color w:val="auto"/>
              </w:rPr>
              <w:t>Robert S. Shapard</w:t>
            </w:r>
          </w:p>
        </w:tc>
        <w:tc>
          <w:tcPr>
            <w:tcW w:w="6660" w:type="dxa"/>
            <w:vAlign w:val="bottom"/>
            <w:shd w:val="clear" w:color="auto" w:fill="ACABA7"/>
          </w:tcPr>
          <w:p>
            <w:pPr>
              <w:jc w:val="right"/>
              <w:ind w:right="2130"/>
              <w:spacing w:after="0" w:line="202" w:lineRule="exact"/>
              <w:rPr>
                <w:sz w:val="20"/>
                <w:szCs w:val="20"/>
                <w:color w:val="auto"/>
              </w:rPr>
            </w:pPr>
            <w:r>
              <w:rPr>
                <w:rFonts w:ascii="Arial" w:cs="Arial" w:eastAsia="Arial" w:hAnsi="Arial"/>
                <w:sz w:val="18"/>
                <w:szCs w:val="18"/>
                <w:color w:val="auto"/>
              </w:rPr>
              <w:t>37,545</w:t>
            </w:r>
          </w:p>
        </w:tc>
      </w:tr>
      <w:tr>
        <w:trPr>
          <w:trHeight w:val="203"/>
        </w:trPr>
        <w:tc>
          <w:tcPr>
            <w:tcW w:w="3940" w:type="dxa"/>
            <w:vAlign w:val="bottom"/>
          </w:tcPr>
          <w:p>
            <w:pPr>
              <w:ind w:left="100"/>
              <w:spacing w:after="0" w:line="202" w:lineRule="exact"/>
              <w:rPr>
                <w:sz w:val="20"/>
                <w:szCs w:val="20"/>
                <w:color w:val="auto"/>
              </w:rPr>
            </w:pPr>
            <w:r>
              <w:rPr>
                <w:rFonts w:ascii="Arial" w:cs="Arial" w:eastAsia="Arial" w:hAnsi="Arial"/>
                <w:sz w:val="18"/>
                <w:szCs w:val="18"/>
                <w:color w:val="auto"/>
              </w:rPr>
              <w:t>Susan M. Stalnecker</w:t>
            </w:r>
          </w:p>
        </w:tc>
        <w:tc>
          <w:tcPr>
            <w:tcW w:w="6660" w:type="dxa"/>
            <w:vAlign w:val="bottom"/>
          </w:tcPr>
          <w:p>
            <w:pPr>
              <w:jc w:val="right"/>
              <w:ind w:right="2130"/>
              <w:spacing w:after="0" w:line="202" w:lineRule="exact"/>
              <w:rPr>
                <w:sz w:val="20"/>
                <w:szCs w:val="20"/>
                <w:color w:val="auto"/>
              </w:rPr>
            </w:pPr>
            <w:r>
              <w:rPr>
                <w:rFonts w:ascii="Arial" w:cs="Arial" w:eastAsia="Arial" w:hAnsi="Arial"/>
                <w:sz w:val="18"/>
                <w:szCs w:val="18"/>
                <w:color w:val="auto"/>
              </w:rPr>
              <w:t>5,193</w:t>
            </w:r>
          </w:p>
        </w:tc>
      </w:tr>
      <w:tr>
        <w:trPr>
          <w:trHeight w:val="203"/>
        </w:trPr>
        <w:tc>
          <w:tcPr>
            <w:tcW w:w="3940" w:type="dxa"/>
            <w:vAlign w:val="bottom"/>
            <w:shd w:val="clear" w:color="auto" w:fill="ACABA7"/>
          </w:tcPr>
          <w:p>
            <w:pPr>
              <w:ind w:left="100"/>
              <w:spacing w:after="0" w:line="202" w:lineRule="exact"/>
              <w:rPr>
                <w:sz w:val="20"/>
                <w:szCs w:val="20"/>
                <w:color w:val="auto"/>
              </w:rPr>
            </w:pPr>
            <w:r>
              <w:rPr>
                <w:rFonts w:ascii="Arial" w:cs="Arial" w:eastAsia="Arial" w:hAnsi="Arial"/>
                <w:sz w:val="18"/>
                <w:szCs w:val="18"/>
                <w:color w:val="auto"/>
              </w:rPr>
              <w:t>Noel B. Williams</w:t>
            </w:r>
          </w:p>
        </w:tc>
        <w:tc>
          <w:tcPr>
            <w:tcW w:w="6660" w:type="dxa"/>
            <w:vAlign w:val="bottom"/>
            <w:shd w:val="clear" w:color="auto" w:fill="ACABA7"/>
          </w:tcPr>
          <w:p>
            <w:pPr>
              <w:jc w:val="right"/>
              <w:ind w:right="2130"/>
              <w:spacing w:after="0" w:line="202" w:lineRule="exact"/>
              <w:rPr>
                <w:sz w:val="20"/>
                <w:szCs w:val="20"/>
                <w:color w:val="auto"/>
              </w:rPr>
            </w:pPr>
            <w:r>
              <w:rPr>
                <w:rFonts w:ascii="Arial" w:cs="Arial" w:eastAsia="Arial" w:hAnsi="Arial"/>
                <w:sz w:val="18"/>
                <w:szCs w:val="18"/>
                <w:color w:val="auto"/>
              </w:rPr>
              <w:t>37,545</w:t>
            </w:r>
          </w:p>
        </w:tc>
      </w:tr>
    </w:tbl>
    <w:p>
      <w:pPr>
        <w:spacing w:after="0" w:line="53" w:lineRule="exact"/>
        <w:rPr>
          <w:sz w:val="20"/>
          <w:szCs w:val="20"/>
          <w:color w:val="auto"/>
        </w:rPr>
      </w:pPr>
    </w:p>
    <w:p>
      <w:pPr>
        <w:ind w:left="800"/>
        <w:spacing w:after="0"/>
        <w:rPr>
          <w:sz w:val="20"/>
          <w:szCs w:val="20"/>
          <w:color w:val="auto"/>
        </w:rPr>
      </w:pPr>
      <w:r>
        <w:rPr>
          <w:rFonts w:ascii="Arial" w:cs="Arial" w:eastAsia="Arial" w:hAnsi="Arial"/>
          <w:sz w:val="18"/>
          <w:szCs w:val="18"/>
          <w:color w:val="auto"/>
        </w:rPr>
        <w:t>* Some of the stock options held by Mr. Jumper were earned in his capacity as our Chief Executive Officer.</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483E65"/>
        </w:rPr>
        <w:t>Related Party Transactions</w:t>
      </w:r>
    </w:p>
    <w:p>
      <w:pPr>
        <w:spacing w:after="0" w:line="234" w:lineRule="exact"/>
        <w:rPr>
          <w:sz w:val="20"/>
          <w:szCs w:val="20"/>
          <w:color w:val="auto"/>
        </w:rPr>
      </w:pPr>
    </w:p>
    <w:p>
      <w:pPr>
        <w:ind w:right="280"/>
        <w:spacing w:after="0" w:line="238" w:lineRule="auto"/>
        <w:rPr>
          <w:sz w:val="20"/>
          <w:szCs w:val="20"/>
          <w:color w:val="auto"/>
        </w:rPr>
      </w:pPr>
      <w:r>
        <w:rPr>
          <w:rFonts w:ascii="Arial" w:cs="Arial" w:eastAsia="Arial" w:hAnsi="Arial"/>
          <w:sz w:val="18"/>
          <w:szCs w:val="18"/>
          <w:color w:val="auto"/>
        </w:rPr>
        <w:t>The Board has adopted written policies and procedures for the review and approval of transactions between us and certain “related parties,” which are generally considered to be our directors and executive officers, nominees for director, holders of five percent or more of our outstanding capital stock and members of their immediate families. The Board has delegated to the Ethics and Corporate Responsibility Committee the authority to review and approve the material terms of any proposed related party transaction. If a proposed related party transaction involves a non-employee director or nominee for election</w:t>
      </w:r>
    </w:p>
    <w:p>
      <w:pPr>
        <w:spacing w:after="0" w:line="118" w:lineRule="exact"/>
        <w:rPr>
          <w:sz w:val="20"/>
          <w:szCs w:val="20"/>
          <w:color w:val="auto"/>
        </w:rPr>
      </w:pPr>
    </w:p>
    <w:p>
      <w:pPr>
        <w:spacing w:after="0"/>
        <w:tabs>
          <w:tab w:leader="none" w:pos="340" w:val="left"/>
          <w:tab w:leader="none" w:pos="580" w:val="left"/>
        </w:tabs>
        <w:rPr>
          <w:sz w:val="20"/>
          <w:szCs w:val="20"/>
          <w:color w:val="auto"/>
        </w:rPr>
      </w:pPr>
      <w:r>
        <w:rPr>
          <w:rFonts w:ascii="Arial" w:cs="Arial" w:eastAsia="Arial" w:hAnsi="Arial"/>
          <w:sz w:val="16"/>
          <w:szCs w:val="16"/>
          <w:b w:val="1"/>
          <w:bCs w:val="1"/>
          <w:color w:val="483E65"/>
        </w:rPr>
        <w:t>20</w:t>
        <w:tab/>
        <w:t>|</w:t>
        <w:tab/>
        <w:t>2017 Proxy Statement</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8" w:lineRule="exact"/>
        <w:rPr>
          <w:sz w:val="20"/>
          <w:szCs w:val="20"/>
          <w:color w:val="auto"/>
        </w:rPr>
      </w:pPr>
    </w:p>
    <w:p>
      <w:pPr>
        <w:spacing w:after="0"/>
        <w:rPr>
          <w:sz w:val="20"/>
          <w:szCs w:val="20"/>
          <w:color w:val="auto"/>
        </w:rPr>
      </w:pPr>
      <w:r>
        <w:rPr>
          <w:rFonts w:ascii="Arial" w:cs="Arial" w:eastAsia="Arial" w:hAnsi="Arial"/>
          <w:sz w:val="32"/>
          <w:szCs w:val="32"/>
          <w:color w:val="483E65"/>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149860</wp:posOffset>
            </wp:positionV>
            <wp:extent cx="724662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18"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as a director and may be material to a consideration of that person’s independence, the matter is also considered by the Chair of the Board and the Chair of the Nominating and Corporate Governance Committee.</w:t>
      </w:r>
    </w:p>
    <w:p>
      <w:pPr>
        <w:spacing w:after="0" w:line="197"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In determining whether to approve or ratify a related party transaction, the Ethics and Corporate Responsibility Committee considers, among other factors it deems appropriate, the potential benefits to us, the impact on a director’s or nominee’s independence or an executive officer’s relationship with or service to us, whether the related party transaction is on terms no less favorable than terms generally available to an unaffiliated third-party under the same or similar circumstances and the extent of the related party’s interest in the transaction. In deciding to approve a transaction, the Committee may, in its sole discretion, impose such conditions as it deems appropriate on us or the related party. Any transactions involving the compensation of executive officers, however, are to be reviewed and approved by the Human Resources and Compensation Committee. If a related party transaction will be ongoing, the Ethics and Corporate Responsibility Committee may establish guidelines to be followed in our ongoing dealings with the related party. Thereafter, the Ethics and Corporate Responsibility Committee will review and assess ongoing relationships with the related party on at least an annual basis to determine whether they are in compliance with the Committee’s guidelines and that the related party transaction remains appropriate.</w:t>
      </w:r>
    </w:p>
    <w:p>
      <w:pPr>
        <w:spacing w:after="0" w:line="207"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We engage in transactions and have relationships with many entities, including educational and professional organizations, in the ordinary course of our business. Some of our directors, executive officers or their immediate family members may be directors, officers, partners, employees or stockholders of these entities. We carry out transactions with these firms on customary terms. There were no transactions during fiscal 2016 in which any related party had a direct or indirect material interest.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483E65"/>
        </w:rPr>
        <w:t>Communications with the Board of Directors</w:t>
      </w:r>
    </w:p>
    <w:p>
      <w:pPr>
        <w:spacing w:after="0" w:line="234" w:lineRule="exact"/>
        <w:rPr>
          <w:sz w:val="20"/>
          <w:szCs w:val="20"/>
          <w:color w:val="auto"/>
        </w:rPr>
      </w:pPr>
    </w:p>
    <w:p>
      <w:pPr>
        <w:ind w:right="220"/>
        <w:spacing w:after="0" w:line="246" w:lineRule="auto"/>
        <w:rPr>
          <w:sz w:val="20"/>
          <w:szCs w:val="20"/>
          <w:color w:val="auto"/>
        </w:rPr>
      </w:pPr>
      <w:r>
        <w:rPr>
          <w:rFonts w:ascii="Arial" w:cs="Arial" w:eastAsia="Arial" w:hAnsi="Arial"/>
          <w:sz w:val="18"/>
          <w:szCs w:val="18"/>
          <w:color w:val="auto"/>
        </w:rPr>
        <w:t>Stockholders and other interested parties may communicate with any of the independent directors, including Committee Chairs and the Lead Director, by using the following address:</w:t>
      </w:r>
    </w:p>
    <w:p>
      <w:pPr>
        <w:spacing w:after="0" w:line="193" w:lineRule="exact"/>
        <w:rPr>
          <w:sz w:val="20"/>
          <w:szCs w:val="20"/>
          <w:color w:val="auto"/>
        </w:rPr>
      </w:pPr>
    </w:p>
    <w:p>
      <w:pPr>
        <w:ind w:left="800"/>
        <w:spacing w:after="0"/>
        <w:rPr>
          <w:sz w:val="20"/>
          <w:szCs w:val="20"/>
          <w:color w:val="auto"/>
        </w:rPr>
      </w:pPr>
      <w:r>
        <w:rPr>
          <w:rFonts w:ascii="Arial" w:cs="Arial" w:eastAsia="Arial" w:hAnsi="Arial"/>
          <w:sz w:val="18"/>
          <w:szCs w:val="18"/>
          <w:color w:val="auto"/>
        </w:rPr>
        <w:t>Leidos Holdings, Inc.</w:t>
      </w:r>
    </w:p>
    <w:p>
      <w:pPr>
        <w:ind w:left="800"/>
        <w:spacing w:after="0" w:line="234" w:lineRule="auto"/>
        <w:rPr>
          <w:sz w:val="20"/>
          <w:szCs w:val="20"/>
          <w:color w:val="auto"/>
        </w:rPr>
      </w:pPr>
      <w:r>
        <w:rPr>
          <w:rFonts w:ascii="Arial" w:cs="Arial" w:eastAsia="Arial" w:hAnsi="Arial"/>
          <w:sz w:val="18"/>
          <w:szCs w:val="18"/>
          <w:color w:val="auto"/>
        </w:rPr>
        <w:t>Office of the Corporate Secretary</w:t>
      </w:r>
    </w:p>
    <w:p>
      <w:pPr>
        <w:ind w:left="800"/>
        <w:spacing w:after="0" w:line="235" w:lineRule="auto"/>
        <w:rPr>
          <w:sz w:val="20"/>
          <w:szCs w:val="20"/>
          <w:color w:val="auto"/>
        </w:rPr>
      </w:pPr>
      <w:r>
        <w:rPr>
          <w:rFonts w:ascii="Arial" w:cs="Arial" w:eastAsia="Arial" w:hAnsi="Arial"/>
          <w:sz w:val="18"/>
          <w:szCs w:val="18"/>
          <w:color w:val="auto"/>
        </w:rPr>
        <w:t>11951 Freedom Drive</w:t>
      </w:r>
    </w:p>
    <w:p>
      <w:pPr>
        <w:spacing w:after="0" w:line="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Reston, Virginia 20190</w:t>
      </w:r>
    </w:p>
    <w:p>
      <w:pPr>
        <w:spacing w:after="0" w:line="212"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Each communication should specify the intended recipient(s). The Office of the Corporate Secretary will initially process the communications, summarize lengthy or repetitive communications and forward them to the applicable member(s) of the Board as appropriate. Communications may also be referred to other departments within the Company for action and resolution. The Company will refrain from forwarding to the Board any communication that it determines to be primarily commercial in nature, mass mailings, resumes or job inquiries, any communication that relates to an improper or irrelevant topic, or that requests general information about the Company.</w:t>
      </w:r>
    </w:p>
    <w:p>
      <w:pPr>
        <w:spacing w:after="0" w:line="118" w:lineRule="exact"/>
        <w:rPr>
          <w:sz w:val="20"/>
          <w:szCs w:val="20"/>
          <w:color w:val="auto"/>
        </w:rPr>
      </w:pPr>
    </w:p>
    <w:p>
      <w:pPr>
        <w:jc w:val="right"/>
        <w:spacing w:after="0"/>
        <w:tabs>
          <w:tab w:leader="none" w:pos="380" w:val="left"/>
          <w:tab w:leader="none" w:pos="160" w:val="left"/>
        </w:tabs>
        <w:rPr>
          <w:sz w:val="20"/>
          <w:szCs w:val="20"/>
          <w:color w:val="auto"/>
        </w:rPr>
      </w:pPr>
      <w:r>
        <w:rPr>
          <w:rFonts w:ascii="Arial" w:cs="Arial" w:eastAsia="Arial" w:hAnsi="Arial"/>
          <w:sz w:val="16"/>
          <w:szCs w:val="16"/>
          <w:b w:val="1"/>
          <w:bCs w:val="1"/>
          <w:color w:val="483E65"/>
        </w:rPr>
        <w:t>2017 Proxy Statement</w:t>
        <w:tab/>
        <w:t>|</w:t>
        <w:tab/>
        <w:t>21</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8" w:lineRule="exact"/>
        <w:rPr>
          <w:sz w:val="20"/>
          <w:szCs w:val="20"/>
          <w:color w:val="auto"/>
        </w:rPr>
      </w:pPr>
    </w:p>
    <w:p>
      <w:pPr>
        <w:spacing w:after="0"/>
        <w:rPr>
          <w:sz w:val="20"/>
          <w:szCs w:val="20"/>
          <w:color w:val="auto"/>
        </w:rPr>
      </w:pPr>
      <w:r>
        <w:rPr>
          <w:rFonts w:ascii="Arial" w:cs="Arial" w:eastAsia="Arial" w:hAnsi="Arial"/>
          <w:sz w:val="32"/>
          <w:szCs w:val="32"/>
          <w:color w:val="483E65"/>
        </w:rPr>
        <w:t>Proposal 2 – Advisory Vote on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149860</wp:posOffset>
            </wp:positionV>
            <wp:extent cx="724662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18" w:lineRule="exact"/>
        <w:rPr>
          <w:sz w:val="20"/>
          <w:szCs w:val="20"/>
          <w:color w:val="auto"/>
        </w:rPr>
      </w:pPr>
    </w:p>
    <w:p>
      <w:pPr>
        <w:ind w:right="280"/>
        <w:spacing w:after="0" w:line="246" w:lineRule="auto"/>
        <w:rPr>
          <w:sz w:val="20"/>
          <w:szCs w:val="20"/>
          <w:color w:val="auto"/>
        </w:rPr>
      </w:pPr>
      <w:r>
        <w:rPr>
          <w:rFonts w:ascii="Arial" w:cs="Arial" w:eastAsia="Arial" w:hAnsi="Arial"/>
          <w:sz w:val="18"/>
          <w:szCs w:val="18"/>
          <w:color w:val="auto"/>
        </w:rPr>
        <w:t>We are providing our stockholders with the opportunity to vote to approve, on a nonbinding, advisory basis, the compensation of our named executive officers as disclosed in this proxy statement in accordance with the compensation disclosure rules of the SEC.</w:t>
      </w:r>
    </w:p>
    <w:p>
      <w:pPr>
        <w:spacing w:after="0" w:line="197" w:lineRule="exact"/>
        <w:rPr>
          <w:sz w:val="20"/>
          <w:szCs w:val="20"/>
          <w:color w:val="auto"/>
        </w:rPr>
      </w:pPr>
    </w:p>
    <w:p>
      <w:pPr>
        <w:ind w:right="40"/>
        <w:spacing w:after="0"/>
        <w:rPr>
          <w:sz w:val="20"/>
          <w:szCs w:val="20"/>
          <w:color w:val="auto"/>
        </w:rPr>
      </w:pPr>
      <w:r>
        <w:rPr>
          <w:rFonts w:ascii="Arial" w:cs="Arial" w:eastAsia="Arial" w:hAnsi="Arial"/>
          <w:sz w:val="18"/>
          <w:szCs w:val="18"/>
          <w:color w:val="auto"/>
        </w:rPr>
        <w:t>We urge stockholders to read our Compensation Discussion and Analysis (“CD&amp;A”), which describes in detail how we seek to closely align the interests of our named executive officers with the interests of our stockholders. As described in the CD&amp;A, our compensation programs are designed to:</w:t>
      </w:r>
    </w:p>
    <w:p>
      <w:pPr>
        <w:spacing w:after="0" w:line="108" w:lineRule="exact"/>
        <w:rPr>
          <w:sz w:val="20"/>
          <w:szCs w:val="20"/>
          <w:color w:val="auto"/>
        </w:rPr>
      </w:pPr>
    </w:p>
    <w:p>
      <w:pPr>
        <w:ind w:left="560" w:right="100" w:hanging="444"/>
        <w:spacing w:after="0"/>
        <w:tabs>
          <w:tab w:leader="none" w:pos="560" w:val="left"/>
        </w:tabs>
        <w:numPr>
          <w:ilvl w:val="0"/>
          <w:numId w:val="31"/>
        </w:numPr>
        <w:rPr>
          <w:rFonts w:ascii="Arial" w:cs="Arial" w:eastAsia="Arial" w:hAnsi="Arial"/>
          <w:sz w:val="15"/>
          <w:szCs w:val="15"/>
          <w:color w:val="77387A"/>
        </w:rPr>
      </w:pPr>
      <w:r>
        <w:rPr>
          <w:rFonts w:ascii="Arial" w:cs="Arial" w:eastAsia="Arial" w:hAnsi="Arial"/>
          <w:sz w:val="18"/>
          <w:szCs w:val="18"/>
          <w:color w:val="auto"/>
        </w:rPr>
        <w:t>pay for performance by tying a substantial majority of an executive’s compensation to the achievement of financial and other performance measures that the Board believes promote the creation of long-term stockholder value and position the company for long-term success;</w:t>
      </w:r>
    </w:p>
    <w:p>
      <w:pPr>
        <w:spacing w:after="0" w:line="108" w:lineRule="exact"/>
        <w:rPr>
          <w:rFonts w:ascii="Arial" w:cs="Arial" w:eastAsia="Arial" w:hAnsi="Arial"/>
          <w:sz w:val="15"/>
          <w:szCs w:val="15"/>
          <w:color w:val="77387A"/>
        </w:rPr>
      </w:pPr>
    </w:p>
    <w:p>
      <w:pPr>
        <w:ind w:left="560" w:right="20" w:hanging="444"/>
        <w:spacing w:after="0" w:line="246" w:lineRule="auto"/>
        <w:tabs>
          <w:tab w:leader="none" w:pos="560" w:val="left"/>
        </w:tabs>
        <w:numPr>
          <w:ilvl w:val="0"/>
          <w:numId w:val="31"/>
        </w:numPr>
        <w:rPr>
          <w:rFonts w:ascii="Arial" w:cs="Arial" w:eastAsia="Arial" w:hAnsi="Arial"/>
          <w:sz w:val="15"/>
          <w:szCs w:val="15"/>
          <w:color w:val="77387A"/>
        </w:rPr>
      </w:pPr>
      <w:r>
        <w:rPr>
          <w:rFonts w:ascii="Arial" w:cs="Arial" w:eastAsia="Arial" w:hAnsi="Arial"/>
          <w:sz w:val="18"/>
          <w:szCs w:val="18"/>
          <w:color w:val="auto"/>
        </w:rPr>
        <w:t>provide the same types of benefits for executives as other employees, with no special or supplemental pension, health or death benefits for executives;</w:t>
      </w:r>
    </w:p>
    <w:p>
      <w:pPr>
        <w:spacing w:after="0" w:line="102" w:lineRule="exact"/>
        <w:rPr>
          <w:rFonts w:ascii="Arial" w:cs="Arial" w:eastAsia="Arial" w:hAnsi="Arial"/>
          <w:sz w:val="15"/>
          <w:szCs w:val="15"/>
          <w:color w:val="77387A"/>
        </w:rPr>
      </w:pPr>
    </w:p>
    <w:p>
      <w:pPr>
        <w:ind w:left="560" w:hanging="444"/>
        <w:spacing w:after="0"/>
        <w:tabs>
          <w:tab w:leader="none" w:pos="560" w:val="left"/>
        </w:tabs>
        <w:numPr>
          <w:ilvl w:val="0"/>
          <w:numId w:val="31"/>
        </w:numPr>
        <w:rPr>
          <w:rFonts w:ascii="Arial" w:cs="Arial" w:eastAsia="Arial" w:hAnsi="Arial"/>
          <w:sz w:val="15"/>
          <w:szCs w:val="15"/>
          <w:color w:val="77387A"/>
        </w:rPr>
      </w:pPr>
      <w:r>
        <w:rPr>
          <w:rFonts w:ascii="Arial" w:cs="Arial" w:eastAsia="Arial" w:hAnsi="Arial"/>
          <w:sz w:val="18"/>
          <w:szCs w:val="18"/>
          <w:color w:val="auto"/>
        </w:rPr>
        <w:t>target total direct compensation at approximately the median among companies with which we compete for executive talent;</w:t>
      </w:r>
    </w:p>
    <w:p>
      <w:pPr>
        <w:spacing w:after="0" w:line="130" w:lineRule="exact"/>
        <w:rPr>
          <w:rFonts w:ascii="Arial" w:cs="Arial" w:eastAsia="Arial" w:hAnsi="Arial"/>
          <w:sz w:val="15"/>
          <w:szCs w:val="15"/>
          <w:color w:val="77387A"/>
        </w:rPr>
      </w:pPr>
    </w:p>
    <w:p>
      <w:pPr>
        <w:ind w:left="560" w:right="20" w:hanging="444"/>
        <w:spacing w:after="0" w:line="246" w:lineRule="auto"/>
        <w:tabs>
          <w:tab w:leader="none" w:pos="560" w:val="left"/>
        </w:tabs>
        <w:numPr>
          <w:ilvl w:val="0"/>
          <w:numId w:val="31"/>
        </w:numPr>
        <w:rPr>
          <w:rFonts w:ascii="Arial" w:cs="Arial" w:eastAsia="Arial" w:hAnsi="Arial"/>
          <w:sz w:val="15"/>
          <w:szCs w:val="15"/>
          <w:color w:val="77387A"/>
        </w:rPr>
      </w:pPr>
      <w:r>
        <w:rPr>
          <w:rFonts w:ascii="Arial" w:cs="Arial" w:eastAsia="Arial" w:hAnsi="Arial"/>
          <w:sz w:val="18"/>
          <w:szCs w:val="18"/>
          <w:color w:val="auto"/>
        </w:rPr>
        <w:t>enable us to recover, or “clawback,” incentive compensation if there is any material restatement of our financial results or if an executive is involved in misconduct;</w:t>
      </w:r>
    </w:p>
    <w:p>
      <w:pPr>
        <w:spacing w:after="0" w:line="102" w:lineRule="exact"/>
        <w:rPr>
          <w:rFonts w:ascii="Arial" w:cs="Arial" w:eastAsia="Arial" w:hAnsi="Arial"/>
          <w:sz w:val="15"/>
          <w:szCs w:val="15"/>
          <w:color w:val="77387A"/>
        </w:rPr>
      </w:pPr>
    </w:p>
    <w:p>
      <w:pPr>
        <w:ind w:left="560" w:hanging="444"/>
        <w:spacing w:after="0"/>
        <w:tabs>
          <w:tab w:leader="none" w:pos="560" w:val="left"/>
        </w:tabs>
        <w:numPr>
          <w:ilvl w:val="0"/>
          <w:numId w:val="31"/>
        </w:numPr>
        <w:rPr>
          <w:rFonts w:ascii="Arial" w:cs="Arial" w:eastAsia="Arial" w:hAnsi="Arial"/>
          <w:sz w:val="15"/>
          <w:szCs w:val="15"/>
          <w:color w:val="77387A"/>
        </w:rPr>
      </w:pPr>
      <w:r>
        <w:rPr>
          <w:rFonts w:ascii="Arial" w:cs="Arial" w:eastAsia="Arial" w:hAnsi="Arial"/>
          <w:sz w:val="18"/>
          <w:szCs w:val="18"/>
          <w:color w:val="auto"/>
        </w:rPr>
        <w:t>require our executives to own a significant amount of our stock;</w:t>
      </w:r>
    </w:p>
    <w:p>
      <w:pPr>
        <w:spacing w:after="0" w:line="130" w:lineRule="exact"/>
        <w:rPr>
          <w:rFonts w:ascii="Arial" w:cs="Arial" w:eastAsia="Arial" w:hAnsi="Arial"/>
          <w:sz w:val="15"/>
          <w:szCs w:val="15"/>
          <w:color w:val="77387A"/>
        </w:rPr>
      </w:pPr>
    </w:p>
    <w:p>
      <w:pPr>
        <w:ind w:left="560" w:hanging="444"/>
        <w:spacing w:after="0"/>
        <w:tabs>
          <w:tab w:leader="none" w:pos="560" w:val="left"/>
        </w:tabs>
        <w:numPr>
          <w:ilvl w:val="0"/>
          <w:numId w:val="31"/>
        </w:numPr>
        <w:rPr>
          <w:rFonts w:ascii="Arial" w:cs="Arial" w:eastAsia="Arial" w:hAnsi="Arial"/>
          <w:sz w:val="15"/>
          <w:szCs w:val="15"/>
          <w:color w:val="77387A"/>
        </w:rPr>
      </w:pPr>
      <w:r>
        <w:rPr>
          <w:rFonts w:ascii="Arial" w:cs="Arial" w:eastAsia="Arial" w:hAnsi="Arial"/>
          <w:sz w:val="18"/>
          <w:szCs w:val="18"/>
          <w:color w:val="auto"/>
        </w:rPr>
        <w:t>avoid incentives that encourage unnecessary or excessive risk-taking; and</w:t>
      </w:r>
    </w:p>
    <w:p>
      <w:pPr>
        <w:spacing w:after="0" w:line="130" w:lineRule="exact"/>
        <w:rPr>
          <w:rFonts w:ascii="Arial" w:cs="Arial" w:eastAsia="Arial" w:hAnsi="Arial"/>
          <w:sz w:val="15"/>
          <w:szCs w:val="15"/>
          <w:color w:val="77387A"/>
        </w:rPr>
      </w:pPr>
    </w:p>
    <w:p>
      <w:pPr>
        <w:ind w:left="560" w:hanging="444"/>
        <w:spacing w:after="0"/>
        <w:tabs>
          <w:tab w:leader="none" w:pos="560" w:val="left"/>
        </w:tabs>
        <w:numPr>
          <w:ilvl w:val="0"/>
          <w:numId w:val="31"/>
        </w:numPr>
        <w:rPr>
          <w:rFonts w:ascii="Arial" w:cs="Arial" w:eastAsia="Arial" w:hAnsi="Arial"/>
          <w:sz w:val="15"/>
          <w:szCs w:val="15"/>
          <w:color w:val="77387A"/>
        </w:rPr>
      </w:pPr>
      <w:r>
        <w:rPr>
          <w:rFonts w:ascii="Arial" w:cs="Arial" w:eastAsia="Arial" w:hAnsi="Arial"/>
          <w:sz w:val="18"/>
          <w:szCs w:val="18"/>
          <w:color w:val="auto"/>
        </w:rPr>
        <w:t>compete effectively for talented executives who will contribute to our long-term success.</w:t>
      </w:r>
    </w:p>
    <w:p>
      <w:pPr>
        <w:spacing w:after="0" w:line="117"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The Human Resources and Compensation Committee of the Board believes that these programs and policies are effective in implementing our pay for performance philosophy and achieving its goals. This advisory stockholder vote, commonly known as “Say-on-Pay,” gives you, as a stockholder, the opportunity to advise whether or not you approve of our executive compensation program and policies by voting on the following resolution:</w:t>
      </w:r>
    </w:p>
    <w:p>
      <w:pPr>
        <w:spacing w:after="0" w:line="94" w:lineRule="exact"/>
        <w:rPr>
          <w:sz w:val="20"/>
          <w:szCs w:val="20"/>
          <w:color w:val="auto"/>
        </w:rPr>
      </w:pPr>
    </w:p>
    <w:p>
      <w:pPr>
        <w:ind w:left="800" w:right="100"/>
        <w:spacing w:after="0"/>
        <w:rPr>
          <w:sz w:val="20"/>
          <w:szCs w:val="20"/>
          <w:color w:val="auto"/>
        </w:rPr>
      </w:pPr>
      <w:r>
        <w:rPr>
          <w:rFonts w:ascii="Arial" w:cs="Arial" w:eastAsia="Arial" w:hAnsi="Arial"/>
          <w:sz w:val="18"/>
          <w:szCs w:val="18"/>
          <w:color w:val="auto"/>
        </w:rPr>
        <w:t>RESOLVED, that the stockholders approve, on an advisory basis, the compensation of the named executive officers, as disclosed pursuant to the compensation disclosure rules of the SEC, including the Compensation Discussion &amp; Analysis, compensation tables and any related material.</w:t>
      </w:r>
    </w:p>
    <w:p>
      <w:pPr>
        <w:spacing w:after="0" w:line="95"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The vote on this resolution is not intended to address any specific element of compensation; rather, the vote relates to the compensation of our named executive officers, as described in the CD&amp;A and Executive Compensation sections of this proxy statement in accordance with the compensation disclosure rules of the SEC. The vote is advisory, which means that the vote is not binding on the company, our Board or the Human Resources and Compensation Committee of the Board. Our Board values the opinions of our stockholders. To the extent there is any significant vote against our named executive officer compensation as disclosed in this proxy statement, the Human Resources and Compensation Committee will evaluate whether any actions are necessary to address the concerns of stockholders.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483E65"/>
        </w:rPr>
        <w:t>Vote Required</w:t>
      </w:r>
    </w:p>
    <w:p>
      <w:pPr>
        <w:spacing w:after="0" w:line="234" w:lineRule="exact"/>
        <w:rPr>
          <w:sz w:val="20"/>
          <w:szCs w:val="20"/>
          <w:color w:val="auto"/>
        </w:rPr>
      </w:pPr>
    </w:p>
    <w:p>
      <w:pPr>
        <w:ind w:right="200"/>
        <w:spacing w:after="0"/>
        <w:rPr>
          <w:sz w:val="20"/>
          <w:szCs w:val="20"/>
          <w:color w:val="auto"/>
        </w:rPr>
      </w:pPr>
      <w:r>
        <w:rPr>
          <w:rFonts w:ascii="Arial" w:cs="Arial" w:eastAsia="Arial" w:hAnsi="Arial"/>
          <w:sz w:val="18"/>
          <w:szCs w:val="18"/>
          <w:color w:val="auto"/>
        </w:rPr>
        <w:t>The affirmative vote of a majority of the shares present or represented either in person or by proxy and entitled to vote is required to approve this proposal. Broker non-votes are not entitled to vote on this proposal and will not be counted in evaluating the results of the vote. This advisory vote on executive compensation is non-binding on the Board.</w:t>
      </w:r>
    </w:p>
    <w:p>
      <w:pPr>
        <w:spacing w:after="0" w:line="203" w:lineRule="exact"/>
        <w:rPr>
          <w:sz w:val="20"/>
          <w:szCs w:val="20"/>
          <w:color w:val="auto"/>
        </w:rPr>
      </w:pPr>
    </w:p>
    <w:p>
      <w:pPr>
        <w:ind w:right="100"/>
        <w:spacing w:after="0" w:line="246" w:lineRule="auto"/>
        <w:rPr>
          <w:sz w:val="20"/>
          <w:szCs w:val="20"/>
          <w:color w:val="auto"/>
        </w:rPr>
      </w:pPr>
      <w:r>
        <w:rPr>
          <w:rFonts w:ascii="Arial" w:cs="Arial" w:eastAsia="Arial" w:hAnsi="Arial"/>
          <w:sz w:val="18"/>
          <w:szCs w:val="18"/>
          <w:color w:val="auto"/>
        </w:rPr>
        <w:t>Shares of common stock represented by properly executed, timely received and unrevoked proxies will be voted as instructed. In the absence of specific instructions, properly executed, timely received and unrevoked proxies will be voted “FOR” the proposal.</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483E65"/>
        </w:rPr>
        <w:t>Recommendation of the Board of Directors</w:t>
      </w:r>
    </w:p>
    <w:p>
      <w:pPr>
        <w:spacing w:after="0" w:line="212" w:lineRule="exact"/>
        <w:rPr>
          <w:sz w:val="20"/>
          <w:szCs w:val="20"/>
          <w:color w:val="auto"/>
        </w:rPr>
      </w:pPr>
    </w:p>
    <w:p>
      <w:pPr>
        <w:ind w:right="100"/>
        <w:spacing w:after="0" w:line="271" w:lineRule="auto"/>
        <w:rPr>
          <w:sz w:val="20"/>
          <w:szCs w:val="20"/>
          <w:color w:val="auto"/>
        </w:rPr>
      </w:pPr>
      <w:r>
        <w:rPr>
          <w:rFonts w:ascii="Arial" w:cs="Arial" w:eastAsia="Arial" w:hAnsi="Arial"/>
          <w:sz w:val="18"/>
          <w:szCs w:val="18"/>
          <w:b w:val="1"/>
          <w:bCs w:val="1"/>
          <w:i w:val="1"/>
          <w:iCs w:val="1"/>
          <w:color w:val="483E65"/>
        </w:rPr>
        <w:t>The Board of Directors unanimously recommends a vote FOR the approval of the compensation of our named executive officers, as disclosed in this proxy statement.</w:t>
      </w:r>
    </w:p>
    <w:p>
      <w:pPr>
        <w:spacing w:after="0" w:line="91" w:lineRule="exact"/>
        <w:rPr>
          <w:sz w:val="20"/>
          <w:szCs w:val="20"/>
          <w:color w:val="auto"/>
        </w:rPr>
      </w:pPr>
    </w:p>
    <w:p>
      <w:pPr>
        <w:spacing w:after="0"/>
        <w:tabs>
          <w:tab w:leader="none" w:pos="340" w:val="left"/>
          <w:tab w:leader="none" w:pos="580" w:val="left"/>
        </w:tabs>
        <w:rPr>
          <w:sz w:val="20"/>
          <w:szCs w:val="20"/>
          <w:color w:val="auto"/>
        </w:rPr>
      </w:pPr>
      <w:r>
        <w:rPr>
          <w:rFonts w:ascii="Arial" w:cs="Arial" w:eastAsia="Arial" w:hAnsi="Arial"/>
          <w:sz w:val="16"/>
          <w:szCs w:val="16"/>
          <w:b w:val="1"/>
          <w:bCs w:val="1"/>
          <w:color w:val="483E65"/>
        </w:rPr>
        <w:t>22</w:t>
        <w:tab/>
        <w:t>|</w:t>
        <w:tab/>
        <w:t>2017 Proxy Statement</w:t>
      </w:r>
    </w:p>
    <w:p>
      <w:pPr>
        <w:sectPr>
          <w:pgSz w:w="11900" w:h="16838" w:orient="portrait"/>
          <w:cols w:equalWidth="0" w:num="1">
            <w:col w:w="11380"/>
          </w:cols>
          <w:pgMar w:left="240" w:top="459" w:right="27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8" w:lineRule="exact"/>
        <w:rPr>
          <w:sz w:val="20"/>
          <w:szCs w:val="20"/>
          <w:color w:val="auto"/>
        </w:rPr>
      </w:pPr>
    </w:p>
    <w:p>
      <w:pPr>
        <w:spacing w:after="0"/>
        <w:rPr>
          <w:sz w:val="20"/>
          <w:szCs w:val="20"/>
          <w:color w:val="auto"/>
        </w:rPr>
      </w:pPr>
      <w:r>
        <w:rPr>
          <w:rFonts w:ascii="Arial" w:cs="Arial" w:eastAsia="Arial" w:hAnsi="Arial"/>
          <w:sz w:val="32"/>
          <w:szCs w:val="32"/>
          <w:color w:val="483E65"/>
        </w:rPr>
        <w:t>Compensation Discussion &amp;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149860</wp:posOffset>
            </wp:positionV>
            <wp:extent cx="724662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18" w:lineRule="exact"/>
        <w:rPr>
          <w:sz w:val="20"/>
          <w:szCs w:val="20"/>
          <w:color w:val="auto"/>
        </w:rPr>
      </w:pPr>
    </w:p>
    <w:p>
      <w:pPr>
        <w:ind w:right="260"/>
        <w:spacing w:after="0"/>
        <w:rPr>
          <w:sz w:val="20"/>
          <w:szCs w:val="20"/>
          <w:color w:val="auto"/>
        </w:rPr>
      </w:pPr>
      <w:r>
        <w:rPr>
          <w:rFonts w:ascii="Arial" w:cs="Arial" w:eastAsia="Arial" w:hAnsi="Arial"/>
          <w:sz w:val="18"/>
          <w:szCs w:val="18"/>
          <w:color w:val="auto"/>
        </w:rPr>
        <w:t>This Compensation Discussion and Analysis and the tables and narrative that follow provide important information about our executive compensation programs for the prior fiscal year. In this proxy statement, the term “named executive officers” refers to the following executive officers during Fiscal 2016:</w:t>
      </w:r>
    </w:p>
    <w:p>
      <w:pPr>
        <w:spacing w:after="0" w:line="108" w:lineRule="exact"/>
        <w:rPr>
          <w:sz w:val="20"/>
          <w:szCs w:val="20"/>
          <w:color w:val="auto"/>
        </w:rPr>
      </w:pPr>
    </w:p>
    <w:p>
      <w:pPr>
        <w:ind w:left="560" w:hanging="444"/>
        <w:spacing w:after="0"/>
        <w:tabs>
          <w:tab w:leader="none" w:pos="560" w:val="left"/>
        </w:tabs>
        <w:numPr>
          <w:ilvl w:val="0"/>
          <w:numId w:val="32"/>
        </w:numPr>
        <w:rPr>
          <w:rFonts w:ascii="Arial" w:cs="Arial" w:eastAsia="Arial" w:hAnsi="Arial"/>
          <w:sz w:val="15"/>
          <w:szCs w:val="15"/>
          <w:color w:val="77387A"/>
        </w:rPr>
      </w:pPr>
      <w:r>
        <w:rPr>
          <w:rFonts w:ascii="Arial" w:cs="Arial" w:eastAsia="Arial" w:hAnsi="Arial"/>
          <w:sz w:val="18"/>
          <w:szCs w:val="18"/>
          <w:color w:val="auto"/>
        </w:rPr>
        <w:t>Roger A. Krone—Chief Executive Officer</w:t>
      </w:r>
    </w:p>
    <w:p>
      <w:pPr>
        <w:spacing w:after="0" w:line="130" w:lineRule="exact"/>
        <w:rPr>
          <w:rFonts w:ascii="Arial" w:cs="Arial" w:eastAsia="Arial" w:hAnsi="Arial"/>
          <w:sz w:val="15"/>
          <w:szCs w:val="15"/>
          <w:color w:val="77387A"/>
        </w:rPr>
      </w:pPr>
    </w:p>
    <w:p>
      <w:pPr>
        <w:ind w:left="560" w:hanging="444"/>
        <w:spacing w:after="0"/>
        <w:tabs>
          <w:tab w:leader="none" w:pos="560" w:val="left"/>
        </w:tabs>
        <w:numPr>
          <w:ilvl w:val="0"/>
          <w:numId w:val="32"/>
        </w:numPr>
        <w:rPr>
          <w:rFonts w:ascii="Arial" w:cs="Arial" w:eastAsia="Arial" w:hAnsi="Arial"/>
          <w:sz w:val="15"/>
          <w:szCs w:val="15"/>
          <w:color w:val="77387A"/>
        </w:rPr>
      </w:pPr>
      <w:r>
        <w:rPr>
          <w:rFonts w:ascii="Arial" w:cs="Arial" w:eastAsia="Arial" w:hAnsi="Arial"/>
          <w:sz w:val="18"/>
          <w:szCs w:val="18"/>
          <w:color w:val="auto"/>
        </w:rPr>
        <w:t>James C. Reagan—Executive Vice President and Chief Financial Officer</w:t>
      </w:r>
    </w:p>
    <w:p>
      <w:pPr>
        <w:spacing w:after="0" w:line="130" w:lineRule="exact"/>
        <w:rPr>
          <w:rFonts w:ascii="Arial" w:cs="Arial" w:eastAsia="Arial" w:hAnsi="Arial"/>
          <w:sz w:val="15"/>
          <w:szCs w:val="15"/>
          <w:color w:val="77387A"/>
        </w:rPr>
      </w:pPr>
    </w:p>
    <w:p>
      <w:pPr>
        <w:ind w:left="560" w:hanging="444"/>
        <w:spacing w:after="0"/>
        <w:tabs>
          <w:tab w:leader="none" w:pos="560" w:val="left"/>
        </w:tabs>
        <w:numPr>
          <w:ilvl w:val="0"/>
          <w:numId w:val="32"/>
        </w:numPr>
        <w:rPr>
          <w:rFonts w:ascii="Arial" w:cs="Arial" w:eastAsia="Arial" w:hAnsi="Arial"/>
          <w:sz w:val="15"/>
          <w:szCs w:val="15"/>
          <w:color w:val="77387A"/>
        </w:rPr>
      </w:pPr>
      <w:r>
        <w:rPr>
          <w:rFonts w:ascii="Arial" w:cs="Arial" w:eastAsia="Arial" w:hAnsi="Arial"/>
          <w:sz w:val="18"/>
          <w:szCs w:val="18"/>
          <w:color w:val="auto"/>
        </w:rPr>
        <w:t>Timothy J. Reardon—President, Intelligence &amp; Homeland Security Group</w:t>
      </w:r>
    </w:p>
    <w:p>
      <w:pPr>
        <w:spacing w:after="0" w:line="130" w:lineRule="exact"/>
        <w:rPr>
          <w:rFonts w:ascii="Arial" w:cs="Arial" w:eastAsia="Arial" w:hAnsi="Arial"/>
          <w:sz w:val="15"/>
          <w:szCs w:val="15"/>
          <w:color w:val="77387A"/>
        </w:rPr>
      </w:pPr>
    </w:p>
    <w:p>
      <w:pPr>
        <w:ind w:left="560" w:hanging="444"/>
        <w:spacing w:after="0"/>
        <w:tabs>
          <w:tab w:leader="none" w:pos="560" w:val="left"/>
        </w:tabs>
        <w:numPr>
          <w:ilvl w:val="0"/>
          <w:numId w:val="32"/>
        </w:numPr>
        <w:rPr>
          <w:rFonts w:ascii="Arial" w:cs="Arial" w:eastAsia="Arial" w:hAnsi="Arial"/>
          <w:sz w:val="15"/>
          <w:szCs w:val="15"/>
          <w:color w:val="77387A"/>
        </w:rPr>
      </w:pPr>
      <w:r>
        <w:rPr>
          <w:rFonts w:ascii="Arial" w:cs="Arial" w:eastAsia="Arial" w:hAnsi="Arial"/>
          <w:sz w:val="18"/>
          <w:szCs w:val="18"/>
          <w:color w:val="auto"/>
        </w:rPr>
        <w:t>Michael E. Leiter—Former President, Defense Group</w:t>
      </w:r>
    </w:p>
    <w:p>
      <w:pPr>
        <w:spacing w:after="0" w:line="130" w:lineRule="exact"/>
        <w:rPr>
          <w:rFonts w:ascii="Arial" w:cs="Arial" w:eastAsia="Arial" w:hAnsi="Arial"/>
          <w:sz w:val="15"/>
          <w:szCs w:val="15"/>
          <w:color w:val="77387A"/>
        </w:rPr>
      </w:pPr>
    </w:p>
    <w:p>
      <w:pPr>
        <w:ind w:left="560" w:hanging="444"/>
        <w:spacing w:after="0"/>
        <w:tabs>
          <w:tab w:leader="none" w:pos="560" w:val="left"/>
        </w:tabs>
        <w:numPr>
          <w:ilvl w:val="0"/>
          <w:numId w:val="32"/>
        </w:numPr>
        <w:rPr>
          <w:rFonts w:ascii="Arial" w:cs="Arial" w:eastAsia="Arial" w:hAnsi="Arial"/>
          <w:sz w:val="15"/>
          <w:szCs w:val="15"/>
          <w:color w:val="77387A"/>
        </w:rPr>
      </w:pPr>
      <w:r>
        <w:rPr>
          <w:rFonts w:ascii="Arial" w:cs="Arial" w:eastAsia="Arial" w:hAnsi="Arial"/>
          <w:sz w:val="18"/>
          <w:szCs w:val="18"/>
          <w:color w:val="auto"/>
        </w:rPr>
        <w:t>Vincent A. Maffeo—Executive Vice President and General Counsel</w:t>
      </w:r>
    </w:p>
    <w:p>
      <w:pPr>
        <w:spacing w:after="0" w:line="130" w:lineRule="exact"/>
        <w:rPr>
          <w:rFonts w:ascii="Arial" w:cs="Arial" w:eastAsia="Arial" w:hAnsi="Arial"/>
          <w:sz w:val="15"/>
          <w:szCs w:val="15"/>
          <w:color w:val="77387A"/>
        </w:rPr>
      </w:pPr>
    </w:p>
    <w:p>
      <w:pPr>
        <w:ind w:left="560" w:hanging="444"/>
        <w:spacing w:after="0"/>
        <w:tabs>
          <w:tab w:leader="none" w:pos="560" w:val="left"/>
        </w:tabs>
        <w:numPr>
          <w:ilvl w:val="0"/>
          <w:numId w:val="32"/>
        </w:numPr>
        <w:rPr>
          <w:rFonts w:ascii="Arial" w:cs="Arial" w:eastAsia="Arial" w:hAnsi="Arial"/>
          <w:sz w:val="15"/>
          <w:szCs w:val="15"/>
          <w:color w:val="77387A"/>
        </w:rPr>
      </w:pPr>
      <w:r>
        <w:rPr>
          <w:rFonts w:ascii="Arial" w:cs="Arial" w:eastAsia="Arial" w:hAnsi="Arial"/>
          <w:sz w:val="18"/>
          <w:szCs w:val="18"/>
          <w:color w:val="auto"/>
        </w:rPr>
        <w:t>Sarah K. Allen—Former Executive Vice President and Chief Human Resources Officer</w:t>
      </w:r>
    </w:p>
    <w:p>
      <w:pPr>
        <w:spacing w:after="0" w:line="225" w:lineRule="exact"/>
        <w:rPr>
          <w:sz w:val="20"/>
          <w:szCs w:val="20"/>
          <w:color w:val="auto"/>
        </w:rPr>
      </w:pPr>
    </w:p>
    <w:p>
      <w:pPr>
        <w:jc w:val="both"/>
        <w:ind w:right="120"/>
        <w:spacing w:after="0"/>
        <w:rPr>
          <w:sz w:val="20"/>
          <w:szCs w:val="20"/>
          <w:color w:val="auto"/>
        </w:rPr>
      </w:pPr>
      <w:r>
        <w:rPr>
          <w:rFonts w:ascii="Arial" w:cs="Arial" w:eastAsia="Arial" w:hAnsi="Arial"/>
          <w:sz w:val="18"/>
          <w:szCs w:val="18"/>
          <w:color w:val="auto"/>
        </w:rPr>
        <w:t>For purposes of this CD&amp;A, the narrative as well as the tables, charts and other graphics below focus on the “active” named executive officers as of the end of the fiscal year. The tabular disclosures (e.g. the Summary Compensation Table) following this CD&amp;A provide data on all of our named executive officers—current and former.</w:t>
      </w:r>
    </w:p>
    <w:p>
      <w:pPr>
        <w:spacing w:after="0" w:line="203" w:lineRule="exact"/>
        <w:rPr>
          <w:sz w:val="20"/>
          <w:szCs w:val="20"/>
          <w:color w:val="auto"/>
        </w:rPr>
      </w:pPr>
    </w:p>
    <w:p>
      <w:pPr>
        <w:ind w:right="240"/>
        <w:spacing w:after="0" w:line="246" w:lineRule="auto"/>
        <w:rPr>
          <w:sz w:val="20"/>
          <w:szCs w:val="20"/>
          <w:color w:val="auto"/>
        </w:rPr>
      </w:pPr>
      <w:r>
        <w:rPr>
          <w:rFonts w:ascii="Arial" w:cs="Arial" w:eastAsia="Arial" w:hAnsi="Arial"/>
          <w:sz w:val="18"/>
          <w:szCs w:val="18"/>
          <w:color w:val="auto"/>
        </w:rPr>
        <w:t>In this CD&amp;A, the “Committee” refers to the Human Resources and Compensation Committee of the Board of Directors, which is responsible for overseeing the compensation programs for all of our executives.</w:t>
      </w:r>
    </w:p>
    <w:p>
      <w:pPr>
        <w:spacing w:after="0" w:line="197"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On August 16, 2016, we combined with Lockheed Martin’s realigned Information Systems &amp; Global Solutions business (“IS&amp;GS”) in a Reverse Morris Trust transaction (the “Transaction”). Timothy J. Reardon, previously a leader in the IS&amp;GS business, became the President of what is now our new Defense &amp; Intelligence Group. In connection with the Transaction, we entered into an Employee Matters Agreement (the “EMA”) with Lockheed Martin with respect to employees transferred to us pursuant to the Transaction, including Mr. Reardon. The EMA covers the terms of employment, benefit plan transition and coverage, and other compensation matters for a limited period of time. We will refer to the EMA and its specific terms where relevant to Mr. Reardon’s compensation in this CD&amp;A and the following tables.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483E65"/>
        </w:rPr>
        <w:t>Executive Summary</w:t>
      </w:r>
    </w:p>
    <w:p>
      <w:pPr>
        <w:spacing w:after="0" w:line="212"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483E65"/>
        </w:rPr>
        <w:t>Compensation Programs and Our Pay for Performance Philosophy</w:t>
      </w:r>
    </w:p>
    <w:p>
      <w:pPr>
        <w:spacing w:after="0" w:line="234"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Our executive compensation programs are designed to align the interests of senior management with stockholders by tying a significant portion of their potential compensation to the achievement of financial performance goals. Our programs are executed according to our pay for performance philosophy, by establishing and paying against performance targets that measure revenue, adjusted operating income, total backlog and days working capital—as well as total stockholder return.</w:t>
      </w:r>
    </w:p>
    <w:p>
      <w:pPr>
        <w:spacing w:after="0" w:line="117" w:lineRule="exact"/>
        <w:rPr>
          <w:sz w:val="20"/>
          <w:szCs w:val="20"/>
          <w:color w:val="auto"/>
        </w:rPr>
      </w:pPr>
    </w:p>
    <w:p>
      <w:pPr>
        <w:jc w:val="right"/>
        <w:spacing w:after="0"/>
        <w:tabs>
          <w:tab w:leader="none" w:pos="380" w:val="left"/>
          <w:tab w:leader="none" w:pos="160" w:val="left"/>
        </w:tabs>
        <w:rPr>
          <w:sz w:val="20"/>
          <w:szCs w:val="20"/>
          <w:color w:val="auto"/>
        </w:rPr>
      </w:pPr>
      <w:r>
        <w:rPr>
          <w:rFonts w:ascii="Arial" w:cs="Arial" w:eastAsia="Arial" w:hAnsi="Arial"/>
          <w:sz w:val="16"/>
          <w:szCs w:val="16"/>
          <w:b w:val="1"/>
          <w:bCs w:val="1"/>
          <w:color w:val="483E65"/>
        </w:rPr>
        <w:t>2017 Proxy Statement</w:t>
        <w:tab/>
        <w:t>|</w:t>
        <w:tab/>
        <w:t>23</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8" w:lineRule="exact"/>
        <w:rPr>
          <w:sz w:val="20"/>
          <w:szCs w:val="20"/>
          <w:color w:val="auto"/>
        </w:rPr>
      </w:pPr>
    </w:p>
    <w:p>
      <w:pPr>
        <w:spacing w:after="0"/>
        <w:rPr>
          <w:sz w:val="20"/>
          <w:szCs w:val="20"/>
          <w:color w:val="auto"/>
        </w:rPr>
      </w:pPr>
      <w:r>
        <w:rPr>
          <w:rFonts w:ascii="Arial" w:cs="Arial" w:eastAsia="Arial" w:hAnsi="Arial"/>
          <w:sz w:val="32"/>
          <w:szCs w:val="32"/>
          <w:color w:val="483E65"/>
        </w:rPr>
        <w:t>Compensation Discussion &amp;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149860</wp:posOffset>
            </wp:positionV>
            <wp:extent cx="724662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18"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We designed our annual incentive program to primarily measure quantitative or objective performance, with 80% of results measured against pre-established financial targets for adjusted operating income, total backlog, and days working capital, and the remaining 20% based on personal performance goals. While financial performance is the most significant factor, other factors—such as leadership behaviors based on ethics, integrity, and collaboration—also impacted the payout for our annual cash incentive program. We believe these factors contribute to a top-tier workplace environment, improve our efficiency and effectiveness, help us to win key business opportunities, and ultimately drive long-term value for stockholders. A substantial majority of total target compensation is awarded to our active named executive officers in the form of variable, performance-based incentive compensation, with only a small portion of the total potential compensation provided in the form of “fixed” compensation in the form of base salary, as shown below for our most recent fiscal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1951990</wp:posOffset>
            </wp:positionH>
            <wp:positionV relativeFrom="paragraph">
              <wp:posOffset>149860</wp:posOffset>
            </wp:positionV>
            <wp:extent cx="3353435" cy="187833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353435" cy="1878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both"/>
        <w:ind w:right="80"/>
        <w:spacing w:after="0" w:line="234" w:lineRule="auto"/>
        <w:rPr>
          <w:sz w:val="20"/>
          <w:szCs w:val="20"/>
          <w:color w:val="auto"/>
        </w:rPr>
      </w:pPr>
      <w:r>
        <w:rPr>
          <w:rFonts w:ascii="Arial" w:cs="Arial" w:eastAsia="Arial" w:hAnsi="Arial"/>
          <w:sz w:val="18"/>
          <w:szCs w:val="18"/>
          <w:color w:val="auto"/>
        </w:rPr>
        <w:t>The pay mix charts above are solely based on target compensation. Target compensation consists of the annual rate of base salary and short-term and long-term incentive targets approved by the Committee, or in the case of Mr. Reardon, assumed by us pursuant to the EMA. The pay mix for the “Other Active Named Executive Officers” in the chart above does not include the special retention equity award granted to</w:t>
      </w:r>
    </w:p>
    <w:p>
      <w:pPr>
        <w:spacing w:after="0" w:line="2"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Mr. Reardon after the Transaction, or the one-time cash project-completion bonuses awarded to Messrs. Reagan and Leiter in September 2016 for successful completion of the Transaction. More information about the different elements that comprise our variable incentive compensation programs, the performance measures that we use to motivate our executives and the compensation mix for each of our active named executive officers is provided in the following pages.</w:t>
      </w:r>
    </w:p>
    <w:p>
      <w:pPr>
        <w:spacing w:after="0" w:line="117" w:lineRule="exact"/>
        <w:rPr>
          <w:sz w:val="20"/>
          <w:szCs w:val="20"/>
          <w:color w:val="auto"/>
        </w:rPr>
      </w:pPr>
    </w:p>
    <w:p>
      <w:pPr>
        <w:spacing w:after="0"/>
        <w:tabs>
          <w:tab w:leader="none" w:pos="340" w:val="left"/>
          <w:tab w:leader="none" w:pos="580" w:val="left"/>
        </w:tabs>
        <w:rPr>
          <w:sz w:val="20"/>
          <w:szCs w:val="20"/>
          <w:color w:val="auto"/>
        </w:rPr>
      </w:pPr>
      <w:r>
        <w:rPr>
          <w:rFonts w:ascii="Arial" w:cs="Arial" w:eastAsia="Arial" w:hAnsi="Arial"/>
          <w:sz w:val="16"/>
          <w:szCs w:val="16"/>
          <w:b w:val="1"/>
          <w:bCs w:val="1"/>
          <w:color w:val="483E65"/>
        </w:rPr>
        <w:t>24</w:t>
        <w:tab/>
        <w:t>|</w:t>
        <w:tab/>
        <w:t>2017 Proxy Statement</w:t>
      </w:r>
    </w:p>
    <w:p>
      <w:pPr>
        <w:sectPr>
          <w:pgSz w:w="11900" w:h="16838" w:orient="portrait"/>
          <w:cols w:equalWidth="0" w:num="1">
            <w:col w:w="11400"/>
          </w:cols>
          <w:pgMar w:left="240" w:top="45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8" w:lineRule="exact"/>
        <w:rPr>
          <w:sz w:val="20"/>
          <w:szCs w:val="20"/>
          <w:color w:val="auto"/>
        </w:rPr>
      </w:pPr>
    </w:p>
    <w:p>
      <w:pPr>
        <w:spacing w:after="0"/>
        <w:rPr>
          <w:sz w:val="20"/>
          <w:szCs w:val="20"/>
          <w:color w:val="auto"/>
        </w:rPr>
      </w:pPr>
      <w:r>
        <w:rPr>
          <w:rFonts w:ascii="Arial" w:cs="Arial" w:eastAsia="Arial" w:hAnsi="Arial"/>
          <w:sz w:val="32"/>
          <w:szCs w:val="32"/>
          <w:color w:val="483E65"/>
        </w:rPr>
        <w:t>Compensation Discussion &amp;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149860</wp:posOffset>
            </wp:positionV>
            <wp:extent cx="724662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96"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483E65"/>
        </w:rPr>
        <w:t>Business Performance</w:t>
      </w:r>
    </w:p>
    <w:p>
      <w:pPr>
        <w:spacing w:after="0" w:line="234" w:lineRule="exact"/>
        <w:rPr>
          <w:sz w:val="20"/>
          <w:szCs w:val="20"/>
          <w:color w:val="auto"/>
        </w:rPr>
      </w:pPr>
    </w:p>
    <w:p>
      <w:pPr>
        <w:ind w:right="360"/>
        <w:spacing w:after="0" w:line="239" w:lineRule="auto"/>
        <w:rPr>
          <w:sz w:val="20"/>
          <w:szCs w:val="20"/>
          <w:color w:val="auto"/>
        </w:rPr>
      </w:pPr>
      <w:r>
        <w:rPr>
          <w:rFonts w:ascii="Arial" w:cs="Arial" w:eastAsia="Arial" w:hAnsi="Arial"/>
          <w:sz w:val="18"/>
          <w:szCs w:val="18"/>
          <w:color w:val="auto"/>
        </w:rPr>
        <w:t>Our financial performance for Fiscal 2016 was improved from the prior year. Despite industry challenges, we experienced organic revenue growth of 5% and improved income from continuing operations, reflecting strong execution across our businesses. During Fiscal 2016, with respect to the goals under our cash incentive awards, we achieved 113.7% of our adjusted operating income target, 97.5% of our backlog target, and 118.0% of our days working capital target at the enterprise level:</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Business Performance: Enterprise</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Target vs. Actual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1788795</wp:posOffset>
            </wp:positionH>
            <wp:positionV relativeFrom="paragraph">
              <wp:posOffset>152400</wp:posOffset>
            </wp:positionV>
            <wp:extent cx="3679190" cy="211836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679190" cy="2118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483E65"/>
        </w:rPr>
        <w:t>Compensation Decision Highlights</w:t>
      </w:r>
    </w:p>
    <w:p>
      <w:pPr>
        <w:spacing w:after="0" w:line="234"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Overall, our performance during Fiscal 2016 was better than anticipated and our results, on average, exceeded incentive targets approved by the Committee based on our annual operating plan. We believe that our above-target performance for this period—which resulted in the payment of overall compensation at or above target for each of our active named executive officers—demonstrates the alignment of pay and performance in our executive compensation programs. Pay for performance alignment is also reflected in these specific decisions described in this CD&amp;A, including:</w:t>
      </w:r>
    </w:p>
    <w:p>
      <w:pPr>
        <w:spacing w:after="0" w:line="108" w:lineRule="exact"/>
        <w:rPr>
          <w:sz w:val="20"/>
          <w:szCs w:val="20"/>
          <w:color w:val="auto"/>
        </w:rPr>
      </w:pPr>
    </w:p>
    <w:p>
      <w:pPr>
        <w:jc w:val="both"/>
        <w:ind w:left="560" w:right="180" w:hanging="444"/>
        <w:spacing w:after="0"/>
        <w:tabs>
          <w:tab w:leader="none" w:pos="560" w:val="left"/>
        </w:tabs>
        <w:numPr>
          <w:ilvl w:val="0"/>
          <w:numId w:val="33"/>
        </w:numPr>
        <w:rPr>
          <w:rFonts w:ascii="Arial" w:cs="Arial" w:eastAsia="Arial" w:hAnsi="Arial"/>
          <w:sz w:val="15"/>
          <w:szCs w:val="15"/>
          <w:color w:val="77387A"/>
        </w:rPr>
      </w:pPr>
      <w:r>
        <w:rPr>
          <w:rFonts w:ascii="Arial" w:cs="Arial" w:eastAsia="Arial" w:hAnsi="Arial"/>
          <w:sz w:val="18"/>
          <w:szCs w:val="18"/>
          <w:color w:val="auto"/>
        </w:rPr>
        <w:t>For our annual cash incentive program, active named executive officers with the exception of Mr. Reardon, received, on average, cash payouts at or above target, based on the above-target financial results described above which accounted for 80% of their payout. 20% of their annual cash incentive payouts are based on the executive’s personal performance.</w:t>
      </w:r>
    </w:p>
    <w:p>
      <w:pPr>
        <w:spacing w:after="0" w:line="108" w:lineRule="exact"/>
        <w:rPr>
          <w:rFonts w:ascii="Arial" w:cs="Arial" w:eastAsia="Arial" w:hAnsi="Arial"/>
          <w:sz w:val="15"/>
          <w:szCs w:val="15"/>
          <w:color w:val="77387A"/>
        </w:rPr>
      </w:pPr>
    </w:p>
    <w:p>
      <w:pPr>
        <w:ind w:left="560" w:right="340" w:hanging="444"/>
        <w:spacing w:after="0"/>
        <w:tabs>
          <w:tab w:leader="none" w:pos="560" w:val="left"/>
        </w:tabs>
        <w:numPr>
          <w:ilvl w:val="0"/>
          <w:numId w:val="33"/>
        </w:numPr>
        <w:rPr>
          <w:rFonts w:ascii="Arial" w:cs="Arial" w:eastAsia="Arial" w:hAnsi="Arial"/>
          <w:sz w:val="15"/>
          <w:szCs w:val="15"/>
          <w:color w:val="77387A"/>
        </w:rPr>
      </w:pPr>
      <w:r>
        <w:rPr>
          <w:rFonts w:ascii="Arial" w:cs="Arial" w:eastAsia="Arial" w:hAnsi="Arial"/>
          <w:sz w:val="18"/>
          <w:szCs w:val="18"/>
          <w:color w:val="auto"/>
        </w:rPr>
        <w:t>All of our Fiscal 2016 long-term incentives were performance based, with our named executive officers (except for Mr. Reardon) receiving 50% of their long-term incentives in the form of three-year performance share awards, 30% in performance restricted stock units (PRSUs), and 20% in the form of stock options.</w:t>
      </w:r>
    </w:p>
    <w:p>
      <w:pPr>
        <w:spacing w:after="0" w:line="108" w:lineRule="exact"/>
        <w:rPr>
          <w:rFonts w:ascii="Arial" w:cs="Arial" w:eastAsia="Arial" w:hAnsi="Arial"/>
          <w:sz w:val="15"/>
          <w:szCs w:val="15"/>
          <w:color w:val="77387A"/>
        </w:rPr>
      </w:pPr>
    </w:p>
    <w:p>
      <w:pPr>
        <w:ind w:left="560" w:right="120" w:hanging="444"/>
        <w:spacing w:after="0" w:line="239" w:lineRule="auto"/>
        <w:tabs>
          <w:tab w:leader="none" w:pos="560" w:val="left"/>
        </w:tabs>
        <w:numPr>
          <w:ilvl w:val="0"/>
          <w:numId w:val="33"/>
        </w:numPr>
        <w:rPr>
          <w:rFonts w:ascii="Arial" w:cs="Arial" w:eastAsia="Arial" w:hAnsi="Arial"/>
          <w:sz w:val="15"/>
          <w:szCs w:val="15"/>
          <w:color w:val="77387A"/>
        </w:rPr>
      </w:pPr>
      <w:r>
        <w:rPr>
          <w:rFonts w:ascii="Arial" w:cs="Arial" w:eastAsia="Arial" w:hAnsi="Arial"/>
          <w:sz w:val="18"/>
          <w:szCs w:val="18"/>
          <w:color w:val="auto"/>
        </w:rPr>
        <w:t>For the performance share awards granted in April 2014 to Mr. Maffeo and in July 2014 to Mr. Krone, the third and final tranche, covering Fiscal 2016, earned 113.7% of the target share amount based on the achievement of adjusted operating income enterprise goals above the target level. Those performance share awards covered a three-year period, with a separate adjusted operating income goals set for each year as discussed below under “Long-Term Incentive Awards.”</w:t>
      </w:r>
    </w:p>
    <w:p>
      <w:pPr>
        <w:spacing w:after="0" w:line="107" w:lineRule="exact"/>
        <w:rPr>
          <w:rFonts w:ascii="Arial" w:cs="Arial" w:eastAsia="Arial" w:hAnsi="Arial"/>
          <w:sz w:val="15"/>
          <w:szCs w:val="15"/>
          <w:color w:val="77387A"/>
        </w:rPr>
      </w:pPr>
    </w:p>
    <w:p>
      <w:pPr>
        <w:ind w:left="560" w:right="20" w:hanging="444"/>
        <w:spacing w:after="0"/>
        <w:tabs>
          <w:tab w:leader="none" w:pos="560" w:val="left"/>
        </w:tabs>
        <w:numPr>
          <w:ilvl w:val="0"/>
          <w:numId w:val="33"/>
        </w:numPr>
        <w:rPr>
          <w:rFonts w:ascii="Arial" w:cs="Arial" w:eastAsia="Arial" w:hAnsi="Arial"/>
          <w:sz w:val="15"/>
          <w:szCs w:val="15"/>
          <w:color w:val="77387A"/>
        </w:rPr>
      </w:pPr>
      <w:r>
        <w:rPr>
          <w:rFonts w:ascii="Arial" w:cs="Arial" w:eastAsia="Arial" w:hAnsi="Arial"/>
          <w:sz w:val="18"/>
          <w:szCs w:val="18"/>
          <w:color w:val="auto"/>
        </w:rPr>
        <w:t>Beginning with our 2015 performance share awards, we added relative total shareholder return as a metric (weighted 50%) in addition to adjusted operating income (weighted 50%), with both metrics measuring cumulative results over the three-year performance period, not annual results.</w:t>
      </w:r>
    </w:p>
    <w:p>
      <w:pPr>
        <w:spacing w:after="0" w:line="118" w:lineRule="exact"/>
        <w:rPr>
          <w:sz w:val="20"/>
          <w:szCs w:val="20"/>
          <w:color w:val="auto"/>
        </w:rPr>
      </w:pPr>
    </w:p>
    <w:p>
      <w:pPr>
        <w:jc w:val="right"/>
        <w:spacing w:after="0"/>
        <w:tabs>
          <w:tab w:leader="none" w:pos="380" w:val="left"/>
          <w:tab w:leader="none" w:pos="160" w:val="left"/>
        </w:tabs>
        <w:rPr>
          <w:sz w:val="20"/>
          <w:szCs w:val="20"/>
          <w:color w:val="auto"/>
        </w:rPr>
      </w:pPr>
      <w:r>
        <w:rPr>
          <w:rFonts w:ascii="Arial" w:cs="Arial" w:eastAsia="Arial" w:hAnsi="Arial"/>
          <w:sz w:val="16"/>
          <w:szCs w:val="16"/>
          <w:b w:val="1"/>
          <w:bCs w:val="1"/>
          <w:color w:val="483E65"/>
        </w:rPr>
        <w:t>2017 Proxy Statement</w:t>
        <w:tab/>
        <w:t>|</w:t>
        <w:tab/>
        <w:t>25</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8" w:lineRule="exact"/>
        <w:rPr>
          <w:sz w:val="20"/>
          <w:szCs w:val="20"/>
          <w:color w:val="auto"/>
        </w:rPr>
      </w:pPr>
    </w:p>
    <w:p>
      <w:pPr>
        <w:spacing w:after="0"/>
        <w:rPr>
          <w:sz w:val="20"/>
          <w:szCs w:val="20"/>
          <w:color w:val="auto"/>
        </w:rPr>
      </w:pPr>
      <w:r>
        <w:rPr>
          <w:rFonts w:ascii="Arial" w:cs="Arial" w:eastAsia="Arial" w:hAnsi="Arial"/>
          <w:sz w:val="32"/>
          <w:szCs w:val="32"/>
          <w:color w:val="483E65"/>
        </w:rPr>
        <w:t>Compensation Discussion &amp;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149860</wp:posOffset>
            </wp:positionV>
            <wp:extent cx="724662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96"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483E65"/>
        </w:rPr>
        <w:t>Compensation Governance</w:t>
      </w:r>
    </w:p>
    <w:p>
      <w:pPr>
        <w:spacing w:after="0" w:line="234"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Other aspects of our compensation program are intended to further align our executives’ interest with stockholders. Below is a list of our current compensation practices to help support this alignment: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3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Checklist of Compensation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54610</wp:posOffset>
            </wp:positionV>
            <wp:extent cx="724662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77"/>
        </w:trPr>
        <w:tc>
          <w:tcPr>
            <w:tcW w:w="20" w:type="dxa"/>
            <w:vAlign w:val="bottom"/>
          </w:tcPr>
          <w:p>
            <w:pPr>
              <w:spacing w:after="0"/>
              <w:rPr>
                <w:sz w:val="24"/>
                <w:szCs w:val="24"/>
                <w:color w:val="auto"/>
              </w:rPr>
            </w:pPr>
          </w:p>
        </w:tc>
        <w:tc>
          <w:tcPr>
            <w:tcW w:w="5520" w:type="dxa"/>
            <w:vAlign w:val="bottom"/>
            <w:tcBorders>
              <w:bottom w:val="single" w:sz="8" w:color="ACABA7"/>
            </w:tcBorders>
            <w:shd w:val="clear" w:color="auto" w:fill="ACABA7"/>
          </w:tcPr>
          <w:p>
            <w:pPr>
              <w:ind w:left="2320"/>
              <w:spacing w:after="0"/>
              <w:rPr>
                <w:sz w:val="20"/>
                <w:szCs w:val="20"/>
                <w:color w:val="auto"/>
              </w:rPr>
            </w:pPr>
            <w:r>
              <w:rPr>
                <w:rFonts w:ascii="Arial" w:cs="Arial" w:eastAsia="Arial" w:hAnsi="Arial"/>
                <w:sz w:val="18"/>
                <w:szCs w:val="18"/>
                <w:b w:val="1"/>
                <w:bCs w:val="1"/>
                <w:color w:val="auto"/>
              </w:rPr>
              <w:t>What We Do</w:t>
            </w:r>
          </w:p>
        </w:tc>
        <w:tc>
          <w:tcPr>
            <w:tcW w:w="500" w:type="dxa"/>
            <w:vAlign w:val="bottom"/>
            <w:tcBorders>
              <w:bottom w:val="single" w:sz="8" w:color="ACABA7"/>
            </w:tcBorders>
            <w:shd w:val="clear" w:color="auto" w:fill="ACABA7"/>
          </w:tcPr>
          <w:p>
            <w:pPr>
              <w:spacing w:after="0"/>
              <w:rPr>
                <w:sz w:val="24"/>
                <w:szCs w:val="24"/>
                <w:color w:val="auto"/>
              </w:rPr>
            </w:pPr>
          </w:p>
        </w:tc>
        <w:tc>
          <w:tcPr>
            <w:tcW w:w="5380" w:type="dxa"/>
            <w:vAlign w:val="bottom"/>
            <w:tcBorders>
              <w:bottom w:val="single" w:sz="8" w:color="ACABA7"/>
            </w:tcBorders>
            <w:shd w:val="clear" w:color="auto" w:fill="ACABA7"/>
          </w:tcPr>
          <w:p>
            <w:pPr>
              <w:ind w:left="1800"/>
              <w:spacing w:after="0"/>
              <w:rPr>
                <w:sz w:val="20"/>
                <w:szCs w:val="20"/>
                <w:color w:val="auto"/>
              </w:rPr>
            </w:pPr>
            <w:r>
              <w:rPr>
                <w:rFonts w:ascii="Arial" w:cs="Arial" w:eastAsia="Arial" w:hAnsi="Arial"/>
                <w:sz w:val="18"/>
                <w:szCs w:val="18"/>
                <w:b w:val="1"/>
                <w:bCs w:val="1"/>
                <w:color w:val="auto"/>
              </w:rPr>
              <w:t>What We Don’t Do</w:t>
            </w:r>
          </w:p>
        </w:tc>
      </w:tr>
      <w:tr>
        <w:trPr>
          <w:trHeight w:val="202"/>
        </w:trPr>
        <w:tc>
          <w:tcPr>
            <w:tcW w:w="20" w:type="dxa"/>
            <w:vAlign w:val="bottom"/>
          </w:tcPr>
          <w:p>
            <w:pPr>
              <w:spacing w:after="0"/>
              <w:rPr>
                <w:sz w:val="17"/>
                <w:szCs w:val="17"/>
                <w:color w:val="auto"/>
              </w:rPr>
            </w:pPr>
          </w:p>
        </w:tc>
        <w:tc>
          <w:tcPr>
            <w:tcW w:w="5520" w:type="dxa"/>
            <w:vAlign w:val="bottom"/>
          </w:tcPr>
          <w:p>
            <w:pPr>
              <w:spacing w:after="0" w:line="202" w:lineRule="exact"/>
              <w:rPr>
                <w:sz w:val="20"/>
                <w:szCs w:val="20"/>
                <w:color w:val="auto"/>
              </w:rPr>
            </w:pPr>
            <w:r>
              <w:rPr>
                <w:rFonts w:ascii="MS PGothic" w:cs="MS PGothic" w:eastAsia="MS PGothic" w:hAnsi="MS PGothic"/>
                <w:sz w:val="23"/>
                <w:szCs w:val="23"/>
                <w:color w:val="auto"/>
                <w:vertAlign w:val="subscript"/>
              </w:rPr>
              <w:t>☑</w:t>
            </w:r>
            <w:r>
              <w:rPr>
                <w:rFonts w:ascii="Arial" w:cs="Arial" w:eastAsia="Arial" w:hAnsi="Arial"/>
                <w:sz w:val="14"/>
                <w:szCs w:val="14"/>
                <w:color w:val="auto"/>
              </w:rPr>
              <w:t xml:space="preserve"> Vast majority of pay is performance-based and not guaranteed</w:t>
            </w:r>
          </w:p>
        </w:tc>
        <w:tc>
          <w:tcPr>
            <w:tcW w:w="500" w:type="dxa"/>
            <w:vAlign w:val="bottom"/>
          </w:tcPr>
          <w:p>
            <w:pPr>
              <w:ind w:left="280"/>
              <w:spacing w:after="0" w:line="181" w:lineRule="exact"/>
              <w:rPr>
                <w:sz w:val="20"/>
                <w:szCs w:val="20"/>
                <w:color w:val="auto"/>
              </w:rPr>
            </w:pPr>
            <w:r>
              <w:rPr>
                <w:rFonts w:ascii="MS PGothic" w:cs="MS PGothic" w:eastAsia="MS PGothic" w:hAnsi="MS PGothic"/>
                <w:sz w:val="18"/>
                <w:szCs w:val="18"/>
                <w:color w:val="auto"/>
              </w:rPr>
              <w:t>☒</w:t>
            </w:r>
          </w:p>
        </w:tc>
        <w:tc>
          <w:tcPr>
            <w:tcW w:w="5380" w:type="dxa"/>
            <w:vAlign w:val="bottom"/>
          </w:tcPr>
          <w:p>
            <w:pPr>
              <w:ind w:left="40"/>
              <w:spacing w:after="0" w:line="201" w:lineRule="exact"/>
              <w:rPr>
                <w:sz w:val="20"/>
                <w:szCs w:val="20"/>
                <w:color w:val="auto"/>
              </w:rPr>
            </w:pPr>
            <w:r>
              <w:rPr>
                <w:rFonts w:ascii="Arial" w:cs="Arial" w:eastAsia="Arial" w:hAnsi="Arial"/>
                <w:sz w:val="18"/>
                <w:szCs w:val="18"/>
                <w:color w:val="auto"/>
              </w:rPr>
              <w:t>No special or supplemental pension, health or death benefits for</w:t>
            </w:r>
          </w:p>
        </w:tc>
      </w:tr>
      <w:tr>
        <w:trPr>
          <w:trHeight w:val="217"/>
        </w:trPr>
        <w:tc>
          <w:tcPr>
            <w:tcW w:w="20" w:type="dxa"/>
            <w:vAlign w:val="bottom"/>
          </w:tcPr>
          <w:p>
            <w:pPr>
              <w:spacing w:after="0"/>
              <w:rPr>
                <w:sz w:val="18"/>
                <w:szCs w:val="18"/>
                <w:color w:val="auto"/>
              </w:rPr>
            </w:pPr>
          </w:p>
        </w:tc>
        <w:tc>
          <w:tcPr>
            <w:tcW w:w="55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380" w:type="dxa"/>
            <w:vAlign w:val="bottom"/>
          </w:tcPr>
          <w:p>
            <w:pPr>
              <w:ind w:left="40"/>
              <w:spacing w:after="0"/>
              <w:rPr>
                <w:sz w:val="20"/>
                <w:szCs w:val="20"/>
                <w:color w:val="auto"/>
              </w:rPr>
            </w:pPr>
            <w:r>
              <w:rPr>
                <w:rFonts w:ascii="Arial" w:cs="Arial" w:eastAsia="Arial" w:hAnsi="Arial"/>
                <w:sz w:val="18"/>
                <w:szCs w:val="18"/>
                <w:color w:val="auto"/>
              </w:rPr>
              <w:t>executives</w:t>
            </w:r>
          </w:p>
        </w:tc>
      </w:tr>
    </w:tbl>
    <w:p>
      <w:pPr>
        <w:spacing w:after="0" w:line="48" w:lineRule="exact"/>
        <w:rPr>
          <w:sz w:val="20"/>
          <w:szCs w:val="20"/>
          <w:color w:val="auto"/>
        </w:rPr>
      </w:pPr>
    </w:p>
    <w:p>
      <w:pPr>
        <w:ind w:left="280" w:right="3420" w:hanging="272"/>
        <w:spacing w:after="0" w:line="233" w:lineRule="exact"/>
        <w:tabs>
          <w:tab w:leader="none" w:pos="280" w:val="left"/>
        </w:tabs>
        <w:numPr>
          <w:ilvl w:val="0"/>
          <w:numId w:val="34"/>
        </w:numPr>
        <w:rPr>
          <w:rFonts w:ascii="MS PGothic" w:cs="MS PGothic" w:eastAsia="MS PGothic" w:hAnsi="MS PGothic"/>
          <w:sz w:val="36"/>
          <w:szCs w:val="36"/>
          <w:color w:val="auto"/>
          <w:vertAlign w:val="subscript"/>
        </w:rPr>
      </w:pPr>
      <w:r>
        <w:rPr>
          <w:rFonts w:ascii="Arial" w:cs="Arial" w:eastAsia="Arial" w:hAnsi="Arial"/>
          <w:sz w:val="18"/>
          <w:szCs w:val="18"/>
          <w:color w:val="auto"/>
        </w:rPr>
        <w:t xml:space="preserve">Mitigate undue risk in compensation programs by performing annual </w:t>
      </w:r>
      <w:r>
        <w:rPr>
          <w:rFonts w:ascii="MS PGothic" w:cs="MS PGothic" w:eastAsia="MS PGothic" w:hAnsi="MS PGothic"/>
          <w:sz w:val="18"/>
          <w:szCs w:val="18"/>
          <w:color w:val="auto"/>
        </w:rPr>
        <w:t>☒</w:t>
      </w:r>
      <w:r>
        <w:rPr>
          <w:rFonts w:ascii="Arial" w:cs="Arial" w:eastAsia="Arial" w:hAnsi="Arial"/>
          <w:sz w:val="18"/>
          <w:szCs w:val="18"/>
          <w:color w:val="auto"/>
        </w:rPr>
        <w:t xml:space="preserve"> No excise tax gross-ups risk assessments</w:t>
      </w:r>
    </w:p>
    <w:p>
      <w:pPr>
        <w:spacing w:after="0" w:line="297" w:lineRule="exact"/>
        <w:tabs>
          <w:tab w:leader="none" w:pos="5800" w:val="left"/>
        </w:tabs>
        <w:rPr>
          <w:sz w:val="20"/>
          <w:szCs w:val="20"/>
          <w:color w:val="auto"/>
        </w:rPr>
      </w:pPr>
      <w:r>
        <w:rPr>
          <w:rFonts w:ascii="MS PGothic" w:cs="MS PGothic" w:eastAsia="MS PGothic" w:hAnsi="MS PGothic"/>
          <w:sz w:val="34"/>
          <w:szCs w:val="34"/>
          <w:color w:val="auto"/>
          <w:vertAlign w:val="subscript"/>
        </w:rPr>
        <w:t>☑</w:t>
      </w:r>
      <w:r>
        <w:rPr>
          <w:rFonts w:ascii="Arial" w:cs="Arial" w:eastAsia="Arial" w:hAnsi="Arial"/>
          <w:sz w:val="17"/>
          <w:szCs w:val="17"/>
          <w:color w:val="auto"/>
        </w:rPr>
        <w:t xml:space="preserve"> Condition acceleration of equity on “double-trigger” change in</w:t>
      </w:r>
      <w:r>
        <w:rPr>
          <w:sz w:val="20"/>
          <w:szCs w:val="20"/>
          <w:color w:val="auto"/>
        </w:rPr>
        <w:tab/>
      </w:r>
      <w:r>
        <w:rPr>
          <w:rFonts w:ascii="MS PGothic" w:cs="MS PGothic" w:eastAsia="MS PGothic" w:hAnsi="MS PGothic"/>
          <w:sz w:val="18"/>
          <w:szCs w:val="18"/>
          <w:color w:val="auto"/>
          <w:vertAlign w:val="subscript"/>
        </w:rPr>
        <w:t xml:space="preserve">☒ </w:t>
      </w:r>
      <w:r>
        <w:rPr>
          <w:rFonts w:ascii="Arial" w:cs="Arial" w:eastAsia="Arial" w:hAnsi="Arial"/>
          <w:sz w:val="18"/>
          <w:szCs w:val="18"/>
          <w:color w:val="auto"/>
        </w:rPr>
        <w:t>No contracts with multi-year guaranteed salary increases or</w:t>
      </w:r>
    </w:p>
    <w:p>
      <w:pPr>
        <w:ind w:left="280"/>
        <w:spacing w:after="0"/>
        <w:tabs>
          <w:tab w:leader="none" w:pos="6060" w:val="left"/>
        </w:tabs>
        <w:rPr>
          <w:sz w:val="20"/>
          <w:szCs w:val="20"/>
          <w:color w:val="auto"/>
        </w:rPr>
      </w:pPr>
      <w:r>
        <w:rPr>
          <w:rFonts w:ascii="Arial" w:cs="Arial" w:eastAsia="Arial" w:hAnsi="Arial"/>
          <w:sz w:val="18"/>
          <w:szCs w:val="18"/>
          <w:color w:val="auto"/>
        </w:rPr>
        <w:t>control provisions in award agreements</w:t>
      </w:r>
      <w:r>
        <w:rPr>
          <w:sz w:val="20"/>
          <w:szCs w:val="20"/>
          <w:color w:val="auto"/>
        </w:rPr>
        <w:tab/>
      </w:r>
      <w:r>
        <w:rPr>
          <w:rFonts w:ascii="Arial" w:cs="Arial" w:eastAsia="Arial" w:hAnsi="Arial"/>
          <w:sz w:val="18"/>
          <w:szCs w:val="18"/>
          <w:color w:val="auto"/>
        </w:rPr>
        <w:t>non-performance bonus arrangements</w:t>
      </w:r>
    </w:p>
    <w:p>
      <w:pPr>
        <w:spacing w:after="0" w:line="306" w:lineRule="exact"/>
        <w:tabs>
          <w:tab w:leader="none" w:pos="5800" w:val="left"/>
        </w:tabs>
        <w:rPr>
          <w:sz w:val="20"/>
          <w:szCs w:val="20"/>
          <w:color w:val="auto"/>
        </w:rPr>
      </w:pPr>
      <w:r>
        <w:rPr>
          <w:rFonts w:ascii="MS PGothic" w:cs="MS PGothic" w:eastAsia="MS PGothic" w:hAnsi="MS PGothic"/>
          <w:sz w:val="35"/>
          <w:szCs w:val="35"/>
          <w:color w:val="auto"/>
          <w:vertAlign w:val="subscript"/>
        </w:rPr>
        <w:t>☑</w:t>
      </w:r>
      <w:r>
        <w:rPr>
          <w:rFonts w:ascii="Arial" w:cs="Arial" w:eastAsia="Arial" w:hAnsi="Arial"/>
          <w:sz w:val="18"/>
          <w:szCs w:val="18"/>
          <w:color w:val="auto"/>
        </w:rPr>
        <w:t xml:space="preserve"> Prohibit pledging, hedging and short sales of company stock by</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8"/>
          <w:szCs w:val="18"/>
          <w:color w:val="auto"/>
        </w:rPr>
        <w:t>No executive perks</w:t>
      </w:r>
    </w:p>
    <w:p>
      <w:pPr>
        <w:spacing w:after="0" w:line="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executive officers and directors</w:t>
      </w:r>
    </w:p>
    <w:p>
      <w:pPr>
        <w:sectPr>
          <w:pgSz w:w="11900" w:h="16838" w:orient="portrait"/>
          <w:cols w:equalWidth="0" w:num="1">
            <w:col w:w="11420"/>
          </w:cols>
          <w:pgMar w:left="240" w:top="459" w:right="239" w:bottom="1440" w:gutter="0" w:footer="0" w:header="0"/>
        </w:sectPr>
      </w:pPr>
    </w:p>
    <w:p>
      <w:pPr>
        <w:spacing w:after="0" w:line="104" w:lineRule="exact"/>
        <w:rPr>
          <w:sz w:val="20"/>
          <w:szCs w:val="20"/>
          <w:color w:val="auto"/>
        </w:rPr>
      </w:pPr>
    </w:p>
    <w:p>
      <w:pPr>
        <w:ind w:left="280" w:right="280" w:hanging="272"/>
        <w:spacing w:after="0" w:line="180" w:lineRule="auto"/>
        <w:tabs>
          <w:tab w:leader="none" w:pos="280" w:val="left"/>
        </w:tabs>
        <w:numPr>
          <w:ilvl w:val="0"/>
          <w:numId w:val="35"/>
        </w:numPr>
        <w:rPr>
          <w:rFonts w:ascii="MS PGothic" w:cs="MS PGothic" w:eastAsia="MS PGothic" w:hAnsi="MS PGothic"/>
          <w:sz w:val="35"/>
          <w:szCs w:val="35"/>
          <w:color w:val="auto"/>
          <w:vertAlign w:val="subscript"/>
        </w:rPr>
      </w:pPr>
      <w:r>
        <w:rPr>
          <w:rFonts w:ascii="Arial" w:cs="Arial" w:eastAsia="Arial" w:hAnsi="Arial"/>
          <w:sz w:val="18"/>
          <w:szCs w:val="18"/>
          <w:color w:val="auto"/>
        </w:rPr>
        <w:t>Provide change in control severance protection in line with best practices</w:t>
      </w:r>
    </w:p>
    <w:p>
      <w:pPr>
        <w:spacing w:after="0" w:line="95" w:lineRule="exact"/>
        <w:rPr>
          <w:rFonts w:ascii="MS PGothic" w:cs="MS PGothic" w:eastAsia="MS PGothic" w:hAnsi="MS PGothic"/>
          <w:sz w:val="35"/>
          <w:szCs w:val="35"/>
          <w:color w:val="auto"/>
          <w:vertAlign w:val="subscript"/>
        </w:rPr>
      </w:pPr>
    </w:p>
    <w:p>
      <w:pPr>
        <w:ind w:left="280" w:hanging="272"/>
        <w:spacing w:after="0" w:line="180" w:lineRule="auto"/>
        <w:tabs>
          <w:tab w:leader="none" w:pos="280" w:val="left"/>
        </w:tabs>
        <w:numPr>
          <w:ilvl w:val="0"/>
          <w:numId w:val="35"/>
        </w:numPr>
        <w:rPr>
          <w:rFonts w:ascii="MS PGothic" w:cs="MS PGothic" w:eastAsia="MS PGothic" w:hAnsi="MS PGothic"/>
          <w:sz w:val="35"/>
          <w:szCs w:val="35"/>
          <w:color w:val="auto"/>
          <w:vertAlign w:val="subscript"/>
        </w:rPr>
      </w:pPr>
      <w:r>
        <w:rPr>
          <w:rFonts w:ascii="Arial" w:cs="Arial" w:eastAsia="Arial" w:hAnsi="Arial"/>
          <w:sz w:val="18"/>
          <w:szCs w:val="18"/>
          <w:color w:val="auto"/>
        </w:rPr>
        <w:t>Clawback policy to recover both cash and equity incentives in case of a financial restatement or misconduct</w:t>
      </w:r>
    </w:p>
    <w:p>
      <w:pPr>
        <w:spacing w:after="0" w:line="95" w:lineRule="exact"/>
        <w:rPr>
          <w:rFonts w:ascii="MS PGothic" w:cs="MS PGothic" w:eastAsia="MS PGothic" w:hAnsi="MS PGothic"/>
          <w:sz w:val="35"/>
          <w:szCs w:val="35"/>
          <w:color w:val="auto"/>
          <w:vertAlign w:val="subscript"/>
        </w:rPr>
      </w:pPr>
    </w:p>
    <w:p>
      <w:pPr>
        <w:ind w:left="280" w:right="100" w:hanging="272"/>
        <w:spacing w:after="0" w:line="180" w:lineRule="auto"/>
        <w:tabs>
          <w:tab w:leader="none" w:pos="280" w:val="left"/>
        </w:tabs>
        <w:numPr>
          <w:ilvl w:val="0"/>
          <w:numId w:val="35"/>
        </w:numPr>
        <w:rPr>
          <w:rFonts w:ascii="MS PGothic" w:cs="MS PGothic" w:eastAsia="MS PGothic" w:hAnsi="MS PGothic"/>
          <w:sz w:val="35"/>
          <w:szCs w:val="35"/>
          <w:color w:val="auto"/>
          <w:vertAlign w:val="subscript"/>
        </w:rPr>
      </w:pPr>
      <w:r>
        <w:rPr>
          <w:rFonts w:ascii="Arial" w:cs="Arial" w:eastAsia="Arial" w:hAnsi="Arial"/>
          <w:sz w:val="18"/>
          <w:szCs w:val="18"/>
          <w:color w:val="auto"/>
        </w:rPr>
        <w:t>Require executives to hold company shares equal to 5 times their base salary</w:t>
      </w:r>
    </w:p>
    <w:p>
      <w:pPr>
        <w:spacing w:after="0" w:line="20" w:lineRule="exact"/>
        <w:rPr>
          <w:sz w:val="20"/>
          <w:szCs w:val="20"/>
          <w:color w:val="auto"/>
        </w:rPr>
      </w:pPr>
      <w:r>
        <w:rPr>
          <w:sz w:val="20"/>
          <w:szCs w:val="20"/>
          <w:color w:val="auto"/>
        </w:rPr>
        <w:br w:type="column"/>
      </w:r>
    </w:p>
    <w:p>
      <w:pPr>
        <w:spacing w:after="0" w:line="84" w:lineRule="exact"/>
        <w:rPr>
          <w:sz w:val="20"/>
          <w:szCs w:val="20"/>
          <w:color w:val="auto"/>
        </w:rPr>
      </w:pPr>
    </w:p>
    <w:p>
      <w:pPr>
        <w:ind w:left="265" w:right="520" w:hanging="265"/>
        <w:spacing w:after="0" w:line="180" w:lineRule="auto"/>
        <w:tabs>
          <w:tab w:leader="none" w:pos="265" w:val="left"/>
        </w:tabs>
        <w:numPr>
          <w:ilvl w:val="0"/>
          <w:numId w:val="36"/>
        </w:numPr>
        <w:rPr>
          <w:rFonts w:ascii="MS PGothic" w:cs="MS PGothic" w:eastAsia="MS PGothic" w:hAnsi="MS PGothic"/>
          <w:sz w:val="35"/>
          <w:szCs w:val="35"/>
          <w:color w:val="auto"/>
          <w:vertAlign w:val="subscript"/>
        </w:rPr>
      </w:pPr>
      <w:r>
        <w:rPr>
          <w:rFonts w:ascii="Arial" w:cs="Arial" w:eastAsia="Arial" w:hAnsi="Arial"/>
          <w:sz w:val="18"/>
          <w:szCs w:val="18"/>
          <w:color w:val="auto"/>
        </w:rPr>
        <w:t>No discounting, reloading, or re-pricing stock options without stockholder approval</w:t>
      </w:r>
    </w:p>
    <w:p>
      <w:pPr>
        <w:spacing w:after="0" w:line="1208" w:lineRule="exact"/>
        <w:rPr>
          <w:sz w:val="20"/>
          <w:szCs w:val="20"/>
          <w:color w:val="auto"/>
        </w:rPr>
      </w:pPr>
    </w:p>
    <w:p>
      <w:pPr>
        <w:sectPr>
          <w:pgSz w:w="11900" w:h="16838" w:orient="portrait"/>
          <w:cols w:equalWidth="0" w:num="2">
            <w:col w:w="5600" w:space="215"/>
            <w:col w:w="5605"/>
          </w:cols>
          <w:pgMar w:left="240" w:top="459" w:right="239" w:bottom="1440" w:gutter="0" w:footer="0" w:header="0"/>
          <w:type w:val="continuous"/>
        </w:sectPr>
      </w:pPr>
    </w:p>
    <w:p>
      <w:pPr>
        <w:ind w:left="360"/>
        <w:spacing w:after="0"/>
        <w:rPr>
          <w:sz w:val="20"/>
          <w:szCs w:val="20"/>
          <w:color w:val="auto"/>
        </w:rPr>
      </w:pPr>
      <w:r>
        <w:rPr>
          <w:rFonts w:ascii="Arial" w:cs="Arial" w:eastAsia="Arial" w:hAnsi="Arial"/>
          <w:sz w:val="18"/>
          <w:szCs w:val="18"/>
          <w:b w:val="1"/>
          <w:bCs w:val="1"/>
          <w:i w:val="1"/>
          <w:iCs w:val="1"/>
          <w:color w:val="483E65"/>
        </w:rPr>
        <w:t>Stockholder Advisory Vote</w:t>
      </w:r>
    </w:p>
    <w:p>
      <w:pPr>
        <w:spacing w:after="0" w:line="234" w:lineRule="exact"/>
        <w:rPr>
          <w:sz w:val="20"/>
          <w:szCs w:val="20"/>
          <w:color w:val="auto"/>
        </w:rPr>
      </w:pPr>
    </w:p>
    <w:p>
      <w:pPr>
        <w:ind w:right="200"/>
        <w:spacing w:after="0" w:line="237" w:lineRule="auto"/>
        <w:rPr>
          <w:sz w:val="20"/>
          <w:szCs w:val="20"/>
          <w:color w:val="auto"/>
        </w:rPr>
      </w:pPr>
      <w:r>
        <w:rPr>
          <w:rFonts w:ascii="Arial" w:cs="Arial" w:eastAsia="Arial" w:hAnsi="Arial"/>
          <w:sz w:val="18"/>
          <w:szCs w:val="18"/>
          <w:color w:val="auto"/>
        </w:rPr>
        <w:t>At our last annual stockholders’ meeting in August 2016, we held a stockholder advisory vote on the compensation of our named executive officers, commonly referred to as a say-on-pay vote. Our stockholders overwhelmingly approved the compensation of our named executive officers, with approximately 91% of stockholder votes cast in favor of our say-on-pay resolution. As we evaluated our compensation practices during Fiscal 2016, we considered the support our stockholders expressed for our pay for performance compensation philosophy and that influenced our decision not to make any significant changes to our executive compensation programs this year. We continued to emphasize short- and long-term incentive compensation, targeted at competitive market median levels with a substantial majority of total compensation based on the achievement of financial performance goals designed to deliver value for our stockholders.</w:t>
      </w:r>
    </w:p>
    <w:p>
      <w:pPr>
        <w:spacing w:after="0" w:line="203"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color w:val="auto"/>
        </w:rPr>
        <w:t>At our 2011 annual meeting of stockholders, our stockholders expressed a preference for an annual advisory vote on executive compensation, in accordance with our Board’s recommendation. Accordingly, we held an advisory stockholder vote on the compensation of our named executive officers each subsequent year. This year, our Board again recommends that our stockholders support an annual advisory vote on executive compensation.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483E65"/>
        </w:rPr>
        <w:t>Elements and Objectives of Our Compensation Program</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principal elements of compensation are provided under our executive compensation program to our named executive officers:</w:t>
      </w:r>
    </w:p>
    <w:p>
      <w:pPr>
        <w:spacing w:after="0" w:line="194" w:lineRule="exact"/>
        <w:rPr>
          <w:sz w:val="20"/>
          <w:szCs w:val="20"/>
          <w:color w:val="auto"/>
        </w:rPr>
      </w:pPr>
    </w:p>
    <w:p>
      <w:pPr>
        <w:spacing w:after="0" w:line="251" w:lineRule="auto"/>
        <w:rPr>
          <w:sz w:val="20"/>
          <w:szCs w:val="20"/>
          <w:color w:val="auto"/>
        </w:rPr>
      </w:pPr>
      <w:r>
        <w:rPr>
          <w:rFonts w:ascii="Arial" w:cs="Arial" w:eastAsia="Arial" w:hAnsi="Arial"/>
          <w:sz w:val="18"/>
          <w:szCs w:val="18"/>
          <w:i w:val="1"/>
          <w:iCs w:val="1"/>
          <w:color w:val="483E65"/>
        </w:rPr>
        <w:t xml:space="preserve">Base Salary. </w:t>
      </w:r>
      <w:r>
        <w:rPr>
          <w:rFonts w:ascii="Arial" w:cs="Arial" w:eastAsia="Arial" w:hAnsi="Arial"/>
          <w:sz w:val="18"/>
          <w:szCs w:val="18"/>
          <w:color w:val="000000"/>
        </w:rPr>
        <w:t>Consistent with our philosophy of tying pay to performance, our executives receive a minority portion of their overall compensation</w:t>
      </w:r>
      <w:r>
        <w:rPr>
          <w:rFonts w:ascii="Arial" w:cs="Arial" w:eastAsia="Arial" w:hAnsi="Arial"/>
          <w:sz w:val="18"/>
          <w:szCs w:val="18"/>
          <w:i w:val="1"/>
          <w:iCs w:val="1"/>
          <w:color w:val="483E65"/>
        </w:rPr>
        <w:t xml:space="preserve"> </w:t>
      </w:r>
      <w:r>
        <w:rPr>
          <w:rFonts w:ascii="Arial" w:cs="Arial" w:eastAsia="Arial" w:hAnsi="Arial"/>
          <w:sz w:val="18"/>
          <w:szCs w:val="18"/>
          <w:color w:val="000000"/>
        </w:rPr>
        <w:t>in the form of base salary. In order to effectively attract and retain talented executives, we provide a fixed base salary to our executive officers that is competitive with peer company data based on their respective levels of responsibility, expertise, skills, knowledge and experience.</w:t>
      </w:r>
    </w:p>
    <w:p>
      <w:pPr>
        <w:spacing w:after="0" w:line="108" w:lineRule="exact"/>
        <w:rPr>
          <w:sz w:val="20"/>
          <w:szCs w:val="20"/>
          <w:color w:val="auto"/>
        </w:rPr>
      </w:pPr>
    </w:p>
    <w:p>
      <w:pPr>
        <w:spacing w:after="0"/>
        <w:tabs>
          <w:tab w:leader="none" w:pos="340" w:val="left"/>
          <w:tab w:leader="none" w:pos="580" w:val="left"/>
        </w:tabs>
        <w:rPr>
          <w:sz w:val="20"/>
          <w:szCs w:val="20"/>
          <w:color w:val="auto"/>
        </w:rPr>
      </w:pPr>
      <w:r>
        <w:rPr>
          <w:rFonts w:ascii="Arial" w:cs="Arial" w:eastAsia="Arial" w:hAnsi="Arial"/>
          <w:sz w:val="16"/>
          <w:szCs w:val="16"/>
          <w:b w:val="1"/>
          <w:bCs w:val="1"/>
          <w:color w:val="483E65"/>
        </w:rPr>
        <w:t>26</w:t>
        <w:tab/>
        <w:t>|</w:t>
        <w:tab/>
        <w:t>2017 Proxy Statement</w:t>
      </w:r>
    </w:p>
    <w:p>
      <w:pPr>
        <w:sectPr>
          <w:pgSz w:w="11900" w:h="16838" w:orient="portrait"/>
          <w:cols w:equalWidth="0" w:num="1">
            <w:col w:w="11420"/>
          </w:cols>
          <w:pgMar w:left="240" w:top="459" w:right="239" w:bottom="1440" w:gutter="0" w:footer="0" w:header="0"/>
          <w:type w:val="continuous"/>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8" w:lineRule="exact"/>
        <w:rPr>
          <w:sz w:val="20"/>
          <w:szCs w:val="20"/>
          <w:color w:val="auto"/>
        </w:rPr>
      </w:pPr>
    </w:p>
    <w:p>
      <w:pPr>
        <w:spacing w:after="0"/>
        <w:rPr>
          <w:sz w:val="20"/>
          <w:szCs w:val="20"/>
          <w:color w:val="auto"/>
        </w:rPr>
      </w:pPr>
      <w:r>
        <w:rPr>
          <w:rFonts w:ascii="Arial" w:cs="Arial" w:eastAsia="Arial" w:hAnsi="Arial"/>
          <w:sz w:val="32"/>
          <w:szCs w:val="32"/>
          <w:color w:val="483E65"/>
        </w:rPr>
        <w:t>Compensation Discussion &amp;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149860</wp:posOffset>
            </wp:positionV>
            <wp:extent cx="724662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400"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i w:val="1"/>
          <w:iCs w:val="1"/>
          <w:color w:val="483E65"/>
        </w:rPr>
        <w:t xml:space="preserve">Variable Incentive Compensation. </w:t>
      </w:r>
      <w:r>
        <w:rPr>
          <w:rFonts w:ascii="Arial" w:cs="Arial" w:eastAsia="Arial" w:hAnsi="Arial"/>
          <w:sz w:val="18"/>
          <w:szCs w:val="18"/>
          <w:color w:val="000000"/>
        </w:rPr>
        <w:t>We use a combination of cash and equity incentive awards to drive and reward performance in key areas</w:t>
      </w:r>
      <w:r>
        <w:rPr>
          <w:rFonts w:ascii="Arial" w:cs="Arial" w:eastAsia="Arial" w:hAnsi="Arial"/>
          <w:sz w:val="18"/>
          <w:szCs w:val="18"/>
          <w:i w:val="1"/>
          <w:iCs w:val="1"/>
          <w:color w:val="483E65"/>
        </w:rPr>
        <w:t xml:space="preserve"> </w:t>
      </w:r>
      <w:r>
        <w:rPr>
          <w:rFonts w:ascii="Arial" w:cs="Arial" w:eastAsia="Arial" w:hAnsi="Arial"/>
          <w:sz w:val="18"/>
          <w:szCs w:val="18"/>
          <w:color w:val="000000"/>
        </w:rPr>
        <w:t>over different time-frames. Our annual cash incentive awards were designed to measure performance against predetermined goals established for the fiscal year in order to encourage and to reward contributions to our annual financial, operating and strategic objectives. We provided long-term equity incentive awards to our executive officers to motivate them to stay with us and build stockholder value through their future performance. Because these equity awards are intended to help motivate our executive officers to stay with us and to continue to build future stockholder value, we do not generally consider an executive officer’s current stock or option holdings in making additional awards. The following chart summarizes the relevant performance measures and time frames supporting our variable incentive compensation elements for the Fiscal Year 2016 ended December 30, 2016:</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1920" w:type="dxa"/>
            <w:vAlign w:val="bottom"/>
            <w:tcBorders>
              <w:bottom w:val="single" w:sz="8" w:color="483E65"/>
            </w:tcBorders>
          </w:tcPr>
          <w:p>
            <w:pPr>
              <w:ind w:left="40"/>
              <w:spacing w:after="0"/>
              <w:rPr>
                <w:sz w:val="20"/>
                <w:szCs w:val="20"/>
                <w:color w:val="auto"/>
              </w:rPr>
            </w:pPr>
            <w:r>
              <w:rPr>
                <w:rFonts w:ascii="Arial" w:cs="Arial" w:eastAsia="Arial" w:hAnsi="Arial"/>
                <w:sz w:val="14"/>
                <w:szCs w:val="14"/>
                <w:color w:val="483E65"/>
              </w:rPr>
              <w:t>Pay Element</w:t>
            </w:r>
          </w:p>
        </w:tc>
        <w:tc>
          <w:tcPr>
            <w:tcW w:w="4420" w:type="dxa"/>
            <w:vAlign w:val="bottom"/>
            <w:tcBorders>
              <w:bottom w:val="single" w:sz="8" w:color="483E65"/>
            </w:tcBorders>
          </w:tcPr>
          <w:p>
            <w:pPr>
              <w:ind w:left="1520"/>
              <w:spacing w:after="0"/>
              <w:rPr>
                <w:sz w:val="20"/>
                <w:szCs w:val="20"/>
                <w:color w:val="auto"/>
              </w:rPr>
            </w:pPr>
            <w:r>
              <w:rPr>
                <w:rFonts w:ascii="Arial" w:cs="Arial" w:eastAsia="Arial" w:hAnsi="Arial"/>
                <w:sz w:val="14"/>
                <w:szCs w:val="14"/>
                <w:color w:val="483E65"/>
              </w:rPr>
              <w:t>Description and Purpose</w:t>
            </w:r>
          </w:p>
        </w:tc>
        <w:tc>
          <w:tcPr>
            <w:tcW w:w="1000" w:type="dxa"/>
            <w:vAlign w:val="bottom"/>
            <w:tcBorders>
              <w:bottom w:val="single" w:sz="8" w:color="483E65"/>
            </w:tcBorders>
          </w:tcPr>
          <w:p>
            <w:pPr>
              <w:jc w:val="center"/>
              <w:spacing w:after="0"/>
              <w:rPr>
                <w:sz w:val="20"/>
                <w:szCs w:val="20"/>
                <w:color w:val="auto"/>
              </w:rPr>
            </w:pPr>
            <w:r>
              <w:rPr>
                <w:rFonts w:ascii="Arial" w:cs="Arial" w:eastAsia="Arial" w:hAnsi="Arial"/>
                <w:sz w:val="14"/>
                <w:szCs w:val="14"/>
                <w:color w:val="483E65"/>
              </w:rPr>
              <w:t>Time Period</w:t>
            </w:r>
          </w:p>
        </w:tc>
        <w:tc>
          <w:tcPr>
            <w:tcW w:w="320" w:type="dxa"/>
            <w:vAlign w:val="bottom"/>
            <w:tcBorders>
              <w:bottom w:val="single" w:sz="8" w:color="483E65"/>
            </w:tcBorders>
          </w:tcPr>
          <w:p>
            <w:pPr>
              <w:spacing w:after="0"/>
              <w:rPr>
                <w:sz w:val="18"/>
                <w:szCs w:val="18"/>
                <w:color w:val="auto"/>
              </w:rPr>
            </w:pPr>
          </w:p>
        </w:tc>
        <w:tc>
          <w:tcPr>
            <w:tcW w:w="3760" w:type="dxa"/>
            <w:vAlign w:val="bottom"/>
            <w:tcBorders>
              <w:bottom w:val="single" w:sz="8" w:color="483E65"/>
            </w:tcBorders>
          </w:tcPr>
          <w:p>
            <w:pPr>
              <w:ind w:left="1480"/>
              <w:spacing w:after="0"/>
              <w:rPr>
                <w:sz w:val="20"/>
                <w:szCs w:val="20"/>
                <w:color w:val="auto"/>
              </w:rPr>
            </w:pPr>
            <w:r>
              <w:rPr>
                <w:rFonts w:ascii="Arial" w:cs="Arial" w:eastAsia="Arial" w:hAnsi="Arial"/>
                <w:sz w:val="14"/>
                <w:szCs w:val="14"/>
                <w:color w:val="483E65"/>
              </w:rPr>
              <w:t>Metrics</w:t>
            </w:r>
          </w:p>
        </w:tc>
      </w:tr>
      <w:tr>
        <w:trPr>
          <w:trHeight w:val="195"/>
        </w:trPr>
        <w:tc>
          <w:tcPr>
            <w:tcW w:w="1920" w:type="dxa"/>
            <w:vAlign w:val="bottom"/>
          </w:tcPr>
          <w:p>
            <w:pPr>
              <w:ind w:left="60"/>
              <w:spacing w:after="0" w:line="195" w:lineRule="exact"/>
              <w:rPr>
                <w:sz w:val="20"/>
                <w:szCs w:val="20"/>
                <w:color w:val="auto"/>
              </w:rPr>
            </w:pPr>
            <w:r>
              <w:rPr>
                <w:rFonts w:ascii="Arial" w:cs="Arial" w:eastAsia="Arial" w:hAnsi="Arial"/>
                <w:sz w:val="18"/>
                <w:szCs w:val="18"/>
                <w:b w:val="1"/>
                <w:bCs w:val="1"/>
                <w:color w:val="auto"/>
              </w:rPr>
              <w:t>Base Pay</w:t>
            </w:r>
          </w:p>
        </w:tc>
        <w:tc>
          <w:tcPr>
            <w:tcW w:w="4420" w:type="dxa"/>
            <w:vAlign w:val="bottom"/>
          </w:tcPr>
          <w:p>
            <w:pPr>
              <w:ind w:left="420"/>
              <w:spacing w:after="0" w:line="195" w:lineRule="exact"/>
              <w:rPr>
                <w:sz w:val="20"/>
                <w:szCs w:val="20"/>
                <w:color w:val="auto"/>
              </w:rPr>
            </w:pPr>
            <w:r>
              <w:rPr>
                <w:rFonts w:ascii="Arial" w:cs="Arial" w:eastAsia="Arial" w:hAnsi="Arial"/>
                <w:sz w:val="15"/>
                <w:szCs w:val="15"/>
                <w:color w:val="77387A"/>
                <w:w w:val="99"/>
              </w:rPr>
              <w:t>u</w:t>
            </w:r>
            <w:r>
              <w:rPr>
                <w:rFonts w:ascii="Arial" w:cs="Arial" w:eastAsia="Arial" w:hAnsi="Arial"/>
                <w:sz w:val="18"/>
                <w:szCs w:val="18"/>
                <w:color w:val="auto"/>
                <w:w w:val="99"/>
              </w:rPr>
              <w:t>Fixed cash compensation recognizing</w:t>
            </w:r>
          </w:p>
        </w:tc>
        <w:tc>
          <w:tcPr>
            <w:tcW w:w="1000" w:type="dxa"/>
            <w:vAlign w:val="bottom"/>
          </w:tcPr>
          <w:p>
            <w:pPr>
              <w:jc w:val="center"/>
              <w:spacing w:after="0" w:line="195" w:lineRule="exact"/>
              <w:rPr>
                <w:sz w:val="20"/>
                <w:szCs w:val="20"/>
                <w:color w:val="auto"/>
              </w:rPr>
            </w:pPr>
            <w:r>
              <w:rPr>
                <w:rFonts w:ascii="Arial" w:cs="Arial" w:eastAsia="Arial" w:hAnsi="Arial"/>
                <w:sz w:val="18"/>
                <w:szCs w:val="18"/>
                <w:color w:val="auto"/>
                <w:w w:val="94"/>
              </w:rPr>
              <w:t>1 Year</w:t>
            </w:r>
          </w:p>
        </w:tc>
        <w:tc>
          <w:tcPr>
            <w:tcW w:w="320" w:type="dxa"/>
            <w:vAlign w:val="bottom"/>
          </w:tcPr>
          <w:p>
            <w:pPr>
              <w:ind w:left="140"/>
              <w:spacing w:after="0"/>
              <w:rPr>
                <w:sz w:val="20"/>
                <w:szCs w:val="20"/>
                <w:color w:val="auto"/>
              </w:rPr>
            </w:pPr>
            <w:r>
              <w:rPr>
                <w:rFonts w:ascii="Arial" w:cs="Arial" w:eastAsia="Arial" w:hAnsi="Arial"/>
                <w:sz w:val="15"/>
                <w:szCs w:val="15"/>
                <w:color w:val="77387A"/>
              </w:rPr>
              <w:t>u</w:t>
            </w:r>
          </w:p>
        </w:tc>
        <w:tc>
          <w:tcPr>
            <w:tcW w:w="3760" w:type="dxa"/>
            <w:vAlign w:val="bottom"/>
          </w:tcPr>
          <w:p>
            <w:pPr>
              <w:ind w:left="100"/>
              <w:spacing w:after="0" w:line="195" w:lineRule="exact"/>
              <w:rPr>
                <w:sz w:val="20"/>
                <w:szCs w:val="20"/>
                <w:color w:val="auto"/>
              </w:rPr>
            </w:pPr>
            <w:r>
              <w:rPr>
                <w:rFonts w:ascii="Arial" w:cs="Arial" w:eastAsia="Arial" w:hAnsi="Arial"/>
                <w:sz w:val="18"/>
                <w:szCs w:val="18"/>
                <w:color w:val="auto"/>
              </w:rPr>
              <w:t>Pay aligned to experience and job scope,</w:t>
            </w:r>
          </w:p>
        </w:tc>
      </w:tr>
      <w:tr>
        <w:trPr>
          <w:trHeight w:val="203"/>
        </w:trPr>
        <w:tc>
          <w:tcPr>
            <w:tcW w:w="1920" w:type="dxa"/>
            <w:vAlign w:val="bottom"/>
          </w:tcPr>
          <w:p>
            <w:pPr>
              <w:spacing w:after="0"/>
              <w:rPr>
                <w:sz w:val="17"/>
                <w:szCs w:val="17"/>
                <w:color w:val="auto"/>
              </w:rPr>
            </w:pPr>
          </w:p>
        </w:tc>
        <w:tc>
          <w:tcPr>
            <w:tcW w:w="4420" w:type="dxa"/>
            <w:vAlign w:val="bottom"/>
          </w:tcPr>
          <w:p>
            <w:pPr>
              <w:ind w:left="740"/>
              <w:spacing w:after="0" w:line="202" w:lineRule="exact"/>
              <w:rPr>
                <w:sz w:val="20"/>
                <w:szCs w:val="20"/>
                <w:color w:val="auto"/>
              </w:rPr>
            </w:pPr>
            <w:r>
              <w:rPr>
                <w:rFonts w:ascii="Arial" w:cs="Arial" w:eastAsia="Arial" w:hAnsi="Arial"/>
                <w:sz w:val="18"/>
                <w:szCs w:val="18"/>
                <w:color w:val="auto"/>
              </w:rPr>
              <w:t>individual performance, time in role, scope of</w:t>
            </w: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760" w:type="dxa"/>
            <w:vAlign w:val="bottom"/>
          </w:tcPr>
          <w:p>
            <w:pPr>
              <w:ind w:left="140"/>
              <w:spacing w:after="0" w:line="202" w:lineRule="exact"/>
              <w:rPr>
                <w:sz w:val="20"/>
                <w:szCs w:val="20"/>
                <w:color w:val="auto"/>
              </w:rPr>
            </w:pPr>
            <w:r>
              <w:rPr>
                <w:rFonts w:ascii="Arial" w:cs="Arial" w:eastAsia="Arial" w:hAnsi="Arial"/>
                <w:sz w:val="18"/>
                <w:szCs w:val="18"/>
                <w:color w:val="auto"/>
              </w:rPr>
              <w:t>targeted to median of applicable market data</w:t>
            </w:r>
          </w:p>
        </w:tc>
      </w:tr>
      <w:tr>
        <w:trPr>
          <w:trHeight w:val="203"/>
        </w:trPr>
        <w:tc>
          <w:tcPr>
            <w:tcW w:w="1920" w:type="dxa"/>
            <w:vAlign w:val="bottom"/>
          </w:tcPr>
          <w:p>
            <w:pPr>
              <w:spacing w:after="0"/>
              <w:rPr>
                <w:sz w:val="17"/>
                <w:szCs w:val="17"/>
                <w:color w:val="auto"/>
              </w:rPr>
            </w:pPr>
          </w:p>
        </w:tc>
        <w:tc>
          <w:tcPr>
            <w:tcW w:w="4420" w:type="dxa"/>
            <w:vAlign w:val="bottom"/>
          </w:tcPr>
          <w:p>
            <w:pPr>
              <w:ind w:left="740"/>
              <w:spacing w:after="0" w:line="202" w:lineRule="exact"/>
              <w:rPr>
                <w:sz w:val="20"/>
                <w:szCs w:val="20"/>
                <w:color w:val="auto"/>
              </w:rPr>
            </w:pPr>
            <w:r>
              <w:rPr>
                <w:rFonts w:ascii="Arial" w:cs="Arial" w:eastAsia="Arial" w:hAnsi="Arial"/>
                <w:sz w:val="18"/>
                <w:szCs w:val="18"/>
                <w:color w:val="auto"/>
              </w:rPr>
              <w:t>responsibility, leadership skills and</w:t>
            </w: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760" w:type="dxa"/>
            <w:vAlign w:val="bottom"/>
          </w:tcPr>
          <w:p>
            <w:pPr>
              <w:spacing w:after="0"/>
              <w:rPr>
                <w:sz w:val="17"/>
                <w:szCs w:val="17"/>
                <w:color w:val="auto"/>
              </w:rPr>
            </w:pPr>
          </w:p>
        </w:tc>
      </w:tr>
      <w:tr>
        <w:trPr>
          <w:trHeight w:val="217"/>
        </w:trPr>
        <w:tc>
          <w:tcPr>
            <w:tcW w:w="1920" w:type="dxa"/>
            <w:vAlign w:val="bottom"/>
          </w:tcPr>
          <w:p>
            <w:pPr>
              <w:spacing w:after="0"/>
              <w:rPr>
                <w:sz w:val="18"/>
                <w:szCs w:val="18"/>
                <w:color w:val="auto"/>
              </w:rPr>
            </w:pPr>
          </w:p>
        </w:tc>
        <w:tc>
          <w:tcPr>
            <w:tcW w:w="4420" w:type="dxa"/>
            <w:vAlign w:val="bottom"/>
          </w:tcPr>
          <w:p>
            <w:pPr>
              <w:ind w:left="740"/>
              <w:spacing w:after="0"/>
              <w:rPr>
                <w:sz w:val="20"/>
                <w:szCs w:val="20"/>
                <w:color w:val="auto"/>
              </w:rPr>
            </w:pPr>
            <w:r>
              <w:rPr>
                <w:rFonts w:ascii="Arial" w:cs="Arial" w:eastAsia="Arial" w:hAnsi="Arial"/>
                <w:sz w:val="18"/>
                <w:szCs w:val="18"/>
                <w:color w:val="auto"/>
              </w:rPr>
              <w:t>experience.</w:t>
            </w: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760" w:type="dxa"/>
            <w:vAlign w:val="bottom"/>
          </w:tcPr>
          <w:p>
            <w:pPr>
              <w:spacing w:after="0"/>
              <w:rPr>
                <w:sz w:val="18"/>
                <w:szCs w:val="18"/>
                <w:color w:val="auto"/>
              </w:rPr>
            </w:pPr>
          </w:p>
        </w:tc>
      </w:tr>
      <w:tr>
        <w:trPr>
          <w:trHeight w:val="296"/>
        </w:trPr>
        <w:tc>
          <w:tcPr>
            <w:tcW w:w="1920" w:type="dxa"/>
            <w:vAlign w:val="bottom"/>
          </w:tcPr>
          <w:p>
            <w:pPr>
              <w:spacing w:after="0"/>
              <w:rPr>
                <w:sz w:val="24"/>
                <w:szCs w:val="24"/>
                <w:color w:val="auto"/>
              </w:rPr>
            </w:pPr>
          </w:p>
        </w:tc>
        <w:tc>
          <w:tcPr>
            <w:tcW w:w="4420" w:type="dxa"/>
            <w:vAlign w:val="bottom"/>
          </w:tcPr>
          <w:p>
            <w:pPr>
              <w:ind w:left="420"/>
              <w:spacing w:after="0"/>
              <w:rPr>
                <w:sz w:val="20"/>
                <w:szCs w:val="20"/>
                <w:color w:val="auto"/>
              </w:rPr>
            </w:pPr>
            <w:r>
              <w:rPr>
                <w:rFonts w:ascii="Arial" w:cs="Arial" w:eastAsia="Arial" w:hAnsi="Arial"/>
                <w:sz w:val="15"/>
                <w:szCs w:val="15"/>
                <w:color w:val="77387A"/>
                <w:w w:val="99"/>
              </w:rPr>
              <w:t>u</w:t>
            </w:r>
            <w:r>
              <w:rPr>
                <w:rFonts w:ascii="Arial" w:cs="Arial" w:eastAsia="Arial" w:hAnsi="Arial"/>
                <w:sz w:val="18"/>
                <w:szCs w:val="18"/>
                <w:color w:val="auto"/>
                <w:w w:val="99"/>
              </w:rPr>
              <w:t>Reviewed annually and adjusted when</w:t>
            </w: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760" w:type="dxa"/>
            <w:vAlign w:val="bottom"/>
          </w:tcPr>
          <w:p>
            <w:pPr>
              <w:spacing w:after="0"/>
              <w:rPr>
                <w:sz w:val="24"/>
                <w:szCs w:val="24"/>
                <w:color w:val="auto"/>
              </w:rPr>
            </w:pPr>
          </w:p>
        </w:tc>
      </w:tr>
      <w:tr>
        <w:trPr>
          <w:trHeight w:val="217"/>
        </w:trPr>
        <w:tc>
          <w:tcPr>
            <w:tcW w:w="1920" w:type="dxa"/>
            <w:vAlign w:val="bottom"/>
          </w:tcPr>
          <w:p>
            <w:pPr>
              <w:spacing w:after="0"/>
              <w:rPr>
                <w:sz w:val="18"/>
                <w:szCs w:val="18"/>
                <w:color w:val="auto"/>
              </w:rPr>
            </w:pPr>
          </w:p>
        </w:tc>
        <w:tc>
          <w:tcPr>
            <w:tcW w:w="4420" w:type="dxa"/>
            <w:vAlign w:val="bottom"/>
          </w:tcPr>
          <w:p>
            <w:pPr>
              <w:ind w:left="740"/>
              <w:spacing w:after="0"/>
              <w:rPr>
                <w:sz w:val="20"/>
                <w:szCs w:val="20"/>
                <w:color w:val="auto"/>
              </w:rPr>
            </w:pPr>
            <w:r>
              <w:rPr>
                <w:rFonts w:ascii="Arial" w:cs="Arial" w:eastAsia="Arial" w:hAnsi="Arial"/>
                <w:sz w:val="18"/>
                <w:szCs w:val="18"/>
                <w:color w:val="auto"/>
              </w:rPr>
              <w:t>appropriate.</w:t>
            </w: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760" w:type="dxa"/>
            <w:vAlign w:val="bottom"/>
          </w:tcPr>
          <w:p>
            <w:pPr>
              <w:spacing w:after="0"/>
              <w:rPr>
                <w:sz w:val="18"/>
                <w:szCs w:val="18"/>
                <w:color w:val="auto"/>
              </w:rPr>
            </w:pPr>
          </w:p>
        </w:tc>
      </w:tr>
      <w:tr>
        <w:trPr>
          <w:trHeight w:val="41"/>
        </w:trPr>
        <w:tc>
          <w:tcPr>
            <w:tcW w:w="1920" w:type="dxa"/>
            <w:vAlign w:val="bottom"/>
            <w:tcBorders>
              <w:bottom w:val="single" w:sz="8" w:color="483E65"/>
            </w:tcBorders>
          </w:tcPr>
          <w:p>
            <w:pPr>
              <w:spacing w:after="0"/>
              <w:rPr>
                <w:sz w:val="3"/>
                <w:szCs w:val="3"/>
                <w:color w:val="auto"/>
              </w:rPr>
            </w:pPr>
          </w:p>
        </w:tc>
        <w:tc>
          <w:tcPr>
            <w:tcW w:w="4420" w:type="dxa"/>
            <w:vAlign w:val="bottom"/>
            <w:tcBorders>
              <w:bottom w:val="single" w:sz="8" w:color="483E65"/>
            </w:tcBorders>
          </w:tcPr>
          <w:p>
            <w:pPr>
              <w:spacing w:after="0"/>
              <w:rPr>
                <w:sz w:val="3"/>
                <w:szCs w:val="3"/>
                <w:color w:val="auto"/>
              </w:rPr>
            </w:pPr>
          </w:p>
        </w:tc>
        <w:tc>
          <w:tcPr>
            <w:tcW w:w="1000" w:type="dxa"/>
            <w:vAlign w:val="bottom"/>
            <w:tcBorders>
              <w:bottom w:val="single" w:sz="8" w:color="483E65"/>
            </w:tcBorders>
          </w:tcPr>
          <w:p>
            <w:pPr>
              <w:spacing w:after="0"/>
              <w:rPr>
                <w:sz w:val="3"/>
                <w:szCs w:val="3"/>
                <w:color w:val="auto"/>
              </w:rPr>
            </w:pPr>
          </w:p>
        </w:tc>
        <w:tc>
          <w:tcPr>
            <w:tcW w:w="320" w:type="dxa"/>
            <w:vAlign w:val="bottom"/>
            <w:tcBorders>
              <w:bottom w:val="single" w:sz="8" w:color="483E65"/>
            </w:tcBorders>
          </w:tcPr>
          <w:p>
            <w:pPr>
              <w:spacing w:after="0"/>
              <w:rPr>
                <w:sz w:val="3"/>
                <w:szCs w:val="3"/>
                <w:color w:val="auto"/>
              </w:rPr>
            </w:pPr>
          </w:p>
        </w:tc>
        <w:tc>
          <w:tcPr>
            <w:tcW w:w="3760" w:type="dxa"/>
            <w:vAlign w:val="bottom"/>
            <w:tcBorders>
              <w:bottom w:val="single" w:sz="8" w:color="483E65"/>
            </w:tcBorders>
          </w:tcPr>
          <w:p>
            <w:pPr>
              <w:spacing w:after="0"/>
              <w:rPr>
                <w:sz w:val="3"/>
                <w:szCs w:val="3"/>
                <w:color w:val="auto"/>
              </w:rPr>
            </w:pPr>
          </w:p>
        </w:tc>
      </w:tr>
      <w:tr>
        <w:trPr>
          <w:trHeight w:val="272"/>
        </w:trPr>
        <w:tc>
          <w:tcPr>
            <w:tcW w:w="1920" w:type="dxa"/>
            <w:vAlign w:val="bottom"/>
          </w:tcPr>
          <w:p>
            <w:pPr>
              <w:ind w:left="60"/>
              <w:spacing w:after="0"/>
              <w:rPr>
                <w:sz w:val="20"/>
                <w:szCs w:val="20"/>
                <w:color w:val="auto"/>
              </w:rPr>
            </w:pPr>
            <w:r>
              <w:rPr>
                <w:rFonts w:ascii="Arial" w:cs="Arial" w:eastAsia="Arial" w:hAnsi="Arial"/>
                <w:sz w:val="18"/>
                <w:szCs w:val="18"/>
                <w:b w:val="1"/>
                <w:bCs w:val="1"/>
                <w:color w:val="auto"/>
              </w:rPr>
              <w:t>Short-Term</w:t>
            </w:r>
          </w:p>
        </w:tc>
        <w:tc>
          <w:tcPr>
            <w:tcW w:w="4420" w:type="dxa"/>
            <w:vAlign w:val="bottom"/>
          </w:tcPr>
          <w:p>
            <w:pPr>
              <w:ind w:left="420"/>
              <w:spacing w:after="0"/>
              <w:rPr>
                <w:sz w:val="20"/>
                <w:szCs w:val="20"/>
                <w:color w:val="auto"/>
              </w:rPr>
            </w:pPr>
            <w:r>
              <w:rPr>
                <w:rFonts w:ascii="Arial" w:cs="Arial" w:eastAsia="Arial" w:hAnsi="Arial"/>
                <w:sz w:val="15"/>
                <w:szCs w:val="15"/>
                <w:color w:val="77387A"/>
                <w:w w:val="99"/>
              </w:rPr>
              <w:t>u</w:t>
            </w:r>
            <w:r>
              <w:rPr>
                <w:rFonts w:ascii="Arial" w:cs="Arial" w:eastAsia="Arial" w:hAnsi="Arial"/>
                <w:sz w:val="18"/>
                <w:szCs w:val="18"/>
                <w:color w:val="auto"/>
                <w:w w:val="99"/>
              </w:rPr>
              <w:t>Variable compensation based on</w:t>
            </w:r>
          </w:p>
        </w:tc>
        <w:tc>
          <w:tcPr>
            <w:tcW w:w="1000" w:type="dxa"/>
            <w:vAlign w:val="bottom"/>
          </w:tcPr>
          <w:p>
            <w:pPr>
              <w:jc w:val="center"/>
              <w:spacing w:after="0"/>
              <w:rPr>
                <w:sz w:val="20"/>
                <w:szCs w:val="20"/>
                <w:color w:val="auto"/>
              </w:rPr>
            </w:pPr>
            <w:r>
              <w:rPr>
                <w:rFonts w:ascii="Arial" w:cs="Arial" w:eastAsia="Arial" w:hAnsi="Arial"/>
                <w:sz w:val="18"/>
                <w:szCs w:val="18"/>
                <w:color w:val="auto"/>
                <w:w w:val="94"/>
              </w:rPr>
              <w:t>1 Year</w:t>
            </w:r>
          </w:p>
        </w:tc>
        <w:tc>
          <w:tcPr>
            <w:tcW w:w="320" w:type="dxa"/>
            <w:vAlign w:val="bottom"/>
          </w:tcPr>
          <w:p>
            <w:pPr>
              <w:ind w:left="140"/>
              <w:spacing w:after="0"/>
              <w:rPr>
                <w:sz w:val="20"/>
                <w:szCs w:val="20"/>
                <w:color w:val="auto"/>
              </w:rPr>
            </w:pPr>
            <w:r>
              <w:rPr>
                <w:rFonts w:ascii="Arial" w:cs="Arial" w:eastAsia="Arial" w:hAnsi="Arial"/>
                <w:sz w:val="15"/>
                <w:szCs w:val="15"/>
                <w:color w:val="77387A"/>
              </w:rPr>
              <w:t>u</w:t>
            </w:r>
          </w:p>
        </w:tc>
        <w:tc>
          <w:tcPr>
            <w:tcW w:w="3760" w:type="dxa"/>
            <w:vAlign w:val="bottom"/>
          </w:tcPr>
          <w:p>
            <w:pPr>
              <w:ind w:left="100"/>
              <w:spacing w:after="0"/>
              <w:rPr>
                <w:sz w:val="20"/>
                <w:szCs w:val="20"/>
                <w:color w:val="auto"/>
              </w:rPr>
            </w:pPr>
            <w:r>
              <w:rPr>
                <w:rFonts w:ascii="Arial" w:cs="Arial" w:eastAsia="Arial" w:hAnsi="Arial"/>
                <w:sz w:val="18"/>
                <w:szCs w:val="18"/>
                <w:color w:val="auto"/>
              </w:rPr>
              <w:t>Financial (80%)</w:t>
            </w:r>
          </w:p>
        </w:tc>
      </w:tr>
      <w:tr>
        <w:trPr>
          <w:trHeight w:val="203"/>
        </w:trPr>
        <w:tc>
          <w:tcPr>
            <w:tcW w:w="1920" w:type="dxa"/>
            <w:vAlign w:val="bottom"/>
          </w:tcPr>
          <w:p>
            <w:pPr>
              <w:spacing w:after="0"/>
              <w:rPr>
                <w:sz w:val="17"/>
                <w:szCs w:val="17"/>
                <w:color w:val="auto"/>
              </w:rPr>
            </w:pPr>
          </w:p>
        </w:tc>
        <w:tc>
          <w:tcPr>
            <w:tcW w:w="4420" w:type="dxa"/>
            <w:vAlign w:val="bottom"/>
          </w:tcPr>
          <w:p>
            <w:pPr>
              <w:ind w:left="740"/>
              <w:spacing w:after="0" w:line="202" w:lineRule="exact"/>
              <w:rPr>
                <w:sz w:val="20"/>
                <w:szCs w:val="20"/>
                <w:color w:val="auto"/>
              </w:rPr>
            </w:pPr>
            <w:r>
              <w:rPr>
                <w:rFonts w:ascii="Arial" w:cs="Arial" w:eastAsia="Arial" w:hAnsi="Arial"/>
                <w:sz w:val="18"/>
                <w:szCs w:val="18"/>
                <w:color w:val="auto"/>
              </w:rPr>
              <w:t>performance against annually established</w:t>
            </w: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760" w:type="dxa"/>
            <w:vAlign w:val="bottom"/>
          </w:tcPr>
          <w:p>
            <w:pPr>
              <w:ind w:left="140"/>
              <w:spacing w:after="0" w:line="202" w:lineRule="exact"/>
              <w:rPr>
                <w:sz w:val="20"/>
                <w:szCs w:val="20"/>
                <w:color w:val="auto"/>
              </w:rPr>
            </w:pPr>
            <w:r>
              <w:rPr>
                <w:rFonts w:ascii="Arial" w:cs="Arial" w:eastAsia="Arial" w:hAnsi="Arial"/>
                <w:sz w:val="18"/>
                <w:szCs w:val="18"/>
                <w:i w:val="1"/>
                <w:iCs w:val="1"/>
                <w:color w:val="auto"/>
              </w:rPr>
              <w:t>Adjusted Operating Income (40%)</w:t>
            </w:r>
          </w:p>
        </w:tc>
      </w:tr>
      <w:tr>
        <w:trPr>
          <w:trHeight w:val="203"/>
        </w:trPr>
        <w:tc>
          <w:tcPr>
            <w:tcW w:w="1920" w:type="dxa"/>
            <w:vAlign w:val="bottom"/>
          </w:tcPr>
          <w:p>
            <w:pPr>
              <w:spacing w:after="0"/>
              <w:rPr>
                <w:sz w:val="17"/>
                <w:szCs w:val="17"/>
                <w:color w:val="auto"/>
              </w:rPr>
            </w:pPr>
          </w:p>
        </w:tc>
        <w:tc>
          <w:tcPr>
            <w:tcW w:w="4420" w:type="dxa"/>
            <w:vAlign w:val="bottom"/>
          </w:tcPr>
          <w:p>
            <w:pPr>
              <w:ind w:left="740"/>
              <w:spacing w:after="0" w:line="202" w:lineRule="exact"/>
              <w:rPr>
                <w:sz w:val="20"/>
                <w:szCs w:val="20"/>
                <w:color w:val="auto"/>
              </w:rPr>
            </w:pPr>
            <w:r>
              <w:rPr>
                <w:rFonts w:ascii="Arial" w:cs="Arial" w:eastAsia="Arial" w:hAnsi="Arial"/>
                <w:sz w:val="18"/>
                <w:szCs w:val="18"/>
                <w:color w:val="auto"/>
              </w:rPr>
              <w:t>targets and individual performance; payable</w:t>
            </w: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760" w:type="dxa"/>
            <w:vAlign w:val="bottom"/>
          </w:tcPr>
          <w:p>
            <w:pPr>
              <w:ind w:left="140"/>
              <w:spacing w:after="0" w:line="202" w:lineRule="exact"/>
              <w:rPr>
                <w:sz w:val="20"/>
                <w:szCs w:val="20"/>
                <w:color w:val="auto"/>
              </w:rPr>
            </w:pPr>
            <w:r>
              <w:rPr>
                <w:rFonts w:ascii="Arial" w:cs="Arial" w:eastAsia="Arial" w:hAnsi="Arial"/>
                <w:sz w:val="18"/>
                <w:szCs w:val="18"/>
                <w:i w:val="1"/>
                <w:iCs w:val="1"/>
                <w:color w:val="auto"/>
              </w:rPr>
              <w:t>Total Backlog (25%)</w:t>
            </w:r>
          </w:p>
        </w:tc>
      </w:tr>
      <w:tr>
        <w:trPr>
          <w:trHeight w:val="235"/>
        </w:trPr>
        <w:tc>
          <w:tcPr>
            <w:tcW w:w="1920" w:type="dxa"/>
            <w:vAlign w:val="bottom"/>
          </w:tcPr>
          <w:p>
            <w:pPr>
              <w:spacing w:after="0"/>
              <w:rPr>
                <w:sz w:val="20"/>
                <w:szCs w:val="20"/>
                <w:color w:val="auto"/>
              </w:rPr>
            </w:pPr>
          </w:p>
        </w:tc>
        <w:tc>
          <w:tcPr>
            <w:tcW w:w="4420" w:type="dxa"/>
            <w:vAlign w:val="bottom"/>
          </w:tcPr>
          <w:p>
            <w:pPr>
              <w:ind w:left="740"/>
              <w:spacing w:after="0"/>
              <w:rPr>
                <w:sz w:val="20"/>
                <w:szCs w:val="20"/>
                <w:color w:val="auto"/>
              </w:rPr>
            </w:pPr>
            <w:r>
              <w:rPr>
                <w:rFonts w:ascii="Arial" w:cs="Arial" w:eastAsia="Arial" w:hAnsi="Arial"/>
                <w:sz w:val="18"/>
                <w:szCs w:val="18"/>
                <w:color w:val="auto"/>
              </w:rPr>
              <w:t>in cash.</w:t>
            </w:r>
          </w:p>
        </w:tc>
        <w:tc>
          <w:tcPr>
            <w:tcW w:w="10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760" w:type="dxa"/>
            <w:vAlign w:val="bottom"/>
          </w:tcPr>
          <w:p>
            <w:pPr>
              <w:ind w:left="140"/>
              <w:spacing w:after="0"/>
              <w:rPr>
                <w:sz w:val="20"/>
                <w:szCs w:val="20"/>
                <w:color w:val="auto"/>
              </w:rPr>
            </w:pPr>
            <w:r>
              <w:rPr>
                <w:rFonts w:ascii="Arial" w:cs="Arial" w:eastAsia="Arial" w:hAnsi="Arial"/>
                <w:sz w:val="18"/>
                <w:szCs w:val="18"/>
                <w:i w:val="1"/>
                <w:iCs w:val="1"/>
                <w:color w:val="auto"/>
              </w:rPr>
              <w:t>Days Working Capital (15%)</w:t>
            </w:r>
          </w:p>
        </w:tc>
      </w:tr>
      <w:tr>
        <w:trPr>
          <w:trHeight w:val="278"/>
        </w:trPr>
        <w:tc>
          <w:tcPr>
            <w:tcW w:w="1920" w:type="dxa"/>
            <w:vAlign w:val="bottom"/>
          </w:tcPr>
          <w:p>
            <w:pPr>
              <w:spacing w:after="0"/>
              <w:rPr>
                <w:sz w:val="24"/>
                <w:szCs w:val="24"/>
                <w:color w:val="auto"/>
              </w:rPr>
            </w:pPr>
          </w:p>
        </w:tc>
        <w:tc>
          <w:tcPr>
            <w:tcW w:w="4420" w:type="dxa"/>
            <w:vAlign w:val="bottom"/>
          </w:tcPr>
          <w:p>
            <w:pPr>
              <w:ind w:left="420"/>
              <w:spacing w:after="0"/>
              <w:rPr>
                <w:sz w:val="20"/>
                <w:szCs w:val="20"/>
                <w:color w:val="auto"/>
              </w:rPr>
            </w:pPr>
            <w:r>
              <w:rPr>
                <w:rFonts w:ascii="Arial" w:cs="Arial" w:eastAsia="Arial" w:hAnsi="Arial"/>
                <w:sz w:val="15"/>
                <w:szCs w:val="15"/>
                <w:color w:val="77387A"/>
                <w:w w:val="99"/>
              </w:rPr>
              <w:t>u</w:t>
            </w:r>
            <w:r>
              <w:rPr>
                <w:rFonts w:ascii="Arial" w:cs="Arial" w:eastAsia="Arial" w:hAnsi="Arial"/>
                <w:sz w:val="18"/>
                <w:szCs w:val="18"/>
                <w:color w:val="auto"/>
                <w:w w:val="99"/>
              </w:rPr>
              <w:t>Designed to reward executives for annual</w:t>
            </w:r>
          </w:p>
        </w:tc>
        <w:tc>
          <w:tcPr>
            <w:tcW w:w="1000" w:type="dxa"/>
            <w:vAlign w:val="bottom"/>
          </w:tcPr>
          <w:p>
            <w:pPr>
              <w:spacing w:after="0"/>
              <w:rPr>
                <w:sz w:val="24"/>
                <w:szCs w:val="24"/>
                <w:color w:val="auto"/>
              </w:rPr>
            </w:pPr>
          </w:p>
        </w:tc>
        <w:tc>
          <w:tcPr>
            <w:tcW w:w="320" w:type="dxa"/>
            <w:vAlign w:val="bottom"/>
          </w:tcPr>
          <w:p>
            <w:pPr>
              <w:ind w:left="140"/>
              <w:spacing w:after="0"/>
              <w:rPr>
                <w:sz w:val="20"/>
                <w:szCs w:val="20"/>
                <w:color w:val="auto"/>
              </w:rPr>
            </w:pPr>
            <w:r>
              <w:rPr>
                <w:rFonts w:ascii="Arial" w:cs="Arial" w:eastAsia="Arial" w:hAnsi="Arial"/>
                <w:sz w:val="15"/>
                <w:szCs w:val="15"/>
                <w:color w:val="77387A"/>
              </w:rPr>
              <w:t>u</w:t>
            </w:r>
          </w:p>
        </w:tc>
        <w:tc>
          <w:tcPr>
            <w:tcW w:w="3760" w:type="dxa"/>
            <w:vAlign w:val="bottom"/>
          </w:tcPr>
          <w:p>
            <w:pPr>
              <w:ind w:left="100"/>
              <w:spacing w:after="0"/>
              <w:rPr>
                <w:sz w:val="20"/>
                <w:szCs w:val="20"/>
                <w:color w:val="auto"/>
              </w:rPr>
            </w:pPr>
            <w:r>
              <w:rPr>
                <w:rFonts w:ascii="Arial" w:cs="Arial" w:eastAsia="Arial" w:hAnsi="Arial"/>
                <w:sz w:val="18"/>
                <w:szCs w:val="18"/>
                <w:color w:val="auto"/>
              </w:rPr>
              <w:t>Personal (20%)</w:t>
            </w:r>
          </w:p>
        </w:tc>
      </w:tr>
      <w:tr>
        <w:trPr>
          <w:trHeight w:val="203"/>
        </w:trPr>
        <w:tc>
          <w:tcPr>
            <w:tcW w:w="1920" w:type="dxa"/>
            <w:vAlign w:val="bottom"/>
          </w:tcPr>
          <w:p>
            <w:pPr>
              <w:spacing w:after="0"/>
              <w:rPr>
                <w:sz w:val="17"/>
                <w:szCs w:val="17"/>
                <w:color w:val="auto"/>
              </w:rPr>
            </w:pPr>
          </w:p>
        </w:tc>
        <w:tc>
          <w:tcPr>
            <w:tcW w:w="4420" w:type="dxa"/>
            <w:vAlign w:val="bottom"/>
          </w:tcPr>
          <w:p>
            <w:pPr>
              <w:ind w:left="740"/>
              <w:spacing w:after="0" w:line="202" w:lineRule="exact"/>
              <w:rPr>
                <w:sz w:val="20"/>
                <w:szCs w:val="20"/>
                <w:color w:val="auto"/>
              </w:rPr>
            </w:pPr>
            <w:r>
              <w:rPr>
                <w:rFonts w:ascii="Arial" w:cs="Arial" w:eastAsia="Arial" w:hAnsi="Arial"/>
                <w:sz w:val="18"/>
                <w:szCs w:val="18"/>
                <w:color w:val="auto"/>
              </w:rPr>
              <w:t>performance on key operational and financial</w:t>
            </w: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760" w:type="dxa"/>
            <w:vAlign w:val="bottom"/>
          </w:tcPr>
          <w:p>
            <w:pPr>
              <w:ind w:left="140"/>
              <w:spacing w:after="0" w:line="202" w:lineRule="exact"/>
              <w:rPr>
                <w:sz w:val="20"/>
                <w:szCs w:val="20"/>
                <w:color w:val="auto"/>
              </w:rPr>
            </w:pPr>
            <w:r>
              <w:rPr>
                <w:rFonts w:ascii="Arial" w:cs="Arial" w:eastAsia="Arial" w:hAnsi="Arial"/>
                <w:sz w:val="18"/>
                <w:szCs w:val="18"/>
                <w:i w:val="1"/>
                <w:iCs w:val="1"/>
                <w:color w:val="auto"/>
              </w:rPr>
              <w:t>Personal Achievements</w:t>
            </w:r>
          </w:p>
        </w:tc>
      </w:tr>
      <w:tr>
        <w:trPr>
          <w:trHeight w:val="203"/>
        </w:trPr>
        <w:tc>
          <w:tcPr>
            <w:tcW w:w="1920" w:type="dxa"/>
            <w:vAlign w:val="bottom"/>
          </w:tcPr>
          <w:p>
            <w:pPr>
              <w:spacing w:after="0"/>
              <w:rPr>
                <w:sz w:val="17"/>
                <w:szCs w:val="17"/>
                <w:color w:val="auto"/>
              </w:rPr>
            </w:pPr>
          </w:p>
        </w:tc>
        <w:tc>
          <w:tcPr>
            <w:tcW w:w="4420" w:type="dxa"/>
            <w:vAlign w:val="bottom"/>
          </w:tcPr>
          <w:p>
            <w:pPr>
              <w:ind w:left="740"/>
              <w:spacing w:after="0" w:line="202" w:lineRule="exact"/>
              <w:rPr>
                <w:sz w:val="20"/>
                <w:szCs w:val="20"/>
                <w:color w:val="auto"/>
              </w:rPr>
            </w:pPr>
            <w:r>
              <w:rPr>
                <w:rFonts w:ascii="Arial" w:cs="Arial" w:eastAsia="Arial" w:hAnsi="Arial"/>
                <w:sz w:val="18"/>
                <w:szCs w:val="18"/>
                <w:color w:val="auto"/>
              </w:rPr>
              <w:t>measures, as well as individual performance.</w:t>
            </w: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760" w:type="dxa"/>
            <w:vAlign w:val="bottom"/>
          </w:tcPr>
          <w:p>
            <w:pPr>
              <w:ind w:left="140"/>
              <w:spacing w:after="0" w:line="202" w:lineRule="exact"/>
              <w:rPr>
                <w:sz w:val="20"/>
                <w:szCs w:val="20"/>
                <w:color w:val="auto"/>
              </w:rPr>
            </w:pPr>
            <w:r>
              <w:rPr>
                <w:rFonts w:ascii="Arial" w:cs="Arial" w:eastAsia="Arial" w:hAnsi="Arial"/>
                <w:sz w:val="18"/>
                <w:szCs w:val="18"/>
                <w:i w:val="1"/>
                <w:iCs w:val="1"/>
                <w:color w:val="auto"/>
              </w:rPr>
              <w:t>Adjustment factor of 0% to 125% applied</w:t>
            </w:r>
          </w:p>
        </w:tc>
      </w:tr>
      <w:tr>
        <w:trPr>
          <w:trHeight w:val="203"/>
        </w:trPr>
        <w:tc>
          <w:tcPr>
            <w:tcW w:w="1920" w:type="dxa"/>
            <w:vAlign w:val="bottom"/>
          </w:tcPr>
          <w:p>
            <w:pPr>
              <w:spacing w:after="0"/>
              <w:rPr>
                <w:sz w:val="17"/>
                <w:szCs w:val="17"/>
                <w:color w:val="auto"/>
              </w:rPr>
            </w:pPr>
          </w:p>
        </w:tc>
        <w:tc>
          <w:tcPr>
            <w:tcW w:w="44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760" w:type="dxa"/>
            <w:vAlign w:val="bottom"/>
          </w:tcPr>
          <w:p>
            <w:pPr>
              <w:ind w:left="140"/>
              <w:spacing w:after="0" w:line="202" w:lineRule="exact"/>
              <w:rPr>
                <w:sz w:val="20"/>
                <w:szCs w:val="20"/>
                <w:color w:val="auto"/>
              </w:rPr>
            </w:pPr>
            <w:r>
              <w:rPr>
                <w:rFonts w:ascii="Arial" w:cs="Arial" w:eastAsia="Arial" w:hAnsi="Arial"/>
                <w:sz w:val="18"/>
                <w:szCs w:val="18"/>
                <w:i w:val="1"/>
                <w:iCs w:val="1"/>
                <w:color w:val="auto"/>
              </w:rPr>
              <w:t>based on evaluation of leadership values</w:t>
            </w:r>
          </w:p>
        </w:tc>
      </w:tr>
      <w:tr>
        <w:trPr>
          <w:trHeight w:val="235"/>
        </w:trPr>
        <w:tc>
          <w:tcPr>
            <w:tcW w:w="1920" w:type="dxa"/>
            <w:vAlign w:val="bottom"/>
          </w:tcPr>
          <w:p>
            <w:pPr>
              <w:spacing w:after="0"/>
              <w:rPr>
                <w:sz w:val="20"/>
                <w:szCs w:val="20"/>
                <w:color w:val="auto"/>
              </w:rPr>
            </w:pPr>
          </w:p>
        </w:tc>
        <w:tc>
          <w:tcPr>
            <w:tcW w:w="44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760" w:type="dxa"/>
            <w:vAlign w:val="bottom"/>
          </w:tcPr>
          <w:p>
            <w:pPr>
              <w:ind w:left="140"/>
              <w:spacing w:after="0"/>
              <w:rPr>
                <w:sz w:val="20"/>
                <w:szCs w:val="20"/>
                <w:color w:val="auto"/>
              </w:rPr>
            </w:pPr>
            <w:r>
              <w:rPr>
                <w:rFonts w:ascii="Arial" w:cs="Arial" w:eastAsia="Arial" w:hAnsi="Arial"/>
                <w:sz w:val="18"/>
                <w:szCs w:val="18"/>
                <w:i w:val="1"/>
                <w:iCs w:val="1"/>
                <w:color w:val="auto"/>
              </w:rPr>
              <w:t>such as ethics and integrity</w:t>
            </w:r>
          </w:p>
        </w:tc>
      </w:tr>
      <w:tr>
        <w:trPr>
          <w:trHeight w:val="68"/>
        </w:trPr>
        <w:tc>
          <w:tcPr>
            <w:tcW w:w="1920" w:type="dxa"/>
            <w:vAlign w:val="bottom"/>
            <w:tcBorders>
              <w:bottom w:val="single" w:sz="8" w:color="483E65"/>
            </w:tcBorders>
          </w:tcPr>
          <w:p>
            <w:pPr>
              <w:spacing w:after="0"/>
              <w:rPr>
                <w:sz w:val="5"/>
                <w:szCs w:val="5"/>
                <w:color w:val="auto"/>
              </w:rPr>
            </w:pPr>
          </w:p>
        </w:tc>
        <w:tc>
          <w:tcPr>
            <w:tcW w:w="4420" w:type="dxa"/>
            <w:vAlign w:val="bottom"/>
            <w:tcBorders>
              <w:bottom w:val="single" w:sz="8" w:color="483E65"/>
            </w:tcBorders>
          </w:tcPr>
          <w:p>
            <w:pPr>
              <w:spacing w:after="0"/>
              <w:rPr>
                <w:sz w:val="5"/>
                <w:szCs w:val="5"/>
                <w:color w:val="auto"/>
              </w:rPr>
            </w:pPr>
          </w:p>
        </w:tc>
        <w:tc>
          <w:tcPr>
            <w:tcW w:w="1000" w:type="dxa"/>
            <w:vAlign w:val="bottom"/>
            <w:tcBorders>
              <w:bottom w:val="single" w:sz="8" w:color="483E65"/>
            </w:tcBorders>
          </w:tcPr>
          <w:p>
            <w:pPr>
              <w:spacing w:after="0"/>
              <w:rPr>
                <w:sz w:val="5"/>
                <w:szCs w:val="5"/>
                <w:color w:val="auto"/>
              </w:rPr>
            </w:pPr>
          </w:p>
        </w:tc>
        <w:tc>
          <w:tcPr>
            <w:tcW w:w="320" w:type="dxa"/>
            <w:vAlign w:val="bottom"/>
            <w:tcBorders>
              <w:bottom w:val="single" w:sz="8" w:color="483E65"/>
            </w:tcBorders>
          </w:tcPr>
          <w:p>
            <w:pPr>
              <w:spacing w:after="0"/>
              <w:rPr>
                <w:sz w:val="5"/>
                <w:szCs w:val="5"/>
                <w:color w:val="auto"/>
              </w:rPr>
            </w:pPr>
          </w:p>
        </w:tc>
        <w:tc>
          <w:tcPr>
            <w:tcW w:w="3760" w:type="dxa"/>
            <w:vAlign w:val="bottom"/>
            <w:tcBorders>
              <w:bottom w:val="single" w:sz="8" w:color="483E65"/>
            </w:tcBorders>
          </w:tcPr>
          <w:p>
            <w:pPr>
              <w:spacing w:after="0"/>
              <w:rPr>
                <w:sz w:val="5"/>
                <w:szCs w:val="5"/>
                <w:color w:val="auto"/>
              </w:rPr>
            </w:pPr>
          </w:p>
        </w:tc>
      </w:tr>
      <w:tr>
        <w:trPr>
          <w:trHeight w:val="304"/>
        </w:trPr>
        <w:tc>
          <w:tcPr>
            <w:tcW w:w="1920" w:type="dxa"/>
            <w:vAlign w:val="bottom"/>
          </w:tcPr>
          <w:p>
            <w:pPr>
              <w:ind w:left="60"/>
              <w:spacing w:after="0"/>
              <w:rPr>
                <w:sz w:val="20"/>
                <w:szCs w:val="20"/>
                <w:color w:val="auto"/>
              </w:rPr>
            </w:pPr>
            <w:r>
              <w:rPr>
                <w:rFonts w:ascii="Arial" w:cs="Arial" w:eastAsia="Arial" w:hAnsi="Arial"/>
                <w:sz w:val="18"/>
                <w:szCs w:val="18"/>
                <w:b w:val="1"/>
                <w:bCs w:val="1"/>
                <w:color w:val="auto"/>
              </w:rPr>
              <w:t>Long-Term</w:t>
            </w:r>
          </w:p>
        </w:tc>
        <w:tc>
          <w:tcPr>
            <w:tcW w:w="44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760" w:type="dxa"/>
            <w:vAlign w:val="bottom"/>
          </w:tcPr>
          <w:p>
            <w:pPr>
              <w:spacing w:after="0"/>
              <w:rPr>
                <w:sz w:val="24"/>
                <w:szCs w:val="24"/>
                <w:color w:val="auto"/>
              </w:rPr>
            </w:pPr>
          </w:p>
        </w:tc>
      </w:tr>
      <w:tr>
        <w:trPr>
          <w:trHeight w:val="296"/>
        </w:trPr>
        <w:tc>
          <w:tcPr>
            <w:tcW w:w="1920" w:type="dxa"/>
            <w:vAlign w:val="bottom"/>
          </w:tcPr>
          <w:p>
            <w:pPr>
              <w:ind w:left="180"/>
              <w:spacing w:after="0"/>
              <w:rPr>
                <w:sz w:val="20"/>
                <w:szCs w:val="20"/>
                <w:color w:val="auto"/>
              </w:rPr>
            </w:pPr>
            <w:r>
              <w:rPr>
                <w:rFonts w:ascii="Arial" w:cs="Arial" w:eastAsia="Arial" w:hAnsi="Arial"/>
                <w:sz w:val="18"/>
                <w:szCs w:val="18"/>
                <w:color w:val="auto"/>
              </w:rPr>
              <w:t>Performance</w:t>
            </w:r>
          </w:p>
        </w:tc>
        <w:tc>
          <w:tcPr>
            <w:tcW w:w="4420" w:type="dxa"/>
            <w:vAlign w:val="bottom"/>
          </w:tcPr>
          <w:p>
            <w:pPr>
              <w:ind w:left="420"/>
              <w:spacing w:after="0"/>
              <w:rPr>
                <w:sz w:val="20"/>
                <w:szCs w:val="20"/>
                <w:color w:val="auto"/>
              </w:rPr>
            </w:pPr>
            <w:r>
              <w:rPr>
                <w:rFonts w:ascii="Arial" w:cs="Arial" w:eastAsia="Arial" w:hAnsi="Arial"/>
                <w:sz w:val="15"/>
                <w:szCs w:val="15"/>
                <w:color w:val="77387A"/>
                <w:w w:val="99"/>
              </w:rPr>
              <w:t>u</w:t>
            </w:r>
            <w:r>
              <w:rPr>
                <w:rFonts w:ascii="Arial" w:cs="Arial" w:eastAsia="Arial" w:hAnsi="Arial"/>
                <w:sz w:val="18"/>
                <w:szCs w:val="18"/>
                <w:color w:val="auto"/>
                <w:w w:val="99"/>
              </w:rPr>
              <w:t>Distributed in the form of shares of Leidos</w:t>
            </w:r>
          </w:p>
        </w:tc>
        <w:tc>
          <w:tcPr>
            <w:tcW w:w="1000" w:type="dxa"/>
            <w:vAlign w:val="bottom"/>
          </w:tcPr>
          <w:p>
            <w:pPr>
              <w:jc w:val="center"/>
              <w:spacing w:after="0"/>
              <w:rPr>
                <w:sz w:val="20"/>
                <w:szCs w:val="20"/>
                <w:color w:val="auto"/>
              </w:rPr>
            </w:pPr>
            <w:r>
              <w:rPr>
                <w:rFonts w:ascii="Arial" w:cs="Arial" w:eastAsia="Arial" w:hAnsi="Arial"/>
                <w:sz w:val="18"/>
                <w:szCs w:val="18"/>
                <w:color w:val="auto"/>
                <w:w w:val="96"/>
              </w:rPr>
              <w:t>3 Years</w:t>
            </w:r>
          </w:p>
        </w:tc>
        <w:tc>
          <w:tcPr>
            <w:tcW w:w="320" w:type="dxa"/>
            <w:vAlign w:val="bottom"/>
          </w:tcPr>
          <w:p>
            <w:pPr>
              <w:ind w:left="140"/>
              <w:spacing w:after="0"/>
              <w:rPr>
                <w:sz w:val="20"/>
                <w:szCs w:val="20"/>
                <w:color w:val="auto"/>
              </w:rPr>
            </w:pPr>
            <w:r>
              <w:rPr>
                <w:rFonts w:ascii="Arial" w:cs="Arial" w:eastAsia="Arial" w:hAnsi="Arial"/>
                <w:sz w:val="15"/>
                <w:szCs w:val="15"/>
                <w:color w:val="77387A"/>
              </w:rPr>
              <w:t>u</w:t>
            </w:r>
          </w:p>
        </w:tc>
        <w:tc>
          <w:tcPr>
            <w:tcW w:w="3760" w:type="dxa"/>
            <w:vAlign w:val="bottom"/>
          </w:tcPr>
          <w:p>
            <w:pPr>
              <w:ind w:left="100"/>
              <w:spacing w:after="0"/>
              <w:rPr>
                <w:sz w:val="20"/>
                <w:szCs w:val="20"/>
                <w:color w:val="auto"/>
              </w:rPr>
            </w:pPr>
            <w:r>
              <w:rPr>
                <w:rFonts w:ascii="Arial" w:cs="Arial" w:eastAsia="Arial" w:hAnsi="Arial"/>
                <w:sz w:val="18"/>
                <w:szCs w:val="18"/>
                <w:color w:val="auto"/>
              </w:rPr>
              <w:t>Adjusted Operating Income (50%)</w:t>
            </w:r>
          </w:p>
        </w:tc>
      </w:tr>
      <w:tr>
        <w:trPr>
          <w:trHeight w:val="203"/>
        </w:trPr>
        <w:tc>
          <w:tcPr>
            <w:tcW w:w="1920" w:type="dxa"/>
            <w:vAlign w:val="bottom"/>
          </w:tcPr>
          <w:p>
            <w:pPr>
              <w:ind w:left="180"/>
              <w:spacing w:after="0" w:line="202" w:lineRule="exact"/>
              <w:rPr>
                <w:sz w:val="20"/>
                <w:szCs w:val="20"/>
                <w:color w:val="auto"/>
              </w:rPr>
            </w:pPr>
            <w:r>
              <w:rPr>
                <w:rFonts w:ascii="Arial" w:cs="Arial" w:eastAsia="Arial" w:hAnsi="Arial"/>
                <w:sz w:val="18"/>
                <w:szCs w:val="18"/>
                <w:color w:val="auto"/>
              </w:rPr>
              <w:t>Shares</w:t>
            </w:r>
          </w:p>
        </w:tc>
        <w:tc>
          <w:tcPr>
            <w:tcW w:w="4420" w:type="dxa"/>
            <w:vAlign w:val="bottom"/>
          </w:tcPr>
          <w:p>
            <w:pPr>
              <w:ind w:left="740"/>
              <w:spacing w:after="0" w:line="202" w:lineRule="exact"/>
              <w:rPr>
                <w:sz w:val="20"/>
                <w:szCs w:val="20"/>
                <w:color w:val="auto"/>
              </w:rPr>
            </w:pPr>
            <w:r>
              <w:rPr>
                <w:rFonts w:ascii="Arial" w:cs="Arial" w:eastAsia="Arial" w:hAnsi="Arial"/>
                <w:sz w:val="18"/>
                <w:szCs w:val="18"/>
                <w:color w:val="auto"/>
              </w:rPr>
              <w:t>common stock based on the achievement of</w:t>
            </w: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760" w:type="dxa"/>
            <w:vAlign w:val="bottom"/>
          </w:tcPr>
          <w:p>
            <w:pPr>
              <w:ind w:left="140"/>
              <w:spacing w:after="0" w:line="202" w:lineRule="exact"/>
              <w:rPr>
                <w:sz w:val="20"/>
                <w:szCs w:val="20"/>
                <w:color w:val="auto"/>
              </w:rPr>
            </w:pPr>
            <w:r>
              <w:rPr>
                <w:rFonts w:ascii="Arial" w:cs="Arial" w:eastAsia="Arial" w:hAnsi="Arial"/>
                <w:sz w:val="18"/>
                <w:szCs w:val="18"/>
                <w:color w:val="auto"/>
              </w:rPr>
              <w:t>Total Stockholders Return (50%)</w:t>
            </w:r>
          </w:p>
        </w:tc>
      </w:tr>
      <w:tr>
        <w:trPr>
          <w:trHeight w:val="217"/>
        </w:trPr>
        <w:tc>
          <w:tcPr>
            <w:tcW w:w="1920" w:type="dxa"/>
            <w:vAlign w:val="bottom"/>
          </w:tcPr>
          <w:p>
            <w:pPr>
              <w:spacing w:after="0"/>
              <w:rPr>
                <w:sz w:val="18"/>
                <w:szCs w:val="18"/>
                <w:color w:val="auto"/>
              </w:rPr>
            </w:pPr>
          </w:p>
        </w:tc>
        <w:tc>
          <w:tcPr>
            <w:tcW w:w="4420" w:type="dxa"/>
            <w:vAlign w:val="bottom"/>
          </w:tcPr>
          <w:p>
            <w:pPr>
              <w:ind w:left="740"/>
              <w:spacing w:after="0"/>
              <w:rPr>
                <w:sz w:val="20"/>
                <w:szCs w:val="20"/>
                <w:color w:val="auto"/>
              </w:rPr>
            </w:pPr>
            <w:r>
              <w:rPr>
                <w:rFonts w:ascii="Arial" w:cs="Arial" w:eastAsia="Arial" w:hAnsi="Arial"/>
                <w:sz w:val="18"/>
                <w:szCs w:val="18"/>
                <w:color w:val="auto"/>
              </w:rPr>
              <w:t>financial results.</w:t>
            </w: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760" w:type="dxa"/>
            <w:vAlign w:val="bottom"/>
          </w:tcPr>
          <w:p>
            <w:pPr>
              <w:spacing w:after="0"/>
              <w:rPr>
                <w:sz w:val="18"/>
                <w:szCs w:val="18"/>
                <w:color w:val="auto"/>
              </w:rPr>
            </w:pPr>
          </w:p>
        </w:tc>
      </w:tr>
      <w:tr>
        <w:trPr>
          <w:trHeight w:val="296"/>
        </w:trPr>
        <w:tc>
          <w:tcPr>
            <w:tcW w:w="1920" w:type="dxa"/>
            <w:vAlign w:val="bottom"/>
          </w:tcPr>
          <w:p>
            <w:pPr>
              <w:ind w:left="180"/>
              <w:spacing w:after="0"/>
              <w:rPr>
                <w:sz w:val="20"/>
                <w:szCs w:val="20"/>
                <w:color w:val="auto"/>
              </w:rPr>
            </w:pPr>
            <w:r>
              <w:rPr>
                <w:rFonts w:ascii="Arial" w:cs="Arial" w:eastAsia="Arial" w:hAnsi="Arial"/>
                <w:sz w:val="18"/>
                <w:szCs w:val="18"/>
                <w:color w:val="auto"/>
              </w:rPr>
              <w:t>Performance</w:t>
            </w:r>
          </w:p>
        </w:tc>
        <w:tc>
          <w:tcPr>
            <w:tcW w:w="4420" w:type="dxa"/>
            <w:vAlign w:val="bottom"/>
          </w:tcPr>
          <w:p>
            <w:pPr>
              <w:ind w:left="420"/>
              <w:spacing w:after="0"/>
              <w:rPr>
                <w:sz w:val="20"/>
                <w:szCs w:val="20"/>
                <w:color w:val="auto"/>
              </w:rPr>
            </w:pPr>
            <w:r>
              <w:rPr>
                <w:rFonts w:ascii="Arial" w:cs="Arial" w:eastAsia="Arial" w:hAnsi="Arial"/>
                <w:sz w:val="15"/>
                <w:szCs w:val="15"/>
                <w:color w:val="77387A"/>
                <w:w w:val="99"/>
              </w:rPr>
              <w:t>u</w:t>
            </w:r>
            <w:r>
              <w:rPr>
                <w:rFonts w:ascii="Arial" w:cs="Arial" w:eastAsia="Arial" w:hAnsi="Arial"/>
                <w:sz w:val="18"/>
                <w:szCs w:val="18"/>
                <w:color w:val="auto"/>
                <w:w w:val="99"/>
              </w:rPr>
              <w:t>Designed to drive sustainable performance</w:t>
            </w:r>
          </w:p>
        </w:tc>
        <w:tc>
          <w:tcPr>
            <w:tcW w:w="1000" w:type="dxa"/>
            <w:vAlign w:val="bottom"/>
          </w:tcPr>
          <w:p>
            <w:pPr>
              <w:jc w:val="center"/>
              <w:spacing w:after="0"/>
              <w:rPr>
                <w:sz w:val="20"/>
                <w:szCs w:val="20"/>
                <w:color w:val="auto"/>
              </w:rPr>
            </w:pPr>
            <w:r>
              <w:rPr>
                <w:rFonts w:ascii="Arial" w:cs="Arial" w:eastAsia="Arial" w:hAnsi="Arial"/>
                <w:sz w:val="18"/>
                <w:szCs w:val="18"/>
                <w:color w:val="auto"/>
                <w:w w:val="96"/>
              </w:rPr>
              <w:t>4 Years</w:t>
            </w:r>
          </w:p>
        </w:tc>
        <w:tc>
          <w:tcPr>
            <w:tcW w:w="320" w:type="dxa"/>
            <w:vAlign w:val="bottom"/>
          </w:tcPr>
          <w:p>
            <w:pPr>
              <w:ind w:left="140"/>
              <w:spacing w:after="0"/>
              <w:rPr>
                <w:sz w:val="20"/>
                <w:szCs w:val="20"/>
                <w:color w:val="auto"/>
              </w:rPr>
            </w:pPr>
            <w:r>
              <w:rPr>
                <w:rFonts w:ascii="Arial" w:cs="Arial" w:eastAsia="Arial" w:hAnsi="Arial"/>
                <w:sz w:val="15"/>
                <w:szCs w:val="15"/>
                <w:color w:val="77387A"/>
              </w:rPr>
              <w:t>u</w:t>
            </w:r>
          </w:p>
        </w:tc>
        <w:tc>
          <w:tcPr>
            <w:tcW w:w="3760" w:type="dxa"/>
            <w:vAlign w:val="bottom"/>
          </w:tcPr>
          <w:p>
            <w:pPr>
              <w:ind w:left="100"/>
              <w:spacing w:after="0"/>
              <w:rPr>
                <w:sz w:val="20"/>
                <w:szCs w:val="20"/>
                <w:color w:val="auto"/>
              </w:rPr>
            </w:pPr>
            <w:r>
              <w:rPr>
                <w:rFonts w:ascii="Arial" w:cs="Arial" w:eastAsia="Arial" w:hAnsi="Arial"/>
                <w:sz w:val="18"/>
                <w:szCs w:val="18"/>
                <w:color w:val="auto"/>
              </w:rPr>
              <w:t>One-year Revenue Goal (100%) must be met</w:t>
            </w:r>
          </w:p>
        </w:tc>
      </w:tr>
      <w:tr>
        <w:trPr>
          <w:trHeight w:val="203"/>
        </w:trPr>
        <w:tc>
          <w:tcPr>
            <w:tcW w:w="1920" w:type="dxa"/>
            <w:vAlign w:val="bottom"/>
          </w:tcPr>
          <w:p>
            <w:pPr>
              <w:ind w:left="180"/>
              <w:spacing w:after="0" w:line="202" w:lineRule="exact"/>
              <w:rPr>
                <w:sz w:val="20"/>
                <w:szCs w:val="20"/>
                <w:color w:val="auto"/>
              </w:rPr>
            </w:pPr>
            <w:r>
              <w:rPr>
                <w:rFonts w:ascii="Arial" w:cs="Arial" w:eastAsia="Arial" w:hAnsi="Arial"/>
                <w:sz w:val="18"/>
                <w:szCs w:val="18"/>
                <w:color w:val="auto"/>
              </w:rPr>
              <w:t>Restricted Stock</w:t>
            </w:r>
          </w:p>
        </w:tc>
        <w:tc>
          <w:tcPr>
            <w:tcW w:w="4420" w:type="dxa"/>
            <w:vAlign w:val="bottom"/>
          </w:tcPr>
          <w:p>
            <w:pPr>
              <w:ind w:left="740"/>
              <w:spacing w:after="0" w:line="202" w:lineRule="exact"/>
              <w:rPr>
                <w:sz w:val="20"/>
                <w:szCs w:val="20"/>
                <w:color w:val="auto"/>
              </w:rPr>
            </w:pPr>
            <w:r>
              <w:rPr>
                <w:rFonts w:ascii="Arial" w:cs="Arial" w:eastAsia="Arial" w:hAnsi="Arial"/>
                <w:sz w:val="18"/>
                <w:szCs w:val="18"/>
                <w:color w:val="auto"/>
              </w:rPr>
              <w:t>that delivers long-term value directly tied to</w:t>
            </w: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760" w:type="dxa"/>
            <w:vAlign w:val="bottom"/>
          </w:tcPr>
          <w:p>
            <w:pPr>
              <w:ind w:left="140"/>
              <w:spacing w:after="0" w:line="202" w:lineRule="exact"/>
              <w:rPr>
                <w:sz w:val="20"/>
                <w:szCs w:val="20"/>
                <w:color w:val="auto"/>
              </w:rPr>
            </w:pPr>
            <w:r>
              <w:rPr>
                <w:rFonts w:ascii="Arial" w:cs="Arial" w:eastAsia="Arial" w:hAnsi="Arial"/>
                <w:sz w:val="18"/>
                <w:szCs w:val="18"/>
                <w:color w:val="auto"/>
              </w:rPr>
              <w:t>for Units to be eligible for vesting</w:t>
            </w:r>
          </w:p>
        </w:tc>
      </w:tr>
      <w:tr>
        <w:trPr>
          <w:trHeight w:val="203"/>
        </w:trPr>
        <w:tc>
          <w:tcPr>
            <w:tcW w:w="1920" w:type="dxa"/>
            <w:vAlign w:val="bottom"/>
          </w:tcPr>
          <w:p>
            <w:pPr>
              <w:ind w:left="180"/>
              <w:spacing w:after="0" w:line="202" w:lineRule="exact"/>
              <w:rPr>
                <w:sz w:val="20"/>
                <w:szCs w:val="20"/>
                <w:color w:val="auto"/>
              </w:rPr>
            </w:pPr>
            <w:r>
              <w:rPr>
                <w:rFonts w:ascii="Arial" w:cs="Arial" w:eastAsia="Arial" w:hAnsi="Arial"/>
                <w:sz w:val="18"/>
                <w:szCs w:val="18"/>
                <w:color w:val="auto"/>
              </w:rPr>
              <w:t>Units (PRSUs)</w:t>
            </w:r>
          </w:p>
        </w:tc>
        <w:tc>
          <w:tcPr>
            <w:tcW w:w="4420" w:type="dxa"/>
            <w:vAlign w:val="bottom"/>
          </w:tcPr>
          <w:p>
            <w:pPr>
              <w:ind w:left="740"/>
              <w:spacing w:after="0" w:line="202" w:lineRule="exact"/>
              <w:rPr>
                <w:sz w:val="20"/>
                <w:szCs w:val="20"/>
                <w:color w:val="auto"/>
              </w:rPr>
            </w:pPr>
            <w:r>
              <w:rPr>
                <w:rFonts w:ascii="Arial" w:cs="Arial" w:eastAsia="Arial" w:hAnsi="Arial"/>
                <w:sz w:val="18"/>
                <w:szCs w:val="18"/>
                <w:color w:val="auto"/>
              </w:rPr>
              <w:t>stockholder interest; distributed in the form of</w:t>
            </w: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760" w:type="dxa"/>
            <w:vAlign w:val="bottom"/>
          </w:tcPr>
          <w:p>
            <w:pPr>
              <w:spacing w:after="0"/>
              <w:rPr>
                <w:sz w:val="17"/>
                <w:szCs w:val="17"/>
                <w:color w:val="auto"/>
              </w:rPr>
            </w:pPr>
          </w:p>
        </w:tc>
      </w:tr>
      <w:tr>
        <w:trPr>
          <w:trHeight w:val="217"/>
        </w:trPr>
        <w:tc>
          <w:tcPr>
            <w:tcW w:w="1920" w:type="dxa"/>
            <w:vAlign w:val="bottom"/>
          </w:tcPr>
          <w:p>
            <w:pPr>
              <w:spacing w:after="0"/>
              <w:rPr>
                <w:sz w:val="18"/>
                <w:szCs w:val="18"/>
                <w:color w:val="auto"/>
              </w:rPr>
            </w:pPr>
          </w:p>
        </w:tc>
        <w:tc>
          <w:tcPr>
            <w:tcW w:w="4420" w:type="dxa"/>
            <w:vAlign w:val="bottom"/>
          </w:tcPr>
          <w:p>
            <w:pPr>
              <w:ind w:left="740"/>
              <w:spacing w:after="0"/>
              <w:rPr>
                <w:sz w:val="20"/>
                <w:szCs w:val="20"/>
                <w:color w:val="auto"/>
              </w:rPr>
            </w:pPr>
            <w:r>
              <w:rPr>
                <w:rFonts w:ascii="Arial" w:cs="Arial" w:eastAsia="Arial" w:hAnsi="Arial"/>
                <w:sz w:val="18"/>
                <w:szCs w:val="18"/>
                <w:color w:val="auto"/>
              </w:rPr>
              <w:t>shares of Leidos common stock.</w:t>
            </w: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760" w:type="dxa"/>
            <w:vAlign w:val="bottom"/>
          </w:tcPr>
          <w:p>
            <w:pPr>
              <w:spacing w:after="0"/>
              <w:rPr>
                <w:sz w:val="18"/>
                <w:szCs w:val="18"/>
                <w:color w:val="auto"/>
              </w:rPr>
            </w:pPr>
          </w:p>
        </w:tc>
      </w:tr>
      <w:tr>
        <w:trPr>
          <w:trHeight w:val="296"/>
        </w:trPr>
        <w:tc>
          <w:tcPr>
            <w:tcW w:w="1920" w:type="dxa"/>
            <w:vAlign w:val="bottom"/>
          </w:tcPr>
          <w:p>
            <w:pPr>
              <w:ind w:left="180"/>
              <w:spacing w:after="0"/>
              <w:rPr>
                <w:sz w:val="20"/>
                <w:szCs w:val="20"/>
                <w:color w:val="auto"/>
              </w:rPr>
            </w:pPr>
            <w:r>
              <w:rPr>
                <w:rFonts w:ascii="Arial" w:cs="Arial" w:eastAsia="Arial" w:hAnsi="Arial"/>
                <w:sz w:val="18"/>
                <w:szCs w:val="18"/>
                <w:color w:val="auto"/>
              </w:rPr>
              <w:t>Stock Options</w:t>
            </w:r>
          </w:p>
        </w:tc>
        <w:tc>
          <w:tcPr>
            <w:tcW w:w="4420" w:type="dxa"/>
            <w:vAlign w:val="bottom"/>
          </w:tcPr>
          <w:p>
            <w:pPr>
              <w:ind w:left="420"/>
              <w:spacing w:after="0"/>
              <w:rPr>
                <w:sz w:val="20"/>
                <w:szCs w:val="20"/>
                <w:color w:val="auto"/>
              </w:rPr>
            </w:pPr>
            <w:r>
              <w:rPr>
                <w:rFonts w:ascii="Arial" w:cs="Arial" w:eastAsia="Arial" w:hAnsi="Arial"/>
                <w:sz w:val="15"/>
                <w:szCs w:val="15"/>
                <w:color w:val="77387A"/>
                <w:w w:val="99"/>
              </w:rPr>
              <w:t>u</w:t>
            </w:r>
            <w:r>
              <w:rPr>
                <w:rFonts w:ascii="Arial" w:cs="Arial" w:eastAsia="Arial" w:hAnsi="Arial"/>
                <w:sz w:val="18"/>
                <w:szCs w:val="18"/>
                <w:color w:val="auto"/>
                <w:w w:val="99"/>
              </w:rPr>
              <w:t>Rewards longer-term stock price</w:t>
            </w:r>
          </w:p>
        </w:tc>
        <w:tc>
          <w:tcPr>
            <w:tcW w:w="1000" w:type="dxa"/>
            <w:vAlign w:val="bottom"/>
          </w:tcPr>
          <w:p>
            <w:pPr>
              <w:jc w:val="center"/>
              <w:spacing w:after="0"/>
              <w:rPr>
                <w:sz w:val="20"/>
                <w:szCs w:val="20"/>
                <w:color w:val="auto"/>
              </w:rPr>
            </w:pPr>
            <w:r>
              <w:rPr>
                <w:rFonts w:ascii="Arial" w:cs="Arial" w:eastAsia="Arial" w:hAnsi="Arial"/>
                <w:sz w:val="18"/>
                <w:szCs w:val="18"/>
                <w:color w:val="auto"/>
                <w:w w:val="96"/>
              </w:rPr>
              <w:t>7 Years</w:t>
            </w:r>
          </w:p>
        </w:tc>
        <w:tc>
          <w:tcPr>
            <w:tcW w:w="320" w:type="dxa"/>
            <w:vAlign w:val="bottom"/>
          </w:tcPr>
          <w:p>
            <w:pPr>
              <w:ind w:left="140"/>
              <w:spacing w:after="0"/>
              <w:rPr>
                <w:sz w:val="20"/>
                <w:szCs w:val="20"/>
                <w:color w:val="auto"/>
              </w:rPr>
            </w:pPr>
            <w:r>
              <w:rPr>
                <w:rFonts w:ascii="Arial" w:cs="Arial" w:eastAsia="Arial" w:hAnsi="Arial"/>
                <w:sz w:val="15"/>
                <w:szCs w:val="15"/>
                <w:color w:val="77387A"/>
              </w:rPr>
              <w:t>u</w:t>
            </w:r>
          </w:p>
        </w:tc>
        <w:tc>
          <w:tcPr>
            <w:tcW w:w="3760" w:type="dxa"/>
            <w:vAlign w:val="bottom"/>
          </w:tcPr>
          <w:p>
            <w:pPr>
              <w:ind w:left="100"/>
              <w:spacing w:after="0"/>
              <w:rPr>
                <w:sz w:val="20"/>
                <w:szCs w:val="20"/>
                <w:color w:val="auto"/>
              </w:rPr>
            </w:pPr>
            <w:r>
              <w:rPr>
                <w:rFonts w:ascii="Arial" w:cs="Arial" w:eastAsia="Arial" w:hAnsi="Arial"/>
                <w:sz w:val="18"/>
                <w:szCs w:val="18"/>
                <w:color w:val="auto"/>
              </w:rPr>
              <w:t>Stock Price (100%)</w:t>
            </w:r>
          </w:p>
        </w:tc>
      </w:tr>
      <w:tr>
        <w:trPr>
          <w:trHeight w:val="217"/>
        </w:trPr>
        <w:tc>
          <w:tcPr>
            <w:tcW w:w="1920" w:type="dxa"/>
            <w:vAlign w:val="bottom"/>
          </w:tcPr>
          <w:p>
            <w:pPr>
              <w:spacing w:after="0"/>
              <w:rPr>
                <w:sz w:val="18"/>
                <w:szCs w:val="18"/>
                <w:color w:val="auto"/>
              </w:rPr>
            </w:pPr>
          </w:p>
        </w:tc>
        <w:tc>
          <w:tcPr>
            <w:tcW w:w="4420" w:type="dxa"/>
            <w:vAlign w:val="bottom"/>
          </w:tcPr>
          <w:p>
            <w:pPr>
              <w:ind w:left="740"/>
              <w:spacing w:after="0"/>
              <w:rPr>
                <w:sz w:val="20"/>
                <w:szCs w:val="20"/>
                <w:color w:val="auto"/>
              </w:rPr>
            </w:pPr>
            <w:r>
              <w:rPr>
                <w:rFonts w:ascii="Arial" w:cs="Arial" w:eastAsia="Arial" w:hAnsi="Arial"/>
                <w:sz w:val="18"/>
                <w:szCs w:val="18"/>
                <w:color w:val="auto"/>
              </w:rPr>
              <w:t>appreciation.</w:t>
            </w: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760" w:type="dxa"/>
            <w:vAlign w:val="bottom"/>
          </w:tcPr>
          <w:p>
            <w:pPr>
              <w:spacing w:after="0"/>
              <w:rPr>
                <w:sz w:val="18"/>
                <w:szCs w:val="18"/>
                <w:color w:val="auto"/>
              </w:rPr>
            </w:pPr>
          </w:p>
        </w:tc>
      </w:tr>
    </w:tbl>
    <w:p>
      <w:pPr>
        <w:spacing w:after="0" w:line="184" w:lineRule="exact"/>
        <w:rPr>
          <w:sz w:val="20"/>
          <w:szCs w:val="20"/>
          <w:color w:val="auto"/>
        </w:rPr>
      </w:pPr>
    </w:p>
    <w:p>
      <w:pPr>
        <w:jc w:val="both"/>
        <w:ind w:right="100"/>
        <w:spacing w:after="0" w:line="251" w:lineRule="auto"/>
        <w:rPr>
          <w:sz w:val="20"/>
          <w:szCs w:val="20"/>
          <w:color w:val="auto"/>
        </w:rPr>
      </w:pPr>
      <w:r>
        <w:rPr>
          <w:rFonts w:ascii="Arial" w:cs="Arial" w:eastAsia="Arial" w:hAnsi="Arial"/>
          <w:sz w:val="18"/>
          <w:szCs w:val="18"/>
          <w:i w:val="1"/>
          <w:iCs w:val="1"/>
          <w:color w:val="483E65"/>
        </w:rPr>
        <w:t xml:space="preserve">Other Benefits. </w:t>
      </w:r>
      <w:r>
        <w:rPr>
          <w:rFonts w:ascii="Arial" w:cs="Arial" w:eastAsia="Arial" w:hAnsi="Arial"/>
          <w:sz w:val="18"/>
          <w:szCs w:val="18"/>
          <w:color w:val="000000"/>
        </w:rPr>
        <w:t>We provide our executive officers with benefits generally available to our other employees, such as participation in our health,</w:t>
      </w:r>
      <w:r>
        <w:rPr>
          <w:rFonts w:ascii="Arial" w:cs="Arial" w:eastAsia="Arial" w:hAnsi="Arial"/>
          <w:sz w:val="18"/>
          <w:szCs w:val="18"/>
          <w:i w:val="1"/>
          <w:iCs w:val="1"/>
          <w:color w:val="483E65"/>
        </w:rPr>
        <w:t xml:space="preserve"> </w:t>
      </w:r>
      <w:r>
        <w:rPr>
          <w:rFonts w:ascii="Arial" w:cs="Arial" w:eastAsia="Arial" w:hAnsi="Arial"/>
          <w:sz w:val="18"/>
          <w:szCs w:val="18"/>
          <w:color w:val="000000"/>
        </w:rPr>
        <w:t>benefit and retirement programs. Our executive officers are also entitled to certain benefits (described in the section entitled “</w:t>
      </w:r>
      <w:r>
        <w:rPr>
          <w:rFonts w:ascii="Arial" w:cs="Arial" w:eastAsia="Arial" w:hAnsi="Arial"/>
          <w:sz w:val="18"/>
          <w:szCs w:val="18"/>
          <w:i w:val="1"/>
          <w:iCs w:val="1"/>
          <w:color w:val="000000"/>
        </w:rPr>
        <w:t>Potential Change</w:t>
      </w:r>
      <w:r>
        <w:rPr>
          <w:rFonts w:ascii="Arial" w:cs="Arial" w:eastAsia="Arial" w:hAnsi="Arial"/>
          <w:sz w:val="18"/>
          <w:szCs w:val="18"/>
          <w:color w:val="000000"/>
        </w:rPr>
        <w:t xml:space="preserve"> </w:t>
      </w:r>
      <w:r>
        <w:rPr>
          <w:rFonts w:ascii="Arial" w:cs="Arial" w:eastAsia="Arial" w:hAnsi="Arial"/>
          <w:sz w:val="18"/>
          <w:szCs w:val="18"/>
          <w:i w:val="1"/>
          <w:iCs w:val="1"/>
          <w:color w:val="000000"/>
        </w:rPr>
        <w:t>in Control and Severance Benefits”</w:t>
      </w:r>
      <w:r>
        <w:rPr>
          <w:rFonts w:ascii="Arial" w:cs="Arial" w:eastAsia="Arial" w:hAnsi="Arial"/>
          <w:sz w:val="18"/>
          <w:szCs w:val="18"/>
          <w:color w:val="000000"/>
        </w:rPr>
        <w:t>) if their employment is terminated following a change in control.</w:t>
      </w:r>
    </w:p>
    <w:p>
      <w:pPr>
        <w:spacing w:after="0" w:line="108" w:lineRule="exact"/>
        <w:rPr>
          <w:sz w:val="20"/>
          <w:szCs w:val="20"/>
          <w:color w:val="auto"/>
        </w:rPr>
      </w:pPr>
    </w:p>
    <w:p>
      <w:pPr>
        <w:jc w:val="right"/>
        <w:spacing w:after="0"/>
        <w:tabs>
          <w:tab w:leader="none" w:pos="380" w:val="left"/>
          <w:tab w:leader="none" w:pos="160" w:val="left"/>
        </w:tabs>
        <w:rPr>
          <w:sz w:val="20"/>
          <w:szCs w:val="20"/>
          <w:color w:val="auto"/>
        </w:rPr>
      </w:pPr>
      <w:r>
        <w:rPr>
          <w:rFonts w:ascii="Arial" w:cs="Arial" w:eastAsia="Arial" w:hAnsi="Arial"/>
          <w:sz w:val="16"/>
          <w:szCs w:val="16"/>
          <w:b w:val="1"/>
          <w:bCs w:val="1"/>
          <w:color w:val="483E65"/>
        </w:rPr>
        <w:t>2017 Proxy Statement</w:t>
        <w:tab/>
        <w:t>|</w:t>
        <w:tab/>
        <w:t>27</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8" w:lineRule="exact"/>
        <w:rPr>
          <w:sz w:val="20"/>
          <w:szCs w:val="20"/>
          <w:color w:val="auto"/>
        </w:rPr>
      </w:pPr>
    </w:p>
    <w:p>
      <w:pPr>
        <w:spacing w:after="0"/>
        <w:rPr>
          <w:sz w:val="20"/>
          <w:szCs w:val="20"/>
          <w:color w:val="auto"/>
        </w:rPr>
      </w:pPr>
      <w:r>
        <w:rPr>
          <w:rFonts w:ascii="Arial" w:cs="Arial" w:eastAsia="Arial" w:hAnsi="Arial"/>
          <w:sz w:val="32"/>
          <w:szCs w:val="32"/>
          <w:color w:val="483E65"/>
        </w:rPr>
        <w:t>Compensation Discussion &amp;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149860</wp:posOffset>
            </wp:positionV>
            <wp:extent cx="724662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483E65"/>
        </w:rPr>
        <w:t>Considerations in Determining Direct Compensation</w:t>
      </w:r>
    </w:p>
    <w:p>
      <w:pPr>
        <w:spacing w:after="0" w:line="234" w:lineRule="exact"/>
        <w:rPr>
          <w:sz w:val="20"/>
          <w:szCs w:val="20"/>
          <w:color w:val="auto"/>
        </w:rPr>
      </w:pPr>
    </w:p>
    <w:p>
      <w:pPr>
        <w:ind w:right="180"/>
        <w:spacing w:after="0" w:line="238" w:lineRule="auto"/>
        <w:rPr>
          <w:sz w:val="20"/>
          <w:szCs w:val="20"/>
          <w:color w:val="auto"/>
        </w:rPr>
      </w:pPr>
      <w:r>
        <w:rPr>
          <w:rFonts w:ascii="Arial" w:cs="Arial" w:eastAsia="Arial" w:hAnsi="Arial"/>
          <w:sz w:val="18"/>
          <w:szCs w:val="18"/>
          <w:color w:val="auto"/>
        </w:rPr>
        <w:t>In determining the amounts of direct compensation (base salary, annual and long-term incentives) to be awarded to our executive officers, we considered the company’s overall performance, the performance of operating units under the executive officer’s management, individual performance as measured against performance goals and criteria, and competitive market data for our compensation peer group. The Committee reviews and approves the amounts of direct compensation to be provided to our executive officers for each fiscal year. Executive officers do not propose their own compensation.</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At the beginning of each fiscal year, the Committee reviews and approves:</w:t>
      </w:r>
    </w:p>
    <w:p>
      <w:pPr>
        <w:spacing w:after="0" w:line="117" w:lineRule="exact"/>
        <w:rPr>
          <w:sz w:val="20"/>
          <w:szCs w:val="20"/>
          <w:color w:val="auto"/>
        </w:rPr>
      </w:pPr>
    </w:p>
    <w:p>
      <w:pPr>
        <w:ind w:left="560" w:hanging="444"/>
        <w:spacing w:after="0"/>
        <w:tabs>
          <w:tab w:leader="none" w:pos="560" w:val="left"/>
        </w:tabs>
        <w:numPr>
          <w:ilvl w:val="0"/>
          <w:numId w:val="37"/>
        </w:numPr>
        <w:rPr>
          <w:rFonts w:ascii="Arial" w:cs="Arial" w:eastAsia="Arial" w:hAnsi="Arial"/>
          <w:sz w:val="15"/>
          <w:szCs w:val="15"/>
          <w:color w:val="77387A"/>
        </w:rPr>
      </w:pPr>
      <w:r>
        <w:rPr>
          <w:rFonts w:ascii="Arial" w:cs="Arial" w:eastAsia="Arial" w:hAnsi="Arial"/>
          <w:sz w:val="18"/>
          <w:szCs w:val="18"/>
          <w:color w:val="auto"/>
        </w:rPr>
        <w:t>the amount of base salary and target incentive opportunities to be provided for the upcoming year;</w:t>
      </w:r>
    </w:p>
    <w:p>
      <w:pPr>
        <w:spacing w:after="0" w:line="130" w:lineRule="exact"/>
        <w:rPr>
          <w:rFonts w:ascii="Arial" w:cs="Arial" w:eastAsia="Arial" w:hAnsi="Arial"/>
          <w:sz w:val="15"/>
          <w:szCs w:val="15"/>
          <w:color w:val="77387A"/>
        </w:rPr>
      </w:pPr>
    </w:p>
    <w:p>
      <w:pPr>
        <w:ind w:left="560" w:right="180" w:hanging="444"/>
        <w:spacing w:after="0" w:line="246" w:lineRule="auto"/>
        <w:tabs>
          <w:tab w:leader="none" w:pos="560" w:val="left"/>
        </w:tabs>
        <w:numPr>
          <w:ilvl w:val="0"/>
          <w:numId w:val="37"/>
        </w:numPr>
        <w:rPr>
          <w:rFonts w:ascii="Arial" w:cs="Arial" w:eastAsia="Arial" w:hAnsi="Arial"/>
          <w:sz w:val="15"/>
          <w:szCs w:val="15"/>
          <w:color w:val="77387A"/>
        </w:rPr>
      </w:pPr>
      <w:r>
        <w:rPr>
          <w:rFonts w:ascii="Arial" w:cs="Arial" w:eastAsia="Arial" w:hAnsi="Arial"/>
          <w:sz w:val="18"/>
          <w:szCs w:val="18"/>
          <w:color w:val="auto"/>
        </w:rPr>
        <w:t>the payout range for the cash incentive awards that may be earned for the year and the performance goals and criteria upon which the amounts of the awards will be determined;</w:t>
      </w:r>
    </w:p>
    <w:p>
      <w:pPr>
        <w:spacing w:after="0" w:line="102" w:lineRule="exact"/>
        <w:rPr>
          <w:rFonts w:ascii="Arial" w:cs="Arial" w:eastAsia="Arial" w:hAnsi="Arial"/>
          <w:sz w:val="15"/>
          <w:szCs w:val="15"/>
          <w:color w:val="77387A"/>
        </w:rPr>
      </w:pPr>
    </w:p>
    <w:p>
      <w:pPr>
        <w:ind w:left="560" w:right="400" w:hanging="444"/>
        <w:spacing w:after="0" w:line="246" w:lineRule="auto"/>
        <w:tabs>
          <w:tab w:leader="none" w:pos="560" w:val="left"/>
        </w:tabs>
        <w:numPr>
          <w:ilvl w:val="0"/>
          <w:numId w:val="37"/>
        </w:numPr>
        <w:rPr>
          <w:rFonts w:ascii="Arial" w:cs="Arial" w:eastAsia="Arial" w:hAnsi="Arial"/>
          <w:sz w:val="15"/>
          <w:szCs w:val="15"/>
          <w:color w:val="77387A"/>
        </w:rPr>
      </w:pPr>
      <w:r>
        <w:rPr>
          <w:rFonts w:ascii="Arial" w:cs="Arial" w:eastAsia="Arial" w:hAnsi="Arial"/>
          <w:sz w:val="18"/>
          <w:szCs w:val="18"/>
          <w:color w:val="auto"/>
        </w:rPr>
        <w:t>the payout range for performance share awards that may be earned for the performance period beginning in that fiscal year and the performance goals and criteria upon which the amounts of the awards for the relevant performance period will be determined; and</w:t>
      </w:r>
    </w:p>
    <w:p>
      <w:pPr>
        <w:spacing w:after="0" w:line="102" w:lineRule="exact"/>
        <w:rPr>
          <w:rFonts w:ascii="Arial" w:cs="Arial" w:eastAsia="Arial" w:hAnsi="Arial"/>
          <w:sz w:val="15"/>
          <w:szCs w:val="15"/>
          <w:color w:val="77387A"/>
        </w:rPr>
      </w:pPr>
    </w:p>
    <w:p>
      <w:pPr>
        <w:ind w:left="560" w:right="520" w:hanging="444"/>
        <w:spacing w:after="0" w:line="246" w:lineRule="auto"/>
        <w:tabs>
          <w:tab w:leader="none" w:pos="560" w:val="left"/>
        </w:tabs>
        <w:numPr>
          <w:ilvl w:val="0"/>
          <w:numId w:val="37"/>
        </w:numPr>
        <w:rPr>
          <w:rFonts w:ascii="Arial" w:cs="Arial" w:eastAsia="Arial" w:hAnsi="Arial"/>
          <w:sz w:val="15"/>
          <w:szCs w:val="15"/>
          <w:color w:val="77387A"/>
        </w:rPr>
      </w:pPr>
      <w:r>
        <w:rPr>
          <w:rFonts w:ascii="Arial" w:cs="Arial" w:eastAsia="Arial" w:hAnsi="Arial"/>
          <w:sz w:val="18"/>
          <w:szCs w:val="18"/>
          <w:color w:val="auto"/>
        </w:rPr>
        <w:t>the mix and amount of equity incentive awards (including performance share awards, performance restricted stock units and stock options) to be granted to our executive officers.</w:t>
      </w:r>
    </w:p>
    <w:p>
      <w:pPr>
        <w:spacing w:after="0" w:line="197" w:lineRule="exact"/>
        <w:rPr>
          <w:sz w:val="20"/>
          <w:szCs w:val="20"/>
          <w:color w:val="auto"/>
        </w:rPr>
      </w:pPr>
    </w:p>
    <w:p>
      <w:pPr>
        <w:ind w:right="380"/>
        <w:spacing w:after="0" w:line="239" w:lineRule="auto"/>
        <w:rPr>
          <w:sz w:val="20"/>
          <w:szCs w:val="20"/>
          <w:color w:val="auto"/>
        </w:rPr>
      </w:pPr>
      <w:r>
        <w:rPr>
          <w:rFonts w:ascii="Arial" w:cs="Arial" w:eastAsia="Arial" w:hAnsi="Arial"/>
          <w:sz w:val="18"/>
          <w:szCs w:val="18"/>
          <w:color w:val="auto"/>
        </w:rPr>
        <w:t>In approving payout ranges for our incentive programs, we determine the levels of performance that must be achieved in order to receive a minimum, target and maximum payout amount. Upon completion of each fiscal year, the Committee approves the payment, if any, of cash incentive awards and the number of performance shares, if any, that are earned based upon the achievement of the predetermined performance goals and criteria for the performance cycle just completed.</w:t>
      </w:r>
    </w:p>
    <w:p>
      <w:pPr>
        <w:spacing w:after="0" w:line="180"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483E65"/>
        </w:rPr>
        <w:t>Company and Operational Sector Performance</w:t>
      </w:r>
    </w:p>
    <w:p>
      <w:pPr>
        <w:spacing w:after="0" w:line="234" w:lineRule="exact"/>
        <w:rPr>
          <w:sz w:val="20"/>
          <w:szCs w:val="20"/>
          <w:color w:val="auto"/>
        </w:rPr>
      </w:pPr>
    </w:p>
    <w:p>
      <w:pPr>
        <w:ind w:right="100"/>
        <w:spacing w:after="0" w:line="239" w:lineRule="auto"/>
        <w:rPr>
          <w:sz w:val="20"/>
          <w:szCs w:val="20"/>
          <w:color w:val="auto"/>
        </w:rPr>
      </w:pPr>
      <w:r>
        <w:rPr>
          <w:rFonts w:ascii="Arial" w:cs="Arial" w:eastAsia="Arial" w:hAnsi="Arial"/>
          <w:sz w:val="18"/>
          <w:szCs w:val="18"/>
          <w:color w:val="auto"/>
        </w:rPr>
        <w:t>Our overall performance (or a combination of company enterprise and business group performance for executive officers with operational responsibilities) determines 80% of the amount of any cash incentive awards and 100% of any performance shares and PRSUs earned during the prior fiscal year. Amounts are principally determined based upon the company’s or group’s achievement of financial and operating objectives set at the beginning of the fiscal year, but the Committee retains the discretion to reduce the payouts when appropriate.</w:t>
      </w:r>
    </w:p>
    <w:p>
      <w:pPr>
        <w:spacing w:after="0" w:line="180"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483E65"/>
        </w:rPr>
        <w:t>Individual Performance</w:t>
      </w:r>
    </w:p>
    <w:p>
      <w:pPr>
        <w:spacing w:after="0" w:line="234"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Individual performance is a factor in setting base salaries, and individual contributions to the achievement of our enterprise goals determine 20% of the amount of any cash incentive awards to be paid upon completion of the fiscal year for all of our named executive officers except for Mr. Reardon. Pursuant to the EMA, we agreed to provide Mr. Reardon with the same annual cash incentive opportunities provided to him prior to the Transaction for Fiscal 2016. Therefore, Mr. Reardon’s short-term incentive goals were established by Lockheed Martin under their Management Incentive Compensation Plan (the “MICP”), with 70% based on Lockheed Martin Enterprise results and 30% based on his personal performance. In determining base salaries, the Committee reviews a performance assessment for each of our executive officers, as well as compensation recommendations provided by the Chief Executive Officer for the other named executive officers.</w:t>
      </w:r>
    </w:p>
    <w:p>
      <w:pPr>
        <w:spacing w:after="0" w:line="203" w:lineRule="exact"/>
        <w:rPr>
          <w:sz w:val="20"/>
          <w:szCs w:val="20"/>
          <w:color w:val="auto"/>
        </w:rPr>
      </w:pPr>
    </w:p>
    <w:p>
      <w:pPr>
        <w:ind w:right="60"/>
        <w:spacing w:after="0"/>
        <w:rPr>
          <w:sz w:val="20"/>
          <w:szCs w:val="20"/>
          <w:color w:val="auto"/>
        </w:rPr>
      </w:pPr>
      <w:r>
        <w:rPr>
          <w:rFonts w:ascii="Arial" w:cs="Arial" w:eastAsia="Arial" w:hAnsi="Arial"/>
          <w:sz w:val="18"/>
          <w:szCs w:val="18"/>
          <w:color w:val="auto"/>
        </w:rPr>
        <w:t>The Committee also considers market data and information provided by its independent compensation consultant. In addition, in determining annual incentive amounts, the Committee considers whether the executive officer has achieved predetermined personal goals applicable to his or her organization, and the way in which those personal goals were achieved, as demonstrated through leadership behaviors.</w:t>
      </w:r>
    </w:p>
    <w:p>
      <w:pPr>
        <w:spacing w:after="0" w:line="203"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Personal performance goals and leadership behaviors relate to ethics and integrity, maintaining a top-tier workplace environment, collaboration, customer satisfaction and retention, business development in strategic areas and other financial and operating goals as appropriate. The payout of the portion of the incentive payment related to the personal performance goals is multiplied by a factor that reflects the Committee’s assessment of the executive officer’s leadership</w:t>
      </w:r>
    </w:p>
    <w:p>
      <w:pPr>
        <w:spacing w:after="0" w:line="117" w:lineRule="exact"/>
        <w:rPr>
          <w:sz w:val="20"/>
          <w:szCs w:val="20"/>
          <w:color w:val="auto"/>
        </w:rPr>
      </w:pPr>
    </w:p>
    <w:p>
      <w:pPr>
        <w:spacing w:after="0"/>
        <w:tabs>
          <w:tab w:leader="none" w:pos="340" w:val="left"/>
          <w:tab w:leader="none" w:pos="580" w:val="left"/>
        </w:tabs>
        <w:rPr>
          <w:sz w:val="20"/>
          <w:szCs w:val="20"/>
          <w:color w:val="auto"/>
        </w:rPr>
      </w:pPr>
      <w:r>
        <w:rPr>
          <w:rFonts w:ascii="Arial" w:cs="Arial" w:eastAsia="Arial" w:hAnsi="Arial"/>
          <w:sz w:val="16"/>
          <w:szCs w:val="16"/>
          <w:b w:val="1"/>
          <w:bCs w:val="1"/>
          <w:color w:val="483E65"/>
        </w:rPr>
        <w:t>28</w:t>
        <w:tab/>
        <w:t>|</w:t>
        <w:tab/>
        <w:t>2017 Proxy Statement</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8" w:lineRule="exact"/>
        <w:rPr>
          <w:sz w:val="20"/>
          <w:szCs w:val="20"/>
          <w:color w:val="auto"/>
        </w:rPr>
      </w:pPr>
    </w:p>
    <w:p>
      <w:pPr>
        <w:spacing w:after="0"/>
        <w:rPr>
          <w:sz w:val="20"/>
          <w:szCs w:val="20"/>
          <w:color w:val="auto"/>
        </w:rPr>
      </w:pPr>
      <w:r>
        <w:rPr>
          <w:rFonts w:ascii="Arial" w:cs="Arial" w:eastAsia="Arial" w:hAnsi="Arial"/>
          <w:sz w:val="32"/>
          <w:szCs w:val="32"/>
          <w:color w:val="483E65"/>
        </w:rPr>
        <w:t>Compensation Discussion &amp;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149860</wp:posOffset>
            </wp:positionV>
            <wp:extent cx="724662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18" w:lineRule="exact"/>
        <w:rPr>
          <w:sz w:val="20"/>
          <w:szCs w:val="20"/>
          <w:color w:val="auto"/>
        </w:rPr>
      </w:pPr>
    </w:p>
    <w:p>
      <w:pPr>
        <w:ind w:right="140"/>
        <w:spacing w:after="0"/>
        <w:rPr>
          <w:sz w:val="20"/>
          <w:szCs w:val="20"/>
          <w:color w:val="auto"/>
        </w:rPr>
      </w:pPr>
      <w:r>
        <w:rPr>
          <w:rFonts w:ascii="Arial" w:cs="Arial" w:eastAsia="Arial" w:hAnsi="Arial"/>
          <w:sz w:val="18"/>
          <w:szCs w:val="18"/>
          <w:color w:val="auto"/>
        </w:rPr>
        <w:t>behaviors and ranges from 0% to 125%. An executive who meets our expectations for these leadership behaviors would receive 100%, with a threshold of 50% if the individual meets only the minimum leadership expectations. Performance below threshold with respect to leadership behaviors would result in no payout (0%) related to the portion of the cash incentive based on personal performance.</w:t>
      </w:r>
    </w:p>
    <w:p>
      <w:pPr>
        <w:spacing w:after="0" w:line="181"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483E65"/>
        </w:rPr>
        <w:t>Assessing Chief Executive Officer Performance</w:t>
      </w:r>
    </w:p>
    <w:p>
      <w:pPr>
        <w:spacing w:after="0" w:line="234"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In determining compensation for our Chief Executive Officer, the Committee meets in executive session and evaluates his performance based on his achievement of performance objectives that were established and agreed upon at the beginning of the fiscal year. For Fiscal 2016, a significant consideration in the evaluation of our Chief Executive Officer’s performance was his leadership through the successful closing of our Transaction with Lockheed Martin. Formal input is received from the independent directors and senior management. The Committee also considers the Chief Executive Officer’s general leadership contributions towards the company’s performance, including financial and operating results, development and achievement of strategic objectives, progress in building capability among the senior management team and corporate governance leadership, as well as market data and information provided by the Committee’s independent compensation consultant. The Committee determines the Chief Executive Officer’s compensation and then reviews his evaluation and compensation with the Board’s independent directors. The Lead Director and the Chair of the Committee then present the Committee’s evaluation and compensation determination to the Chief Executive Officer.</w:t>
      </w:r>
    </w:p>
    <w:p>
      <w:pPr>
        <w:spacing w:after="0" w:line="185"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483E65"/>
        </w:rPr>
        <w:t>Comparable Market Compensation</w:t>
      </w:r>
    </w:p>
    <w:p>
      <w:pPr>
        <w:spacing w:after="0" w:line="234"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The Committee compares the amount of direct compensation that we provide to our executive officers to that provided by companies with whom we compete for executive talent in similar roles and with similar responsibilities. To assist with this effort, the Committee’s independent compensation consultant, Frederic W. Cook &amp; Co., Inc. ( “FW Cook”), conducts an annual review and benchmarking analysis of each element of target total direct compensation (including salary and cash and equity incentives) provided to our executive officers. In December 2015, FW Cook compared the target compensation provided to members of senior management against that provided by other publicly traded engineering, information technology, consulting and defense companies, which we refer to as our “compensation peer group” as well as third-party survey data for general industry and the technology industry.</w:t>
      </w:r>
    </w:p>
    <w:p>
      <w:pPr>
        <w:spacing w:after="0" w:line="203" w:lineRule="exact"/>
        <w:rPr>
          <w:sz w:val="20"/>
          <w:szCs w:val="20"/>
          <w:color w:val="auto"/>
        </w:rPr>
      </w:pPr>
    </w:p>
    <w:p>
      <w:pPr>
        <w:jc w:val="both"/>
        <w:ind w:right="500"/>
        <w:spacing w:after="0"/>
        <w:rPr>
          <w:sz w:val="20"/>
          <w:szCs w:val="20"/>
          <w:color w:val="auto"/>
        </w:rPr>
      </w:pPr>
      <w:r>
        <w:rPr>
          <w:rFonts w:ascii="Arial" w:cs="Arial" w:eastAsia="Arial" w:hAnsi="Arial"/>
          <w:sz w:val="18"/>
          <w:szCs w:val="18"/>
          <w:color w:val="auto"/>
        </w:rPr>
        <w:t>Peer group companies are chosen for having a similar industry focus as ours and for competing with us for talent as well as business and stockholder investment. Furthermore, the compensation peer group is initially structured so that no company within the group has annual revenues smaller than 40% or greater than 250% of ours, or a market capitalization smaller than 20% or greater than 500% of ours.</w:t>
      </w:r>
    </w:p>
    <w:p>
      <w:pPr>
        <w:spacing w:after="0" w:line="203" w:lineRule="exact"/>
        <w:rPr>
          <w:sz w:val="20"/>
          <w:szCs w:val="20"/>
          <w:color w:val="auto"/>
        </w:rPr>
      </w:pPr>
    </w:p>
    <w:p>
      <w:pPr>
        <w:ind w:right="160"/>
        <w:spacing w:after="0" w:line="237" w:lineRule="auto"/>
        <w:rPr>
          <w:sz w:val="20"/>
          <w:szCs w:val="20"/>
          <w:color w:val="auto"/>
        </w:rPr>
      </w:pPr>
      <w:r>
        <w:rPr>
          <w:rFonts w:ascii="Arial" w:cs="Arial" w:eastAsia="Arial" w:hAnsi="Arial"/>
          <w:sz w:val="18"/>
          <w:szCs w:val="18"/>
          <w:color w:val="auto"/>
        </w:rPr>
        <w:t>Our compensation peer group is periodically reviewed and updated to ensure the companies in our peer group are strong business and talent competitors and are comparable in size. In September 2015, the Committee consulted with FW Cook and reviewed the compensation peer group to be used for setting Fiscal 2016 target compensation. The Committee removed Exelis and URS from the peer group since each had been acquired by non-peer companies during the prior year and added Motorola Solutions and Teradata Corporation. At the time the peer group for Fiscal 2016 was approved, the company was at the 45th percentile in terms of revenue and the 22nd percentile in terms of market capitalization.</w:t>
      </w:r>
    </w:p>
    <w:p>
      <w:pPr>
        <w:spacing w:after="0" w:line="183"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483E65"/>
        </w:rPr>
        <w:t>Our Fiscal 2016 Compensation Peer Group</w:t>
      </w:r>
    </w:p>
    <w:p>
      <w:pPr>
        <w:spacing w:after="0" w:line="261"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240" w:type="dxa"/>
            <w:vAlign w:val="bottom"/>
          </w:tcPr>
          <w:p>
            <w:pPr>
              <w:spacing w:after="0"/>
              <w:rPr>
                <w:sz w:val="20"/>
                <w:szCs w:val="20"/>
                <w:color w:val="auto"/>
              </w:rPr>
            </w:pPr>
            <w:r>
              <w:rPr>
                <w:rFonts w:ascii="Arial" w:cs="Arial" w:eastAsia="Arial" w:hAnsi="Arial"/>
                <w:sz w:val="15"/>
                <w:szCs w:val="15"/>
                <w:color w:val="77387A"/>
              </w:rPr>
              <w:t>u</w:t>
            </w:r>
          </w:p>
        </w:tc>
        <w:tc>
          <w:tcPr>
            <w:tcW w:w="2880" w:type="dxa"/>
            <w:vAlign w:val="bottom"/>
          </w:tcPr>
          <w:p>
            <w:pPr>
              <w:ind w:left="180"/>
              <w:spacing w:after="0"/>
              <w:rPr>
                <w:sz w:val="20"/>
                <w:szCs w:val="20"/>
                <w:color w:val="auto"/>
              </w:rPr>
            </w:pPr>
            <w:r>
              <w:rPr>
                <w:rFonts w:ascii="Arial" w:cs="Arial" w:eastAsia="Arial" w:hAnsi="Arial"/>
                <w:sz w:val="18"/>
                <w:szCs w:val="18"/>
                <w:color w:val="auto"/>
              </w:rPr>
              <w:t>AECOM Technology</w:t>
            </w:r>
          </w:p>
        </w:tc>
        <w:tc>
          <w:tcPr>
            <w:tcW w:w="1200" w:type="dxa"/>
            <w:vAlign w:val="bottom"/>
          </w:tcPr>
          <w:p>
            <w:pPr>
              <w:ind w:left="960"/>
              <w:spacing w:after="0"/>
              <w:rPr>
                <w:sz w:val="20"/>
                <w:szCs w:val="20"/>
                <w:color w:val="auto"/>
              </w:rPr>
            </w:pPr>
            <w:r>
              <w:rPr>
                <w:rFonts w:ascii="Arial" w:cs="Arial" w:eastAsia="Arial" w:hAnsi="Arial"/>
                <w:sz w:val="15"/>
                <w:szCs w:val="15"/>
                <w:color w:val="77387A"/>
              </w:rPr>
              <w:t>u</w:t>
            </w:r>
          </w:p>
        </w:tc>
        <w:tc>
          <w:tcPr>
            <w:tcW w:w="2800" w:type="dxa"/>
            <w:vAlign w:val="bottom"/>
          </w:tcPr>
          <w:p>
            <w:pPr>
              <w:ind w:left="180"/>
              <w:spacing w:after="0"/>
              <w:rPr>
                <w:sz w:val="20"/>
                <w:szCs w:val="20"/>
                <w:color w:val="auto"/>
              </w:rPr>
            </w:pPr>
            <w:r>
              <w:rPr>
                <w:rFonts w:ascii="Arial" w:cs="Arial" w:eastAsia="Arial" w:hAnsi="Arial"/>
                <w:sz w:val="18"/>
                <w:szCs w:val="18"/>
                <w:color w:val="auto"/>
              </w:rPr>
              <w:t>Harris</w:t>
            </w:r>
          </w:p>
        </w:tc>
        <w:tc>
          <w:tcPr>
            <w:tcW w:w="1040" w:type="dxa"/>
            <w:vAlign w:val="bottom"/>
          </w:tcPr>
          <w:p>
            <w:pPr>
              <w:ind w:left="780"/>
              <w:spacing w:after="0"/>
              <w:rPr>
                <w:sz w:val="20"/>
                <w:szCs w:val="20"/>
                <w:color w:val="auto"/>
              </w:rPr>
            </w:pPr>
            <w:r>
              <w:rPr>
                <w:rFonts w:ascii="Arial" w:cs="Arial" w:eastAsia="Arial" w:hAnsi="Arial"/>
                <w:sz w:val="15"/>
                <w:szCs w:val="15"/>
                <w:color w:val="77387A"/>
              </w:rPr>
              <w:t>u</w:t>
            </w:r>
          </w:p>
        </w:tc>
        <w:tc>
          <w:tcPr>
            <w:tcW w:w="3240" w:type="dxa"/>
            <w:vAlign w:val="bottom"/>
          </w:tcPr>
          <w:p>
            <w:pPr>
              <w:ind w:left="160"/>
              <w:spacing w:after="0"/>
              <w:rPr>
                <w:sz w:val="20"/>
                <w:szCs w:val="20"/>
                <w:color w:val="auto"/>
              </w:rPr>
            </w:pPr>
            <w:r>
              <w:rPr>
                <w:rFonts w:ascii="Arial" w:cs="Arial" w:eastAsia="Arial" w:hAnsi="Arial"/>
                <w:sz w:val="18"/>
                <w:szCs w:val="18"/>
                <w:color w:val="auto"/>
              </w:rPr>
              <w:t>Rockwell Collins</w:t>
            </w:r>
          </w:p>
        </w:tc>
      </w:tr>
      <w:tr>
        <w:trPr>
          <w:trHeight w:val="324"/>
        </w:trPr>
        <w:tc>
          <w:tcPr>
            <w:tcW w:w="240" w:type="dxa"/>
            <w:vAlign w:val="bottom"/>
          </w:tcPr>
          <w:p>
            <w:pPr>
              <w:spacing w:after="0"/>
              <w:rPr>
                <w:sz w:val="20"/>
                <w:szCs w:val="20"/>
                <w:color w:val="auto"/>
              </w:rPr>
            </w:pPr>
            <w:r>
              <w:rPr>
                <w:rFonts w:ascii="Arial" w:cs="Arial" w:eastAsia="Arial" w:hAnsi="Arial"/>
                <w:sz w:val="15"/>
                <w:szCs w:val="15"/>
                <w:color w:val="77387A"/>
              </w:rPr>
              <w:t>u</w:t>
            </w:r>
          </w:p>
        </w:tc>
        <w:tc>
          <w:tcPr>
            <w:tcW w:w="2880" w:type="dxa"/>
            <w:vAlign w:val="bottom"/>
          </w:tcPr>
          <w:p>
            <w:pPr>
              <w:ind w:left="180"/>
              <w:spacing w:after="0"/>
              <w:rPr>
                <w:sz w:val="20"/>
                <w:szCs w:val="20"/>
                <w:color w:val="auto"/>
              </w:rPr>
            </w:pPr>
            <w:r>
              <w:rPr>
                <w:rFonts w:ascii="Arial" w:cs="Arial" w:eastAsia="Arial" w:hAnsi="Arial"/>
                <w:sz w:val="18"/>
                <w:szCs w:val="18"/>
                <w:color w:val="auto"/>
              </w:rPr>
              <w:t>CACI International</w:t>
            </w:r>
          </w:p>
        </w:tc>
        <w:tc>
          <w:tcPr>
            <w:tcW w:w="1200" w:type="dxa"/>
            <w:vAlign w:val="bottom"/>
          </w:tcPr>
          <w:p>
            <w:pPr>
              <w:ind w:left="960"/>
              <w:spacing w:after="0"/>
              <w:rPr>
                <w:sz w:val="20"/>
                <w:szCs w:val="20"/>
                <w:color w:val="auto"/>
              </w:rPr>
            </w:pPr>
            <w:r>
              <w:rPr>
                <w:rFonts w:ascii="Arial" w:cs="Arial" w:eastAsia="Arial" w:hAnsi="Arial"/>
                <w:sz w:val="15"/>
                <w:szCs w:val="15"/>
                <w:color w:val="77387A"/>
              </w:rPr>
              <w:t>u</w:t>
            </w:r>
          </w:p>
        </w:tc>
        <w:tc>
          <w:tcPr>
            <w:tcW w:w="2800" w:type="dxa"/>
            <w:vAlign w:val="bottom"/>
          </w:tcPr>
          <w:p>
            <w:pPr>
              <w:ind w:left="180"/>
              <w:spacing w:after="0"/>
              <w:rPr>
                <w:sz w:val="20"/>
                <w:szCs w:val="20"/>
                <w:color w:val="auto"/>
              </w:rPr>
            </w:pPr>
            <w:r>
              <w:rPr>
                <w:rFonts w:ascii="Arial" w:cs="Arial" w:eastAsia="Arial" w:hAnsi="Arial"/>
                <w:sz w:val="18"/>
                <w:szCs w:val="18"/>
                <w:color w:val="auto"/>
              </w:rPr>
              <w:t>Jacobs Engineering</w:t>
            </w:r>
          </w:p>
        </w:tc>
        <w:tc>
          <w:tcPr>
            <w:tcW w:w="1040" w:type="dxa"/>
            <w:vAlign w:val="bottom"/>
          </w:tcPr>
          <w:p>
            <w:pPr>
              <w:ind w:left="780"/>
              <w:spacing w:after="0"/>
              <w:rPr>
                <w:sz w:val="20"/>
                <w:szCs w:val="20"/>
                <w:color w:val="auto"/>
              </w:rPr>
            </w:pPr>
            <w:r>
              <w:rPr>
                <w:rFonts w:ascii="Arial" w:cs="Arial" w:eastAsia="Arial" w:hAnsi="Arial"/>
                <w:sz w:val="15"/>
                <w:szCs w:val="15"/>
                <w:color w:val="77387A"/>
              </w:rPr>
              <w:t>u</w:t>
            </w:r>
          </w:p>
        </w:tc>
        <w:tc>
          <w:tcPr>
            <w:tcW w:w="3240" w:type="dxa"/>
            <w:vAlign w:val="bottom"/>
          </w:tcPr>
          <w:p>
            <w:pPr>
              <w:ind w:left="160"/>
              <w:spacing w:after="0"/>
              <w:rPr>
                <w:sz w:val="20"/>
                <w:szCs w:val="20"/>
                <w:color w:val="auto"/>
              </w:rPr>
            </w:pPr>
            <w:r>
              <w:rPr>
                <w:rFonts w:ascii="Arial" w:cs="Arial" w:eastAsia="Arial" w:hAnsi="Arial"/>
                <w:sz w:val="18"/>
                <w:szCs w:val="18"/>
                <w:color w:val="auto"/>
              </w:rPr>
              <w:t>SAIC</w:t>
            </w:r>
          </w:p>
        </w:tc>
      </w:tr>
      <w:tr>
        <w:trPr>
          <w:trHeight w:val="324"/>
        </w:trPr>
        <w:tc>
          <w:tcPr>
            <w:tcW w:w="240" w:type="dxa"/>
            <w:vAlign w:val="bottom"/>
          </w:tcPr>
          <w:p>
            <w:pPr>
              <w:spacing w:after="0"/>
              <w:rPr>
                <w:sz w:val="20"/>
                <w:szCs w:val="20"/>
                <w:color w:val="auto"/>
              </w:rPr>
            </w:pPr>
            <w:r>
              <w:rPr>
                <w:rFonts w:ascii="Arial" w:cs="Arial" w:eastAsia="Arial" w:hAnsi="Arial"/>
                <w:sz w:val="15"/>
                <w:szCs w:val="15"/>
                <w:color w:val="77387A"/>
              </w:rPr>
              <w:t>u</w:t>
            </w:r>
          </w:p>
        </w:tc>
        <w:tc>
          <w:tcPr>
            <w:tcW w:w="2880" w:type="dxa"/>
            <w:vAlign w:val="bottom"/>
          </w:tcPr>
          <w:p>
            <w:pPr>
              <w:ind w:left="180"/>
              <w:spacing w:after="0"/>
              <w:rPr>
                <w:sz w:val="20"/>
                <w:szCs w:val="20"/>
                <w:color w:val="auto"/>
              </w:rPr>
            </w:pPr>
            <w:r>
              <w:rPr>
                <w:rFonts w:ascii="Arial" w:cs="Arial" w:eastAsia="Arial" w:hAnsi="Arial"/>
                <w:sz w:val="18"/>
                <w:szCs w:val="18"/>
                <w:color w:val="auto"/>
              </w:rPr>
              <w:t>Cerner</w:t>
            </w:r>
          </w:p>
        </w:tc>
        <w:tc>
          <w:tcPr>
            <w:tcW w:w="1200" w:type="dxa"/>
            <w:vAlign w:val="bottom"/>
          </w:tcPr>
          <w:p>
            <w:pPr>
              <w:ind w:left="960"/>
              <w:spacing w:after="0"/>
              <w:rPr>
                <w:sz w:val="20"/>
                <w:szCs w:val="20"/>
                <w:color w:val="auto"/>
              </w:rPr>
            </w:pPr>
            <w:r>
              <w:rPr>
                <w:rFonts w:ascii="Arial" w:cs="Arial" w:eastAsia="Arial" w:hAnsi="Arial"/>
                <w:sz w:val="15"/>
                <w:szCs w:val="15"/>
                <w:color w:val="77387A"/>
              </w:rPr>
              <w:t>u</w:t>
            </w:r>
          </w:p>
        </w:tc>
        <w:tc>
          <w:tcPr>
            <w:tcW w:w="2800" w:type="dxa"/>
            <w:vAlign w:val="bottom"/>
          </w:tcPr>
          <w:p>
            <w:pPr>
              <w:ind w:left="180"/>
              <w:spacing w:after="0"/>
              <w:rPr>
                <w:sz w:val="20"/>
                <w:szCs w:val="20"/>
                <w:color w:val="auto"/>
              </w:rPr>
            </w:pPr>
            <w:r>
              <w:rPr>
                <w:rFonts w:ascii="Arial" w:cs="Arial" w:eastAsia="Arial" w:hAnsi="Arial"/>
                <w:sz w:val="18"/>
                <w:szCs w:val="18"/>
                <w:color w:val="auto"/>
              </w:rPr>
              <w:t>L-3 Communications</w:t>
            </w:r>
          </w:p>
        </w:tc>
        <w:tc>
          <w:tcPr>
            <w:tcW w:w="1040" w:type="dxa"/>
            <w:vAlign w:val="bottom"/>
          </w:tcPr>
          <w:p>
            <w:pPr>
              <w:ind w:left="780"/>
              <w:spacing w:after="0"/>
              <w:rPr>
                <w:sz w:val="20"/>
                <w:szCs w:val="20"/>
                <w:color w:val="auto"/>
              </w:rPr>
            </w:pPr>
            <w:r>
              <w:rPr>
                <w:rFonts w:ascii="Arial" w:cs="Arial" w:eastAsia="Arial" w:hAnsi="Arial"/>
                <w:sz w:val="15"/>
                <w:szCs w:val="15"/>
                <w:color w:val="77387A"/>
              </w:rPr>
              <w:t>u</w:t>
            </w:r>
          </w:p>
        </w:tc>
        <w:tc>
          <w:tcPr>
            <w:tcW w:w="3240" w:type="dxa"/>
            <w:vAlign w:val="bottom"/>
          </w:tcPr>
          <w:p>
            <w:pPr>
              <w:ind w:left="160"/>
              <w:spacing w:after="0"/>
              <w:rPr>
                <w:sz w:val="20"/>
                <w:szCs w:val="20"/>
                <w:color w:val="auto"/>
              </w:rPr>
            </w:pPr>
            <w:r>
              <w:rPr>
                <w:rFonts w:ascii="Arial" w:cs="Arial" w:eastAsia="Arial" w:hAnsi="Arial"/>
                <w:sz w:val="18"/>
                <w:szCs w:val="18"/>
                <w:color w:val="auto"/>
              </w:rPr>
              <w:t>Teradata</w:t>
            </w:r>
          </w:p>
        </w:tc>
      </w:tr>
      <w:tr>
        <w:trPr>
          <w:trHeight w:val="324"/>
        </w:trPr>
        <w:tc>
          <w:tcPr>
            <w:tcW w:w="240" w:type="dxa"/>
            <w:vAlign w:val="bottom"/>
          </w:tcPr>
          <w:p>
            <w:pPr>
              <w:spacing w:after="0"/>
              <w:rPr>
                <w:sz w:val="20"/>
                <w:szCs w:val="20"/>
                <w:color w:val="auto"/>
              </w:rPr>
            </w:pPr>
            <w:r>
              <w:rPr>
                <w:rFonts w:ascii="Arial" w:cs="Arial" w:eastAsia="Arial" w:hAnsi="Arial"/>
                <w:sz w:val="15"/>
                <w:szCs w:val="15"/>
                <w:color w:val="77387A"/>
              </w:rPr>
              <w:t>u</w:t>
            </w:r>
          </w:p>
        </w:tc>
        <w:tc>
          <w:tcPr>
            <w:tcW w:w="2880" w:type="dxa"/>
            <w:vAlign w:val="bottom"/>
          </w:tcPr>
          <w:p>
            <w:pPr>
              <w:ind w:left="180"/>
              <w:spacing w:after="0"/>
              <w:rPr>
                <w:sz w:val="20"/>
                <w:szCs w:val="20"/>
                <w:color w:val="auto"/>
              </w:rPr>
            </w:pPr>
            <w:r>
              <w:rPr>
                <w:rFonts w:ascii="Arial" w:cs="Arial" w:eastAsia="Arial" w:hAnsi="Arial"/>
                <w:sz w:val="18"/>
                <w:szCs w:val="18"/>
                <w:color w:val="auto"/>
              </w:rPr>
              <w:t>CGI Group</w:t>
            </w:r>
          </w:p>
        </w:tc>
        <w:tc>
          <w:tcPr>
            <w:tcW w:w="1200" w:type="dxa"/>
            <w:vAlign w:val="bottom"/>
          </w:tcPr>
          <w:p>
            <w:pPr>
              <w:ind w:left="960"/>
              <w:spacing w:after="0"/>
              <w:rPr>
                <w:sz w:val="20"/>
                <w:szCs w:val="20"/>
                <w:color w:val="auto"/>
              </w:rPr>
            </w:pPr>
            <w:r>
              <w:rPr>
                <w:rFonts w:ascii="Arial" w:cs="Arial" w:eastAsia="Arial" w:hAnsi="Arial"/>
                <w:sz w:val="15"/>
                <w:szCs w:val="15"/>
                <w:color w:val="77387A"/>
              </w:rPr>
              <w:t>u</w:t>
            </w:r>
          </w:p>
        </w:tc>
        <w:tc>
          <w:tcPr>
            <w:tcW w:w="2800" w:type="dxa"/>
            <w:vAlign w:val="bottom"/>
          </w:tcPr>
          <w:p>
            <w:pPr>
              <w:ind w:left="180"/>
              <w:spacing w:after="0"/>
              <w:rPr>
                <w:sz w:val="20"/>
                <w:szCs w:val="20"/>
                <w:color w:val="auto"/>
              </w:rPr>
            </w:pPr>
            <w:r>
              <w:rPr>
                <w:rFonts w:ascii="Arial" w:cs="Arial" w:eastAsia="Arial" w:hAnsi="Arial"/>
                <w:sz w:val="18"/>
                <w:szCs w:val="18"/>
                <w:color w:val="auto"/>
              </w:rPr>
              <w:t>Man Tech International</w:t>
            </w:r>
          </w:p>
        </w:tc>
        <w:tc>
          <w:tcPr>
            <w:tcW w:w="1040" w:type="dxa"/>
            <w:vAlign w:val="bottom"/>
          </w:tcPr>
          <w:p>
            <w:pPr>
              <w:ind w:left="780"/>
              <w:spacing w:after="0"/>
              <w:rPr>
                <w:sz w:val="20"/>
                <w:szCs w:val="20"/>
                <w:color w:val="auto"/>
              </w:rPr>
            </w:pPr>
            <w:r>
              <w:rPr>
                <w:rFonts w:ascii="Arial" w:cs="Arial" w:eastAsia="Arial" w:hAnsi="Arial"/>
                <w:sz w:val="15"/>
                <w:szCs w:val="15"/>
                <w:color w:val="77387A"/>
              </w:rPr>
              <w:t>u</w:t>
            </w:r>
          </w:p>
        </w:tc>
        <w:tc>
          <w:tcPr>
            <w:tcW w:w="3240" w:type="dxa"/>
            <w:vAlign w:val="bottom"/>
          </w:tcPr>
          <w:p>
            <w:pPr>
              <w:ind w:left="160"/>
              <w:spacing w:after="0"/>
              <w:rPr>
                <w:sz w:val="20"/>
                <w:szCs w:val="20"/>
                <w:color w:val="auto"/>
              </w:rPr>
            </w:pPr>
            <w:r>
              <w:rPr>
                <w:rFonts w:ascii="Arial" w:cs="Arial" w:eastAsia="Arial" w:hAnsi="Arial"/>
                <w:sz w:val="18"/>
                <w:szCs w:val="18"/>
                <w:color w:val="auto"/>
              </w:rPr>
              <w:t>Tetra Tech</w:t>
            </w:r>
          </w:p>
        </w:tc>
      </w:tr>
      <w:tr>
        <w:trPr>
          <w:trHeight w:val="324"/>
        </w:trPr>
        <w:tc>
          <w:tcPr>
            <w:tcW w:w="240" w:type="dxa"/>
            <w:vAlign w:val="bottom"/>
          </w:tcPr>
          <w:p>
            <w:pPr>
              <w:spacing w:after="0"/>
              <w:rPr>
                <w:sz w:val="20"/>
                <w:szCs w:val="20"/>
                <w:color w:val="auto"/>
              </w:rPr>
            </w:pPr>
            <w:r>
              <w:rPr>
                <w:rFonts w:ascii="Arial" w:cs="Arial" w:eastAsia="Arial" w:hAnsi="Arial"/>
                <w:sz w:val="15"/>
                <w:szCs w:val="15"/>
                <w:color w:val="77387A"/>
              </w:rPr>
              <w:t>u</w:t>
            </w:r>
          </w:p>
        </w:tc>
        <w:tc>
          <w:tcPr>
            <w:tcW w:w="2880" w:type="dxa"/>
            <w:vAlign w:val="bottom"/>
          </w:tcPr>
          <w:p>
            <w:pPr>
              <w:ind w:left="180"/>
              <w:spacing w:after="0"/>
              <w:rPr>
                <w:sz w:val="20"/>
                <w:szCs w:val="20"/>
                <w:color w:val="auto"/>
              </w:rPr>
            </w:pPr>
            <w:r>
              <w:rPr>
                <w:rFonts w:ascii="Arial" w:cs="Arial" w:eastAsia="Arial" w:hAnsi="Arial"/>
                <w:sz w:val="18"/>
                <w:szCs w:val="18"/>
                <w:color w:val="auto"/>
              </w:rPr>
              <w:t>Chicago Bridge &amp; Iron</w:t>
            </w:r>
          </w:p>
        </w:tc>
        <w:tc>
          <w:tcPr>
            <w:tcW w:w="1200" w:type="dxa"/>
            <w:vAlign w:val="bottom"/>
          </w:tcPr>
          <w:p>
            <w:pPr>
              <w:ind w:left="960"/>
              <w:spacing w:after="0"/>
              <w:rPr>
                <w:sz w:val="20"/>
                <w:szCs w:val="20"/>
                <w:color w:val="auto"/>
              </w:rPr>
            </w:pPr>
            <w:r>
              <w:rPr>
                <w:rFonts w:ascii="Arial" w:cs="Arial" w:eastAsia="Arial" w:hAnsi="Arial"/>
                <w:sz w:val="15"/>
                <w:szCs w:val="15"/>
                <w:color w:val="77387A"/>
              </w:rPr>
              <w:t>u</w:t>
            </w:r>
          </w:p>
        </w:tc>
        <w:tc>
          <w:tcPr>
            <w:tcW w:w="2800" w:type="dxa"/>
            <w:vAlign w:val="bottom"/>
          </w:tcPr>
          <w:p>
            <w:pPr>
              <w:ind w:left="180"/>
              <w:spacing w:after="0"/>
              <w:rPr>
                <w:sz w:val="20"/>
                <w:szCs w:val="20"/>
                <w:color w:val="auto"/>
              </w:rPr>
            </w:pPr>
            <w:r>
              <w:rPr>
                <w:rFonts w:ascii="Arial" w:cs="Arial" w:eastAsia="Arial" w:hAnsi="Arial"/>
                <w:sz w:val="18"/>
                <w:szCs w:val="18"/>
                <w:color w:val="auto"/>
              </w:rPr>
              <w:t>Motorola Solutions</w:t>
            </w:r>
          </w:p>
        </w:tc>
        <w:tc>
          <w:tcPr>
            <w:tcW w:w="104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324"/>
        </w:trPr>
        <w:tc>
          <w:tcPr>
            <w:tcW w:w="240" w:type="dxa"/>
            <w:vAlign w:val="bottom"/>
          </w:tcPr>
          <w:p>
            <w:pPr>
              <w:spacing w:after="0"/>
              <w:rPr>
                <w:sz w:val="20"/>
                <w:szCs w:val="20"/>
                <w:color w:val="auto"/>
              </w:rPr>
            </w:pPr>
            <w:r>
              <w:rPr>
                <w:rFonts w:ascii="Arial" w:cs="Arial" w:eastAsia="Arial" w:hAnsi="Arial"/>
                <w:sz w:val="15"/>
                <w:szCs w:val="15"/>
                <w:color w:val="77387A"/>
              </w:rPr>
              <w:t>u</w:t>
            </w:r>
          </w:p>
        </w:tc>
        <w:tc>
          <w:tcPr>
            <w:tcW w:w="2880" w:type="dxa"/>
            <w:vAlign w:val="bottom"/>
          </w:tcPr>
          <w:p>
            <w:pPr>
              <w:ind w:left="180"/>
              <w:spacing w:after="0"/>
              <w:rPr>
                <w:sz w:val="20"/>
                <w:szCs w:val="20"/>
                <w:color w:val="auto"/>
              </w:rPr>
            </w:pPr>
            <w:r>
              <w:rPr>
                <w:rFonts w:ascii="Arial" w:cs="Arial" w:eastAsia="Arial" w:hAnsi="Arial"/>
                <w:sz w:val="18"/>
                <w:szCs w:val="18"/>
                <w:color w:val="auto"/>
              </w:rPr>
              <w:t>Computer Sciences</w:t>
            </w:r>
          </w:p>
        </w:tc>
        <w:tc>
          <w:tcPr>
            <w:tcW w:w="1200" w:type="dxa"/>
            <w:vAlign w:val="bottom"/>
          </w:tcPr>
          <w:p>
            <w:pPr>
              <w:ind w:left="960"/>
              <w:spacing w:after="0"/>
              <w:rPr>
                <w:sz w:val="20"/>
                <w:szCs w:val="20"/>
                <w:color w:val="auto"/>
              </w:rPr>
            </w:pPr>
            <w:r>
              <w:rPr>
                <w:rFonts w:ascii="Arial" w:cs="Arial" w:eastAsia="Arial" w:hAnsi="Arial"/>
                <w:sz w:val="15"/>
                <w:szCs w:val="15"/>
                <w:color w:val="77387A"/>
              </w:rPr>
              <w:t>u</w:t>
            </w:r>
          </w:p>
        </w:tc>
        <w:tc>
          <w:tcPr>
            <w:tcW w:w="2800" w:type="dxa"/>
            <w:vAlign w:val="bottom"/>
          </w:tcPr>
          <w:p>
            <w:pPr>
              <w:ind w:left="180"/>
              <w:spacing w:after="0"/>
              <w:rPr>
                <w:sz w:val="20"/>
                <w:szCs w:val="20"/>
                <w:color w:val="auto"/>
              </w:rPr>
            </w:pPr>
            <w:r>
              <w:rPr>
                <w:rFonts w:ascii="Arial" w:cs="Arial" w:eastAsia="Arial" w:hAnsi="Arial"/>
                <w:sz w:val="18"/>
                <w:szCs w:val="18"/>
                <w:color w:val="auto"/>
              </w:rPr>
              <w:t>Orbital ATK</w:t>
            </w:r>
          </w:p>
        </w:tc>
        <w:tc>
          <w:tcPr>
            <w:tcW w:w="104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345"/>
        </w:trPr>
        <w:tc>
          <w:tcPr>
            <w:tcW w:w="24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40" w:type="dxa"/>
            <w:vAlign w:val="bottom"/>
          </w:tcPr>
          <w:p>
            <w:pPr>
              <w:ind w:left="960"/>
              <w:spacing w:after="0"/>
              <w:rPr>
                <w:sz w:val="20"/>
                <w:szCs w:val="20"/>
                <w:color w:val="auto"/>
              </w:rPr>
            </w:pPr>
            <w:r>
              <w:rPr>
                <w:rFonts w:ascii="Arial" w:cs="Arial" w:eastAsia="Arial" w:hAnsi="Arial"/>
                <w:sz w:val="16"/>
                <w:szCs w:val="16"/>
                <w:b w:val="1"/>
                <w:bCs w:val="1"/>
                <w:color w:val="483E65"/>
              </w:rPr>
              <w:t>2017 Proxy Statement  |  29</w:t>
            </w:r>
          </w:p>
        </w:tc>
      </w:tr>
    </w:tbl>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8" w:lineRule="exact"/>
        <w:rPr>
          <w:sz w:val="20"/>
          <w:szCs w:val="20"/>
          <w:color w:val="auto"/>
        </w:rPr>
      </w:pPr>
    </w:p>
    <w:p>
      <w:pPr>
        <w:spacing w:after="0"/>
        <w:rPr>
          <w:sz w:val="20"/>
          <w:szCs w:val="20"/>
          <w:color w:val="auto"/>
        </w:rPr>
      </w:pPr>
      <w:r>
        <w:rPr>
          <w:rFonts w:ascii="Arial" w:cs="Arial" w:eastAsia="Arial" w:hAnsi="Arial"/>
          <w:sz w:val="32"/>
          <w:szCs w:val="32"/>
          <w:color w:val="483E65"/>
        </w:rPr>
        <w:t>Compensation Discussion &amp;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149860</wp:posOffset>
            </wp:positionV>
            <wp:extent cx="724662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18" w:lineRule="exact"/>
        <w:rPr>
          <w:sz w:val="20"/>
          <w:szCs w:val="20"/>
          <w:color w:val="auto"/>
        </w:rPr>
      </w:pPr>
    </w:p>
    <w:p>
      <w:pPr>
        <w:ind w:right="860"/>
        <w:spacing w:after="0" w:line="246" w:lineRule="auto"/>
        <w:rPr>
          <w:sz w:val="20"/>
          <w:szCs w:val="20"/>
          <w:color w:val="auto"/>
        </w:rPr>
      </w:pPr>
      <w:r>
        <w:rPr>
          <w:rFonts w:ascii="Arial" w:cs="Arial" w:eastAsia="Arial" w:hAnsi="Arial"/>
          <w:sz w:val="18"/>
          <w:szCs w:val="18"/>
          <w:color w:val="auto"/>
        </w:rPr>
        <w:t>The Committee considers this market data and analysis when evaluating appropriate levels of target total direct compensation. To be competitive in the market for our executive-level talent, we generally will:</w:t>
      </w:r>
    </w:p>
    <w:p>
      <w:pPr>
        <w:spacing w:after="0" w:line="102" w:lineRule="exact"/>
        <w:rPr>
          <w:sz w:val="20"/>
          <w:szCs w:val="20"/>
          <w:color w:val="auto"/>
        </w:rPr>
      </w:pPr>
    </w:p>
    <w:p>
      <w:pPr>
        <w:jc w:val="both"/>
        <w:ind w:left="560" w:right="160" w:hanging="444"/>
        <w:spacing w:after="0"/>
        <w:tabs>
          <w:tab w:leader="none" w:pos="560" w:val="left"/>
        </w:tabs>
        <w:numPr>
          <w:ilvl w:val="0"/>
          <w:numId w:val="38"/>
        </w:numPr>
        <w:rPr>
          <w:rFonts w:ascii="Arial" w:cs="Arial" w:eastAsia="Arial" w:hAnsi="Arial"/>
          <w:sz w:val="15"/>
          <w:szCs w:val="15"/>
          <w:color w:val="77387A"/>
        </w:rPr>
      </w:pPr>
      <w:r>
        <w:rPr>
          <w:rFonts w:ascii="Arial" w:cs="Arial" w:eastAsia="Arial" w:hAnsi="Arial"/>
          <w:sz w:val="18"/>
          <w:szCs w:val="18"/>
          <w:color w:val="auto"/>
        </w:rPr>
        <w:t>target overall compensation for our executive officers at the market median, although the actual cash paid and equity incentive awards earned will vary based on actual financial and individual performance and may therefore generate compensation that is higher or lower than the market median; and</w:t>
      </w:r>
    </w:p>
    <w:p>
      <w:pPr>
        <w:spacing w:after="0" w:line="108" w:lineRule="exact"/>
        <w:rPr>
          <w:rFonts w:ascii="Arial" w:cs="Arial" w:eastAsia="Arial" w:hAnsi="Arial"/>
          <w:sz w:val="15"/>
          <w:szCs w:val="15"/>
          <w:color w:val="77387A"/>
        </w:rPr>
      </w:pPr>
    </w:p>
    <w:p>
      <w:pPr>
        <w:ind w:left="560" w:hanging="444"/>
        <w:spacing w:after="0" w:line="246" w:lineRule="auto"/>
        <w:tabs>
          <w:tab w:leader="none" w:pos="560" w:val="left"/>
        </w:tabs>
        <w:numPr>
          <w:ilvl w:val="0"/>
          <w:numId w:val="38"/>
        </w:numPr>
        <w:rPr>
          <w:rFonts w:ascii="Arial" w:cs="Arial" w:eastAsia="Arial" w:hAnsi="Arial"/>
          <w:sz w:val="15"/>
          <w:szCs w:val="15"/>
          <w:color w:val="77387A"/>
        </w:rPr>
      </w:pPr>
      <w:r>
        <w:rPr>
          <w:rFonts w:ascii="Arial" w:cs="Arial" w:eastAsia="Arial" w:hAnsi="Arial"/>
          <w:sz w:val="18"/>
          <w:szCs w:val="18"/>
          <w:color w:val="auto"/>
        </w:rPr>
        <w:t>award higher levels of compensation, when appropriate, in recognition of the importance or uniqueness of the role of an executive officer or to address retention concerns.</w:t>
      </w:r>
    </w:p>
    <w:p>
      <w:pPr>
        <w:spacing w:after="0" w:line="175"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483E65"/>
        </w:rPr>
        <w:t>Compensation Mix</w:t>
      </w:r>
    </w:p>
    <w:p>
      <w:pPr>
        <w:spacing w:after="0" w:line="234"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The chart below depicts each principal element of targeted compensation as a percentage of total direct compensation for each of our active named executive officers for Fiscal 2016. Total direct compensation is comprised of the approved annual rate of base salary and the target annual cash incentive for Fiscal 2016. It also reflects the grant date fair value of long-term equity grants consisting of stock options, PRSUs, and performance shares for all named executive officers except for Mr. Reardon, who received his long-term incentive solely in the form of restricted stock units from Lockheed Martin in January 2016. Those restricted stock units were converted to awards to be paid in shares of Leidos common stock upon vesting. The compensation mix for the active named executive officers in the chart below does not include the special retention equity award granted to Mr. Reardon by us after the Transaction, or the one-time cash project-completion bonuses awarded to Messrs. Reagan and Leiter for successful completion of the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1000125</wp:posOffset>
            </wp:positionH>
            <wp:positionV relativeFrom="paragraph">
              <wp:posOffset>149860</wp:posOffset>
            </wp:positionV>
            <wp:extent cx="5265420" cy="213550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265420" cy="2135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As indicated above, base salary, which is the only component of “fixed” compensation for our named executive officers, represents a significantly smaller portion of total direct compensation than “variable” or performance-based compensation—representing a range between 14% (for our Chief Executive Officer) and 30%. The allocation of a meaningful portion of compensation to annual cash incentive awards—with target levels ranging from 18% to 23% of total direct compensation—demonstrates our belief that a substantial portion of total direct compensation should reflect the actual achievement of predetermined company and individual goals. The allocation of a majority of compensation to long-term incentives or equity, represented by a mix of performance shares, PRSUs, and stock options—ranging from 47% to 67% of target total direct compensation—reflects our philosophy that a substantial portion of total compensation should be delivered in the form of equity awards. We do this because we believe that a combination of equity award types, with the ultimate value delivered dependent on attaining pre-established goals or increases in stock price, aligns the interests of our executives with those of our shareholders.</w:t>
      </w:r>
    </w:p>
    <w:p>
      <w:pPr>
        <w:spacing w:after="0" w:line="207" w:lineRule="exact"/>
        <w:rPr>
          <w:sz w:val="20"/>
          <w:szCs w:val="20"/>
          <w:color w:val="auto"/>
        </w:rPr>
      </w:pPr>
    </w:p>
    <w:p>
      <w:pPr>
        <w:ind w:right="760"/>
        <w:spacing w:after="0" w:line="246" w:lineRule="auto"/>
        <w:rPr>
          <w:sz w:val="20"/>
          <w:szCs w:val="20"/>
          <w:color w:val="auto"/>
        </w:rPr>
      </w:pPr>
      <w:r>
        <w:rPr>
          <w:rFonts w:ascii="Arial" w:cs="Arial" w:eastAsia="Arial" w:hAnsi="Arial"/>
          <w:sz w:val="18"/>
          <w:szCs w:val="18"/>
          <w:color w:val="auto"/>
        </w:rPr>
        <w:t>The various amounts of compensation provided to our named executive officers for Fiscal 2016 are included in the tables in this Proxy Statement under the caption “Executive Compensation.”</w:t>
      </w:r>
    </w:p>
    <w:p>
      <w:pPr>
        <w:spacing w:after="0" w:line="112" w:lineRule="exact"/>
        <w:rPr>
          <w:sz w:val="20"/>
          <w:szCs w:val="20"/>
          <w:color w:val="auto"/>
        </w:rPr>
      </w:pPr>
    </w:p>
    <w:p>
      <w:pPr>
        <w:spacing w:after="0"/>
        <w:tabs>
          <w:tab w:leader="none" w:pos="340" w:val="left"/>
          <w:tab w:leader="none" w:pos="580" w:val="left"/>
        </w:tabs>
        <w:rPr>
          <w:sz w:val="20"/>
          <w:szCs w:val="20"/>
          <w:color w:val="auto"/>
        </w:rPr>
      </w:pPr>
      <w:r>
        <w:rPr>
          <w:rFonts w:ascii="Arial" w:cs="Arial" w:eastAsia="Arial" w:hAnsi="Arial"/>
          <w:sz w:val="16"/>
          <w:szCs w:val="16"/>
          <w:b w:val="1"/>
          <w:bCs w:val="1"/>
          <w:color w:val="483E65"/>
        </w:rPr>
        <w:t>30</w:t>
        <w:tab/>
        <w:t>|</w:t>
        <w:tab/>
        <w:t>2017 Proxy Statement</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8" w:lineRule="exact"/>
        <w:rPr>
          <w:sz w:val="20"/>
          <w:szCs w:val="20"/>
          <w:color w:val="auto"/>
        </w:rPr>
      </w:pPr>
    </w:p>
    <w:p>
      <w:pPr>
        <w:spacing w:after="0"/>
        <w:rPr>
          <w:sz w:val="20"/>
          <w:szCs w:val="20"/>
          <w:color w:val="auto"/>
        </w:rPr>
      </w:pPr>
      <w:r>
        <w:rPr>
          <w:rFonts w:ascii="Arial" w:cs="Arial" w:eastAsia="Arial" w:hAnsi="Arial"/>
          <w:sz w:val="32"/>
          <w:szCs w:val="32"/>
          <w:color w:val="483E65"/>
        </w:rPr>
        <w:t>Compensation Discussion &amp;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149860</wp:posOffset>
            </wp:positionV>
            <wp:extent cx="724662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483E65"/>
        </w:rPr>
        <w:t>Compensation Decisions for Fiscal 2016</w:t>
      </w:r>
    </w:p>
    <w:p>
      <w:pPr>
        <w:spacing w:after="0" w:line="212"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483E65"/>
        </w:rPr>
        <w:t>Base Salary</w:t>
      </w:r>
    </w:p>
    <w:p>
      <w:pPr>
        <w:spacing w:after="0" w:line="234" w:lineRule="exact"/>
        <w:rPr>
          <w:sz w:val="20"/>
          <w:szCs w:val="20"/>
          <w:color w:val="auto"/>
        </w:rPr>
      </w:pPr>
    </w:p>
    <w:p>
      <w:pPr>
        <w:ind w:right="180"/>
        <w:spacing w:after="0" w:line="246" w:lineRule="auto"/>
        <w:rPr>
          <w:sz w:val="20"/>
          <w:szCs w:val="20"/>
          <w:color w:val="auto"/>
        </w:rPr>
      </w:pPr>
      <w:r>
        <w:rPr>
          <w:rFonts w:ascii="Arial" w:cs="Arial" w:eastAsia="Arial" w:hAnsi="Arial"/>
          <w:sz w:val="18"/>
          <w:szCs w:val="18"/>
          <w:color w:val="auto"/>
        </w:rPr>
        <w:t>The Committee reviews executive officers’ base salaries annually or at the time of promotion or a substantial change in responsibilities based on the criteria described above.</w:t>
      </w:r>
    </w:p>
    <w:p>
      <w:pPr>
        <w:spacing w:after="0" w:line="197" w:lineRule="exact"/>
        <w:rPr>
          <w:sz w:val="20"/>
          <w:szCs w:val="20"/>
          <w:color w:val="auto"/>
        </w:rPr>
      </w:pPr>
    </w:p>
    <w:p>
      <w:pPr>
        <w:ind w:right="180"/>
        <w:spacing w:after="0" w:line="237" w:lineRule="auto"/>
        <w:rPr>
          <w:sz w:val="20"/>
          <w:szCs w:val="20"/>
          <w:color w:val="auto"/>
        </w:rPr>
      </w:pPr>
      <w:r>
        <w:rPr>
          <w:rFonts w:ascii="Arial" w:cs="Arial" w:eastAsia="Arial" w:hAnsi="Arial"/>
          <w:sz w:val="18"/>
          <w:szCs w:val="18"/>
          <w:color w:val="auto"/>
        </w:rPr>
        <w:t>In approving the base salaries for our named executive officers and other executive officers for Fiscal 2016, the Committee considered its independent consultant’s analysis of pay levels for comparable positions in the compensation peer group based on proxy and survey data. Such analysis indicated that base salaries for our executive officers were, on average, at approximately competitive median levels. Individual base salary amounts also reflect the Committee’s judgment with respect to each executive officer’s level of responsibility, individual performance, experience and other factors, including internal equity considerations, the individual’s historical compensation and any retention concerns.</w:t>
      </w:r>
    </w:p>
    <w:p>
      <w:pPr>
        <w:spacing w:after="0" w:line="205" w:lineRule="exact"/>
        <w:rPr>
          <w:sz w:val="20"/>
          <w:szCs w:val="20"/>
          <w:color w:val="auto"/>
        </w:rPr>
      </w:pPr>
    </w:p>
    <w:p>
      <w:pPr>
        <w:ind w:right="260"/>
        <w:spacing w:after="0" w:line="246" w:lineRule="auto"/>
        <w:rPr>
          <w:sz w:val="20"/>
          <w:szCs w:val="20"/>
          <w:color w:val="auto"/>
        </w:rPr>
      </w:pPr>
      <w:r>
        <w:rPr>
          <w:rFonts w:ascii="Arial" w:cs="Arial" w:eastAsia="Arial" w:hAnsi="Arial"/>
          <w:sz w:val="18"/>
          <w:szCs w:val="18"/>
          <w:color w:val="auto"/>
        </w:rPr>
        <w:t>At the beginning of Fiscal 2016, the Committee approved increases in the base salaries for two of our five active named executive officers in order to bring them closer to the market median. Mr. Krone received a 5% increase and Mr. Reagan received a 3% increase at that time.</w:t>
      </w:r>
    </w:p>
    <w:p>
      <w:pPr>
        <w:spacing w:after="0" w:line="175"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483E65"/>
        </w:rPr>
        <w:t>Annual Cash Incentive Awards for Fiscal 2016</w:t>
      </w:r>
    </w:p>
    <w:p>
      <w:pPr>
        <w:spacing w:after="0" w:line="234"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We provided cash incentive awards to executives for performance during Fiscal 2016 based on the achievement of pre-established financial and personal performance goals and other relevant factors. In the first quarter of Fiscal 2016, the Committee approved the threshold, target and maximum bonus amounts for each of our active named executive officers at the time, as well as the performance goals, relative weightings and criteria upon which awards would be determined. Following the end of the one-year performance period, the Committee approved the payment of cash incentive awards based upon performance achieved against the pre-established goals and other factors.</w:t>
      </w:r>
    </w:p>
    <w:p>
      <w:pPr>
        <w:spacing w:after="0" w:line="185" w:lineRule="exact"/>
        <w:rPr>
          <w:sz w:val="20"/>
          <w:szCs w:val="20"/>
          <w:color w:val="auto"/>
        </w:rPr>
      </w:pPr>
    </w:p>
    <w:p>
      <w:pPr>
        <w:jc w:val="both"/>
        <w:ind w:right="80"/>
        <w:spacing w:after="0" w:line="251" w:lineRule="auto"/>
        <w:rPr>
          <w:sz w:val="20"/>
          <w:szCs w:val="20"/>
          <w:color w:val="auto"/>
        </w:rPr>
      </w:pPr>
      <w:r>
        <w:rPr>
          <w:rFonts w:ascii="Arial" w:cs="Arial" w:eastAsia="Arial" w:hAnsi="Arial"/>
          <w:sz w:val="18"/>
          <w:szCs w:val="18"/>
          <w:i w:val="1"/>
          <w:iCs w:val="1"/>
          <w:color w:val="483E65"/>
        </w:rPr>
        <w:t xml:space="preserve">Performance Measures and Weightings. </w:t>
      </w:r>
      <w:r>
        <w:rPr>
          <w:rFonts w:ascii="Arial" w:cs="Arial" w:eastAsia="Arial" w:hAnsi="Arial"/>
          <w:sz w:val="18"/>
          <w:szCs w:val="18"/>
          <w:color w:val="000000"/>
        </w:rPr>
        <w:t>Our annual cash incentive plan for Fiscal 2016 was designed to incentivize and reward both company</w:t>
      </w:r>
      <w:r>
        <w:rPr>
          <w:rFonts w:ascii="Arial" w:cs="Arial" w:eastAsia="Arial" w:hAnsi="Arial"/>
          <w:sz w:val="18"/>
          <w:szCs w:val="18"/>
          <w:i w:val="1"/>
          <w:iCs w:val="1"/>
          <w:color w:val="483E65"/>
        </w:rPr>
        <w:t xml:space="preserve"> </w:t>
      </w:r>
      <w:r>
        <w:rPr>
          <w:rFonts w:ascii="Arial" w:cs="Arial" w:eastAsia="Arial" w:hAnsi="Arial"/>
          <w:sz w:val="18"/>
          <w:szCs w:val="18"/>
          <w:color w:val="000000"/>
        </w:rPr>
        <w:t>financial performance and individual contributions to enterprise goals. The intended purpose and relative weightings of the performance goals are shown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511175</wp:posOffset>
            </wp:positionH>
            <wp:positionV relativeFrom="paragraph">
              <wp:posOffset>139700</wp:posOffset>
            </wp:positionV>
            <wp:extent cx="6243320" cy="23495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243320" cy="2349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right="100"/>
        <w:spacing w:after="0"/>
        <w:rPr>
          <w:sz w:val="20"/>
          <w:szCs w:val="20"/>
          <w:color w:val="auto"/>
        </w:rPr>
      </w:pPr>
      <w:r>
        <w:rPr>
          <w:rFonts w:ascii="Arial" w:cs="Arial" w:eastAsia="Arial" w:hAnsi="Arial"/>
          <w:sz w:val="18"/>
          <w:szCs w:val="18"/>
          <w:i w:val="1"/>
          <w:iCs w:val="1"/>
          <w:color w:val="483E65"/>
        </w:rPr>
        <w:t xml:space="preserve">Financial Goals. </w:t>
      </w:r>
      <w:r>
        <w:rPr>
          <w:rFonts w:ascii="Arial" w:cs="Arial" w:eastAsia="Arial" w:hAnsi="Arial"/>
          <w:sz w:val="18"/>
          <w:szCs w:val="18"/>
          <w:color w:val="000000"/>
        </w:rPr>
        <w:t>Because our financial results are considered the most important factors in setting pay and are objectively measurable, we</w:t>
      </w:r>
      <w:r>
        <w:rPr>
          <w:rFonts w:ascii="Arial" w:cs="Arial" w:eastAsia="Arial" w:hAnsi="Arial"/>
          <w:sz w:val="18"/>
          <w:szCs w:val="18"/>
          <w:i w:val="1"/>
          <w:iCs w:val="1"/>
          <w:color w:val="483E65"/>
        </w:rPr>
        <w:t xml:space="preserve"> </w:t>
      </w:r>
      <w:r>
        <w:rPr>
          <w:rFonts w:ascii="Arial" w:cs="Arial" w:eastAsia="Arial" w:hAnsi="Arial"/>
          <w:sz w:val="18"/>
          <w:szCs w:val="18"/>
          <w:color w:val="000000"/>
        </w:rPr>
        <w:t>weight these metrics most heavily and they generally represent 80% of any potential payout. To the extent that performance for a financial metric is less than 80% of target (threshold performance) no bonus amount would be paid with respect to that metric. Potential payout for financial goals ranges from 60% at threshold performance (paid only when at least 80% of the objective is achieved) to 150% at maximum performance (paid when 125% or more of the objective is achieved), interpolated on a straight-line basis. In addition, failure to achieve threshold performance of at least 70% of our annual adjusted operating income goal for the fiscal year would result in no payout for the annual cash incentive.</w:t>
      </w:r>
    </w:p>
    <w:p>
      <w:pPr>
        <w:spacing w:after="0" w:line="294" w:lineRule="exact"/>
        <w:rPr>
          <w:sz w:val="20"/>
          <w:szCs w:val="20"/>
          <w:color w:val="auto"/>
        </w:rPr>
      </w:pPr>
    </w:p>
    <w:p>
      <w:pPr>
        <w:jc w:val="right"/>
        <w:spacing w:after="0"/>
        <w:tabs>
          <w:tab w:leader="none" w:pos="380" w:val="left"/>
          <w:tab w:leader="none" w:pos="160" w:val="left"/>
        </w:tabs>
        <w:rPr>
          <w:sz w:val="20"/>
          <w:szCs w:val="20"/>
          <w:color w:val="auto"/>
        </w:rPr>
      </w:pPr>
      <w:r>
        <w:rPr>
          <w:rFonts w:ascii="Arial" w:cs="Arial" w:eastAsia="Arial" w:hAnsi="Arial"/>
          <w:sz w:val="16"/>
          <w:szCs w:val="16"/>
          <w:b w:val="1"/>
          <w:bCs w:val="1"/>
          <w:color w:val="483E65"/>
        </w:rPr>
        <w:t>2017 Proxy Statement</w:t>
        <w:tab/>
        <w:t>|</w:t>
        <w:tab/>
        <w:t>31</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8" w:lineRule="exact"/>
        <w:rPr>
          <w:sz w:val="20"/>
          <w:szCs w:val="20"/>
          <w:color w:val="auto"/>
        </w:rPr>
      </w:pPr>
    </w:p>
    <w:p>
      <w:pPr>
        <w:spacing w:after="0"/>
        <w:rPr>
          <w:sz w:val="20"/>
          <w:szCs w:val="20"/>
          <w:color w:val="auto"/>
        </w:rPr>
      </w:pPr>
      <w:r>
        <w:rPr>
          <w:rFonts w:ascii="Arial" w:cs="Arial" w:eastAsia="Arial" w:hAnsi="Arial"/>
          <w:sz w:val="32"/>
          <w:szCs w:val="32"/>
          <w:color w:val="483E65"/>
        </w:rPr>
        <w:t>Compensation Discussion &amp;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149860</wp:posOffset>
            </wp:positionV>
            <wp:extent cx="724662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400" w:lineRule="exact"/>
        <w:rPr>
          <w:sz w:val="20"/>
          <w:szCs w:val="20"/>
          <w:color w:val="auto"/>
        </w:rPr>
      </w:pPr>
    </w:p>
    <w:p>
      <w:pPr>
        <w:ind w:right="20"/>
        <w:spacing w:after="0"/>
        <w:rPr>
          <w:sz w:val="20"/>
          <w:szCs w:val="20"/>
          <w:color w:val="auto"/>
        </w:rPr>
      </w:pPr>
      <w:r>
        <w:rPr>
          <w:rFonts w:ascii="Arial" w:cs="Arial" w:eastAsia="Arial" w:hAnsi="Arial"/>
          <w:sz w:val="18"/>
          <w:szCs w:val="18"/>
          <w:i w:val="1"/>
          <w:iCs w:val="1"/>
          <w:color w:val="483E65"/>
        </w:rPr>
        <w:t xml:space="preserve">Personal Goals. </w:t>
      </w:r>
      <w:r>
        <w:rPr>
          <w:rFonts w:ascii="Arial" w:cs="Arial" w:eastAsia="Arial" w:hAnsi="Arial"/>
          <w:sz w:val="18"/>
          <w:szCs w:val="18"/>
          <w:color w:val="000000"/>
        </w:rPr>
        <w:t>We believe that individual contributions towards other enterprise goals are responsible for the achievement of our financial</w:t>
      </w:r>
      <w:r>
        <w:rPr>
          <w:rFonts w:ascii="Arial" w:cs="Arial" w:eastAsia="Arial" w:hAnsi="Arial"/>
          <w:sz w:val="18"/>
          <w:szCs w:val="18"/>
          <w:i w:val="1"/>
          <w:iCs w:val="1"/>
          <w:color w:val="483E65"/>
        </w:rPr>
        <w:t xml:space="preserve"> </w:t>
      </w:r>
      <w:r>
        <w:rPr>
          <w:rFonts w:ascii="Arial" w:cs="Arial" w:eastAsia="Arial" w:hAnsi="Arial"/>
          <w:sz w:val="18"/>
          <w:szCs w:val="18"/>
          <w:color w:val="000000"/>
        </w:rPr>
        <w:t>goals over time. Such non-formulaic goals represent 20% of any potential payout to encourage individual efforts in an array of areas that we believe will ultimately lead to improved financial performance for the company. The payout range for the personal performance goals is also 60% at threshold and 150% at maximum. In addition, we believe that the way in which our executive officers achieve their results should be measured against desired leadership behaviors. Therefore, we determined that the payout for the portion of the incentive payment related to personal performance goals (20%) would be multiplied by a factor ranging from 0% to 125%, reflecting an assessment of the executive officer’s leadership behaviors, with the expectation that an executive meeting expectations for those behaviors would receive a target, or 100%, factor.</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483E65"/>
        </w:rPr>
        <w:t xml:space="preserve">Financial Performance Targets and Achievement Levels. </w:t>
      </w:r>
      <w:r>
        <w:rPr>
          <w:rFonts w:ascii="Arial" w:cs="Arial" w:eastAsia="Arial" w:hAnsi="Arial"/>
          <w:sz w:val="18"/>
          <w:szCs w:val="18"/>
          <w:color w:val="000000"/>
        </w:rPr>
        <w:t>The Committee established the performance targets for our annual cash incentive</w:t>
      </w:r>
      <w:r>
        <w:rPr>
          <w:rFonts w:ascii="Arial" w:cs="Arial" w:eastAsia="Arial" w:hAnsi="Arial"/>
          <w:sz w:val="18"/>
          <w:szCs w:val="18"/>
          <w:i w:val="1"/>
          <w:iCs w:val="1"/>
          <w:color w:val="483E65"/>
        </w:rPr>
        <w:t xml:space="preserve"> </w:t>
      </w:r>
      <w:r>
        <w:rPr>
          <w:rFonts w:ascii="Arial" w:cs="Arial" w:eastAsia="Arial" w:hAnsi="Arial"/>
          <w:sz w:val="18"/>
          <w:szCs w:val="18"/>
          <w:color w:val="000000"/>
        </w:rPr>
        <w:t>program at the beginning of the fiscal year, prior to our acquisition of the IS&amp;GS business, which was completed in August 2016. Accordingly, amounts for Mr. Krone, Mr. Reagan, Mr. Leiter and Mr. Maffeo were determined with consideration to our consolidated financial information excluding of the financial results of the IS&amp;GS business. As we mentioned above, Mr. Reardon’s short-term incentive goals were established by Lockheed Martin under their Management Incentive Compensation Plan (the “MICP”), with 70% based on Lockheed Martin Enterprise results and 30% based on his personal performance. The enterprise results were approved by Lockheed Martin’s board of directors on January 26, 2017.</w:t>
      </w:r>
    </w:p>
    <w:p>
      <w:pPr>
        <w:spacing w:after="0" w:line="203" w:lineRule="exact"/>
        <w:rPr>
          <w:sz w:val="20"/>
          <w:szCs w:val="20"/>
          <w:color w:val="auto"/>
        </w:rPr>
      </w:pPr>
    </w:p>
    <w:p>
      <w:pPr>
        <w:ind w:right="40"/>
        <w:spacing w:after="0" w:line="246" w:lineRule="auto"/>
        <w:rPr>
          <w:sz w:val="20"/>
          <w:szCs w:val="20"/>
          <w:color w:val="auto"/>
        </w:rPr>
      </w:pPr>
      <w:r>
        <w:rPr>
          <w:rFonts w:ascii="Arial" w:cs="Arial" w:eastAsia="Arial" w:hAnsi="Arial"/>
          <w:sz w:val="18"/>
          <w:szCs w:val="18"/>
          <w:color w:val="auto"/>
        </w:rPr>
        <w:t>For our active executive officers (other than Mr. Reardon) the targeted enterprise financial performance and actual performance for Fiscal 2016 were:</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120" w:type="dxa"/>
            <w:vAlign w:val="bottom"/>
          </w:tcPr>
          <w:p>
            <w:pPr>
              <w:spacing w:after="0"/>
              <w:rPr>
                <w:sz w:val="18"/>
                <w:szCs w:val="18"/>
                <w:color w:val="auto"/>
              </w:rPr>
            </w:pPr>
          </w:p>
        </w:tc>
        <w:tc>
          <w:tcPr>
            <w:tcW w:w="2840" w:type="dxa"/>
            <w:vAlign w:val="bottom"/>
          </w:tcPr>
          <w:p>
            <w:pPr>
              <w:jc w:val="right"/>
              <w:ind w:right="530"/>
              <w:spacing w:after="0"/>
              <w:rPr>
                <w:sz w:val="20"/>
                <w:szCs w:val="20"/>
                <w:color w:val="auto"/>
              </w:rPr>
            </w:pPr>
            <w:r>
              <w:rPr>
                <w:rFonts w:ascii="Arial" w:cs="Arial" w:eastAsia="Arial" w:hAnsi="Arial"/>
                <w:sz w:val="18"/>
                <w:szCs w:val="18"/>
                <w:color w:val="483E65"/>
              </w:rPr>
              <w:t>Target</w:t>
            </w:r>
          </w:p>
        </w:tc>
        <w:tc>
          <w:tcPr>
            <w:tcW w:w="2160" w:type="dxa"/>
            <w:vAlign w:val="bottom"/>
          </w:tcPr>
          <w:p>
            <w:pPr>
              <w:jc w:val="right"/>
              <w:ind w:right="1030"/>
              <w:spacing w:after="0"/>
              <w:rPr>
                <w:sz w:val="20"/>
                <w:szCs w:val="20"/>
                <w:color w:val="auto"/>
              </w:rPr>
            </w:pPr>
            <w:r>
              <w:rPr>
                <w:rFonts w:ascii="Arial" w:cs="Arial" w:eastAsia="Arial" w:hAnsi="Arial"/>
                <w:sz w:val="18"/>
                <w:szCs w:val="18"/>
                <w:color w:val="483E65"/>
              </w:rPr>
              <w:t>Actual</w:t>
            </w:r>
          </w:p>
        </w:tc>
        <w:tc>
          <w:tcPr>
            <w:tcW w:w="2300" w:type="dxa"/>
            <w:vAlign w:val="bottom"/>
          </w:tcPr>
          <w:p>
            <w:pPr>
              <w:jc w:val="right"/>
              <w:spacing w:after="0"/>
              <w:rPr>
                <w:sz w:val="20"/>
                <w:szCs w:val="20"/>
                <w:color w:val="auto"/>
              </w:rPr>
            </w:pPr>
            <w:r>
              <w:rPr>
                <w:rFonts w:ascii="Arial" w:cs="Arial" w:eastAsia="Arial" w:hAnsi="Arial"/>
                <w:sz w:val="18"/>
                <w:szCs w:val="18"/>
                <w:color w:val="483E65"/>
              </w:rPr>
              <w:t>Achievement Level</w:t>
            </w:r>
          </w:p>
        </w:tc>
      </w:tr>
      <w:tr>
        <w:trPr>
          <w:trHeight w:val="41"/>
        </w:trPr>
        <w:tc>
          <w:tcPr>
            <w:tcW w:w="4120" w:type="dxa"/>
            <w:vAlign w:val="bottom"/>
            <w:tcBorders>
              <w:bottom w:val="single" w:sz="8" w:color="483E65"/>
            </w:tcBorders>
          </w:tcPr>
          <w:p>
            <w:pPr>
              <w:spacing w:after="0"/>
              <w:rPr>
                <w:sz w:val="3"/>
                <w:szCs w:val="3"/>
                <w:color w:val="auto"/>
              </w:rPr>
            </w:pPr>
          </w:p>
        </w:tc>
        <w:tc>
          <w:tcPr>
            <w:tcW w:w="2840" w:type="dxa"/>
            <w:vAlign w:val="bottom"/>
            <w:tcBorders>
              <w:bottom w:val="single" w:sz="8" w:color="483E65"/>
            </w:tcBorders>
          </w:tcPr>
          <w:p>
            <w:pPr>
              <w:spacing w:after="0"/>
              <w:rPr>
                <w:sz w:val="3"/>
                <w:szCs w:val="3"/>
                <w:color w:val="auto"/>
              </w:rPr>
            </w:pPr>
          </w:p>
        </w:tc>
        <w:tc>
          <w:tcPr>
            <w:tcW w:w="2160" w:type="dxa"/>
            <w:vAlign w:val="bottom"/>
            <w:tcBorders>
              <w:bottom w:val="single" w:sz="8" w:color="483E65"/>
            </w:tcBorders>
          </w:tcPr>
          <w:p>
            <w:pPr>
              <w:spacing w:after="0"/>
              <w:rPr>
                <w:sz w:val="3"/>
                <w:szCs w:val="3"/>
                <w:color w:val="auto"/>
              </w:rPr>
            </w:pPr>
          </w:p>
        </w:tc>
        <w:tc>
          <w:tcPr>
            <w:tcW w:w="2300" w:type="dxa"/>
            <w:vAlign w:val="bottom"/>
            <w:tcBorders>
              <w:bottom w:val="single" w:sz="8" w:color="483E65"/>
            </w:tcBorders>
          </w:tcPr>
          <w:p>
            <w:pPr>
              <w:spacing w:after="0"/>
              <w:rPr>
                <w:sz w:val="3"/>
                <w:szCs w:val="3"/>
                <w:color w:val="auto"/>
              </w:rPr>
            </w:pPr>
          </w:p>
        </w:tc>
      </w:tr>
      <w:tr>
        <w:trPr>
          <w:trHeight w:val="196"/>
        </w:trPr>
        <w:tc>
          <w:tcPr>
            <w:tcW w:w="4120" w:type="dxa"/>
            <w:vAlign w:val="bottom"/>
          </w:tcPr>
          <w:p>
            <w:pPr>
              <w:ind w:left="100"/>
              <w:spacing w:after="0" w:line="196" w:lineRule="exact"/>
              <w:rPr>
                <w:sz w:val="20"/>
                <w:szCs w:val="20"/>
                <w:color w:val="auto"/>
              </w:rPr>
            </w:pPr>
            <w:r>
              <w:rPr>
                <w:rFonts w:ascii="Arial" w:cs="Arial" w:eastAsia="Arial" w:hAnsi="Arial"/>
                <w:sz w:val="18"/>
                <w:szCs w:val="18"/>
                <w:color w:val="auto"/>
              </w:rPr>
              <w:t>Adjusted Operating Income</w:t>
            </w:r>
            <w:r>
              <w:rPr>
                <w:rFonts w:ascii="Arial" w:cs="Arial" w:eastAsia="Arial" w:hAnsi="Arial"/>
                <w:sz w:val="15"/>
                <w:szCs w:val="15"/>
                <w:color w:val="auto"/>
              </w:rPr>
              <w:t>(1)</w:t>
            </w:r>
          </w:p>
        </w:tc>
        <w:tc>
          <w:tcPr>
            <w:tcW w:w="2840" w:type="dxa"/>
            <w:vAlign w:val="bottom"/>
          </w:tcPr>
          <w:p>
            <w:pPr>
              <w:jc w:val="right"/>
              <w:ind w:right="150"/>
              <w:spacing w:after="0" w:line="196" w:lineRule="exact"/>
              <w:rPr>
                <w:sz w:val="20"/>
                <w:szCs w:val="20"/>
                <w:color w:val="auto"/>
              </w:rPr>
            </w:pPr>
            <w:r>
              <w:rPr>
                <w:rFonts w:ascii="Arial" w:cs="Arial" w:eastAsia="Arial" w:hAnsi="Arial"/>
                <w:sz w:val="18"/>
                <w:szCs w:val="18"/>
                <w:color w:val="auto"/>
              </w:rPr>
              <w:t>$366 million</w:t>
            </w:r>
          </w:p>
        </w:tc>
        <w:tc>
          <w:tcPr>
            <w:tcW w:w="2160" w:type="dxa"/>
            <w:vAlign w:val="bottom"/>
          </w:tcPr>
          <w:p>
            <w:pPr>
              <w:jc w:val="right"/>
              <w:ind w:right="710"/>
              <w:spacing w:after="0" w:line="196" w:lineRule="exact"/>
              <w:rPr>
                <w:sz w:val="20"/>
                <w:szCs w:val="20"/>
                <w:color w:val="auto"/>
              </w:rPr>
            </w:pPr>
            <w:r>
              <w:rPr>
                <w:rFonts w:ascii="Arial" w:cs="Arial" w:eastAsia="Arial" w:hAnsi="Arial"/>
                <w:sz w:val="18"/>
                <w:szCs w:val="18"/>
                <w:color w:val="auto"/>
              </w:rPr>
              <w:t>$416 million</w:t>
            </w:r>
          </w:p>
        </w:tc>
        <w:tc>
          <w:tcPr>
            <w:tcW w:w="2300" w:type="dxa"/>
            <w:vAlign w:val="bottom"/>
          </w:tcPr>
          <w:p>
            <w:pPr>
              <w:jc w:val="right"/>
              <w:ind w:right="370"/>
              <w:spacing w:after="0" w:line="196" w:lineRule="exact"/>
              <w:rPr>
                <w:sz w:val="20"/>
                <w:szCs w:val="20"/>
                <w:color w:val="auto"/>
              </w:rPr>
            </w:pPr>
            <w:r>
              <w:rPr>
                <w:rFonts w:ascii="Arial" w:cs="Arial" w:eastAsia="Arial" w:hAnsi="Arial"/>
                <w:sz w:val="18"/>
                <w:szCs w:val="18"/>
                <w:color w:val="auto"/>
              </w:rPr>
              <w:t>113.7%</w:t>
            </w:r>
          </w:p>
        </w:tc>
      </w:tr>
      <w:tr>
        <w:trPr>
          <w:trHeight w:val="203"/>
        </w:trPr>
        <w:tc>
          <w:tcPr>
            <w:tcW w:w="4120" w:type="dxa"/>
            <w:vAlign w:val="bottom"/>
            <w:shd w:val="clear" w:color="auto" w:fill="ACABA7"/>
          </w:tcPr>
          <w:p>
            <w:pPr>
              <w:ind w:left="100"/>
              <w:spacing w:after="0" w:line="202" w:lineRule="exact"/>
              <w:rPr>
                <w:sz w:val="20"/>
                <w:szCs w:val="20"/>
                <w:color w:val="auto"/>
              </w:rPr>
            </w:pPr>
            <w:r>
              <w:rPr>
                <w:rFonts w:ascii="Arial" w:cs="Arial" w:eastAsia="Arial" w:hAnsi="Arial"/>
                <w:sz w:val="18"/>
                <w:szCs w:val="18"/>
                <w:color w:val="auto"/>
              </w:rPr>
              <w:t>Total Backlog</w:t>
            </w:r>
          </w:p>
        </w:tc>
        <w:tc>
          <w:tcPr>
            <w:tcW w:w="2840" w:type="dxa"/>
            <w:vAlign w:val="bottom"/>
            <w:shd w:val="clear" w:color="auto" w:fill="ACABA7"/>
          </w:tcPr>
          <w:p>
            <w:pPr>
              <w:jc w:val="right"/>
              <w:ind w:right="150"/>
              <w:spacing w:after="0" w:line="202" w:lineRule="exact"/>
              <w:rPr>
                <w:sz w:val="20"/>
                <w:szCs w:val="20"/>
                <w:color w:val="auto"/>
              </w:rPr>
            </w:pPr>
            <w:r>
              <w:rPr>
                <w:rFonts w:ascii="Arial" w:cs="Arial" w:eastAsia="Arial" w:hAnsi="Arial"/>
                <w:sz w:val="18"/>
                <w:szCs w:val="18"/>
                <w:color w:val="auto"/>
              </w:rPr>
              <w:t>$10,183 million</w:t>
            </w:r>
          </w:p>
        </w:tc>
        <w:tc>
          <w:tcPr>
            <w:tcW w:w="2160" w:type="dxa"/>
            <w:vAlign w:val="bottom"/>
            <w:shd w:val="clear" w:color="auto" w:fill="ACABA7"/>
          </w:tcPr>
          <w:p>
            <w:pPr>
              <w:jc w:val="right"/>
              <w:ind w:right="710"/>
              <w:spacing w:after="0" w:line="202" w:lineRule="exact"/>
              <w:rPr>
                <w:sz w:val="20"/>
                <w:szCs w:val="20"/>
                <w:color w:val="auto"/>
              </w:rPr>
            </w:pPr>
            <w:r>
              <w:rPr>
                <w:rFonts w:ascii="Arial" w:cs="Arial" w:eastAsia="Arial" w:hAnsi="Arial"/>
                <w:sz w:val="18"/>
                <w:szCs w:val="18"/>
                <w:color w:val="auto"/>
              </w:rPr>
              <w:t>$9,932 million</w:t>
            </w:r>
          </w:p>
        </w:tc>
        <w:tc>
          <w:tcPr>
            <w:tcW w:w="2300" w:type="dxa"/>
            <w:vAlign w:val="bottom"/>
            <w:shd w:val="clear" w:color="auto" w:fill="ACABA7"/>
          </w:tcPr>
          <w:p>
            <w:pPr>
              <w:jc w:val="right"/>
              <w:ind w:right="370"/>
              <w:spacing w:after="0" w:line="202" w:lineRule="exact"/>
              <w:rPr>
                <w:sz w:val="20"/>
                <w:szCs w:val="20"/>
                <w:color w:val="auto"/>
              </w:rPr>
            </w:pPr>
            <w:r>
              <w:rPr>
                <w:rFonts w:ascii="Arial" w:cs="Arial" w:eastAsia="Arial" w:hAnsi="Arial"/>
                <w:sz w:val="18"/>
                <w:szCs w:val="18"/>
                <w:color w:val="auto"/>
              </w:rPr>
              <w:t>97.5%</w:t>
            </w:r>
          </w:p>
        </w:tc>
      </w:tr>
      <w:tr>
        <w:trPr>
          <w:trHeight w:val="217"/>
        </w:trPr>
        <w:tc>
          <w:tcPr>
            <w:tcW w:w="4120" w:type="dxa"/>
            <w:vAlign w:val="bottom"/>
          </w:tcPr>
          <w:p>
            <w:pPr>
              <w:ind w:left="100"/>
              <w:spacing w:after="0"/>
              <w:rPr>
                <w:sz w:val="20"/>
                <w:szCs w:val="20"/>
                <w:color w:val="auto"/>
              </w:rPr>
            </w:pPr>
            <w:r>
              <w:rPr>
                <w:rFonts w:ascii="Arial" w:cs="Arial" w:eastAsia="Arial" w:hAnsi="Arial"/>
                <w:sz w:val="18"/>
                <w:szCs w:val="18"/>
                <w:color w:val="auto"/>
              </w:rPr>
              <w:t>Average Days Working Capital</w:t>
            </w:r>
            <w:r>
              <w:rPr>
                <w:rFonts w:ascii="Arial" w:cs="Arial" w:eastAsia="Arial" w:hAnsi="Arial"/>
                <w:sz w:val="15"/>
                <w:szCs w:val="15"/>
                <w:color w:val="auto"/>
              </w:rPr>
              <w:t>(2)</w:t>
            </w:r>
          </w:p>
        </w:tc>
        <w:tc>
          <w:tcPr>
            <w:tcW w:w="2840" w:type="dxa"/>
            <w:vAlign w:val="bottom"/>
          </w:tcPr>
          <w:p>
            <w:pPr>
              <w:jc w:val="right"/>
              <w:ind w:right="150"/>
              <w:spacing w:after="0"/>
              <w:rPr>
                <w:sz w:val="20"/>
                <w:szCs w:val="20"/>
                <w:color w:val="auto"/>
              </w:rPr>
            </w:pPr>
            <w:r>
              <w:rPr>
                <w:rFonts w:ascii="Arial" w:cs="Arial" w:eastAsia="Arial" w:hAnsi="Arial"/>
                <w:sz w:val="18"/>
                <w:szCs w:val="18"/>
                <w:color w:val="auto"/>
              </w:rPr>
              <w:t>37 days</w:t>
            </w:r>
          </w:p>
        </w:tc>
        <w:tc>
          <w:tcPr>
            <w:tcW w:w="2160" w:type="dxa"/>
            <w:vAlign w:val="bottom"/>
          </w:tcPr>
          <w:p>
            <w:pPr>
              <w:jc w:val="right"/>
              <w:ind w:right="710"/>
              <w:spacing w:after="0"/>
              <w:rPr>
                <w:sz w:val="20"/>
                <w:szCs w:val="20"/>
                <w:color w:val="auto"/>
              </w:rPr>
            </w:pPr>
            <w:r>
              <w:rPr>
                <w:rFonts w:ascii="Arial" w:cs="Arial" w:eastAsia="Arial" w:hAnsi="Arial"/>
                <w:sz w:val="18"/>
                <w:szCs w:val="18"/>
                <w:color w:val="auto"/>
              </w:rPr>
              <w:t>30 days</w:t>
            </w:r>
          </w:p>
        </w:tc>
        <w:tc>
          <w:tcPr>
            <w:tcW w:w="2300" w:type="dxa"/>
            <w:vAlign w:val="bottom"/>
          </w:tcPr>
          <w:p>
            <w:pPr>
              <w:jc w:val="right"/>
              <w:ind w:right="370"/>
              <w:spacing w:after="0"/>
              <w:rPr>
                <w:sz w:val="20"/>
                <w:szCs w:val="20"/>
                <w:color w:val="auto"/>
              </w:rPr>
            </w:pPr>
            <w:r>
              <w:rPr>
                <w:rFonts w:ascii="Arial" w:cs="Arial" w:eastAsia="Arial" w:hAnsi="Arial"/>
                <w:sz w:val="18"/>
                <w:szCs w:val="18"/>
                <w:color w:val="auto"/>
              </w:rPr>
              <w:t>118.0%</w:t>
            </w:r>
          </w:p>
        </w:tc>
      </w:tr>
    </w:tbl>
    <w:p>
      <w:pPr>
        <w:spacing w:after="0" w:line="106" w:lineRule="exact"/>
        <w:rPr>
          <w:sz w:val="20"/>
          <w:szCs w:val="20"/>
          <w:color w:val="auto"/>
        </w:rPr>
      </w:pPr>
    </w:p>
    <w:p>
      <w:pPr>
        <w:ind w:left="460" w:right="300" w:hanging="452"/>
        <w:spacing w:after="0" w:line="239" w:lineRule="auto"/>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Adjusted Operating Income is not a measure of financial performance under generally accepted accounting principles (“GAAP”) in the United States. We believe that Adjusted Operating Income provides useful information to management and stockholders as it provides another measure of the company’s profitability after adjusting for the impact of discrete events. A reconciliation of Adjusted Operating Income to the most comparable GAAP measure is set forth below:</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483E65"/>
        </w:rPr>
        <w:t>(in millions)</w:t>
      </w:r>
    </w:p>
    <w:tbl>
      <w:tblPr>
        <w:tblLayout w:type="fixed"/>
        <w:tblInd w:w="460" w:type="dxa"/>
        <w:tblCellMar>
          <w:top w:w="0" w:type="dxa"/>
          <w:left w:w="0" w:type="dxa"/>
          <w:bottom w:w="0" w:type="dxa"/>
          <w:right w:w="0" w:type="dxa"/>
        </w:tblCellMar>
      </w:tblPr>
      <w:tr>
        <w:trPr>
          <w:trHeight w:val="196"/>
        </w:trPr>
        <w:tc>
          <w:tcPr>
            <w:tcW w:w="6720" w:type="dxa"/>
            <w:vAlign w:val="bottom"/>
            <w:tcBorders>
              <w:top w:val="single" w:sz="8" w:color="483E65"/>
            </w:tcBorders>
          </w:tcPr>
          <w:p>
            <w:pPr>
              <w:ind w:left="100"/>
              <w:spacing w:after="0" w:line="196" w:lineRule="exact"/>
              <w:rPr>
                <w:sz w:val="20"/>
                <w:szCs w:val="20"/>
                <w:color w:val="auto"/>
              </w:rPr>
            </w:pPr>
            <w:r>
              <w:rPr>
                <w:rFonts w:ascii="Arial" w:cs="Arial" w:eastAsia="Arial" w:hAnsi="Arial"/>
                <w:sz w:val="18"/>
                <w:szCs w:val="18"/>
                <w:color w:val="auto"/>
              </w:rPr>
              <w:t>GAAP Operating Income</w:t>
            </w:r>
          </w:p>
        </w:tc>
        <w:tc>
          <w:tcPr>
            <w:tcW w:w="4240" w:type="dxa"/>
            <w:vAlign w:val="bottom"/>
            <w:tcBorders>
              <w:top w:val="single" w:sz="8" w:color="483E65"/>
            </w:tcBorders>
          </w:tcPr>
          <w:p>
            <w:pPr>
              <w:jc w:val="right"/>
              <w:ind w:right="70"/>
              <w:spacing w:after="0" w:line="196" w:lineRule="exact"/>
              <w:rPr>
                <w:sz w:val="20"/>
                <w:szCs w:val="20"/>
                <w:color w:val="auto"/>
              </w:rPr>
            </w:pPr>
            <w:r>
              <w:rPr>
                <w:rFonts w:ascii="Arial" w:cs="Arial" w:eastAsia="Arial" w:hAnsi="Arial"/>
                <w:sz w:val="18"/>
                <w:szCs w:val="18"/>
                <w:color w:val="auto"/>
              </w:rPr>
              <w:t>$ 303</w:t>
            </w:r>
          </w:p>
        </w:tc>
      </w:tr>
      <w:tr>
        <w:trPr>
          <w:trHeight w:val="203"/>
        </w:trPr>
        <w:tc>
          <w:tcPr>
            <w:tcW w:w="6720" w:type="dxa"/>
            <w:vAlign w:val="bottom"/>
            <w:shd w:val="clear" w:color="auto" w:fill="ACABA7"/>
          </w:tcPr>
          <w:p>
            <w:pPr>
              <w:ind w:left="460"/>
              <w:spacing w:after="0" w:line="202" w:lineRule="exact"/>
              <w:rPr>
                <w:sz w:val="20"/>
                <w:szCs w:val="20"/>
                <w:color w:val="auto"/>
              </w:rPr>
            </w:pPr>
            <w:r>
              <w:rPr>
                <w:rFonts w:ascii="Arial" w:cs="Arial" w:eastAsia="Arial" w:hAnsi="Arial"/>
                <w:sz w:val="18"/>
                <w:szCs w:val="18"/>
                <w:color w:val="auto"/>
              </w:rPr>
              <w:t>Asset impairment charges (Corp)</w:t>
            </w:r>
          </w:p>
        </w:tc>
        <w:tc>
          <w:tcPr>
            <w:tcW w:w="4240" w:type="dxa"/>
            <w:vAlign w:val="bottom"/>
            <w:shd w:val="clear" w:color="auto" w:fill="ACABA7"/>
          </w:tcPr>
          <w:p>
            <w:pPr>
              <w:jc w:val="right"/>
              <w:ind w:right="70"/>
              <w:spacing w:after="0" w:line="202" w:lineRule="exact"/>
              <w:rPr>
                <w:sz w:val="20"/>
                <w:szCs w:val="20"/>
                <w:color w:val="auto"/>
              </w:rPr>
            </w:pPr>
            <w:r>
              <w:rPr>
                <w:rFonts w:ascii="Arial" w:cs="Arial" w:eastAsia="Arial" w:hAnsi="Arial"/>
                <w:sz w:val="18"/>
                <w:szCs w:val="18"/>
                <w:color w:val="auto"/>
              </w:rPr>
              <w:t>$ 4</w:t>
            </w:r>
          </w:p>
        </w:tc>
      </w:tr>
      <w:tr>
        <w:trPr>
          <w:trHeight w:val="203"/>
        </w:trPr>
        <w:tc>
          <w:tcPr>
            <w:tcW w:w="6720" w:type="dxa"/>
            <w:vAlign w:val="bottom"/>
          </w:tcPr>
          <w:p>
            <w:pPr>
              <w:ind w:left="460"/>
              <w:spacing w:after="0" w:line="202" w:lineRule="exact"/>
              <w:rPr>
                <w:sz w:val="20"/>
                <w:szCs w:val="20"/>
                <w:color w:val="auto"/>
              </w:rPr>
            </w:pPr>
            <w:r>
              <w:rPr>
                <w:rFonts w:ascii="Arial" w:cs="Arial" w:eastAsia="Arial" w:hAnsi="Arial"/>
                <w:sz w:val="18"/>
                <w:szCs w:val="18"/>
                <w:color w:val="auto"/>
              </w:rPr>
              <w:t>Amortization</w:t>
            </w:r>
          </w:p>
        </w:tc>
        <w:tc>
          <w:tcPr>
            <w:tcW w:w="4240" w:type="dxa"/>
            <w:vAlign w:val="bottom"/>
          </w:tcPr>
          <w:p>
            <w:pPr>
              <w:jc w:val="right"/>
              <w:ind w:right="70"/>
              <w:spacing w:after="0" w:line="202" w:lineRule="exact"/>
              <w:rPr>
                <w:sz w:val="20"/>
                <w:szCs w:val="20"/>
                <w:color w:val="auto"/>
              </w:rPr>
            </w:pPr>
            <w:r>
              <w:rPr>
                <w:rFonts w:ascii="Arial" w:cs="Arial" w:eastAsia="Arial" w:hAnsi="Arial"/>
                <w:sz w:val="18"/>
                <w:szCs w:val="18"/>
                <w:color w:val="auto"/>
              </w:rPr>
              <w:t>$ 5</w:t>
            </w:r>
          </w:p>
        </w:tc>
      </w:tr>
      <w:tr>
        <w:trPr>
          <w:trHeight w:val="203"/>
        </w:trPr>
        <w:tc>
          <w:tcPr>
            <w:tcW w:w="6720" w:type="dxa"/>
            <w:vAlign w:val="bottom"/>
            <w:shd w:val="clear" w:color="auto" w:fill="ACABA7"/>
          </w:tcPr>
          <w:p>
            <w:pPr>
              <w:ind w:left="460"/>
              <w:spacing w:after="0" w:line="202" w:lineRule="exact"/>
              <w:rPr>
                <w:sz w:val="20"/>
                <w:szCs w:val="20"/>
                <w:color w:val="auto"/>
              </w:rPr>
            </w:pPr>
            <w:r>
              <w:rPr>
                <w:rFonts w:ascii="Arial" w:cs="Arial" w:eastAsia="Arial" w:hAnsi="Arial"/>
                <w:sz w:val="18"/>
                <w:szCs w:val="18"/>
                <w:color w:val="auto"/>
              </w:rPr>
              <w:t>Acquisition and Integration Costs</w:t>
            </w:r>
          </w:p>
        </w:tc>
        <w:tc>
          <w:tcPr>
            <w:tcW w:w="4240" w:type="dxa"/>
            <w:vAlign w:val="bottom"/>
            <w:shd w:val="clear" w:color="auto" w:fill="ACABA7"/>
          </w:tcPr>
          <w:p>
            <w:pPr>
              <w:jc w:val="right"/>
              <w:ind w:right="70"/>
              <w:spacing w:after="0" w:line="202" w:lineRule="exact"/>
              <w:rPr>
                <w:sz w:val="20"/>
                <w:szCs w:val="20"/>
                <w:color w:val="auto"/>
              </w:rPr>
            </w:pPr>
            <w:r>
              <w:rPr>
                <w:rFonts w:ascii="Arial" w:cs="Arial" w:eastAsia="Arial" w:hAnsi="Arial"/>
                <w:sz w:val="18"/>
                <w:szCs w:val="18"/>
                <w:color w:val="auto"/>
              </w:rPr>
              <w:t>$ 90</w:t>
            </w:r>
          </w:p>
        </w:tc>
      </w:tr>
      <w:tr>
        <w:trPr>
          <w:trHeight w:val="203"/>
        </w:trPr>
        <w:tc>
          <w:tcPr>
            <w:tcW w:w="6720" w:type="dxa"/>
            <w:vAlign w:val="bottom"/>
          </w:tcPr>
          <w:p>
            <w:pPr>
              <w:ind w:left="460"/>
              <w:spacing w:after="0" w:line="202" w:lineRule="exact"/>
              <w:rPr>
                <w:sz w:val="20"/>
                <w:szCs w:val="20"/>
                <w:color w:val="auto"/>
              </w:rPr>
            </w:pPr>
            <w:r>
              <w:rPr>
                <w:rFonts w:ascii="Arial" w:cs="Arial" w:eastAsia="Arial" w:hAnsi="Arial"/>
                <w:sz w:val="18"/>
                <w:szCs w:val="18"/>
                <w:color w:val="auto"/>
              </w:rPr>
              <w:t>Restructuring Expenses</w:t>
            </w:r>
          </w:p>
        </w:tc>
        <w:tc>
          <w:tcPr>
            <w:tcW w:w="4240" w:type="dxa"/>
            <w:vAlign w:val="bottom"/>
          </w:tcPr>
          <w:p>
            <w:pPr>
              <w:jc w:val="right"/>
              <w:ind w:right="70"/>
              <w:spacing w:after="0" w:line="202" w:lineRule="exact"/>
              <w:rPr>
                <w:sz w:val="20"/>
                <w:szCs w:val="20"/>
                <w:color w:val="auto"/>
              </w:rPr>
            </w:pPr>
            <w:r>
              <w:rPr>
                <w:rFonts w:ascii="Arial" w:cs="Arial" w:eastAsia="Arial" w:hAnsi="Arial"/>
                <w:sz w:val="18"/>
                <w:szCs w:val="18"/>
                <w:color w:val="auto"/>
              </w:rPr>
              <w:t>$ 14</w:t>
            </w:r>
          </w:p>
        </w:tc>
      </w:tr>
      <w:tr>
        <w:trPr>
          <w:trHeight w:val="203"/>
        </w:trPr>
        <w:tc>
          <w:tcPr>
            <w:tcW w:w="6720" w:type="dxa"/>
            <w:vAlign w:val="bottom"/>
            <w:shd w:val="clear" w:color="auto" w:fill="ACABA7"/>
          </w:tcPr>
          <w:p>
            <w:pPr>
              <w:ind w:left="100"/>
              <w:spacing w:after="0" w:line="202" w:lineRule="exact"/>
              <w:rPr>
                <w:sz w:val="20"/>
                <w:szCs w:val="20"/>
                <w:color w:val="auto"/>
              </w:rPr>
            </w:pPr>
            <w:r>
              <w:rPr>
                <w:rFonts w:ascii="Arial" w:cs="Arial" w:eastAsia="Arial" w:hAnsi="Arial"/>
                <w:sz w:val="18"/>
                <w:szCs w:val="18"/>
                <w:color w:val="auto"/>
              </w:rPr>
              <w:t>Adjusted Operating Income</w:t>
            </w:r>
          </w:p>
        </w:tc>
        <w:tc>
          <w:tcPr>
            <w:tcW w:w="4240" w:type="dxa"/>
            <w:vAlign w:val="bottom"/>
            <w:shd w:val="clear" w:color="auto" w:fill="ACABA7"/>
          </w:tcPr>
          <w:p>
            <w:pPr>
              <w:jc w:val="right"/>
              <w:ind w:right="70"/>
              <w:spacing w:after="0" w:line="202" w:lineRule="exact"/>
              <w:rPr>
                <w:sz w:val="20"/>
                <w:szCs w:val="20"/>
                <w:color w:val="auto"/>
              </w:rPr>
            </w:pPr>
            <w:r>
              <w:rPr>
                <w:rFonts w:ascii="Arial" w:cs="Arial" w:eastAsia="Arial" w:hAnsi="Arial"/>
                <w:sz w:val="18"/>
                <w:szCs w:val="18"/>
                <w:color w:val="auto"/>
              </w:rPr>
              <w:t>$ 416</w:t>
            </w:r>
          </w:p>
        </w:tc>
      </w:tr>
    </w:tbl>
    <w:p>
      <w:pPr>
        <w:spacing w:after="0" w:line="121" w:lineRule="exact"/>
        <w:rPr>
          <w:sz w:val="20"/>
          <w:szCs w:val="20"/>
          <w:color w:val="auto"/>
        </w:rPr>
      </w:pPr>
    </w:p>
    <w:p>
      <w:pPr>
        <w:ind w:left="460" w:hanging="452"/>
        <w:spacing w:after="0"/>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Average Days Working Capital measures the efficiency of our use of capital. A score below target is a positive result.</w:t>
      </w:r>
    </w:p>
    <w:p>
      <w:pPr>
        <w:spacing w:after="0" w:line="194" w:lineRule="exact"/>
        <w:rPr>
          <w:sz w:val="20"/>
          <w:szCs w:val="20"/>
          <w:color w:val="auto"/>
        </w:rPr>
      </w:pPr>
    </w:p>
    <w:p>
      <w:pPr>
        <w:ind w:right="260"/>
        <w:spacing w:after="0" w:line="267" w:lineRule="auto"/>
        <w:rPr>
          <w:sz w:val="20"/>
          <w:szCs w:val="20"/>
          <w:color w:val="auto"/>
        </w:rPr>
      </w:pPr>
      <w:r>
        <w:rPr>
          <w:rFonts w:ascii="Arial" w:cs="Arial" w:eastAsia="Arial" w:hAnsi="Arial"/>
          <w:sz w:val="18"/>
          <w:szCs w:val="18"/>
          <w:i w:val="1"/>
          <w:iCs w:val="1"/>
          <w:color w:val="483E65"/>
        </w:rPr>
        <w:t xml:space="preserve">Determination of Annual Cash Incentive Awards. </w:t>
      </w:r>
      <w:r>
        <w:rPr>
          <w:rFonts w:ascii="Arial" w:cs="Arial" w:eastAsia="Arial" w:hAnsi="Arial"/>
          <w:sz w:val="18"/>
          <w:szCs w:val="18"/>
          <w:color w:val="000000"/>
        </w:rPr>
        <w:t>Target payout amounts for our active named executive officers (other than Mr. Reardon) for</w:t>
      </w:r>
      <w:r>
        <w:rPr>
          <w:rFonts w:ascii="Arial" w:cs="Arial" w:eastAsia="Arial" w:hAnsi="Arial"/>
          <w:sz w:val="18"/>
          <w:szCs w:val="18"/>
          <w:i w:val="1"/>
          <w:iCs w:val="1"/>
          <w:color w:val="483E65"/>
        </w:rPr>
        <w:t xml:space="preserve"> </w:t>
      </w:r>
      <w:r>
        <w:rPr>
          <w:rFonts w:ascii="Arial" w:cs="Arial" w:eastAsia="Arial" w:hAnsi="Arial"/>
          <w:sz w:val="18"/>
          <w:szCs w:val="18"/>
          <w:color w:val="000000"/>
        </w:rPr>
        <w:t>Fiscal 2016 ranged between 70% and 130% of their base salary rate.</w:t>
      </w:r>
    </w:p>
    <w:p>
      <w:pPr>
        <w:spacing w:after="0" w:line="179" w:lineRule="exact"/>
        <w:rPr>
          <w:sz w:val="20"/>
          <w:szCs w:val="20"/>
          <w:color w:val="auto"/>
        </w:rPr>
      </w:pPr>
    </w:p>
    <w:p>
      <w:pPr>
        <w:ind w:right="180"/>
        <w:spacing w:after="0" w:line="237" w:lineRule="auto"/>
        <w:rPr>
          <w:sz w:val="20"/>
          <w:szCs w:val="20"/>
          <w:color w:val="auto"/>
        </w:rPr>
      </w:pPr>
      <w:r>
        <w:rPr>
          <w:rFonts w:ascii="Arial" w:cs="Arial" w:eastAsia="Arial" w:hAnsi="Arial"/>
          <w:sz w:val="18"/>
          <w:szCs w:val="18"/>
          <w:color w:val="auto"/>
        </w:rPr>
        <w:t>In evaluating the financial performance for Fiscal 2016, the Committee reviewed actual performance results against targeted performance levels. In analyzing personal performance results, the Committee reviewed each individual’s level of achievement and also considered input from the Chief Executive Officer—or the independent directors with respect to the Chief Executive Officer’s compensation. Any circumstance considered relevant by Committee members—or in the case of named executive officers other than the CEO, by the CEO—can be a factor in the determination, including the degree of success and the difficulty of achieving personal performance goals and his or her leadership behavior.</w:t>
      </w:r>
    </w:p>
    <w:p>
      <w:pPr>
        <w:spacing w:after="0" w:line="120" w:lineRule="exact"/>
        <w:rPr>
          <w:sz w:val="20"/>
          <w:szCs w:val="20"/>
          <w:color w:val="auto"/>
        </w:rPr>
      </w:pPr>
    </w:p>
    <w:p>
      <w:pPr>
        <w:spacing w:after="0"/>
        <w:tabs>
          <w:tab w:leader="none" w:pos="340" w:val="left"/>
          <w:tab w:leader="none" w:pos="580" w:val="left"/>
        </w:tabs>
        <w:rPr>
          <w:sz w:val="20"/>
          <w:szCs w:val="20"/>
          <w:color w:val="auto"/>
        </w:rPr>
      </w:pPr>
      <w:r>
        <w:rPr>
          <w:rFonts w:ascii="Arial" w:cs="Arial" w:eastAsia="Arial" w:hAnsi="Arial"/>
          <w:sz w:val="16"/>
          <w:szCs w:val="16"/>
          <w:b w:val="1"/>
          <w:bCs w:val="1"/>
          <w:color w:val="483E65"/>
        </w:rPr>
        <w:t>32</w:t>
        <w:tab/>
        <w:t>|</w:t>
        <w:tab/>
        <w:t>2017 Proxy Statement</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8" w:lineRule="exact"/>
        <w:rPr>
          <w:sz w:val="20"/>
          <w:szCs w:val="20"/>
          <w:color w:val="auto"/>
        </w:rPr>
      </w:pPr>
    </w:p>
    <w:p>
      <w:pPr>
        <w:spacing w:after="0"/>
        <w:rPr>
          <w:sz w:val="20"/>
          <w:szCs w:val="20"/>
          <w:color w:val="auto"/>
        </w:rPr>
      </w:pPr>
      <w:r>
        <w:rPr>
          <w:rFonts w:ascii="Arial" w:cs="Arial" w:eastAsia="Arial" w:hAnsi="Arial"/>
          <w:sz w:val="32"/>
          <w:szCs w:val="32"/>
          <w:color w:val="483E65"/>
        </w:rPr>
        <w:t>Compensation Discussion &amp;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149860</wp:posOffset>
            </wp:positionV>
            <wp:extent cx="724662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18" w:lineRule="exact"/>
        <w:rPr>
          <w:sz w:val="20"/>
          <w:szCs w:val="20"/>
          <w:color w:val="auto"/>
        </w:rPr>
      </w:pPr>
    </w:p>
    <w:p>
      <w:pPr>
        <w:ind w:right="60"/>
        <w:spacing w:after="0"/>
        <w:rPr>
          <w:sz w:val="20"/>
          <w:szCs w:val="20"/>
          <w:color w:val="auto"/>
        </w:rPr>
      </w:pPr>
      <w:r>
        <w:rPr>
          <w:rFonts w:ascii="Arial" w:cs="Arial" w:eastAsia="Arial" w:hAnsi="Arial"/>
          <w:sz w:val="18"/>
          <w:szCs w:val="18"/>
          <w:color w:val="auto"/>
        </w:rPr>
        <w:t>Following the end of the fiscal year, based on the Committee’s review of the financial results, personal performance, and other relevant factors, the Committee determined the amount of compensation payable under our annual cash incentive programs for each of our active named executive officers.</w:t>
      </w:r>
    </w:p>
    <w:p>
      <w:pPr>
        <w:spacing w:after="0" w:line="203" w:lineRule="exact"/>
        <w:rPr>
          <w:sz w:val="20"/>
          <w:szCs w:val="20"/>
          <w:color w:val="auto"/>
        </w:rPr>
      </w:pPr>
    </w:p>
    <w:p>
      <w:pPr>
        <w:ind w:right="240"/>
        <w:spacing w:after="0" w:line="238" w:lineRule="auto"/>
        <w:rPr>
          <w:sz w:val="20"/>
          <w:szCs w:val="20"/>
          <w:color w:val="auto"/>
        </w:rPr>
      </w:pPr>
      <w:r>
        <w:rPr>
          <w:rFonts w:ascii="Arial" w:cs="Arial" w:eastAsia="Arial" w:hAnsi="Arial"/>
          <w:sz w:val="18"/>
          <w:szCs w:val="18"/>
          <w:color w:val="auto"/>
        </w:rPr>
        <w:t>The chart below provides the threshold, target and maximum cash incentive amounts established for each active named executive officer by the Committee, as well as their actual payout amounts. As stated above, Mr. Reardon’s bonus was determined under the EMA, based on the design established by his former employer, Lockheed Martin. For our other named executive officers, because we surpassed the adjusted operating income goal threshold of 70% of target by achieving 113.7%, the Committee certified the payout of awards under the annual incentive plan. Information on all of the annual cash incentive payouts for Fiscal 2016 is provided below:</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360" w:type="dxa"/>
            <w:vAlign w:val="bottom"/>
          </w:tcPr>
          <w:p>
            <w:pPr>
              <w:spacing w:after="0"/>
              <w:rPr>
                <w:sz w:val="16"/>
                <w:szCs w:val="16"/>
                <w:color w:val="auto"/>
              </w:rPr>
            </w:pPr>
          </w:p>
        </w:tc>
        <w:tc>
          <w:tcPr>
            <w:tcW w:w="2840" w:type="dxa"/>
            <w:vAlign w:val="bottom"/>
          </w:tcPr>
          <w:p>
            <w:pPr>
              <w:jc w:val="right"/>
              <w:ind w:right="333"/>
              <w:spacing w:after="0"/>
              <w:rPr>
                <w:sz w:val="20"/>
                <w:szCs w:val="20"/>
                <w:color w:val="auto"/>
              </w:rPr>
            </w:pPr>
            <w:r>
              <w:rPr>
                <w:rFonts w:ascii="Arial" w:cs="Arial" w:eastAsia="Arial" w:hAnsi="Arial"/>
                <w:sz w:val="16"/>
                <w:szCs w:val="16"/>
                <w:color w:val="483E65"/>
              </w:rPr>
              <w:t>Threshold</w:t>
            </w:r>
          </w:p>
        </w:tc>
        <w:tc>
          <w:tcPr>
            <w:tcW w:w="172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195"/>
        </w:trPr>
        <w:tc>
          <w:tcPr>
            <w:tcW w:w="3360" w:type="dxa"/>
            <w:vAlign w:val="bottom"/>
          </w:tcPr>
          <w:p>
            <w:pPr>
              <w:spacing w:after="0"/>
              <w:rPr>
                <w:sz w:val="16"/>
                <w:szCs w:val="16"/>
                <w:color w:val="auto"/>
              </w:rPr>
            </w:pPr>
          </w:p>
        </w:tc>
        <w:tc>
          <w:tcPr>
            <w:tcW w:w="2840" w:type="dxa"/>
            <w:vAlign w:val="bottom"/>
          </w:tcPr>
          <w:p>
            <w:pPr>
              <w:jc w:val="right"/>
              <w:ind w:right="593"/>
              <w:spacing w:after="0"/>
              <w:rPr>
                <w:sz w:val="20"/>
                <w:szCs w:val="20"/>
                <w:color w:val="auto"/>
              </w:rPr>
            </w:pPr>
            <w:r>
              <w:rPr>
                <w:rFonts w:ascii="Arial" w:cs="Arial" w:eastAsia="Arial" w:hAnsi="Arial"/>
                <w:sz w:val="16"/>
                <w:szCs w:val="16"/>
                <w:color w:val="483E65"/>
              </w:rPr>
              <w:t>($)</w:t>
            </w:r>
          </w:p>
        </w:tc>
        <w:tc>
          <w:tcPr>
            <w:tcW w:w="1720" w:type="dxa"/>
            <w:vAlign w:val="bottom"/>
          </w:tcPr>
          <w:p>
            <w:pPr>
              <w:jc w:val="right"/>
              <w:ind w:right="571"/>
              <w:spacing w:after="0"/>
              <w:rPr>
                <w:sz w:val="20"/>
                <w:szCs w:val="20"/>
                <w:color w:val="auto"/>
              </w:rPr>
            </w:pPr>
            <w:r>
              <w:rPr>
                <w:rFonts w:ascii="Arial" w:cs="Arial" w:eastAsia="Arial" w:hAnsi="Arial"/>
                <w:sz w:val="16"/>
                <w:szCs w:val="16"/>
                <w:color w:val="483E65"/>
              </w:rPr>
              <w:t>Target ($)</w:t>
            </w:r>
          </w:p>
        </w:tc>
        <w:tc>
          <w:tcPr>
            <w:tcW w:w="1940" w:type="dxa"/>
            <w:vAlign w:val="bottom"/>
          </w:tcPr>
          <w:p>
            <w:pPr>
              <w:jc w:val="right"/>
              <w:ind w:right="351"/>
              <w:spacing w:after="0"/>
              <w:rPr>
                <w:sz w:val="20"/>
                <w:szCs w:val="20"/>
                <w:color w:val="auto"/>
              </w:rPr>
            </w:pPr>
            <w:r>
              <w:rPr>
                <w:rFonts w:ascii="Arial" w:cs="Arial" w:eastAsia="Arial" w:hAnsi="Arial"/>
                <w:sz w:val="16"/>
                <w:szCs w:val="16"/>
                <w:color w:val="483E65"/>
              </w:rPr>
              <w:t>Maximum ($)</w:t>
            </w:r>
          </w:p>
        </w:tc>
        <w:tc>
          <w:tcPr>
            <w:tcW w:w="1560" w:type="dxa"/>
            <w:vAlign w:val="bottom"/>
          </w:tcPr>
          <w:p>
            <w:pPr>
              <w:jc w:val="right"/>
              <w:ind w:right="331"/>
              <w:spacing w:after="0"/>
              <w:rPr>
                <w:sz w:val="20"/>
                <w:szCs w:val="20"/>
                <w:color w:val="auto"/>
              </w:rPr>
            </w:pPr>
            <w:r>
              <w:rPr>
                <w:rFonts w:ascii="Arial" w:cs="Arial" w:eastAsia="Arial" w:hAnsi="Arial"/>
                <w:sz w:val="16"/>
                <w:szCs w:val="16"/>
                <w:color w:val="483E65"/>
              </w:rPr>
              <w:t>Actual ($)</w:t>
            </w:r>
          </w:p>
        </w:tc>
      </w:tr>
      <w:tr>
        <w:trPr>
          <w:trHeight w:val="87"/>
        </w:trPr>
        <w:tc>
          <w:tcPr>
            <w:tcW w:w="3360" w:type="dxa"/>
            <w:vAlign w:val="bottom"/>
            <w:tcBorders>
              <w:bottom w:val="single" w:sz="8" w:color="483E65"/>
            </w:tcBorders>
          </w:tcPr>
          <w:p>
            <w:pPr>
              <w:spacing w:after="0"/>
              <w:rPr>
                <w:sz w:val="7"/>
                <w:szCs w:val="7"/>
                <w:color w:val="auto"/>
              </w:rPr>
            </w:pPr>
          </w:p>
        </w:tc>
        <w:tc>
          <w:tcPr>
            <w:tcW w:w="2840" w:type="dxa"/>
            <w:vAlign w:val="bottom"/>
            <w:tcBorders>
              <w:bottom w:val="single" w:sz="8" w:color="483E65"/>
            </w:tcBorders>
          </w:tcPr>
          <w:p>
            <w:pPr>
              <w:spacing w:after="0"/>
              <w:rPr>
                <w:sz w:val="7"/>
                <w:szCs w:val="7"/>
                <w:color w:val="auto"/>
              </w:rPr>
            </w:pPr>
          </w:p>
        </w:tc>
        <w:tc>
          <w:tcPr>
            <w:tcW w:w="1720" w:type="dxa"/>
            <w:vAlign w:val="bottom"/>
            <w:tcBorders>
              <w:bottom w:val="single" w:sz="8" w:color="483E65"/>
            </w:tcBorders>
          </w:tcPr>
          <w:p>
            <w:pPr>
              <w:spacing w:after="0"/>
              <w:rPr>
                <w:sz w:val="7"/>
                <w:szCs w:val="7"/>
                <w:color w:val="auto"/>
              </w:rPr>
            </w:pPr>
          </w:p>
        </w:tc>
        <w:tc>
          <w:tcPr>
            <w:tcW w:w="1940" w:type="dxa"/>
            <w:vAlign w:val="bottom"/>
            <w:tcBorders>
              <w:bottom w:val="single" w:sz="8" w:color="483E65"/>
            </w:tcBorders>
          </w:tcPr>
          <w:p>
            <w:pPr>
              <w:spacing w:after="0"/>
              <w:rPr>
                <w:sz w:val="7"/>
                <w:szCs w:val="7"/>
                <w:color w:val="auto"/>
              </w:rPr>
            </w:pPr>
          </w:p>
        </w:tc>
        <w:tc>
          <w:tcPr>
            <w:tcW w:w="1560" w:type="dxa"/>
            <w:vAlign w:val="bottom"/>
            <w:tcBorders>
              <w:bottom w:val="single" w:sz="8" w:color="483E65"/>
            </w:tcBorders>
          </w:tcPr>
          <w:p>
            <w:pPr>
              <w:spacing w:after="0"/>
              <w:rPr>
                <w:sz w:val="7"/>
                <w:szCs w:val="7"/>
                <w:color w:val="auto"/>
              </w:rPr>
            </w:pPr>
          </w:p>
        </w:tc>
      </w:tr>
      <w:tr>
        <w:trPr>
          <w:trHeight w:val="196"/>
        </w:trPr>
        <w:tc>
          <w:tcPr>
            <w:tcW w:w="3360" w:type="dxa"/>
            <w:vAlign w:val="bottom"/>
          </w:tcPr>
          <w:p>
            <w:pPr>
              <w:ind w:left="100"/>
              <w:spacing w:after="0" w:line="196" w:lineRule="exact"/>
              <w:rPr>
                <w:sz w:val="20"/>
                <w:szCs w:val="20"/>
                <w:color w:val="auto"/>
              </w:rPr>
            </w:pPr>
            <w:r>
              <w:rPr>
                <w:rFonts w:ascii="Arial" w:cs="Arial" w:eastAsia="Arial" w:hAnsi="Arial"/>
                <w:sz w:val="18"/>
                <w:szCs w:val="18"/>
                <w:color w:val="auto"/>
              </w:rPr>
              <w:t>Roger A. Krone</w:t>
            </w:r>
          </w:p>
        </w:tc>
        <w:tc>
          <w:tcPr>
            <w:tcW w:w="2840" w:type="dxa"/>
            <w:vAlign w:val="bottom"/>
          </w:tcPr>
          <w:p>
            <w:pPr>
              <w:jc w:val="right"/>
              <w:ind w:right="293"/>
              <w:spacing w:after="0" w:line="196" w:lineRule="exact"/>
              <w:rPr>
                <w:sz w:val="20"/>
                <w:szCs w:val="20"/>
                <w:color w:val="auto"/>
              </w:rPr>
            </w:pPr>
            <w:r>
              <w:rPr>
                <w:rFonts w:ascii="Arial" w:cs="Arial" w:eastAsia="Arial" w:hAnsi="Arial"/>
                <w:sz w:val="18"/>
                <w:szCs w:val="18"/>
                <w:color w:val="auto"/>
              </w:rPr>
              <w:t>702,000</w:t>
            </w:r>
          </w:p>
        </w:tc>
        <w:tc>
          <w:tcPr>
            <w:tcW w:w="1720" w:type="dxa"/>
            <w:vAlign w:val="bottom"/>
          </w:tcPr>
          <w:p>
            <w:pPr>
              <w:jc w:val="right"/>
              <w:ind w:right="471"/>
              <w:spacing w:after="0" w:line="196" w:lineRule="exact"/>
              <w:rPr>
                <w:sz w:val="20"/>
                <w:szCs w:val="20"/>
                <w:color w:val="auto"/>
              </w:rPr>
            </w:pPr>
            <w:r>
              <w:rPr>
                <w:rFonts w:ascii="Arial" w:cs="Arial" w:eastAsia="Arial" w:hAnsi="Arial"/>
                <w:sz w:val="18"/>
                <w:szCs w:val="18"/>
                <w:color w:val="auto"/>
              </w:rPr>
              <w:t>1,300,000</w:t>
            </w:r>
          </w:p>
        </w:tc>
        <w:tc>
          <w:tcPr>
            <w:tcW w:w="1940" w:type="dxa"/>
            <w:vAlign w:val="bottom"/>
          </w:tcPr>
          <w:p>
            <w:pPr>
              <w:jc w:val="right"/>
              <w:ind w:right="331"/>
              <w:spacing w:after="0" w:line="196" w:lineRule="exact"/>
              <w:rPr>
                <w:sz w:val="20"/>
                <w:szCs w:val="20"/>
                <w:color w:val="auto"/>
              </w:rPr>
            </w:pPr>
            <w:r>
              <w:rPr>
                <w:rFonts w:ascii="Arial" w:cs="Arial" w:eastAsia="Arial" w:hAnsi="Arial"/>
                <w:sz w:val="18"/>
                <w:szCs w:val="18"/>
                <w:color w:val="auto"/>
              </w:rPr>
              <w:t>2,047,500</w:t>
            </w:r>
          </w:p>
        </w:tc>
        <w:tc>
          <w:tcPr>
            <w:tcW w:w="1560" w:type="dxa"/>
            <w:vAlign w:val="bottom"/>
          </w:tcPr>
          <w:p>
            <w:pPr>
              <w:jc w:val="right"/>
              <w:ind w:right="251"/>
              <w:spacing w:after="0" w:line="196" w:lineRule="exact"/>
              <w:rPr>
                <w:sz w:val="20"/>
                <w:szCs w:val="20"/>
                <w:color w:val="auto"/>
              </w:rPr>
            </w:pPr>
            <w:r>
              <w:rPr>
                <w:rFonts w:ascii="Arial" w:cs="Arial" w:eastAsia="Arial" w:hAnsi="Arial"/>
                <w:sz w:val="18"/>
                <w:szCs w:val="18"/>
                <w:color w:val="auto"/>
              </w:rPr>
              <w:t>1,638,000</w:t>
            </w:r>
          </w:p>
        </w:tc>
      </w:tr>
      <w:tr>
        <w:trPr>
          <w:trHeight w:val="203"/>
        </w:trPr>
        <w:tc>
          <w:tcPr>
            <w:tcW w:w="3360" w:type="dxa"/>
            <w:vAlign w:val="bottom"/>
            <w:shd w:val="clear" w:color="auto" w:fill="ACABA7"/>
          </w:tcPr>
          <w:p>
            <w:pPr>
              <w:ind w:left="100"/>
              <w:spacing w:after="0" w:line="202" w:lineRule="exact"/>
              <w:rPr>
                <w:sz w:val="20"/>
                <w:szCs w:val="20"/>
                <w:color w:val="auto"/>
              </w:rPr>
            </w:pPr>
            <w:r>
              <w:rPr>
                <w:rFonts w:ascii="Arial" w:cs="Arial" w:eastAsia="Arial" w:hAnsi="Arial"/>
                <w:sz w:val="18"/>
                <w:szCs w:val="18"/>
                <w:color w:val="auto"/>
              </w:rPr>
              <w:t>James C. Reagan</w:t>
            </w:r>
          </w:p>
        </w:tc>
        <w:tc>
          <w:tcPr>
            <w:tcW w:w="2840" w:type="dxa"/>
            <w:vAlign w:val="bottom"/>
            <w:shd w:val="clear" w:color="auto" w:fill="ACABA7"/>
          </w:tcPr>
          <w:p>
            <w:pPr>
              <w:jc w:val="right"/>
              <w:ind w:right="293"/>
              <w:spacing w:after="0" w:line="202" w:lineRule="exact"/>
              <w:rPr>
                <w:sz w:val="20"/>
                <w:szCs w:val="20"/>
                <w:color w:val="auto"/>
              </w:rPr>
            </w:pPr>
            <w:r>
              <w:rPr>
                <w:rFonts w:ascii="Arial" w:cs="Arial" w:eastAsia="Arial" w:hAnsi="Arial"/>
                <w:sz w:val="18"/>
                <w:szCs w:val="18"/>
                <w:color w:val="auto"/>
              </w:rPr>
              <w:t>274,590</w:t>
            </w:r>
          </w:p>
        </w:tc>
        <w:tc>
          <w:tcPr>
            <w:tcW w:w="1720" w:type="dxa"/>
            <w:vAlign w:val="bottom"/>
            <w:shd w:val="clear" w:color="auto" w:fill="ACABA7"/>
          </w:tcPr>
          <w:p>
            <w:pPr>
              <w:jc w:val="right"/>
              <w:ind w:right="471"/>
              <w:spacing w:after="0" w:line="202" w:lineRule="exact"/>
              <w:rPr>
                <w:sz w:val="20"/>
                <w:szCs w:val="20"/>
                <w:color w:val="auto"/>
              </w:rPr>
            </w:pPr>
            <w:r>
              <w:rPr>
                <w:rFonts w:ascii="Arial" w:cs="Arial" w:eastAsia="Arial" w:hAnsi="Arial"/>
                <w:sz w:val="18"/>
                <w:szCs w:val="18"/>
                <w:color w:val="auto"/>
              </w:rPr>
              <w:t>508,500</w:t>
            </w:r>
          </w:p>
        </w:tc>
        <w:tc>
          <w:tcPr>
            <w:tcW w:w="1940" w:type="dxa"/>
            <w:vAlign w:val="bottom"/>
            <w:shd w:val="clear" w:color="auto" w:fill="ACABA7"/>
          </w:tcPr>
          <w:p>
            <w:pPr>
              <w:jc w:val="right"/>
              <w:ind w:right="331"/>
              <w:spacing w:after="0" w:line="202" w:lineRule="exact"/>
              <w:rPr>
                <w:sz w:val="20"/>
                <w:szCs w:val="20"/>
                <w:color w:val="auto"/>
              </w:rPr>
            </w:pPr>
            <w:r>
              <w:rPr>
                <w:rFonts w:ascii="Arial" w:cs="Arial" w:eastAsia="Arial" w:hAnsi="Arial"/>
                <w:sz w:val="18"/>
                <w:szCs w:val="18"/>
                <w:color w:val="auto"/>
              </w:rPr>
              <w:t>800,888</w:t>
            </w:r>
          </w:p>
        </w:tc>
        <w:tc>
          <w:tcPr>
            <w:tcW w:w="1560" w:type="dxa"/>
            <w:vAlign w:val="bottom"/>
            <w:shd w:val="clear" w:color="auto" w:fill="ACABA7"/>
          </w:tcPr>
          <w:p>
            <w:pPr>
              <w:jc w:val="right"/>
              <w:ind w:right="251"/>
              <w:spacing w:after="0" w:line="202" w:lineRule="exact"/>
              <w:rPr>
                <w:sz w:val="20"/>
                <w:szCs w:val="20"/>
                <w:color w:val="auto"/>
              </w:rPr>
            </w:pPr>
            <w:r>
              <w:rPr>
                <w:rFonts w:ascii="Arial" w:cs="Arial" w:eastAsia="Arial" w:hAnsi="Arial"/>
                <w:sz w:val="18"/>
                <w:szCs w:val="18"/>
                <w:color w:val="auto"/>
              </w:rPr>
              <w:t>625,964</w:t>
            </w:r>
          </w:p>
        </w:tc>
      </w:tr>
      <w:tr>
        <w:trPr>
          <w:trHeight w:val="203"/>
        </w:trPr>
        <w:tc>
          <w:tcPr>
            <w:tcW w:w="3360" w:type="dxa"/>
            <w:vAlign w:val="bottom"/>
          </w:tcPr>
          <w:p>
            <w:pPr>
              <w:ind w:left="100"/>
              <w:spacing w:after="0" w:line="202" w:lineRule="exact"/>
              <w:rPr>
                <w:sz w:val="20"/>
                <w:szCs w:val="20"/>
                <w:color w:val="auto"/>
              </w:rPr>
            </w:pPr>
            <w:r>
              <w:rPr>
                <w:rFonts w:ascii="Arial" w:cs="Arial" w:eastAsia="Arial" w:hAnsi="Arial"/>
                <w:sz w:val="18"/>
                <w:szCs w:val="18"/>
                <w:color w:val="auto"/>
              </w:rPr>
              <w:t>Michael E. Leiter</w:t>
            </w:r>
          </w:p>
        </w:tc>
        <w:tc>
          <w:tcPr>
            <w:tcW w:w="2840" w:type="dxa"/>
            <w:vAlign w:val="bottom"/>
          </w:tcPr>
          <w:p>
            <w:pPr>
              <w:jc w:val="right"/>
              <w:ind w:right="293"/>
              <w:spacing w:after="0" w:line="202" w:lineRule="exact"/>
              <w:rPr>
                <w:sz w:val="20"/>
                <w:szCs w:val="20"/>
                <w:color w:val="auto"/>
              </w:rPr>
            </w:pPr>
            <w:r>
              <w:rPr>
                <w:rFonts w:ascii="Arial" w:cs="Arial" w:eastAsia="Arial" w:hAnsi="Arial"/>
                <w:sz w:val="18"/>
                <w:szCs w:val="18"/>
                <w:color w:val="auto"/>
              </w:rPr>
              <w:t>226,800</w:t>
            </w:r>
          </w:p>
        </w:tc>
        <w:tc>
          <w:tcPr>
            <w:tcW w:w="1720" w:type="dxa"/>
            <w:vAlign w:val="bottom"/>
          </w:tcPr>
          <w:p>
            <w:pPr>
              <w:jc w:val="right"/>
              <w:ind w:right="471"/>
              <w:spacing w:after="0" w:line="202" w:lineRule="exact"/>
              <w:rPr>
                <w:sz w:val="20"/>
                <w:szCs w:val="20"/>
                <w:color w:val="auto"/>
              </w:rPr>
            </w:pPr>
            <w:r>
              <w:rPr>
                <w:rFonts w:ascii="Arial" w:cs="Arial" w:eastAsia="Arial" w:hAnsi="Arial"/>
                <w:sz w:val="18"/>
                <w:szCs w:val="18"/>
                <w:color w:val="auto"/>
              </w:rPr>
              <w:t>420,000</w:t>
            </w:r>
          </w:p>
        </w:tc>
        <w:tc>
          <w:tcPr>
            <w:tcW w:w="1940" w:type="dxa"/>
            <w:vAlign w:val="bottom"/>
          </w:tcPr>
          <w:p>
            <w:pPr>
              <w:jc w:val="right"/>
              <w:ind w:right="331"/>
              <w:spacing w:after="0" w:line="202" w:lineRule="exact"/>
              <w:rPr>
                <w:sz w:val="20"/>
                <w:szCs w:val="20"/>
                <w:color w:val="auto"/>
              </w:rPr>
            </w:pPr>
            <w:r>
              <w:rPr>
                <w:rFonts w:ascii="Arial" w:cs="Arial" w:eastAsia="Arial" w:hAnsi="Arial"/>
                <w:sz w:val="18"/>
                <w:szCs w:val="18"/>
                <w:color w:val="auto"/>
              </w:rPr>
              <w:t>661,500</w:t>
            </w:r>
          </w:p>
        </w:tc>
        <w:tc>
          <w:tcPr>
            <w:tcW w:w="1560" w:type="dxa"/>
            <w:vAlign w:val="bottom"/>
          </w:tcPr>
          <w:p>
            <w:pPr>
              <w:jc w:val="right"/>
              <w:ind w:right="251"/>
              <w:spacing w:after="0" w:line="202" w:lineRule="exact"/>
              <w:rPr>
                <w:sz w:val="20"/>
                <w:szCs w:val="20"/>
                <w:color w:val="auto"/>
              </w:rPr>
            </w:pPr>
            <w:r>
              <w:rPr>
                <w:rFonts w:ascii="Arial" w:cs="Arial" w:eastAsia="Arial" w:hAnsi="Arial"/>
                <w:sz w:val="18"/>
                <w:szCs w:val="18"/>
                <w:color w:val="auto"/>
              </w:rPr>
              <w:t>420,000</w:t>
            </w:r>
          </w:p>
        </w:tc>
      </w:tr>
      <w:tr>
        <w:trPr>
          <w:trHeight w:val="203"/>
        </w:trPr>
        <w:tc>
          <w:tcPr>
            <w:tcW w:w="3360" w:type="dxa"/>
            <w:vAlign w:val="bottom"/>
            <w:shd w:val="clear" w:color="auto" w:fill="ACABA7"/>
          </w:tcPr>
          <w:p>
            <w:pPr>
              <w:ind w:left="100"/>
              <w:spacing w:after="0" w:line="202" w:lineRule="exact"/>
              <w:rPr>
                <w:sz w:val="20"/>
                <w:szCs w:val="20"/>
                <w:color w:val="auto"/>
              </w:rPr>
            </w:pPr>
            <w:r>
              <w:rPr>
                <w:rFonts w:ascii="Arial" w:cs="Arial" w:eastAsia="Arial" w:hAnsi="Arial"/>
                <w:sz w:val="18"/>
                <w:szCs w:val="18"/>
                <w:color w:val="auto"/>
              </w:rPr>
              <w:t>Vincent A. Maffeo</w:t>
            </w:r>
          </w:p>
        </w:tc>
        <w:tc>
          <w:tcPr>
            <w:tcW w:w="2840" w:type="dxa"/>
            <w:vAlign w:val="bottom"/>
            <w:shd w:val="clear" w:color="auto" w:fill="ACABA7"/>
          </w:tcPr>
          <w:p>
            <w:pPr>
              <w:jc w:val="right"/>
              <w:ind w:right="293"/>
              <w:spacing w:after="0" w:line="202" w:lineRule="exact"/>
              <w:rPr>
                <w:sz w:val="20"/>
                <w:szCs w:val="20"/>
                <w:color w:val="auto"/>
              </w:rPr>
            </w:pPr>
            <w:r>
              <w:rPr>
                <w:rFonts w:ascii="Arial" w:cs="Arial" w:eastAsia="Arial" w:hAnsi="Arial"/>
                <w:sz w:val="18"/>
                <w:szCs w:val="18"/>
                <w:color w:val="auto"/>
              </w:rPr>
              <w:t>243,045</w:t>
            </w:r>
          </w:p>
        </w:tc>
        <w:tc>
          <w:tcPr>
            <w:tcW w:w="1720" w:type="dxa"/>
            <w:vAlign w:val="bottom"/>
            <w:shd w:val="clear" w:color="auto" w:fill="ACABA7"/>
          </w:tcPr>
          <w:p>
            <w:pPr>
              <w:jc w:val="right"/>
              <w:ind w:right="471"/>
              <w:spacing w:after="0" w:line="202" w:lineRule="exact"/>
              <w:rPr>
                <w:sz w:val="20"/>
                <w:szCs w:val="20"/>
                <w:color w:val="auto"/>
              </w:rPr>
            </w:pPr>
            <w:r>
              <w:rPr>
                <w:rFonts w:ascii="Arial" w:cs="Arial" w:eastAsia="Arial" w:hAnsi="Arial"/>
                <w:sz w:val="18"/>
                <w:szCs w:val="18"/>
                <w:color w:val="auto"/>
              </w:rPr>
              <w:t>450,084</w:t>
            </w:r>
          </w:p>
        </w:tc>
        <w:tc>
          <w:tcPr>
            <w:tcW w:w="1940" w:type="dxa"/>
            <w:vAlign w:val="bottom"/>
            <w:shd w:val="clear" w:color="auto" w:fill="ACABA7"/>
          </w:tcPr>
          <w:p>
            <w:pPr>
              <w:jc w:val="right"/>
              <w:ind w:right="331"/>
              <w:spacing w:after="0" w:line="202" w:lineRule="exact"/>
              <w:rPr>
                <w:sz w:val="20"/>
                <w:szCs w:val="20"/>
                <w:color w:val="auto"/>
              </w:rPr>
            </w:pPr>
            <w:r>
              <w:rPr>
                <w:rFonts w:ascii="Arial" w:cs="Arial" w:eastAsia="Arial" w:hAnsi="Arial"/>
                <w:sz w:val="18"/>
                <w:szCs w:val="18"/>
                <w:color w:val="auto"/>
              </w:rPr>
              <w:t>708,882</w:t>
            </w:r>
          </w:p>
        </w:tc>
        <w:tc>
          <w:tcPr>
            <w:tcW w:w="1560" w:type="dxa"/>
            <w:vAlign w:val="bottom"/>
            <w:shd w:val="clear" w:color="auto" w:fill="ACABA7"/>
          </w:tcPr>
          <w:p>
            <w:pPr>
              <w:jc w:val="right"/>
              <w:ind w:right="251"/>
              <w:spacing w:after="0" w:line="202" w:lineRule="exact"/>
              <w:rPr>
                <w:sz w:val="20"/>
                <w:szCs w:val="20"/>
                <w:color w:val="auto"/>
              </w:rPr>
            </w:pPr>
            <w:r>
              <w:rPr>
                <w:rFonts w:ascii="Arial" w:cs="Arial" w:eastAsia="Arial" w:hAnsi="Arial"/>
                <w:sz w:val="18"/>
                <w:szCs w:val="18"/>
                <w:color w:val="auto"/>
              </w:rPr>
              <w:t>534,250</w:t>
            </w:r>
          </w:p>
        </w:tc>
      </w:tr>
      <w:tr>
        <w:trPr>
          <w:trHeight w:val="217"/>
        </w:trPr>
        <w:tc>
          <w:tcPr>
            <w:tcW w:w="3360" w:type="dxa"/>
            <w:vAlign w:val="bottom"/>
          </w:tcPr>
          <w:p>
            <w:pPr>
              <w:ind w:left="100"/>
              <w:spacing w:after="0"/>
              <w:rPr>
                <w:sz w:val="20"/>
                <w:szCs w:val="20"/>
                <w:color w:val="auto"/>
              </w:rPr>
            </w:pPr>
            <w:r>
              <w:rPr>
                <w:rFonts w:ascii="Arial" w:cs="Arial" w:eastAsia="Arial" w:hAnsi="Arial"/>
                <w:sz w:val="18"/>
                <w:szCs w:val="18"/>
                <w:color w:val="auto"/>
              </w:rPr>
              <w:t>Timothy J. Reardon</w:t>
            </w:r>
          </w:p>
        </w:tc>
        <w:tc>
          <w:tcPr>
            <w:tcW w:w="2840" w:type="dxa"/>
            <w:vAlign w:val="bottom"/>
          </w:tcPr>
          <w:p>
            <w:pPr>
              <w:jc w:val="right"/>
              <w:ind w:right="293"/>
              <w:spacing w:after="0"/>
              <w:rPr>
                <w:sz w:val="20"/>
                <w:szCs w:val="20"/>
                <w:color w:val="auto"/>
              </w:rPr>
            </w:pPr>
            <w:r>
              <w:rPr>
                <w:rFonts w:ascii="Arial" w:cs="Arial" w:eastAsia="Arial" w:hAnsi="Arial"/>
                <w:sz w:val="18"/>
                <w:szCs w:val="18"/>
                <w:color w:val="auto"/>
              </w:rPr>
              <w:t>164,500</w:t>
            </w:r>
          </w:p>
        </w:tc>
        <w:tc>
          <w:tcPr>
            <w:tcW w:w="1720" w:type="dxa"/>
            <w:vAlign w:val="bottom"/>
          </w:tcPr>
          <w:p>
            <w:pPr>
              <w:jc w:val="right"/>
              <w:ind w:right="471"/>
              <w:spacing w:after="0"/>
              <w:rPr>
                <w:sz w:val="20"/>
                <w:szCs w:val="20"/>
                <w:color w:val="auto"/>
              </w:rPr>
            </w:pPr>
            <w:r>
              <w:rPr>
                <w:rFonts w:ascii="Arial" w:cs="Arial" w:eastAsia="Arial" w:hAnsi="Arial"/>
                <w:sz w:val="18"/>
                <w:szCs w:val="18"/>
                <w:color w:val="auto"/>
              </w:rPr>
              <w:t>329,000</w:t>
            </w:r>
          </w:p>
        </w:tc>
        <w:tc>
          <w:tcPr>
            <w:tcW w:w="1940" w:type="dxa"/>
            <w:vAlign w:val="bottom"/>
          </w:tcPr>
          <w:p>
            <w:pPr>
              <w:jc w:val="right"/>
              <w:ind w:right="331"/>
              <w:spacing w:after="0"/>
              <w:rPr>
                <w:sz w:val="20"/>
                <w:szCs w:val="20"/>
                <w:color w:val="auto"/>
              </w:rPr>
            </w:pPr>
            <w:r>
              <w:rPr>
                <w:rFonts w:ascii="Arial" w:cs="Arial" w:eastAsia="Arial" w:hAnsi="Arial"/>
                <w:sz w:val="18"/>
                <w:szCs w:val="18"/>
                <w:color w:val="auto"/>
              </w:rPr>
              <w:t>658,000</w:t>
            </w:r>
          </w:p>
        </w:tc>
        <w:tc>
          <w:tcPr>
            <w:tcW w:w="1560" w:type="dxa"/>
            <w:vAlign w:val="bottom"/>
          </w:tcPr>
          <w:p>
            <w:pPr>
              <w:jc w:val="right"/>
              <w:ind w:right="251"/>
              <w:spacing w:after="0"/>
              <w:rPr>
                <w:sz w:val="20"/>
                <w:szCs w:val="20"/>
                <w:color w:val="auto"/>
              </w:rPr>
            </w:pPr>
            <w:r>
              <w:rPr>
                <w:rFonts w:ascii="Arial" w:cs="Arial" w:eastAsia="Arial" w:hAnsi="Arial"/>
                <w:sz w:val="18"/>
                <w:szCs w:val="18"/>
                <w:color w:val="auto"/>
              </w:rPr>
              <w:t>570,200</w:t>
            </w:r>
          </w:p>
        </w:tc>
      </w:tr>
    </w:tbl>
    <w:p>
      <w:pPr>
        <w:spacing w:after="0" w:line="179"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483E65"/>
        </w:rPr>
        <w:t>Long-Term Incentive Awards</w:t>
      </w:r>
    </w:p>
    <w:p>
      <w:pPr>
        <w:spacing w:after="0" w:line="234"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Equity awards are granted primarily to motivate future performance and for retention purposes. For Fiscal 2016, each active named executive officer, except for Mr. Reardon, received a mix of equity awards comprised of performance shares, stock options, and performance restricted stock units. Mr. Reardon received a grant consisting only of restricted stock units or “RSUs” in January 2016 from his then-employer, Lockheed Martin, which units were then converted pursuant to the EMA into RSUs issued by Leidos. The grant amounts for the named executive officers, excluding Mr. Reardon, were determined based on market data and consideration of each executive officer’s level of experience, position and responsibilities. The chart below shows the percentage of total direct compensation represented by each type of equity award using the grant date fair value for Mr. Krone, Mr. Reagan, Mr. Leiter and Mr. Maffeo in March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1025525</wp:posOffset>
            </wp:positionH>
            <wp:positionV relativeFrom="paragraph">
              <wp:posOffset>146685</wp:posOffset>
            </wp:positionV>
            <wp:extent cx="5205730" cy="214376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205730" cy="21437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right="40"/>
        <w:spacing w:after="0" w:line="245" w:lineRule="auto"/>
        <w:rPr>
          <w:sz w:val="20"/>
          <w:szCs w:val="20"/>
          <w:color w:val="auto"/>
        </w:rPr>
      </w:pPr>
      <w:r>
        <w:rPr>
          <w:rFonts w:ascii="Arial" w:cs="Arial" w:eastAsia="Arial" w:hAnsi="Arial"/>
          <w:sz w:val="18"/>
          <w:szCs w:val="18"/>
          <w:i w:val="1"/>
          <w:iCs w:val="1"/>
          <w:color w:val="483E65"/>
        </w:rPr>
        <w:t xml:space="preserve">Performance Share Awards. </w:t>
      </w:r>
      <w:r>
        <w:rPr>
          <w:rFonts w:ascii="Arial" w:cs="Arial" w:eastAsia="Arial" w:hAnsi="Arial"/>
          <w:sz w:val="18"/>
          <w:szCs w:val="18"/>
          <w:color w:val="000000"/>
        </w:rPr>
        <w:t>For all of our active named executive officers except for Mr. Reardon, 50% of the targeted total value of equity</w:t>
      </w:r>
      <w:r>
        <w:rPr>
          <w:rFonts w:ascii="Arial" w:cs="Arial" w:eastAsia="Arial" w:hAnsi="Arial"/>
          <w:sz w:val="18"/>
          <w:szCs w:val="18"/>
          <w:i w:val="1"/>
          <w:iCs w:val="1"/>
          <w:color w:val="483E65"/>
        </w:rPr>
        <w:t xml:space="preserve"> </w:t>
      </w:r>
      <w:r>
        <w:rPr>
          <w:rFonts w:ascii="Arial" w:cs="Arial" w:eastAsia="Arial" w:hAnsi="Arial"/>
          <w:sz w:val="18"/>
          <w:szCs w:val="18"/>
          <w:color w:val="000000"/>
        </w:rPr>
        <w:t>awards granted was in the form of three-year performance share awards. Shares will be issued under those awards at the end of the three-year period ending on December 27, 2019 only to the extent that the company achieves specific financial performance goals as measured over such three-year period.</w:t>
      </w:r>
    </w:p>
    <w:p>
      <w:pPr>
        <w:spacing w:after="0" w:line="114" w:lineRule="exact"/>
        <w:rPr>
          <w:sz w:val="20"/>
          <w:szCs w:val="20"/>
          <w:color w:val="auto"/>
        </w:rPr>
      </w:pPr>
    </w:p>
    <w:p>
      <w:pPr>
        <w:jc w:val="right"/>
        <w:spacing w:after="0"/>
        <w:tabs>
          <w:tab w:leader="none" w:pos="380" w:val="left"/>
          <w:tab w:leader="none" w:pos="160" w:val="left"/>
        </w:tabs>
        <w:rPr>
          <w:sz w:val="20"/>
          <w:szCs w:val="20"/>
          <w:color w:val="auto"/>
        </w:rPr>
      </w:pPr>
      <w:r>
        <w:rPr>
          <w:rFonts w:ascii="Arial" w:cs="Arial" w:eastAsia="Arial" w:hAnsi="Arial"/>
          <w:sz w:val="16"/>
          <w:szCs w:val="16"/>
          <w:b w:val="1"/>
          <w:bCs w:val="1"/>
          <w:color w:val="483E65"/>
        </w:rPr>
        <w:t>2017 Proxy Statement</w:t>
        <w:tab/>
        <w:t>|</w:t>
        <w:tab/>
        <w:t>33</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8" w:lineRule="exact"/>
        <w:rPr>
          <w:sz w:val="20"/>
          <w:szCs w:val="20"/>
          <w:color w:val="auto"/>
        </w:rPr>
      </w:pPr>
    </w:p>
    <w:p>
      <w:pPr>
        <w:spacing w:after="0"/>
        <w:rPr>
          <w:sz w:val="20"/>
          <w:szCs w:val="20"/>
          <w:color w:val="auto"/>
        </w:rPr>
      </w:pPr>
      <w:r>
        <w:rPr>
          <w:rFonts w:ascii="Arial" w:cs="Arial" w:eastAsia="Arial" w:hAnsi="Arial"/>
          <w:sz w:val="32"/>
          <w:szCs w:val="32"/>
          <w:color w:val="483E65"/>
        </w:rPr>
        <w:t>Compensation Discussion &amp;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149860</wp:posOffset>
            </wp:positionV>
            <wp:extent cx="724662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18" w:lineRule="exact"/>
        <w:rPr>
          <w:sz w:val="20"/>
          <w:szCs w:val="20"/>
          <w:color w:val="auto"/>
        </w:rPr>
      </w:pPr>
    </w:p>
    <w:p>
      <w:pPr>
        <w:ind w:right="180"/>
        <w:spacing w:after="0" w:line="239" w:lineRule="auto"/>
        <w:rPr>
          <w:sz w:val="20"/>
          <w:szCs w:val="20"/>
          <w:color w:val="auto"/>
        </w:rPr>
      </w:pPr>
      <w:r>
        <w:rPr>
          <w:rFonts w:ascii="Arial" w:cs="Arial" w:eastAsia="Arial" w:hAnsi="Arial"/>
          <w:sz w:val="18"/>
          <w:szCs w:val="18"/>
          <w:color w:val="auto"/>
        </w:rPr>
        <w:t>Consistent with our prior fiscal year’s awards, for Fiscal 2016, the Committee set two goals for the performance shares: 50% of the shares granted will vest based on the achievement of adjusted operating income goals, and 50% of the shares granted will vest based on the achievement of relative total stockholder return goals. Performance will be measured on a cumulative basis over the total performance period rather than annually for each year of the performance period.</w:t>
      </w:r>
    </w:p>
    <w:p>
      <w:pPr>
        <w:spacing w:after="0" w:line="202" w:lineRule="exact"/>
        <w:rPr>
          <w:sz w:val="20"/>
          <w:szCs w:val="20"/>
          <w:color w:val="auto"/>
        </w:rPr>
      </w:pPr>
    </w:p>
    <w:p>
      <w:pPr>
        <w:ind w:right="80"/>
        <w:spacing w:after="0"/>
        <w:rPr>
          <w:sz w:val="20"/>
          <w:szCs w:val="20"/>
          <w:color w:val="auto"/>
        </w:rPr>
      </w:pPr>
      <w:r>
        <w:rPr>
          <w:rFonts w:ascii="Arial" w:cs="Arial" w:eastAsia="Arial" w:hAnsi="Arial"/>
          <w:sz w:val="18"/>
          <w:szCs w:val="18"/>
          <w:color w:val="auto"/>
        </w:rPr>
        <w:t>We use adjusted operating income as a financial goal because it directly aligns with our growth strategy and we believe it is strongly correlated with potential stockholder value. We use total stockholder return because we believe that this metric is also closely aligned with and a clear measurement of growth in stockholder value.</w:t>
      </w:r>
    </w:p>
    <w:p>
      <w:pPr>
        <w:spacing w:after="0" w:line="203"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The target number of shares for the Fiscal 2016 performance shares was determined by dividing the target value approved by the Committee by $ 45.76, the closing sales price of our common stock on the NYSE on March 3, 2016, the trading day before the grant date of March 4, 2016. The following table sets forth the target number of shares and corresponding target value for performance share awards granted for Fiscal 2016, with the three-year performance period ending on December 28, 2019. Details about payout at threshold and maximum performance can be found in the table following this CD&amp;A entitled “Grants of Plan-Based Awards.”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760" w:type="dxa"/>
            <w:vAlign w:val="bottom"/>
          </w:tcPr>
          <w:p>
            <w:pPr>
              <w:spacing w:after="0"/>
              <w:rPr>
                <w:sz w:val="18"/>
                <w:szCs w:val="18"/>
                <w:color w:val="auto"/>
              </w:rPr>
            </w:pPr>
          </w:p>
        </w:tc>
        <w:tc>
          <w:tcPr>
            <w:tcW w:w="4080" w:type="dxa"/>
            <w:vAlign w:val="bottom"/>
          </w:tcPr>
          <w:p>
            <w:pPr>
              <w:jc w:val="right"/>
              <w:ind w:right="610"/>
              <w:spacing w:after="0"/>
              <w:rPr>
                <w:sz w:val="20"/>
                <w:szCs w:val="20"/>
                <w:color w:val="auto"/>
              </w:rPr>
            </w:pPr>
            <w:r>
              <w:rPr>
                <w:rFonts w:ascii="Arial" w:cs="Arial" w:eastAsia="Arial" w:hAnsi="Arial"/>
                <w:sz w:val="18"/>
                <w:szCs w:val="18"/>
                <w:color w:val="483E65"/>
              </w:rPr>
              <w:t>Target Value ($)</w:t>
            </w:r>
          </w:p>
        </w:tc>
        <w:tc>
          <w:tcPr>
            <w:tcW w:w="3580" w:type="dxa"/>
            <w:vAlign w:val="bottom"/>
          </w:tcPr>
          <w:p>
            <w:pPr>
              <w:jc w:val="right"/>
              <w:ind w:right="1390"/>
              <w:spacing w:after="0"/>
              <w:rPr>
                <w:sz w:val="20"/>
                <w:szCs w:val="20"/>
                <w:color w:val="auto"/>
              </w:rPr>
            </w:pPr>
            <w:r>
              <w:rPr>
                <w:rFonts w:ascii="Arial" w:cs="Arial" w:eastAsia="Arial" w:hAnsi="Arial"/>
                <w:sz w:val="18"/>
                <w:szCs w:val="18"/>
                <w:color w:val="483E65"/>
              </w:rPr>
              <w:t>Target Shares (#)</w:t>
            </w:r>
          </w:p>
        </w:tc>
      </w:tr>
      <w:tr>
        <w:trPr>
          <w:trHeight w:val="41"/>
        </w:trPr>
        <w:tc>
          <w:tcPr>
            <w:tcW w:w="3760" w:type="dxa"/>
            <w:vAlign w:val="bottom"/>
            <w:tcBorders>
              <w:bottom w:val="single" w:sz="8" w:color="483E65"/>
            </w:tcBorders>
          </w:tcPr>
          <w:p>
            <w:pPr>
              <w:spacing w:after="0"/>
              <w:rPr>
                <w:sz w:val="3"/>
                <w:szCs w:val="3"/>
                <w:color w:val="auto"/>
              </w:rPr>
            </w:pPr>
          </w:p>
        </w:tc>
        <w:tc>
          <w:tcPr>
            <w:tcW w:w="4080" w:type="dxa"/>
            <w:vAlign w:val="bottom"/>
            <w:tcBorders>
              <w:bottom w:val="single" w:sz="8" w:color="483E65"/>
            </w:tcBorders>
          </w:tcPr>
          <w:p>
            <w:pPr>
              <w:spacing w:after="0"/>
              <w:rPr>
                <w:sz w:val="3"/>
                <w:szCs w:val="3"/>
                <w:color w:val="auto"/>
              </w:rPr>
            </w:pPr>
          </w:p>
        </w:tc>
        <w:tc>
          <w:tcPr>
            <w:tcW w:w="3580" w:type="dxa"/>
            <w:vAlign w:val="bottom"/>
            <w:tcBorders>
              <w:bottom w:val="single" w:sz="8" w:color="483E65"/>
            </w:tcBorders>
          </w:tcPr>
          <w:p>
            <w:pPr>
              <w:spacing w:after="0"/>
              <w:rPr>
                <w:sz w:val="3"/>
                <w:szCs w:val="3"/>
                <w:color w:val="auto"/>
              </w:rPr>
            </w:pPr>
          </w:p>
        </w:tc>
      </w:tr>
      <w:tr>
        <w:trPr>
          <w:trHeight w:val="196"/>
        </w:trPr>
        <w:tc>
          <w:tcPr>
            <w:tcW w:w="3760" w:type="dxa"/>
            <w:vAlign w:val="bottom"/>
          </w:tcPr>
          <w:p>
            <w:pPr>
              <w:ind w:left="100"/>
              <w:spacing w:after="0" w:line="196" w:lineRule="exact"/>
              <w:rPr>
                <w:sz w:val="20"/>
                <w:szCs w:val="20"/>
                <w:color w:val="auto"/>
              </w:rPr>
            </w:pPr>
            <w:r>
              <w:rPr>
                <w:rFonts w:ascii="Arial" w:cs="Arial" w:eastAsia="Arial" w:hAnsi="Arial"/>
                <w:sz w:val="18"/>
                <w:szCs w:val="18"/>
                <w:color w:val="auto"/>
              </w:rPr>
              <w:t>Roger A. Krone</w:t>
            </w:r>
          </w:p>
        </w:tc>
        <w:tc>
          <w:tcPr>
            <w:tcW w:w="4080" w:type="dxa"/>
            <w:vAlign w:val="bottom"/>
          </w:tcPr>
          <w:p>
            <w:pPr>
              <w:jc w:val="right"/>
              <w:ind w:right="610"/>
              <w:spacing w:after="0" w:line="196" w:lineRule="exact"/>
              <w:rPr>
                <w:sz w:val="20"/>
                <w:szCs w:val="20"/>
                <w:color w:val="auto"/>
              </w:rPr>
            </w:pPr>
            <w:r>
              <w:rPr>
                <w:rFonts w:ascii="Arial" w:cs="Arial" w:eastAsia="Arial" w:hAnsi="Arial"/>
                <w:sz w:val="18"/>
                <w:szCs w:val="18"/>
                <w:color w:val="auto"/>
              </w:rPr>
              <w:t>2,350,000</w:t>
            </w:r>
          </w:p>
        </w:tc>
        <w:tc>
          <w:tcPr>
            <w:tcW w:w="3580" w:type="dxa"/>
            <w:vAlign w:val="bottom"/>
          </w:tcPr>
          <w:p>
            <w:pPr>
              <w:jc w:val="right"/>
              <w:ind w:right="1390"/>
              <w:spacing w:after="0" w:line="196" w:lineRule="exact"/>
              <w:rPr>
                <w:sz w:val="20"/>
                <w:szCs w:val="20"/>
                <w:color w:val="auto"/>
              </w:rPr>
            </w:pPr>
            <w:r>
              <w:rPr>
                <w:rFonts w:ascii="Arial" w:cs="Arial" w:eastAsia="Arial" w:hAnsi="Arial"/>
                <w:sz w:val="18"/>
                <w:szCs w:val="18"/>
                <w:color w:val="auto"/>
              </w:rPr>
              <w:t>51,355</w:t>
            </w:r>
          </w:p>
        </w:tc>
      </w:tr>
      <w:tr>
        <w:trPr>
          <w:trHeight w:val="203"/>
        </w:trPr>
        <w:tc>
          <w:tcPr>
            <w:tcW w:w="3760" w:type="dxa"/>
            <w:vAlign w:val="bottom"/>
            <w:shd w:val="clear" w:color="auto" w:fill="ACABA7"/>
          </w:tcPr>
          <w:p>
            <w:pPr>
              <w:ind w:left="100"/>
              <w:spacing w:after="0" w:line="202" w:lineRule="exact"/>
              <w:rPr>
                <w:sz w:val="20"/>
                <w:szCs w:val="20"/>
                <w:color w:val="auto"/>
              </w:rPr>
            </w:pPr>
            <w:r>
              <w:rPr>
                <w:rFonts w:ascii="Arial" w:cs="Arial" w:eastAsia="Arial" w:hAnsi="Arial"/>
                <w:sz w:val="18"/>
                <w:szCs w:val="18"/>
                <w:color w:val="auto"/>
              </w:rPr>
              <w:t>James C. Reagan</w:t>
            </w:r>
          </w:p>
        </w:tc>
        <w:tc>
          <w:tcPr>
            <w:tcW w:w="4080" w:type="dxa"/>
            <w:vAlign w:val="bottom"/>
            <w:shd w:val="clear" w:color="auto" w:fill="ACABA7"/>
          </w:tcPr>
          <w:p>
            <w:pPr>
              <w:jc w:val="right"/>
              <w:ind w:right="610"/>
              <w:spacing w:after="0" w:line="202" w:lineRule="exact"/>
              <w:rPr>
                <w:sz w:val="20"/>
                <w:szCs w:val="20"/>
                <w:color w:val="auto"/>
              </w:rPr>
            </w:pPr>
            <w:r>
              <w:rPr>
                <w:rFonts w:ascii="Arial" w:cs="Arial" w:eastAsia="Arial" w:hAnsi="Arial"/>
                <w:sz w:val="18"/>
                <w:szCs w:val="18"/>
                <w:color w:val="auto"/>
              </w:rPr>
              <w:t>600,000</w:t>
            </w:r>
          </w:p>
        </w:tc>
        <w:tc>
          <w:tcPr>
            <w:tcW w:w="3580" w:type="dxa"/>
            <w:vAlign w:val="bottom"/>
            <w:shd w:val="clear" w:color="auto" w:fill="ACABA7"/>
          </w:tcPr>
          <w:p>
            <w:pPr>
              <w:jc w:val="right"/>
              <w:ind w:right="1390"/>
              <w:spacing w:after="0" w:line="202" w:lineRule="exact"/>
              <w:rPr>
                <w:sz w:val="20"/>
                <w:szCs w:val="20"/>
                <w:color w:val="auto"/>
              </w:rPr>
            </w:pPr>
            <w:r>
              <w:rPr>
                <w:rFonts w:ascii="Arial" w:cs="Arial" w:eastAsia="Arial" w:hAnsi="Arial"/>
                <w:sz w:val="18"/>
                <w:szCs w:val="18"/>
                <w:color w:val="auto"/>
              </w:rPr>
              <w:t>13,112</w:t>
            </w:r>
          </w:p>
        </w:tc>
      </w:tr>
      <w:tr>
        <w:trPr>
          <w:trHeight w:val="203"/>
        </w:trPr>
        <w:tc>
          <w:tcPr>
            <w:tcW w:w="3760" w:type="dxa"/>
            <w:vAlign w:val="bottom"/>
          </w:tcPr>
          <w:p>
            <w:pPr>
              <w:ind w:left="100"/>
              <w:spacing w:after="0" w:line="202" w:lineRule="exact"/>
              <w:rPr>
                <w:sz w:val="20"/>
                <w:szCs w:val="20"/>
                <w:color w:val="auto"/>
              </w:rPr>
            </w:pPr>
            <w:r>
              <w:rPr>
                <w:rFonts w:ascii="Arial" w:cs="Arial" w:eastAsia="Arial" w:hAnsi="Arial"/>
                <w:sz w:val="18"/>
                <w:szCs w:val="18"/>
                <w:color w:val="auto"/>
              </w:rPr>
              <w:t>Michael E. Leiter</w:t>
            </w:r>
          </w:p>
        </w:tc>
        <w:tc>
          <w:tcPr>
            <w:tcW w:w="4080" w:type="dxa"/>
            <w:vAlign w:val="bottom"/>
          </w:tcPr>
          <w:p>
            <w:pPr>
              <w:jc w:val="right"/>
              <w:ind w:right="610"/>
              <w:spacing w:after="0" w:line="202" w:lineRule="exact"/>
              <w:rPr>
                <w:sz w:val="20"/>
                <w:szCs w:val="20"/>
                <w:color w:val="auto"/>
              </w:rPr>
            </w:pPr>
            <w:r>
              <w:rPr>
                <w:rFonts w:ascii="Arial" w:cs="Arial" w:eastAsia="Arial" w:hAnsi="Arial"/>
                <w:sz w:val="18"/>
                <w:szCs w:val="18"/>
                <w:color w:val="auto"/>
              </w:rPr>
              <w:t>450,000</w:t>
            </w:r>
          </w:p>
        </w:tc>
        <w:tc>
          <w:tcPr>
            <w:tcW w:w="3580" w:type="dxa"/>
            <w:vAlign w:val="bottom"/>
          </w:tcPr>
          <w:p>
            <w:pPr>
              <w:jc w:val="right"/>
              <w:ind w:right="1390"/>
              <w:spacing w:after="0" w:line="202" w:lineRule="exact"/>
              <w:rPr>
                <w:sz w:val="20"/>
                <w:szCs w:val="20"/>
                <w:color w:val="auto"/>
              </w:rPr>
            </w:pPr>
            <w:r>
              <w:rPr>
                <w:rFonts w:ascii="Arial" w:cs="Arial" w:eastAsia="Arial" w:hAnsi="Arial"/>
                <w:sz w:val="18"/>
                <w:szCs w:val="18"/>
                <w:color w:val="auto"/>
              </w:rPr>
              <w:t>9,834</w:t>
            </w:r>
          </w:p>
        </w:tc>
      </w:tr>
      <w:tr>
        <w:trPr>
          <w:trHeight w:val="203"/>
        </w:trPr>
        <w:tc>
          <w:tcPr>
            <w:tcW w:w="3760" w:type="dxa"/>
            <w:vAlign w:val="bottom"/>
            <w:shd w:val="clear" w:color="auto" w:fill="ACABA7"/>
          </w:tcPr>
          <w:p>
            <w:pPr>
              <w:ind w:left="100"/>
              <w:spacing w:after="0" w:line="202" w:lineRule="exact"/>
              <w:rPr>
                <w:sz w:val="20"/>
                <w:szCs w:val="20"/>
                <w:color w:val="auto"/>
              </w:rPr>
            </w:pPr>
            <w:r>
              <w:rPr>
                <w:rFonts w:ascii="Arial" w:cs="Arial" w:eastAsia="Arial" w:hAnsi="Arial"/>
                <w:sz w:val="18"/>
                <w:szCs w:val="18"/>
                <w:color w:val="auto"/>
              </w:rPr>
              <w:t>Vincent A. Maffeo</w:t>
            </w:r>
          </w:p>
        </w:tc>
        <w:tc>
          <w:tcPr>
            <w:tcW w:w="4080" w:type="dxa"/>
            <w:vAlign w:val="bottom"/>
            <w:shd w:val="clear" w:color="auto" w:fill="ACABA7"/>
          </w:tcPr>
          <w:p>
            <w:pPr>
              <w:jc w:val="right"/>
              <w:ind w:right="610"/>
              <w:spacing w:after="0" w:line="202" w:lineRule="exact"/>
              <w:rPr>
                <w:sz w:val="20"/>
                <w:szCs w:val="20"/>
                <w:color w:val="auto"/>
              </w:rPr>
            </w:pPr>
            <w:r>
              <w:rPr>
                <w:rFonts w:ascii="Arial" w:cs="Arial" w:eastAsia="Arial" w:hAnsi="Arial"/>
                <w:sz w:val="18"/>
                <w:szCs w:val="18"/>
                <w:color w:val="auto"/>
              </w:rPr>
              <w:t>450,000</w:t>
            </w:r>
          </w:p>
        </w:tc>
        <w:tc>
          <w:tcPr>
            <w:tcW w:w="3580" w:type="dxa"/>
            <w:vAlign w:val="bottom"/>
            <w:shd w:val="clear" w:color="auto" w:fill="ACABA7"/>
          </w:tcPr>
          <w:p>
            <w:pPr>
              <w:jc w:val="right"/>
              <w:ind w:right="1390"/>
              <w:spacing w:after="0" w:line="202" w:lineRule="exact"/>
              <w:rPr>
                <w:sz w:val="20"/>
                <w:szCs w:val="20"/>
                <w:color w:val="auto"/>
              </w:rPr>
            </w:pPr>
            <w:r>
              <w:rPr>
                <w:rFonts w:ascii="Arial" w:cs="Arial" w:eastAsia="Arial" w:hAnsi="Arial"/>
                <w:sz w:val="18"/>
                <w:szCs w:val="18"/>
                <w:color w:val="auto"/>
              </w:rPr>
              <w:t>9,834</w:t>
            </w:r>
          </w:p>
        </w:tc>
      </w:tr>
      <w:tr>
        <w:trPr>
          <w:trHeight w:val="217"/>
        </w:trPr>
        <w:tc>
          <w:tcPr>
            <w:tcW w:w="3760" w:type="dxa"/>
            <w:vAlign w:val="bottom"/>
          </w:tcPr>
          <w:p>
            <w:pPr>
              <w:ind w:left="100"/>
              <w:spacing w:after="0"/>
              <w:rPr>
                <w:sz w:val="20"/>
                <w:szCs w:val="20"/>
                <w:color w:val="auto"/>
              </w:rPr>
            </w:pPr>
            <w:r>
              <w:rPr>
                <w:rFonts w:ascii="Arial" w:cs="Arial" w:eastAsia="Arial" w:hAnsi="Arial"/>
                <w:sz w:val="18"/>
                <w:szCs w:val="18"/>
                <w:color w:val="auto"/>
              </w:rPr>
              <w:t>Timothy J. Reardon</w:t>
            </w:r>
          </w:p>
        </w:tc>
        <w:tc>
          <w:tcPr>
            <w:tcW w:w="4080" w:type="dxa"/>
            <w:vAlign w:val="bottom"/>
          </w:tcPr>
          <w:p>
            <w:pPr>
              <w:jc w:val="right"/>
              <w:ind w:right="610"/>
              <w:spacing w:after="0"/>
              <w:rPr>
                <w:sz w:val="20"/>
                <w:szCs w:val="20"/>
                <w:color w:val="auto"/>
              </w:rPr>
            </w:pPr>
            <w:r>
              <w:rPr>
                <w:rFonts w:ascii="Arial" w:cs="Arial" w:eastAsia="Arial" w:hAnsi="Arial"/>
                <w:sz w:val="18"/>
                <w:szCs w:val="18"/>
                <w:color w:val="auto"/>
              </w:rPr>
              <w:t>N/A</w:t>
            </w:r>
          </w:p>
        </w:tc>
        <w:tc>
          <w:tcPr>
            <w:tcW w:w="3580" w:type="dxa"/>
            <w:vAlign w:val="bottom"/>
          </w:tcPr>
          <w:p>
            <w:pPr>
              <w:jc w:val="right"/>
              <w:ind w:right="1390"/>
              <w:spacing w:after="0"/>
              <w:rPr>
                <w:sz w:val="20"/>
                <w:szCs w:val="20"/>
                <w:color w:val="auto"/>
              </w:rPr>
            </w:pPr>
            <w:r>
              <w:rPr>
                <w:rFonts w:ascii="Arial" w:cs="Arial" w:eastAsia="Arial" w:hAnsi="Arial"/>
                <w:sz w:val="18"/>
                <w:szCs w:val="18"/>
                <w:color w:val="auto"/>
              </w:rPr>
              <w:t>N/A</w:t>
            </w:r>
          </w:p>
        </w:tc>
      </w:tr>
    </w:tbl>
    <w:p>
      <w:pPr>
        <w:spacing w:after="0" w:line="201" w:lineRule="exact"/>
        <w:rPr>
          <w:sz w:val="20"/>
          <w:szCs w:val="20"/>
          <w:color w:val="auto"/>
        </w:rPr>
      </w:pPr>
    </w:p>
    <w:p>
      <w:pPr>
        <w:jc w:val="both"/>
        <w:ind w:right="40"/>
        <w:spacing w:after="0"/>
        <w:rPr>
          <w:sz w:val="20"/>
          <w:szCs w:val="20"/>
          <w:color w:val="auto"/>
        </w:rPr>
      </w:pPr>
      <w:r>
        <w:rPr>
          <w:rFonts w:ascii="Arial" w:cs="Arial" w:eastAsia="Arial" w:hAnsi="Arial"/>
          <w:sz w:val="18"/>
          <w:szCs w:val="18"/>
          <w:color w:val="auto"/>
        </w:rPr>
        <w:t>In the first quarter of Fiscal 2016, we also set the goals for the shares allocated to the third and final year of the fiscal 2015 performance share awards. These performance shares awards, granted in April 2014 to Mr. Maffeo, and in July 2014 to Mr. Krone, vest based on a single metric— adjusted operating income—with the Committee setting a one-year goal at the beginning of each respective year.</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380" w:type="dxa"/>
            <w:vAlign w:val="bottom"/>
          </w:tcPr>
          <w:p>
            <w:pPr>
              <w:spacing w:after="0"/>
              <w:rPr>
                <w:sz w:val="20"/>
                <w:szCs w:val="20"/>
                <w:color w:val="auto"/>
              </w:rPr>
            </w:pPr>
            <w:r>
              <w:rPr>
                <w:rFonts w:ascii="Arial" w:cs="Arial" w:eastAsia="Arial" w:hAnsi="Arial"/>
                <w:sz w:val="18"/>
                <w:szCs w:val="18"/>
                <w:b w:val="1"/>
                <w:bCs w:val="1"/>
                <w:color w:val="483E65"/>
              </w:rPr>
              <w:t>Level of Performance</w:t>
            </w:r>
          </w:p>
        </w:tc>
        <w:tc>
          <w:tcPr>
            <w:tcW w:w="6040" w:type="dxa"/>
            <w:vAlign w:val="bottom"/>
          </w:tcPr>
          <w:p>
            <w:pPr>
              <w:jc w:val="center"/>
              <w:ind w:left="2850"/>
              <w:spacing w:after="0"/>
              <w:rPr>
                <w:sz w:val="20"/>
                <w:szCs w:val="20"/>
                <w:color w:val="auto"/>
              </w:rPr>
            </w:pPr>
            <w:r>
              <w:rPr>
                <w:rFonts w:ascii="Arial" w:cs="Arial" w:eastAsia="Arial" w:hAnsi="Arial"/>
                <w:sz w:val="18"/>
                <w:szCs w:val="18"/>
                <w:color w:val="483E65"/>
              </w:rPr>
              <w:t>Adjusted Operating Income ($)</w:t>
            </w:r>
          </w:p>
        </w:tc>
      </w:tr>
      <w:tr>
        <w:trPr>
          <w:trHeight w:val="41"/>
        </w:trPr>
        <w:tc>
          <w:tcPr>
            <w:tcW w:w="5380" w:type="dxa"/>
            <w:vAlign w:val="bottom"/>
            <w:tcBorders>
              <w:bottom w:val="single" w:sz="8" w:color="483E65"/>
            </w:tcBorders>
          </w:tcPr>
          <w:p>
            <w:pPr>
              <w:spacing w:after="0"/>
              <w:rPr>
                <w:sz w:val="3"/>
                <w:szCs w:val="3"/>
                <w:color w:val="auto"/>
              </w:rPr>
            </w:pPr>
          </w:p>
        </w:tc>
        <w:tc>
          <w:tcPr>
            <w:tcW w:w="6040" w:type="dxa"/>
            <w:vAlign w:val="bottom"/>
            <w:tcBorders>
              <w:bottom w:val="single" w:sz="8" w:color="483E65"/>
            </w:tcBorders>
          </w:tcPr>
          <w:p>
            <w:pPr>
              <w:spacing w:after="0"/>
              <w:rPr>
                <w:sz w:val="3"/>
                <w:szCs w:val="3"/>
                <w:color w:val="auto"/>
              </w:rPr>
            </w:pPr>
          </w:p>
        </w:tc>
      </w:tr>
      <w:tr>
        <w:trPr>
          <w:trHeight w:val="196"/>
        </w:trPr>
        <w:tc>
          <w:tcPr>
            <w:tcW w:w="5380" w:type="dxa"/>
            <w:vAlign w:val="bottom"/>
          </w:tcPr>
          <w:p>
            <w:pPr>
              <w:ind w:left="100"/>
              <w:spacing w:after="0" w:line="196" w:lineRule="exact"/>
              <w:rPr>
                <w:sz w:val="20"/>
                <w:szCs w:val="20"/>
                <w:color w:val="auto"/>
              </w:rPr>
            </w:pPr>
            <w:r>
              <w:rPr>
                <w:rFonts w:ascii="Arial" w:cs="Arial" w:eastAsia="Arial" w:hAnsi="Arial"/>
                <w:sz w:val="18"/>
                <w:szCs w:val="18"/>
                <w:color w:val="auto"/>
              </w:rPr>
              <w:t>No payout</w:t>
            </w:r>
          </w:p>
        </w:tc>
        <w:tc>
          <w:tcPr>
            <w:tcW w:w="6040" w:type="dxa"/>
            <w:vAlign w:val="bottom"/>
          </w:tcPr>
          <w:p>
            <w:pPr>
              <w:jc w:val="center"/>
              <w:ind w:left="2850"/>
              <w:spacing w:after="0" w:line="196" w:lineRule="exact"/>
              <w:rPr>
                <w:sz w:val="20"/>
                <w:szCs w:val="20"/>
                <w:color w:val="auto"/>
              </w:rPr>
            </w:pPr>
            <w:r>
              <w:rPr>
                <w:rFonts w:ascii="Arial" w:cs="Arial" w:eastAsia="Arial" w:hAnsi="Arial"/>
                <w:sz w:val="18"/>
                <w:szCs w:val="18"/>
                <w:color w:val="auto"/>
              </w:rPr>
              <w:t>Less than 183 million</w:t>
            </w:r>
          </w:p>
        </w:tc>
      </w:tr>
      <w:tr>
        <w:trPr>
          <w:trHeight w:val="203"/>
        </w:trPr>
        <w:tc>
          <w:tcPr>
            <w:tcW w:w="5380" w:type="dxa"/>
            <w:vAlign w:val="bottom"/>
            <w:shd w:val="clear" w:color="auto" w:fill="ACABA7"/>
          </w:tcPr>
          <w:p>
            <w:pPr>
              <w:ind w:left="100"/>
              <w:spacing w:after="0" w:line="202" w:lineRule="exact"/>
              <w:rPr>
                <w:sz w:val="20"/>
                <w:szCs w:val="20"/>
                <w:color w:val="auto"/>
              </w:rPr>
            </w:pPr>
            <w:r>
              <w:rPr>
                <w:rFonts w:ascii="Arial" w:cs="Arial" w:eastAsia="Arial" w:hAnsi="Arial"/>
                <w:sz w:val="18"/>
                <w:szCs w:val="18"/>
                <w:color w:val="auto"/>
              </w:rPr>
              <w:t>Threshold (50% payout)</w:t>
            </w:r>
          </w:p>
        </w:tc>
        <w:tc>
          <w:tcPr>
            <w:tcW w:w="6040" w:type="dxa"/>
            <w:vAlign w:val="bottom"/>
            <w:shd w:val="clear" w:color="auto" w:fill="ACABA7"/>
          </w:tcPr>
          <w:p>
            <w:pPr>
              <w:jc w:val="center"/>
              <w:ind w:left="2850"/>
              <w:spacing w:after="0" w:line="202" w:lineRule="exact"/>
              <w:rPr>
                <w:sz w:val="20"/>
                <w:szCs w:val="20"/>
                <w:color w:val="auto"/>
              </w:rPr>
            </w:pPr>
            <w:r>
              <w:rPr>
                <w:rFonts w:ascii="Arial" w:cs="Arial" w:eastAsia="Arial" w:hAnsi="Arial"/>
                <w:sz w:val="18"/>
                <w:szCs w:val="18"/>
                <w:color w:val="auto"/>
                <w:w w:val="99"/>
              </w:rPr>
              <w:t>183 million</w:t>
            </w:r>
          </w:p>
        </w:tc>
      </w:tr>
      <w:tr>
        <w:trPr>
          <w:trHeight w:val="203"/>
        </w:trPr>
        <w:tc>
          <w:tcPr>
            <w:tcW w:w="5380" w:type="dxa"/>
            <w:vAlign w:val="bottom"/>
          </w:tcPr>
          <w:p>
            <w:pPr>
              <w:ind w:left="100"/>
              <w:spacing w:after="0" w:line="202" w:lineRule="exact"/>
              <w:rPr>
                <w:sz w:val="20"/>
                <w:szCs w:val="20"/>
                <w:color w:val="auto"/>
              </w:rPr>
            </w:pPr>
            <w:r>
              <w:rPr>
                <w:rFonts w:ascii="Arial" w:cs="Arial" w:eastAsia="Arial" w:hAnsi="Arial"/>
                <w:sz w:val="18"/>
                <w:szCs w:val="18"/>
                <w:color w:val="auto"/>
              </w:rPr>
              <w:t>Target (100% payout)</w:t>
            </w:r>
          </w:p>
        </w:tc>
        <w:tc>
          <w:tcPr>
            <w:tcW w:w="6040" w:type="dxa"/>
            <w:vAlign w:val="bottom"/>
          </w:tcPr>
          <w:p>
            <w:pPr>
              <w:jc w:val="center"/>
              <w:ind w:left="2850"/>
              <w:spacing w:after="0" w:line="202" w:lineRule="exact"/>
              <w:rPr>
                <w:sz w:val="20"/>
                <w:szCs w:val="20"/>
                <w:color w:val="auto"/>
              </w:rPr>
            </w:pPr>
            <w:r>
              <w:rPr>
                <w:rFonts w:ascii="Arial" w:cs="Arial" w:eastAsia="Arial" w:hAnsi="Arial"/>
                <w:sz w:val="18"/>
                <w:szCs w:val="18"/>
                <w:color w:val="auto"/>
                <w:w w:val="99"/>
              </w:rPr>
              <w:t>366 million</w:t>
            </w:r>
          </w:p>
        </w:tc>
      </w:tr>
      <w:tr>
        <w:trPr>
          <w:trHeight w:val="203"/>
        </w:trPr>
        <w:tc>
          <w:tcPr>
            <w:tcW w:w="5380" w:type="dxa"/>
            <w:vAlign w:val="bottom"/>
            <w:shd w:val="clear" w:color="auto" w:fill="ACABA7"/>
          </w:tcPr>
          <w:p>
            <w:pPr>
              <w:ind w:left="100"/>
              <w:spacing w:after="0" w:line="202" w:lineRule="exact"/>
              <w:rPr>
                <w:sz w:val="20"/>
                <w:szCs w:val="20"/>
                <w:color w:val="auto"/>
              </w:rPr>
            </w:pPr>
            <w:r>
              <w:rPr>
                <w:rFonts w:ascii="Arial" w:cs="Arial" w:eastAsia="Arial" w:hAnsi="Arial"/>
                <w:sz w:val="18"/>
                <w:szCs w:val="18"/>
                <w:color w:val="auto"/>
              </w:rPr>
              <w:t>Maximum (150% payout)</w:t>
            </w:r>
          </w:p>
        </w:tc>
        <w:tc>
          <w:tcPr>
            <w:tcW w:w="6040" w:type="dxa"/>
            <w:vAlign w:val="bottom"/>
            <w:shd w:val="clear" w:color="auto" w:fill="ACABA7"/>
          </w:tcPr>
          <w:p>
            <w:pPr>
              <w:jc w:val="center"/>
              <w:ind w:left="2850"/>
              <w:spacing w:after="0" w:line="202" w:lineRule="exact"/>
              <w:rPr>
                <w:sz w:val="20"/>
                <w:szCs w:val="20"/>
                <w:color w:val="auto"/>
              </w:rPr>
            </w:pPr>
            <w:r>
              <w:rPr>
                <w:rFonts w:ascii="Arial" w:cs="Arial" w:eastAsia="Arial" w:hAnsi="Arial"/>
                <w:sz w:val="18"/>
                <w:szCs w:val="18"/>
                <w:color w:val="auto"/>
                <w:w w:val="99"/>
              </w:rPr>
              <w:t>549 million</w:t>
            </w: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Payouts for performance between the threshold and maximum levels are calculated on a straight-line basis.</w:t>
      </w:r>
    </w:p>
    <w:p>
      <w:pPr>
        <w:spacing w:after="0" w:line="194" w:lineRule="exact"/>
        <w:rPr>
          <w:sz w:val="20"/>
          <w:szCs w:val="20"/>
          <w:color w:val="auto"/>
        </w:rPr>
      </w:pPr>
    </w:p>
    <w:p>
      <w:pPr>
        <w:ind w:right="100"/>
        <w:spacing w:after="0" w:line="242" w:lineRule="auto"/>
        <w:rPr>
          <w:sz w:val="20"/>
          <w:szCs w:val="20"/>
          <w:color w:val="auto"/>
        </w:rPr>
      </w:pPr>
      <w:r>
        <w:rPr>
          <w:rFonts w:ascii="Arial" w:cs="Arial" w:eastAsia="Arial" w:hAnsi="Arial"/>
          <w:sz w:val="18"/>
          <w:szCs w:val="18"/>
          <w:i w:val="1"/>
          <w:iCs w:val="1"/>
          <w:color w:val="483E65"/>
        </w:rPr>
        <w:t xml:space="preserve">Determination of Performance Shares Earned for Fiscal 2016. </w:t>
      </w:r>
      <w:r>
        <w:rPr>
          <w:rFonts w:ascii="Arial" w:cs="Arial" w:eastAsia="Arial" w:hAnsi="Arial"/>
          <w:sz w:val="18"/>
          <w:szCs w:val="18"/>
          <w:color w:val="000000"/>
        </w:rPr>
        <w:t>The Committee determined that 113.7% of the target shares allocated to this</w:t>
      </w:r>
      <w:r>
        <w:rPr>
          <w:rFonts w:ascii="Arial" w:cs="Arial" w:eastAsia="Arial" w:hAnsi="Arial"/>
          <w:sz w:val="18"/>
          <w:szCs w:val="18"/>
          <w:i w:val="1"/>
          <w:iCs w:val="1"/>
          <w:color w:val="483E65"/>
        </w:rPr>
        <w:t xml:space="preserve"> </w:t>
      </w:r>
      <w:r>
        <w:rPr>
          <w:rFonts w:ascii="Arial" w:cs="Arial" w:eastAsia="Arial" w:hAnsi="Arial"/>
          <w:sz w:val="18"/>
          <w:szCs w:val="18"/>
          <w:color w:val="000000"/>
        </w:rPr>
        <w:t>performance period (one-third of the target grant amount) were earned based on the achievement of annual adjusted operating income of $416 million. As of December 30, 2016 (the end of our prior fiscal year), the service-vesting requirements were met and therefore all shares determined to be earned over the last three fiscal years, including the third and final tranche described above, will be distributed. The following chart shows the adjusted operating income targets and actual results for each year during the three-year performance period:</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740" w:type="dxa"/>
            <w:vAlign w:val="bottom"/>
          </w:tcPr>
          <w:p>
            <w:pPr>
              <w:spacing w:after="0"/>
              <w:rPr>
                <w:sz w:val="20"/>
                <w:szCs w:val="20"/>
                <w:color w:val="auto"/>
              </w:rPr>
            </w:pPr>
            <w:r>
              <w:rPr>
                <w:rFonts w:ascii="Arial" w:cs="Arial" w:eastAsia="Arial" w:hAnsi="Arial"/>
                <w:sz w:val="18"/>
                <w:szCs w:val="18"/>
                <w:b w:val="1"/>
                <w:bCs w:val="1"/>
                <w:color w:val="483E65"/>
              </w:rPr>
              <w:t>Period</w:t>
            </w:r>
          </w:p>
        </w:tc>
        <w:tc>
          <w:tcPr>
            <w:tcW w:w="2660" w:type="dxa"/>
            <w:vAlign w:val="bottom"/>
          </w:tcPr>
          <w:p>
            <w:pPr>
              <w:jc w:val="right"/>
              <w:ind w:right="292"/>
              <w:spacing w:after="0"/>
              <w:rPr>
                <w:sz w:val="20"/>
                <w:szCs w:val="20"/>
                <w:color w:val="auto"/>
              </w:rPr>
            </w:pPr>
            <w:r>
              <w:rPr>
                <w:rFonts w:ascii="Arial" w:cs="Arial" w:eastAsia="Arial" w:hAnsi="Arial"/>
                <w:sz w:val="16"/>
                <w:szCs w:val="16"/>
                <w:color w:val="483E65"/>
              </w:rPr>
              <w:t>Target ($)</w:t>
            </w:r>
          </w:p>
        </w:tc>
        <w:tc>
          <w:tcPr>
            <w:tcW w:w="1620" w:type="dxa"/>
            <w:vAlign w:val="bottom"/>
          </w:tcPr>
          <w:p>
            <w:pPr>
              <w:jc w:val="right"/>
              <w:ind w:right="452"/>
              <w:spacing w:after="0"/>
              <w:rPr>
                <w:sz w:val="20"/>
                <w:szCs w:val="20"/>
                <w:color w:val="auto"/>
              </w:rPr>
            </w:pPr>
            <w:r>
              <w:rPr>
                <w:rFonts w:ascii="Arial" w:cs="Arial" w:eastAsia="Arial" w:hAnsi="Arial"/>
                <w:sz w:val="16"/>
                <w:szCs w:val="16"/>
                <w:color w:val="483E65"/>
              </w:rPr>
              <w:t>Actual ($)</w:t>
            </w:r>
          </w:p>
        </w:tc>
        <w:tc>
          <w:tcPr>
            <w:tcW w:w="2400" w:type="dxa"/>
            <w:vAlign w:val="bottom"/>
          </w:tcPr>
          <w:p>
            <w:pPr>
              <w:jc w:val="right"/>
              <w:ind w:right="92"/>
              <w:spacing w:after="0"/>
              <w:rPr>
                <w:sz w:val="20"/>
                <w:szCs w:val="20"/>
                <w:color w:val="auto"/>
              </w:rPr>
            </w:pPr>
            <w:r>
              <w:rPr>
                <w:rFonts w:ascii="Arial" w:cs="Arial" w:eastAsia="Arial" w:hAnsi="Arial"/>
                <w:sz w:val="16"/>
                <w:szCs w:val="16"/>
                <w:color w:val="483E65"/>
              </w:rPr>
              <w:t>Achievement Level (%)</w:t>
            </w:r>
          </w:p>
        </w:tc>
      </w:tr>
      <w:tr>
        <w:trPr>
          <w:trHeight w:val="81"/>
        </w:trPr>
        <w:tc>
          <w:tcPr>
            <w:tcW w:w="4740" w:type="dxa"/>
            <w:vAlign w:val="bottom"/>
            <w:tcBorders>
              <w:bottom w:val="single" w:sz="8" w:color="483E65"/>
            </w:tcBorders>
          </w:tcPr>
          <w:p>
            <w:pPr>
              <w:spacing w:after="0"/>
              <w:rPr>
                <w:sz w:val="7"/>
                <w:szCs w:val="7"/>
                <w:color w:val="auto"/>
              </w:rPr>
            </w:pPr>
          </w:p>
        </w:tc>
        <w:tc>
          <w:tcPr>
            <w:tcW w:w="2660" w:type="dxa"/>
            <w:vAlign w:val="bottom"/>
            <w:tcBorders>
              <w:bottom w:val="single" w:sz="8" w:color="483E65"/>
            </w:tcBorders>
          </w:tcPr>
          <w:p>
            <w:pPr>
              <w:spacing w:after="0"/>
              <w:rPr>
                <w:sz w:val="7"/>
                <w:szCs w:val="7"/>
                <w:color w:val="auto"/>
              </w:rPr>
            </w:pPr>
          </w:p>
        </w:tc>
        <w:tc>
          <w:tcPr>
            <w:tcW w:w="1620" w:type="dxa"/>
            <w:vAlign w:val="bottom"/>
            <w:tcBorders>
              <w:bottom w:val="single" w:sz="8" w:color="483E65"/>
            </w:tcBorders>
          </w:tcPr>
          <w:p>
            <w:pPr>
              <w:spacing w:after="0"/>
              <w:rPr>
                <w:sz w:val="7"/>
                <w:szCs w:val="7"/>
                <w:color w:val="auto"/>
              </w:rPr>
            </w:pPr>
          </w:p>
        </w:tc>
        <w:tc>
          <w:tcPr>
            <w:tcW w:w="2400" w:type="dxa"/>
            <w:vAlign w:val="bottom"/>
            <w:tcBorders>
              <w:bottom w:val="single" w:sz="8" w:color="483E65"/>
            </w:tcBorders>
          </w:tcPr>
          <w:p>
            <w:pPr>
              <w:spacing w:after="0"/>
              <w:rPr>
                <w:sz w:val="7"/>
                <w:szCs w:val="7"/>
                <w:color w:val="auto"/>
              </w:rPr>
            </w:pPr>
          </w:p>
        </w:tc>
      </w:tr>
      <w:tr>
        <w:trPr>
          <w:trHeight w:val="196"/>
        </w:trPr>
        <w:tc>
          <w:tcPr>
            <w:tcW w:w="4740" w:type="dxa"/>
            <w:vAlign w:val="bottom"/>
          </w:tcPr>
          <w:p>
            <w:pPr>
              <w:ind w:left="100"/>
              <w:spacing w:after="0" w:line="196" w:lineRule="exact"/>
              <w:rPr>
                <w:sz w:val="20"/>
                <w:szCs w:val="20"/>
                <w:color w:val="auto"/>
              </w:rPr>
            </w:pPr>
            <w:r>
              <w:rPr>
                <w:rFonts w:ascii="Arial" w:cs="Arial" w:eastAsia="Arial" w:hAnsi="Arial"/>
                <w:sz w:val="18"/>
                <w:szCs w:val="18"/>
                <w:color w:val="auto"/>
              </w:rPr>
              <w:t>12 months ended January 30, 2015</w:t>
            </w:r>
          </w:p>
        </w:tc>
        <w:tc>
          <w:tcPr>
            <w:tcW w:w="2660" w:type="dxa"/>
            <w:vAlign w:val="bottom"/>
          </w:tcPr>
          <w:p>
            <w:pPr>
              <w:jc w:val="right"/>
              <w:ind w:right="272"/>
              <w:spacing w:after="0" w:line="196" w:lineRule="exact"/>
              <w:rPr>
                <w:sz w:val="20"/>
                <w:szCs w:val="20"/>
                <w:color w:val="auto"/>
              </w:rPr>
            </w:pPr>
            <w:r>
              <w:rPr>
                <w:rFonts w:ascii="Arial" w:cs="Arial" w:eastAsia="Arial" w:hAnsi="Arial"/>
                <w:sz w:val="18"/>
                <w:szCs w:val="18"/>
                <w:color w:val="auto"/>
              </w:rPr>
              <w:t>398M</w:t>
            </w:r>
          </w:p>
        </w:tc>
        <w:tc>
          <w:tcPr>
            <w:tcW w:w="1620" w:type="dxa"/>
            <w:vAlign w:val="bottom"/>
          </w:tcPr>
          <w:p>
            <w:pPr>
              <w:jc w:val="right"/>
              <w:ind w:right="452"/>
              <w:spacing w:after="0" w:line="196" w:lineRule="exact"/>
              <w:rPr>
                <w:sz w:val="20"/>
                <w:szCs w:val="20"/>
                <w:color w:val="auto"/>
              </w:rPr>
            </w:pPr>
            <w:r>
              <w:rPr>
                <w:rFonts w:ascii="Arial" w:cs="Arial" w:eastAsia="Arial" w:hAnsi="Arial"/>
                <w:sz w:val="18"/>
                <w:szCs w:val="18"/>
                <w:color w:val="auto"/>
              </w:rPr>
              <w:t>356M</w:t>
            </w:r>
          </w:p>
        </w:tc>
        <w:tc>
          <w:tcPr>
            <w:tcW w:w="2400" w:type="dxa"/>
            <w:vAlign w:val="bottom"/>
          </w:tcPr>
          <w:p>
            <w:pPr>
              <w:jc w:val="right"/>
              <w:ind w:right="612"/>
              <w:spacing w:after="0" w:line="196" w:lineRule="exact"/>
              <w:rPr>
                <w:sz w:val="20"/>
                <w:szCs w:val="20"/>
                <w:color w:val="auto"/>
              </w:rPr>
            </w:pPr>
            <w:r>
              <w:rPr>
                <w:rFonts w:ascii="Arial" w:cs="Arial" w:eastAsia="Arial" w:hAnsi="Arial"/>
                <w:sz w:val="18"/>
                <w:szCs w:val="18"/>
                <w:color w:val="auto"/>
              </w:rPr>
              <w:t>89.4</w:t>
            </w:r>
          </w:p>
        </w:tc>
      </w:tr>
      <w:tr>
        <w:trPr>
          <w:trHeight w:val="203"/>
        </w:trPr>
        <w:tc>
          <w:tcPr>
            <w:tcW w:w="4740" w:type="dxa"/>
            <w:vAlign w:val="bottom"/>
            <w:shd w:val="clear" w:color="auto" w:fill="ACABA7"/>
          </w:tcPr>
          <w:p>
            <w:pPr>
              <w:ind w:left="100"/>
              <w:spacing w:after="0" w:line="202" w:lineRule="exact"/>
              <w:rPr>
                <w:sz w:val="20"/>
                <w:szCs w:val="20"/>
                <w:color w:val="auto"/>
              </w:rPr>
            </w:pPr>
            <w:r>
              <w:rPr>
                <w:rFonts w:ascii="Arial" w:cs="Arial" w:eastAsia="Arial" w:hAnsi="Arial"/>
                <w:sz w:val="18"/>
                <w:szCs w:val="18"/>
                <w:color w:val="auto"/>
              </w:rPr>
              <w:t>11 months ended January 1, 2016</w:t>
            </w:r>
            <w:r>
              <w:rPr>
                <w:rFonts w:ascii="Arial" w:cs="Arial" w:eastAsia="Arial" w:hAnsi="Arial"/>
                <w:sz w:val="15"/>
                <w:szCs w:val="15"/>
                <w:color w:val="auto"/>
              </w:rPr>
              <w:t>(1)</w:t>
            </w:r>
          </w:p>
        </w:tc>
        <w:tc>
          <w:tcPr>
            <w:tcW w:w="2660" w:type="dxa"/>
            <w:vAlign w:val="bottom"/>
            <w:shd w:val="clear" w:color="auto" w:fill="ACABA7"/>
          </w:tcPr>
          <w:p>
            <w:pPr>
              <w:jc w:val="right"/>
              <w:ind w:right="272"/>
              <w:spacing w:after="0" w:line="202" w:lineRule="exact"/>
              <w:rPr>
                <w:sz w:val="20"/>
                <w:szCs w:val="20"/>
                <w:color w:val="auto"/>
              </w:rPr>
            </w:pPr>
            <w:r>
              <w:rPr>
                <w:rFonts w:ascii="Arial" w:cs="Arial" w:eastAsia="Arial" w:hAnsi="Arial"/>
                <w:sz w:val="18"/>
                <w:szCs w:val="18"/>
                <w:color w:val="auto"/>
              </w:rPr>
              <w:t>320M</w:t>
            </w:r>
          </w:p>
        </w:tc>
        <w:tc>
          <w:tcPr>
            <w:tcW w:w="1620" w:type="dxa"/>
            <w:vAlign w:val="bottom"/>
            <w:shd w:val="clear" w:color="auto" w:fill="ACABA7"/>
          </w:tcPr>
          <w:p>
            <w:pPr>
              <w:jc w:val="right"/>
              <w:ind w:right="452"/>
              <w:spacing w:after="0" w:line="202" w:lineRule="exact"/>
              <w:rPr>
                <w:sz w:val="20"/>
                <w:szCs w:val="20"/>
                <w:color w:val="auto"/>
              </w:rPr>
            </w:pPr>
            <w:r>
              <w:rPr>
                <w:rFonts w:ascii="Arial" w:cs="Arial" w:eastAsia="Arial" w:hAnsi="Arial"/>
                <w:sz w:val="18"/>
                <w:szCs w:val="18"/>
                <w:color w:val="auto"/>
              </w:rPr>
              <w:t>357M</w:t>
            </w:r>
          </w:p>
        </w:tc>
        <w:tc>
          <w:tcPr>
            <w:tcW w:w="2400" w:type="dxa"/>
            <w:vAlign w:val="bottom"/>
            <w:shd w:val="clear" w:color="auto" w:fill="ACABA7"/>
          </w:tcPr>
          <w:p>
            <w:pPr>
              <w:jc w:val="right"/>
              <w:ind w:right="612"/>
              <w:spacing w:after="0" w:line="202" w:lineRule="exact"/>
              <w:rPr>
                <w:sz w:val="20"/>
                <w:szCs w:val="20"/>
                <w:color w:val="auto"/>
              </w:rPr>
            </w:pPr>
            <w:r>
              <w:rPr>
                <w:rFonts w:ascii="Arial" w:cs="Arial" w:eastAsia="Arial" w:hAnsi="Arial"/>
                <w:sz w:val="18"/>
                <w:szCs w:val="18"/>
                <w:color w:val="auto"/>
              </w:rPr>
              <w:t>111.5</w:t>
            </w:r>
          </w:p>
        </w:tc>
      </w:tr>
      <w:tr>
        <w:trPr>
          <w:trHeight w:val="217"/>
        </w:trPr>
        <w:tc>
          <w:tcPr>
            <w:tcW w:w="4740" w:type="dxa"/>
            <w:vAlign w:val="bottom"/>
          </w:tcPr>
          <w:p>
            <w:pPr>
              <w:ind w:left="100"/>
              <w:spacing w:after="0"/>
              <w:rPr>
                <w:sz w:val="20"/>
                <w:szCs w:val="20"/>
                <w:color w:val="auto"/>
              </w:rPr>
            </w:pPr>
            <w:r>
              <w:rPr>
                <w:rFonts w:ascii="Arial" w:cs="Arial" w:eastAsia="Arial" w:hAnsi="Arial"/>
                <w:sz w:val="18"/>
                <w:szCs w:val="18"/>
                <w:color w:val="auto"/>
              </w:rPr>
              <w:t>12 months ended December 30, 2016</w:t>
            </w:r>
          </w:p>
        </w:tc>
        <w:tc>
          <w:tcPr>
            <w:tcW w:w="2660" w:type="dxa"/>
            <w:vAlign w:val="bottom"/>
          </w:tcPr>
          <w:p>
            <w:pPr>
              <w:jc w:val="right"/>
              <w:ind w:right="272"/>
              <w:spacing w:after="0"/>
              <w:rPr>
                <w:sz w:val="20"/>
                <w:szCs w:val="20"/>
                <w:color w:val="auto"/>
              </w:rPr>
            </w:pPr>
            <w:r>
              <w:rPr>
                <w:rFonts w:ascii="Arial" w:cs="Arial" w:eastAsia="Arial" w:hAnsi="Arial"/>
                <w:sz w:val="18"/>
                <w:szCs w:val="18"/>
                <w:color w:val="auto"/>
              </w:rPr>
              <w:t>366M</w:t>
            </w:r>
          </w:p>
        </w:tc>
        <w:tc>
          <w:tcPr>
            <w:tcW w:w="1620" w:type="dxa"/>
            <w:vAlign w:val="bottom"/>
          </w:tcPr>
          <w:p>
            <w:pPr>
              <w:jc w:val="right"/>
              <w:ind w:right="452"/>
              <w:spacing w:after="0"/>
              <w:rPr>
                <w:sz w:val="20"/>
                <w:szCs w:val="20"/>
                <w:color w:val="auto"/>
              </w:rPr>
            </w:pPr>
            <w:r>
              <w:rPr>
                <w:rFonts w:ascii="Arial" w:cs="Arial" w:eastAsia="Arial" w:hAnsi="Arial"/>
                <w:sz w:val="18"/>
                <w:szCs w:val="18"/>
                <w:color w:val="auto"/>
              </w:rPr>
              <w:t>416M</w:t>
            </w:r>
          </w:p>
        </w:tc>
        <w:tc>
          <w:tcPr>
            <w:tcW w:w="2400" w:type="dxa"/>
            <w:vAlign w:val="bottom"/>
          </w:tcPr>
          <w:p>
            <w:pPr>
              <w:jc w:val="right"/>
              <w:ind w:right="612"/>
              <w:spacing w:after="0"/>
              <w:rPr>
                <w:sz w:val="20"/>
                <w:szCs w:val="20"/>
                <w:color w:val="auto"/>
              </w:rPr>
            </w:pPr>
            <w:r>
              <w:rPr>
                <w:rFonts w:ascii="Arial" w:cs="Arial" w:eastAsia="Arial" w:hAnsi="Arial"/>
                <w:sz w:val="18"/>
                <w:szCs w:val="18"/>
                <w:color w:val="auto"/>
              </w:rPr>
              <w:t>113.7</w:t>
            </w:r>
          </w:p>
        </w:tc>
      </w:tr>
    </w:tbl>
    <w:p>
      <w:pPr>
        <w:spacing w:after="0" w:line="22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w:t>
        <w:tab/>
        <w:t>Reflects an 11-month transition period due a change in our fiscal year.</w:t>
      </w:r>
    </w:p>
    <w:p>
      <w:pPr>
        <w:spacing w:after="0" w:line="127" w:lineRule="exact"/>
        <w:rPr>
          <w:sz w:val="20"/>
          <w:szCs w:val="20"/>
          <w:color w:val="auto"/>
        </w:rPr>
      </w:pPr>
    </w:p>
    <w:p>
      <w:pPr>
        <w:spacing w:after="0"/>
        <w:tabs>
          <w:tab w:leader="none" w:pos="340" w:val="left"/>
          <w:tab w:leader="none" w:pos="580" w:val="left"/>
        </w:tabs>
        <w:rPr>
          <w:sz w:val="20"/>
          <w:szCs w:val="20"/>
          <w:color w:val="auto"/>
        </w:rPr>
      </w:pPr>
      <w:r>
        <w:rPr>
          <w:rFonts w:ascii="Arial" w:cs="Arial" w:eastAsia="Arial" w:hAnsi="Arial"/>
          <w:sz w:val="16"/>
          <w:szCs w:val="16"/>
          <w:b w:val="1"/>
          <w:bCs w:val="1"/>
          <w:color w:val="483E65"/>
        </w:rPr>
        <w:t>34</w:t>
        <w:tab/>
        <w:t>|</w:t>
        <w:tab/>
        <w:t>2017 Proxy Statement</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8" w:lineRule="exact"/>
        <w:rPr>
          <w:sz w:val="20"/>
          <w:szCs w:val="20"/>
          <w:color w:val="auto"/>
        </w:rPr>
      </w:pPr>
    </w:p>
    <w:p>
      <w:pPr>
        <w:spacing w:after="0"/>
        <w:rPr>
          <w:sz w:val="20"/>
          <w:szCs w:val="20"/>
          <w:color w:val="auto"/>
        </w:rPr>
      </w:pPr>
      <w:r>
        <w:rPr>
          <w:rFonts w:ascii="Arial" w:cs="Arial" w:eastAsia="Arial" w:hAnsi="Arial"/>
          <w:sz w:val="32"/>
          <w:szCs w:val="32"/>
          <w:color w:val="483E65"/>
        </w:rPr>
        <w:t>Compensation Discussion &amp;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149860</wp:posOffset>
            </wp:positionV>
            <wp:extent cx="724662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400" w:lineRule="exact"/>
        <w:rPr>
          <w:sz w:val="20"/>
          <w:szCs w:val="20"/>
          <w:color w:val="auto"/>
        </w:rPr>
      </w:pPr>
    </w:p>
    <w:p>
      <w:pPr>
        <w:spacing w:after="0" w:line="241" w:lineRule="auto"/>
        <w:rPr>
          <w:sz w:val="20"/>
          <w:szCs w:val="20"/>
          <w:color w:val="auto"/>
        </w:rPr>
      </w:pPr>
      <w:r>
        <w:rPr>
          <w:rFonts w:ascii="Arial" w:cs="Arial" w:eastAsia="Arial" w:hAnsi="Arial"/>
          <w:sz w:val="18"/>
          <w:szCs w:val="18"/>
          <w:i w:val="1"/>
          <w:iCs w:val="1"/>
          <w:color w:val="483E65"/>
        </w:rPr>
        <w:t xml:space="preserve">PRSUs/Restricted Stock Units. </w:t>
      </w:r>
      <w:r>
        <w:rPr>
          <w:rFonts w:ascii="Arial" w:cs="Arial" w:eastAsia="Arial" w:hAnsi="Arial"/>
          <w:sz w:val="18"/>
          <w:szCs w:val="18"/>
          <w:color w:val="000000"/>
        </w:rPr>
        <w:t>Equity awards that vest contingent upon the achievement of pre-established financial goals help to ensure that</w:t>
      </w:r>
      <w:r>
        <w:rPr>
          <w:rFonts w:ascii="Arial" w:cs="Arial" w:eastAsia="Arial" w:hAnsi="Arial"/>
          <w:sz w:val="18"/>
          <w:szCs w:val="18"/>
          <w:i w:val="1"/>
          <w:iCs w:val="1"/>
          <w:color w:val="483E65"/>
        </w:rPr>
        <w:t xml:space="preserve"> </w:t>
      </w:r>
      <w:r>
        <w:rPr>
          <w:rFonts w:ascii="Arial" w:cs="Arial" w:eastAsia="Arial" w:hAnsi="Arial"/>
          <w:sz w:val="18"/>
          <w:szCs w:val="18"/>
          <w:color w:val="000000"/>
        </w:rPr>
        <w:t>a significant portion of an executive’s total annual compensation is aligned with our performance and stockholder interests. Certain of our active named executive officers were granted PRSUs that vest 25% each year on the anniversary of grant date, but are forfeited if we fail to achieve a pre-established performance goal for the first year. The performance goal for Fiscal 2016 was $3.8 billion in revenue on a pre-merger basis. The Committee certified such goal was met and therefore the PRSUs will be eligible to vest over four years. Mr. Reardon was granted restricted stock units or RSUs in lieu of PRSUs. His RSUs will vest 100% in January 2019 on the third anniversary of original grant date.</w:t>
      </w:r>
    </w:p>
    <w:p>
      <w:pPr>
        <w:spacing w:after="0" w:line="184" w:lineRule="exact"/>
        <w:rPr>
          <w:sz w:val="20"/>
          <w:szCs w:val="20"/>
          <w:color w:val="auto"/>
        </w:rPr>
      </w:pPr>
    </w:p>
    <w:p>
      <w:pPr>
        <w:ind w:right="100"/>
        <w:spacing w:after="0" w:line="242" w:lineRule="auto"/>
        <w:rPr>
          <w:sz w:val="20"/>
          <w:szCs w:val="20"/>
          <w:color w:val="auto"/>
        </w:rPr>
      </w:pPr>
      <w:r>
        <w:rPr>
          <w:rFonts w:ascii="Arial" w:cs="Arial" w:eastAsia="Arial" w:hAnsi="Arial"/>
          <w:sz w:val="18"/>
          <w:szCs w:val="18"/>
          <w:i w:val="1"/>
          <w:iCs w:val="1"/>
          <w:color w:val="483E65"/>
        </w:rPr>
        <w:t xml:space="preserve">Stock Options. </w:t>
      </w:r>
      <w:r>
        <w:rPr>
          <w:rFonts w:ascii="Arial" w:cs="Arial" w:eastAsia="Arial" w:hAnsi="Arial"/>
          <w:sz w:val="18"/>
          <w:szCs w:val="18"/>
          <w:color w:val="000000"/>
        </w:rPr>
        <w:t>Stock options are an effective means of linking rewards to the creation of stockholder value over a longer term. We believe that</w:t>
      </w:r>
      <w:r>
        <w:rPr>
          <w:rFonts w:ascii="Arial" w:cs="Arial" w:eastAsia="Arial" w:hAnsi="Arial"/>
          <w:sz w:val="18"/>
          <w:szCs w:val="18"/>
          <w:i w:val="1"/>
          <w:iCs w:val="1"/>
          <w:color w:val="483E65"/>
        </w:rPr>
        <w:t xml:space="preserve"> </w:t>
      </w:r>
      <w:r>
        <w:rPr>
          <w:rFonts w:ascii="Arial" w:cs="Arial" w:eastAsia="Arial" w:hAnsi="Arial"/>
          <w:sz w:val="18"/>
          <w:szCs w:val="18"/>
          <w:color w:val="000000"/>
        </w:rPr>
        <w:t>stock options motivate our executives to build stockholder value because they may realize value only if our stock appreciates over the option term. The options vest 25% each year on the anniversary of grant date and expire on the seventh anniversary of grant date. The number of option shares granted on March 4, 2016 was determined by dividing the target value of options approved by the Committee by $9.01, the Black-Scholes-Merton option value determined as of February 17, 2016.</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483E65"/>
        </w:rPr>
        <w:t>Other Benefits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In addition to the elements of direct compensation described above, we also provide our executive officers with the following benefits:</w:t>
      </w:r>
    </w:p>
    <w:p>
      <w:pPr>
        <w:spacing w:after="0" w:line="190"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483E65"/>
        </w:rPr>
        <w:t>Health and Welfare Benefits</w:t>
      </w:r>
    </w:p>
    <w:p>
      <w:pPr>
        <w:spacing w:after="0" w:line="234" w:lineRule="exact"/>
        <w:rPr>
          <w:sz w:val="20"/>
          <w:szCs w:val="20"/>
          <w:color w:val="auto"/>
        </w:rPr>
      </w:pPr>
    </w:p>
    <w:p>
      <w:pPr>
        <w:ind w:right="380"/>
        <w:spacing w:after="0"/>
        <w:rPr>
          <w:sz w:val="20"/>
          <w:szCs w:val="20"/>
          <w:color w:val="auto"/>
        </w:rPr>
      </w:pPr>
      <w:r>
        <w:rPr>
          <w:rFonts w:ascii="Arial" w:cs="Arial" w:eastAsia="Arial" w:hAnsi="Arial"/>
          <w:sz w:val="18"/>
          <w:szCs w:val="18"/>
          <w:color w:val="auto"/>
        </w:rPr>
        <w:t>Our executive officers are entitled to participate in all health and welfare plans that we generally offer to all of our eligible employees, which provide medical, dental, health, group term life insurance and disability benefits. We believe that these health and welfare benefits are reasonable in scope and amount and are of the kind typically offered by other companies against which we compete for executive talent.</w:t>
      </w:r>
    </w:p>
    <w:p>
      <w:pPr>
        <w:spacing w:after="0" w:line="181"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483E65"/>
        </w:rPr>
        <w:t>Retirement Benefits</w:t>
      </w:r>
    </w:p>
    <w:p>
      <w:pPr>
        <w:spacing w:after="0" w:line="234" w:lineRule="exact"/>
        <w:rPr>
          <w:sz w:val="20"/>
          <w:szCs w:val="20"/>
          <w:color w:val="auto"/>
        </w:rPr>
      </w:pPr>
    </w:p>
    <w:p>
      <w:pPr>
        <w:ind w:right="180"/>
        <w:spacing w:after="0" w:line="239" w:lineRule="auto"/>
        <w:rPr>
          <w:sz w:val="20"/>
          <w:szCs w:val="20"/>
          <w:color w:val="auto"/>
        </w:rPr>
      </w:pPr>
      <w:r>
        <w:rPr>
          <w:rFonts w:ascii="Arial" w:cs="Arial" w:eastAsia="Arial" w:hAnsi="Arial"/>
          <w:sz w:val="18"/>
          <w:szCs w:val="18"/>
          <w:color w:val="auto"/>
        </w:rPr>
        <w:t>Our executive officers are entitled to participate in the same defined contribution retirement plan that is generally available to all of our eligible employees. We make matching contributions to eligible participants’ retirement plan accounts based on a percentage of their “eligible compensation” under applicable rules. We believe that this retirement program permits our executives to save for their retirement in a tax-effective manner.</w:t>
      </w:r>
    </w:p>
    <w:p>
      <w:pPr>
        <w:spacing w:after="0" w:line="180"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483E65"/>
        </w:rPr>
        <w:t>Deferred Compensation Plans</w:t>
      </w:r>
    </w:p>
    <w:p>
      <w:pPr>
        <w:spacing w:after="0" w:line="234"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To provide other tax-deferred means to save for retirement, we maintain certain deferred compensation plans that allow our named executive officers and other eligible participants to elect to defer all or a portion of any cash or certain equity incentive awards granted to them under our cash incentive or stock plans. We make no contributions to named executive officers’ accounts under these plans. In addition, we maintain a deferred compensation plan that allows our named executive officers and other eligible participants to elect to defer a portion of their eligible salary. The majority of current vested deferred balances under the plans will be paid upon retirement or termination. Beginning on January 1, 2016, all participants in these plans were able to defer to “in-service” accounts, which pay out in the year specified by the participant, including years prior to termination. These plans are described in more detail under “Nonqualified Deferred Compensation.”</w:t>
      </w:r>
    </w:p>
    <w:p>
      <w:pPr>
        <w:spacing w:after="0" w:line="181"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483E65"/>
        </w:rPr>
        <w:t>Perquisites and Personal Benefits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We generally do not provide perquisites and personal benefits to our executive officers that are not otherwise available to other employees.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483E65"/>
        </w:rPr>
        <w:t>Other Policies and Considerations</w:t>
      </w:r>
    </w:p>
    <w:p>
      <w:pPr>
        <w:spacing w:after="0" w:line="212"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483E65"/>
        </w:rPr>
        <w:t>Assessment of Risks in our Compensation Programs</w:t>
      </w:r>
    </w:p>
    <w:p>
      <w:pPr>
        <w:spacing w:after="0" w:line="234" w:lineRule="exact"/>
        <w:rPr>
          <w:sz w:val="20"/>
          <w:szCs w:val="20"/>
          <w:color w:val="auto"/>
        </w:rPr>
      </w:pPr>
    </w:p>
    <w:p>
      <w:pPr>
        <w:ind w:right="80"/>
        <w:spacing w:after="0" w:line="246" w:lineRule="auto"/>
        <w:rPr>
          <w:sz w:val="20"/>
          <w:szCs w:val="20"/>
          <w:color w:val="auto"/>
        </w:rPr>
      </w:pPr>
      <w:r>
        <w:rPr>
          <w:rFonts w:ascii="Arial" w:cs="Arial" w:eastAsia="Arial" w:hAnsi="Arial"/>
          <w:sz w:val="18"/>
          <w:szCs w:val="18"/>
          <w:color w:val="auto"/>
        </w:rPr>
        <w:t>During Fiscal 2016, the Committee directed management to undertake a risk assessment of our compensation programs and asked FW Cook, the Committee’s independent compensation consultant, to review the assessment. In conducting the</w:t>
      </w:r>
    </w:p>
    <w:p>
      <w:pPr>
        <w:spacing w:after="0" w:line="112" w:lineRule="exact"/>
        <w:rPr>
          <w:sz w:val="20"/>
          <w:szCs w:val="20"/>
          <w:color w:val="auto"/>
        </w:rPr>
      </w:pPr>
    </w:p>
    <w:p>
      <w:pPr>
        <w:jc w:val="right"/>
        <w:spacing w:after="0"/>
        <w:tabs>
          <w:tab w:leader="none" w:pos="380" w:val="left"/>
          <w:tab w:leader="none" w:pos="160" w:val="left"/>
        </w:tabs>
        <w:rPr>
          <w:sz w:val="20"/>
          <w:szCs w:val="20"/>
          <w:color w:val="auto"/>
        </w:rPr>
      </w:pPr>
      <w:r>
        <w:rPr>
          <w:rFonts w:ascii="Arial" w:cs="Arial" w:eastAsia="Arial" w:hAnsi="Arial"/>
          <w:sz w:val="16"/>
          <w:szCs w:val="16"/>
          <w:b w:val="1"/>
          <w:bCs w:val="1"/>
          <w:color w:val="483E65"/>
        </w:rPr>
        <w:t>2017 Proxy Statement</w:t>
        <w:tab/>
        <w:t>|</w:t>
        <w:tab/>
        <w:t>35</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8" w:lineRule="exact"/>
        <w:rPr>
          <w:sz w:val="20"/>
          <w:szCs w:val="20"/>
          <w:color w:val="auto"/>
        </w:rPr>
      </w:pPr>
    </w:p>
    <w:p>
      <w:pPr>
        <w:spacing w:after="0"/>
        <w:rPr>
          <w:sz w:val="20"/>
          <w:szCs w:val="20"/>
          <w:color w:val="auto"/>
        </w:rPr>
      </w:pPr>
      <w:r>
        <w:rPr>
          <w:rFonts w:ascii="Arial" w:cs="Arial" w:eastAsia="Arial" w:hAnsi="Arial"/>
          <w:sz w:val="32"/>
          <w:szCs w:val="32"/>
          <w:color w:val="483E65"/>
        </w:rPr>
        <w:t>Compensation Discussion &amp;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149860</wp:posOffset>
            </wp:positionV>
            <wp:extent cx="724662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18"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assessment, we reviewed our pay practices and incentive programs to identify any potential risks inherent in our compensation programs. We also reviewed the risks facing the company and evaluated whether our compensation practices and programs could be expected to increase or help mitigate these risks. The finding of the assessment, with which the Committee concurred, was that our compensation programs are effectively designed to help mitigate excessive risk-taking that could harm our value or reward poor judgment by our executives or other employees. The factors considered in reaching this conclusion include:</w:t>
      </w:r>
    </w:p>
    <w:p>
      <w:pPr>
        <w:spacing w:after="0" w:line="230" w:lineRule="exact"/>
        <w:rPr>
          <w:sz w:val="20"/>
          <w:szCs w:val="20"/>
          <w:color w:val="auto"/>
        </w:rPr>
      </w:pPr>
    </w:p>
    <w:p>
      <w:pPr>
        <w:ind w:left="560" w:right="260" w:hanging="444"/>
        <w:spacing w:after="0" w:line="246" w:lineRule="auto"/>
        <w:tabs>
          <w:tab w:leader="none" w:pos="560" w:val="left"/>
        </w:tabs>
        <w:numPr>
          <w:ilvl w:val="0"/>
          <w:numId w:val="41"/>
        </w:numPr>
        <w:rPr>
          <w:rFonts w:ascii="Arial" w:cs="Arial" w:eastAsia="Arial" w:hAnsi="Arial"/>
          <w:sz w:val="15"/>
          <w:szCs w:val="15"/>
          <w:color w:val="77387A"/>
        </w:rPr>
      </w:pPr>
      <w:r>
        <w:rPr>
          <w:rFonts w:ascii="Arial" w:cs="Arial" w:eastAsia="Arial" w:hAnsi="Arial"/>
          <w:sz w:val="18"/>
          <w:szCs w:val="18"/>
          <w:color w:val="auto"/>
        </w:rPr>
        <w:t>short-term incentive measures are balanced among different financial measures, with targets that are intended to be achievable upon realistic levels of performance;</w:t>
      </w:r>
    </w:p>
    <w:p>
      <w:pPr>
        <w:spacing w:after="0" w:line="102" w:lineRule="exact"/>
        <w:rPr>
          <w:rFonts w:ascii="Arial" w:cs="Arial" w:eastAsia="Arial" w:hAnsi="Arial"/>
          <w:sz w:val="15"/>
          <w:szCs w:val="15"/>
          <w:color w:val="77387A"/>
        </w:rPr>
      </w:pPr>
    </w:p>
    <w:p>
      <w:pPr>
        <w:ind w:left="560" w:right="300" w:hanging="444"/>
        <w:spacing w:after="0" w:line="246" w:lineRule="auto"/>
        <w:tabs>
          <w:tab w:leader="none" w:pos="560" w:val="left"/>
        </w:tabs>
        <w:numPr>
          <w:ilvl w:val="0"/>
          <w:numId w:val="41"/>
        </w:numPr>
        <w:rPr>
          <w:rFonts w:ascii="Arial" w:cs="Arial" w:eastAsia="Arial" w:hAnsi="Arial"/>
          <w:sz w:val="15"/>
          <w:szCs w:val="15"/>
          <w:color w:val="77387A"/>
        </w:rPr>
      </w:pPr>
      <w:r>
        <w:rPr>
          <w:rFonts w:ascii="Arial" w:cs="Arial" w:eastAsia="Arial" w:hAnsi="Arial"/>
          <w:sz w:val="18"/>
          <w:szCs w:val="18"/>
          <w:color w:val="auto"/>
        </w:rPr>
        <w:t>significant weighting towards long-term incentive compensation promotes long-term decision making and discourages short-term risk taking;</w:t>
      </w:r>
    </w:p>
    <w:p>
      <w:pPr>
        <w:spacing w:after="0" w:line="102" w:lineRule="exact"/>
        <w:rPr>
          <w:rFonts w:ascii="Arial" w:cs="Arial" w:eastAsia="Arial" w:hAnsi="Arial"/>
          <w:sz w:val="15"/>
          <w:szCs w:val="15"/>
          <w:color w:val="77387A"/>
        </w:rPr>
      </w:pPr>
    </w:p>
    <w:p>
      <w:pPr>
        <w:ind w:left="560" w:hanging="444"/>
        <w:spacing w:after="0"/>
        <w:tabs>
          <w:tab w:leader="none" w:pos="560" w:val="left"/>
        </w:tabs>
        <w:numPr>
          <w:ilvl w:val="0"/>
          <w:numId w:val="41"/>
        </w:numPr>
        <w:rPr>
          <w:rFonts w:ascii="Arial" w:cs="Arial" w:eastAsia="Arial" w:hAnsi="Arial"/>
          <w:sz w:val="15"/>
          <w:szCs w:val="15"/>
          <w:color w:val="77387A"/>
        </w:rPr>
      </w:pPr>
      <w:r>
        <w:rPr>
          <w:rFonts w:ascii="Arial" w:cs="Arial" w:eastAsia="Arial" w:hAnsi="Arial"/>
          <w:sz w:val="18"/>
          <w:szCs w:val="18"/>
          <w:color w:val="auto"/>
        </w:rPr>
        <w:t>maximum payouts are capped at levels that do not reward excessive risk-taking;</w:t>
      </w:r>
    </w:p>
    <w:p>
      <w:pPr>
        <w:spacing w:after="0" w:line="130" w:lineRule="exact"/>
        <w:rPr>
          <w:rFonts w:ascii="Arial" w:cs="Arial" w:eastAsia="Arial" w:hAnsi="Arial"/>
          <w:sz w:val="15"/>
          <w:szCs w:val="15"/>
          <w:color w:val="77387A"/>
        </w:rPr>
      </w:pPr>
    </w:p>
    <w:p>
      <w:pPr>
        <w:ind w:left="560" w:right="320" w:hanging="444"/>
        <w:spacing w:after="0" w:line="246" w:lineRule="auto"/>
        <w:tabs>
          <w:tab w:leader="none" w:pos="560" w:val="left"/>
        </w:tabs>
        <w:numPr>
          <w:ilvl w:val="0"/>
          <w:numId w:val="41"/>
        </w:numPr>
        <w:rPr>
          <w:rFonts w:ascii="Arial" w:cs="Arial" w:eastAsia="Arial" w:hAnsi="Arial"/>
          <w:sz w:val="15"/>
          <w:szCs w:val="15"/>
          <w:color w:val="77387A"/>
        </w:rPr>
      </w:pPr>
      <w:r>
        <w:rPr>
          <w:rFonts w:ascii="Arial" w:cs="Arial" w:eastAsia="Arial" w:hAnsi="Arial"/>
          <w:sz w:val="18"/>
          <w:szCs w:val="18"/>
          <w:color w:val="auto"/>
        </w:rPr>
        <w:t>goals are based on company and sector performance measures, which mitigates excessive risk-taking within any particular business unit;</w:t>
      </w:r>
    </w:p>
    <w:p>
      <w:pPr>
        <w:spacing w:after="0" w:line="102" w:lineRule="exact"/>
        <w:rPr>
          <w:rFonts w:ascii="Arial" w:cs="Arial" w:eastAsia="Arial" w:hAnsi="Arial"/>
          <w:sz w:val="15"/>
          <w:szCs w:val="15"/>
          <w:color w:val="77387A"/>
        </w:rPr>
      </w:pPr>
    </w:p>
    <w:p>
      <w:pPr>
        <w:ind w:left="560" w:hanging="444"/>
        <w:spacing w:after="0"/>
        <w:tabs>
          <w:tab w:leader="none" w:pos="560" w:val="left"/>
        </w:tabs>
        <w:numPr>
          <w:ilvl w:val="0"/>
          <w:numId w:val="41"/>
        </w:numPr>
        <w:rPr>
          <w:rFonts w:ascii="Arial" w:cs="Arial" w:eastAsia="Arial" w:hAnsi="Arial"/>
          <w:sz w:val="15"/>
          <w:szCs w:val="15"/>
          <w:color w:val="77387A"/>
        </w:rPr>
      </w:pPr>
      <w:r>
        <w:rPr>
          <w:rFonts w:ascii="Arial" w:cs="Arial" w:eastAsia="Arial" w:hAnsi="Arial"/>
          <w:sz w:val="18"/>
          <w:szCs w:val="18"/>
          <w:color w:val="auto"/>
        </w:rPr>
        <w:t>leadership behaviors, such as ethics and integrity, are specifically addressed in our short-term incentive programs;</w:t>
      </w:r>
    </w:p>
    <w:p>
      <w:pPr>
        <w:spacing w:after="0" w:line="130" w:lineRule="exact"/>
        <w:rPr>
          <w:rFonts w:ascii="Arial" w:cs="Arial" w:eastAsia="Arial" w:hAnsi="Arial"/>
          <w:sz w:val="15"/>
          <w:szCs w:val="15"/>
          <w:color w:val="77387A"/>
        </w:rPr>
      </w:pPr>
    </w:p>
    <w:p>
      <w:pPr>
        <w:ind w:left="560" w:right="200" w:hanging="444"/>
        <w:spacing w:after="0" w:line="246" w:lineRule="auto"/>
        <w:tabs>
          <w:tab w:leader="none" w:pos="560" w:val="left"/>
        </w:tabs>
        <w:numPr>
          <w:ilvl w:val="0"/>
          <w:numId w:val="41"/>
        </w:numPr>
        <w:rPr>
          <w:rFonts w:ascii="Arial" w:cs="Arial" w:eastAsia="Arial" w:hAnsi="Arial"/>
          <w:sz w:val="15"/>
          <w:szCs w:val="15"/>
          <w:color w:val="77387A"/>
        </w:rPr>
      </w:pPr>
      <w:r>
        <w:rPr>
          <w:rFonts w:ascii="Arial" w:cs="Arial" w:eastAsia="Arial" w:hAnsi="Arial"/>
          <w:sz w:val="18"/>
          <w:szCs w:val="18"/>
          <w:color w:val="auto"/>
        </w:rPr>
        <w:t>our compensation recoupment policy allows us to recover compensation based on financial results that are subsequently restated or if fraud or intentional misconduct is involved; and</w:t>
      </w:r>
    </w:p>
    <w:p>
      <w:pPr>
        <w:spacing w:after="0" w:line="102" w:lineRule="exact"/>
        <w:rPr>
          <w:rFonts w:ascii="Arial" w:cs="Arial" w:eastAsia="Arial" w:hAnsi="Arial"/>
          <w:sz w:val="15"/>
          <w:szCs w:val="15"/>
          <w:color w:val="77387A"/>
        </w:rPr>
      </w:pPr>
    </w:p>
    <w:p>
      <w:pPr>
        <w:ind w:left="560" w:hanging="444"/>
        <w:spacing w:after="0"/>
        <w:tabs>
          <w:tab w:leader="none" w:pos="560" w:val="left"/>
        </w:tabs>
        <w:numPr>
          <w:ilvl w:val="0"/>
          <w:numId w:val="41"/>
        </w:numPr>
        <w:rPr>
          <w:rFonts w:ascii="Arial" w:cs="Arial" w:eastAsia="Arial" w:hAnsi="Arial"/>
          <w:sz w:val="15"/>
          <w:szCs w:val="15"/>
          <w:color w:val="77387A"/>
        </w:rPr>
      </w:pPr>
      <w:r>
        <w:rPr>
          <w:rFonts w:ascii="Arial" w:cs="Arial" w:eastAsia="Arial" w:hAnsi="Arial"/>
          <w:sz w:val="18"/>
          <w:szCs w:val="18"/>
          <w:color w:val="auto"/>
        </w:rPr>
        <w:t>our stock ownership guidelines encourage a long-term perspective.</w:t>
      </w:r>
    </w:p>
    <w:p>
      <w:pPr>
        <w:spacing w:after="0" w:line="203"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483E65"/>
        </w:rPr>
        <w:t>Equity Award Grant Practices</w:t>
      </w:r>
    </w:p>
    <w:p>
      <w:pPr>
        <w:spacing w:after="0" w:line="234"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The Committee is responsible for the administration of the equity incentive programs for our 2006 Equity Incentive Plan in which our named executive officers participate. The Committee set the equity award Fiscal 2016 grant dates for new and existing employees, including executive officers, in December 2015. These grant dates were selected to occur after the dates we anticipate releasing our annual and quarterly financial results. We generally grant equity incentive awards to our executive officers and all other eligible employees on an annual basis shortly after we announce our financial results for the recently completed fiscal year. In addition to these annual grants, the Committee set four quarterly dates on which any additional equity incentive awards could be made to eligible executive officers or other employees in connection with a new hire, for retention purposes or otherwise.</w:t>
      </w:r>
    </w:p>
    <w:p>
      <w:pPr>
        <w:spacing w:after="0" w:line="203" w:lineRule="exact"/>
        <w:rPr>
          <w:sz w:val="20"/>
          <w:szCs w:val="20"/>
          <w:color w:val="auto"/>
        </w:rPr>
      </w:pPr>
    </w:p>
    <w:p>
      <w:pPr>
        <w:ind w:right="80"/>
        <w:spacing w:after="0"/>
        <w:rPr>
          <w:sz w:val="20"/>
          <w:szCs w:val="20"/>
          <w:color w:val="auto"/>
        </w:rPr>
      </w:pPr>
      <w:r>
        <w:rPr>
          <w:rFonts w:ascii="Arial" w:cs="Arial" w:eastAsia="Arial" w:hAnsi="Arial"/>
          <w:sz w:val="18"/>
          <w:szCs w:val="18"/>
          <w:color w:val="auto"/>
        </w:rPr>
        <w:t>The Committee approves all equity awards made to our directors and executive officers. The exercise price of any option grant is determined by reference to the fair market value of the shares on the grant date, which our 2006 Equity Incentive Plan defines as the closing sales price of our common stock on the NYSE on the previous trading day.</w:t>
      </w:r>
    </w:p>
    <w:p>
      <w:pPr>
        <w:spacing w:after="0" w:line="181"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483E65"/>
        </w:rPr>
        <w:t>Stock Ownership Guidelines and Policies</w:t>
      </w:r>
    </w:p>
    <w:p>
      <w:pPr>
        <w:spacing w:after="0" w:line="234"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We encourage our employees to own our stock so that they are motivated to maximize our long-term performance and stock value. Under our established stock ownership guidelines, our named executive officers are required to accumulate and maintain stock holdings in an amount of our stock with a value at least equal to five times their base salary. Because they must hold all shares acquired under our equity incentive programs until they meet this ownership requirement, which we expect will take several years, we do not have specific time-based holding periods following the exercise of stock options or vesting of other equity awards. In addition to these ownership guidelines, we have also established policies for our executive officers that prohibit certain short-term or speculative transactions in our securities. We believe that these prohibited transactions carry a greater risk of liability for insider trading violations and create an appearance of impropriety. For example, with respect to our securities, our executive officers are not permitted to engage in any short sales or any trading in puts, calls or other derivatives on an exchange or other organized market. They are also prohibited from holding company securities in a margin account or pledging securities as collateral for a loan. In addition, our executive officers are required to obtain pre-clearance from our General Counsel for all transactions in our securities.</w:t>
      </w:r>
    </w:p>
    <w:p>
      <w:pPr>
        <w:spacing w:after="0" w:line="184"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483E65"/>
        </w:rPr>
        <w:t>Compensation Recoupment Policy</w:t>
      </w:r>
    </w:p>
    <w:p>
      <w:pPr>
        <w:spacing w:after="0" w:line="234" w:lineRule="exact"/>
        <w:rPr>
          <w:sz w:val="20"/>
          <w:szCs w:val="20"/>
          <w:color w:val="auto"/>
        </w:rPr>
      </w:pPr>
    </w:p>
    <w:p>
      <w:pPr>
        <w:ind w:right="240"/>
        <w:spacing w:after="0" w:line="246" w:lineRule="auto"/>
        <w:rPr>
          <w:sz w:val="20"/>
          <w:szCs w:val="20"/>
          <w:color w:val="auto"/>
        </w:rPr>
      </w:pPr>
      <w:r>
        <w:rPr>
          <w:rFonts w:ascii="Arial" w:cs="Arial" w:eastAsia="Arial" w:hAnsi="Arial"/>
          <w:sz w:val="18"/>
          <w:szCs w:val="18"/>
          <w:color w:val="auto"/>
        </w:rPr>
        <w:t>Under our compensation recoupment policy, the Committee may require members of senior management to return incentive compensation if there is a material restatement of the financial results upon which the incentive compensation</w:t>
      </w:r>
    </w:p>
    <w:p>
      <w:pPr>
        <w:spacing w:after="0" w:line="112" w:lineRule="exact"/>
        <w:rPr>
          <w:sz w:val="20"/>
          <w:szCs w:val="20"/>
          <w:color w:val="auto"/>
        </w:rPr>
      </w:pPr>
    </w:p>
    <w:p>
      <w:pPr>
        <w:spacing w:after="0"/>
        <w:tabs>
          <w:tab w:leader="none" w:pos="340" w:val="left"/>
          <w:tab w:leader="none" w:pos="580" w:val="left"/>
        </w:tabs>
        <w:rPr>
          <w:sz w:val="20"/>
          <w:szCs w:val="20"/>
          <w:color w:val="auto"/>
        </w:rPr>
      </w:pPr>
      <w:r>
        <w:rPr>
          <w:rFonts w:ascii="Arial" w:cs="Arial" w:eastAsia="Arial" w:hAnsi="Arial"/>
          <w:sz w:val="16"/>
          <w:szCs w:val="16"/>
          <w:b w:val="1"/>
          <w:bCs w:val="1"/>
          <w:color w:val="483E65"/>
        </w:rPr>
        <w:t>36</w:t>
        <w:tab/>
        <w:t>|</w:t>
        <w:tab/>
        <w:t>2017 Proxy Statement</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8" w:lineRule="exact"/>
        <w:rPr>
          <w:sz w:val="20"/>
          <w:szCs w:val="20"/>
          <w:color w:val="auto"/>
        </w:rPr>
      </w:pPr>
    </w:p>
    <w:p>
      <w:pPr>
        <w:spacing w:after="0"/>
        <w:rPr>
          <w:sz w:val="20"/>
          <w:szCs w:val="20"/>
          <w:color w:val="auto"/>
        </w:rPr>
      </w:pPr>
      <w:r>
        <w:rPr>
          <w:rFonts w:ascii="Arial" w:cs="Arial" w:eastAsia="Arial" w:hAnsi="Arial"/>
          <w:sz w:val="32"/>
          <w:szCs w:val="32"/>
          <w:color w:val="483E65"/>
        </w:rPr>
        <w:t>Compensation Discussion &amp;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149860</wp:posOffset>
            </wp:positionV>
            <wp:extent cx="724662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18" w:lineRule="exact"/>
        <w:rPr>
          <w:sz w:val="20"/>
          <w:szCs w:val="20"/>
          <w:color w:val="auto"/>
        </w:rPr>
      </w:pPr>
    </w:p>
    <w:p>
      <w:pPr>
        <w:ind w:right="120"/>
        <w:spacing w:after="0"/>
        <w:rPr>
          <w:sz w:val="20"/>
          <w:szCs w:val="20"/>
          <w:color w:val="auto"/>
        </w:rPr>
      </w:pPr>
      <w:r>
        <w:rPr>
          <w:rFonts w:ascii="Arial" w:cs="Arial" w:eastAsia="Arial" w:hAnsi="Arial"/>
          <w:sz w:val="18"/>
          <w:szCs w:val="18"/>
          <w:color w:val="auto"/>
        </w:rPr>
        <w:t>was originally based. Our recoupment policy includes both cash and equity forms of incentive compensation. If the Committee determines that recovery is appropriate, the company will seek repayment of the difference between the incentive compensation paid and the incentive compensation that would have been paid, if any, based on the restated financial results.</w:t>
      </w:r>
    </w:p>
    <w:p>
      <w:pPr>
        <w:spacing w:after="0" w:line="203" w:lineRule="exact"/>
        <w:rPr>
          <w:sz w:val="20"/>
          <w:szCs w:val="20"/>
          <w:color w:val="auto"/>
        </w:rPr>
      </w:pPr>
    </w:p>
    <w:p>
      <w:pPr>
        <w:ind w:right="120"/>
        <w:spacing w:after="0"/>
        <w:rPr>
          <w:sz w:val="20"/>
          <w:szCs w:val="20"/>
          <w:color w:val="auto"/>
        </w:rPr>
      </w:pPr>
      <w:r>
        <w:rPr>
          <w:rFonts w:ascii="Arial" w:cs="Arial" w:eastAsia="Arial" w:hAnsi="Arial"/>
          <w:sz w:val="18"/>
          <w:szCs w:val="18"/>
          <w:color w:val="auto"/>
        </w:rPr>
        <w:t>The policy also provides for recovery of incentive compensation from any employee involved in fraud or intentional misconduct, whether or not it results in a restatement of our financial results. In such a situation, the Committee would exercise its business judgment to determine what action it believes is appropriate under the circumstances.</w:t>
      </w:r>
    </w:p>
    <w:p>
      <w:pPr>
        <w:spacing w:after="0" w:line="203" w:lineRule="exact"/>
        <w:rPr>
          <w:sz w:val="20"/>
          <w:szCs w:val="20"/>
          <w:color w:val="auto"/>
        </w:rPr>
      </w:pPr>
    </w:p>
    <w:p>
      <w:pPr>
        <w:ind w:right="120"/>
        <w:spacing w:after="0" w:line="239" w:lineRule="auto"/>
        <w:rPr>
          <w:sz w:val="20"/>
          <w:szCs w:val="20"/>
          <w:color w:val="auto"/>
        </w:rPr>
      </w:pPr>
      <w:r>
        <w:rPr>
          <w:rFonts w:ascii="Arial" w:cs="Arial" w:eastAsia="Arial" w:hAnsi="Arial"/>
          <w:sz w:val="18"/>
          <w:szCs w:val="18"/>
          <w:color w:val="auto"/>
        </w:rPr>
        <w:t>We may seek to recover the applicable amount of compensation from incentive compensation paid or awarded after the adoption of the policy, from future payments of incentive compensation, cancellation of outstanding equity awards and reduction in or cancellation of future equity awards. In cases of fraud or misconduct, we may also seek recovery from incentive compensation paid or awarded prior to the adoption of the policy.</w:t>
      </w:r>
    </w:p>
    <w:p>
      <w:pPr>
        <w:spacing w:after="0" w:line="180"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483E65"/>
        </w:rPr>
        <w:t>Post-Employment Benefits</w:t>
      </w:r>
    </w:p>
    <w:p>
      <w:pPr>
        <w:spacing w:after="0" w:line="234" w:lineRule="exact"/>
        <w:rPr>
          <w:sz w:val="20"/>
          <w:szCs w:val="20"/>
          <w:color w:val="auto"/>
        </w:rPr>
      </w:pPr>
    </w:p>
    <w:p>
      <w:pPr>
        <w:ind w:right="80"/>
        <w:spacing w:after="0" w:line="246" w:lineRule="auto"/>
        <w:rPr>
          <w:sz w:val="20"/>
          <w:szCs w:val="20"/>
          <w:color w:val="auto"/>
        </w:rPr>
      </w:pPr>
      <w:r>
        <w:rPr>
          <w:rFonts w:ascii="Arial" w:cs="Arial" w:eastAsia="Arial" w:hAnsi="Arial"/>
          <w:sz w:val="18"/>
          <w:szCs w:val="18"/>
          <w:color w:val="auto"/>
        </w:rPr>
        <w:t>We do not maintain a defined benefit or other supplemental retirement plan that would entitle our executive officers to receive company-funded payments if they leave the company.</w:t>
      </w:r>
    </w:p>
    <w:p>
      <w:pPr>
        <w:spacing w:after="0" w:line="197"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Upon certain terminations of employment, including death, disability, retirement or a change in control, our named executive officers may be eligible for continued vesting of equity awards on the normal schedule or accelerated vesting in full or on a pro-rata basis, depending on the nature of event and the type of award. The purpose of these provisions is to protect previously earned or granted awards by making them available following the specified event. Because these termination provisions are contained in our standard award agreements for all recipients and relate to previously granted or earned awards, we do not consider these potential termination benefits as a separate item in compensation decisions for our named executive officers. Our long-term incentive plans do not provide for additional benefits or tax gross-ups. For more information about potential post-employment benefits, see “Executive Compensation—Potential Payments Upon Termination or a Change in Control.”</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483E65"/>
        </w:rPr>
        <w:t>Potential Change in Control and Severance Benefits</w:t>
      </w:r>
    </w:p>
    <w:p>
      <w:pPr>
        <w:spacing w:after="0" w:line="234" w:lineRule="exact"/>
        <w:rPr>
          <w:sz w:val="20"/>
          <w:szCs w:val="20"/>
          <w:color w:val="auto"/>
        </w:rPr>
      </w:pPr>
    </w:p>
    <w:p>
      <w:pPr>
        <w:ind w:right="180"/>
        <w:spacing w:after="0" w:line="237" w:lineRule="auto"/>
        <w:rPr>
          <w:sz w:val="20"/>
          <w:szCs w:val="20"/>
          <w:color w:val="auto"/>
        </w:rPr>
      </w:pPr>
      <w:r>
        <w:rPr>
          <w:rFonts w:ascii="Arial" w:cs="Arial" w:eastAsia="Arial" w:hAnsi="Arial"/>
          <w:sz w:val="18"/>
          <w:szCs w:val="18"/>
          <w:color w:val="auto"/>
        </w:rPr>
        <w:t>We have entered into severance protection agreements with each of our executive officers, other than Mr. Krone and Mr. Reardon, that would provide them with payments and benefits if their employment is involuntarily terminated following an acquisition of our company as further described in this Proxy Statement under “Executive Compensation—Potential Payment Upon a Change in Control.” We believe that these agreements provide an important benefit to us by helping alleviate any concern the executive officers might have when contemplating a potential change in control of our company and permitting them to focus their attention on our business. In addition, we believe that these agreements are an important recruiting and retention tool, as many of the companies with which we compete for talent have similar arrangements in place for their senior management.</w:t>
      </w:r>
    </w:p>
    <w:p>
      <w:pPr>
        <w:spacing w:after="0" w:line="203"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These severance protection agreements are designed to be renewed for successive one-year terms by the Committee, unless either the Committee or the executive officer decides not to renew the term. However, in September 2016, the Committee decided not to renew the severance protection agreements, and instead, to establish a severance plan, effective January 1, 2017 (after the end of the reported fiscal year). The new plan is designed to cover executive officers in certain cases where they terminate involuntarily from employment, with a separate schedule of benefits applicable if the termination occurs following a change of control of the company. Details regarding the new plan are included following the detailed charts for the benefits provided in Fiscal 2016 (the “Potential Payment Upon a Change in Control” Section). In addition to the change in control benefits described above for Fiscal 2016, we are not obligated to offer any kind of severance benefits to our executive officers, other than Mr. Krone and Mr. Reardon. Our executive officers, other than Mr. Krone, are employees-at-will and as such do not have any employment agreements with us, other than standard employment offer letters. Mr. Krone’s employment agreement provides that if his employment is terminated by us for reasons other than cause or by Mr. Krone for good reason, he would receive an amount equal to one times the sum of his base salary and target bonus. Such payment will be subject to Mr. Krone’s agreement to release us from any claims. However, if such termination is within three months prior to a change in control or within 24 months after a change in control, Mr. Krone would receive an amount equal to a maximum of two and one half times the sum of his base salary and target bonus. In addition, Mr. Krone would be entitled to receive payment for certain benefits, outplacement services and</w:t>
      </w:r>
    </w:p>
    <w:p>
      <w:pPr>
        <w:spacing w:after="0" w:line="118" w:lineRule="exact"/>
        <w:rPr>
          <w:sz w:val="20"/>
          <w:szCs w:val="20"/>
          <w:color w:val="auto"/>
        </w:rPr>
      </w:pPr>
    </w:p>
    <w:p>
      <w:pPr>
        <w:jc w:val="right"/>
        <w:spacing w:after="0"/>
        <w:tabs>
          <w:tab w:leader="none" w:pos="380" w:val="left"/>
          <w:tab w:leader="none" w:pos="160" w:val="left"/>
        </w:tabs>
        <w:rPr>
          <w:sz w:val="20"/>
          <w:szCs w:val="20"/>
          <w:color w:val="auto"/>
        </w:rPr>
      </w:pPr>
      <w:r>
        <w:rPr>
          <w:rFonts w:ascii="Arial" w:cs="Arial" w:eastAsia="Arial" w:hAnsi="Arial"/>
          <w:sz w:val="16"/>
          <w:szCs w:val="16"/>
          <w:b w:val="1"/>
          <w:bCs w:val="1"/>
          <w:color w:val="483E65"/>
        </w:rPr>
        <w:t>2017 Proxy Statement</w:t>
        <w:tab/>
        <w:t>|</w:t>
        <w:tab/>
        <w:t>37</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8" w:lineRule="exact"/>
        <w:rPr>
          <w:sz w:val="20"/>
          <w:szCs w:val="20"/>
          <w:color w:val="auto"/>
        </w:rPr>
      </w:pPr>
    </w:p>
    <w:p>
      <w:pPr>
        <w:spacing w:after="0"/>
        <w:rPr>
          <w:sz w:val="20"/>
          <w:szCs w:val="20"/>
          <w:color w:val="auto"/>
        </w:rPr>
      </w:pPr>
      <w:r>
        <w:rPr>
          <w:rFonts w:ascii="Arial" w:cs="Arial" w:eastAsia="Arial" w:hAnsi="Arial"/>
          <w:sz w:val="32"/>
          <w:szCs w:val="32"/>
          <w:color w:val="483E65"/>
        </w:rPr>
        <w:t>Compensation Discussion &amp;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149860</wp:posOffset>
            </wp:positionV>
            <wp:extent cx="724662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18"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vesting of all or a portion of his initial equity awards, depending on whether the termination is during a change in control period. The Committee approved these severance benefits after considering the potential costs, as an inducement for Mr. Krone to join the company.</w:t>
      </w:r>
    </w:p>
    <w:p>
      <w:pPr>
        <w:spacing w:after="0" w:line="197" w:lineRule="exact"/>
        <w:rPr>
          <w:sz w:val="20"/>
          <w:szCs w:val="20"/>
          <w:color w:val="auto"/>
        </w:rPr>
      </w:pPr>
    </w:p>
    <w:p>
      <w:pPr>
        <w:ind w:right="100"/>
        <w:spacing w:after="0"/>
        <w:rPr>
          <w:sz w:val="20"/>
          <w:szCs w:val="20"/>
          <w:color w:val="auto"/>
        </w:rPr>
      </w:pPr>
      <w:r>
        <w:rPr>
          <w:rFonts w:ascii="Arial" w:cs="Arial" w:eastAsia="Arial" w:hAnsi="Arial"/>
          <w:sz w:val="18"/>
          <w:szCs w:val="18"/>
          <w:color w:val="auto"/>
        </w:rPr>
        <w:t>We have agreed to provide Mr. Reardon with severance benefits pursuant to the terms of the EMA we entered into with Lockheed Martin prior to the merger Transaction. Under the terms of the EMA, we agreed to maintain the same level of benefits offered by Lockheed Martin for a period of one-year following the Transaction for Mr. Reardon.</w:t>
      </w:r>
    </w:p>
    <w:p>
      <w:pPr>
        <w:spacing w:after="0" w:line="203"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We have described the change in control and other termination benefits offered to Mr. Krone and Mr. Reardon in the Section entitled “Executive Compensation—Potential Payment Upon a Change in Control” in the tables following this Compensation Discussion &amp; Analysis.</w:t>
      </w:r>
    </w:p>
    <w:p>
      <w:pPr>
        <w:spacing w:after="0" w:line="175"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483E65"/>
        </w:rPr>
        <w:t>Tax Deductibility of Executive Compensation</w:t>
      </w:r>
    </w:p>
    <w:p>
      <w:pPr>
        <w:spacing w:after="0" w:line="234" w:lineRule="exact"/>
        <w:rPr>
          <w:sz w:val="20"/>
          <w:szCs w:val="20"/>
          <w:color w:val="auto"/>
        </w:rPr>
      </w:pPr>
    </w:p>
    <w:p>
      <w:pPr>
        <w:ind w:right="40"/>
        <w:spacing w:after="0"/>
        <w:rPr>
          <w:sz w:val="20"/>
          <w:szCs w:val="20"/>
          <w:color w:val="auto"/>
        </w:rPr>
      </w:pPr>
      <w:r>
        <w:rPr>
          <w:rFonts w:ascii="Arial" w:cs="Arial" w:eastAsia="Arial" w:hAnsi="Arial"/>
          <w:sz w:val="18"/>
          <w:szCs w:val="18"/>
          <w:color w:val="auto"/>
        </w:rPr>
        <w:t>Section 162(m) of the Internal Revenue Code generally limits the deductibility of certain compensation in excess of $1,000,000 paid in any one year to the Chief Executive Officer and the three other most highly compensated named executive officers (other than our Chief Financial Officer). Qualified performance-based compensation will not be subject to this deduction limit if certain requirements are met.</w:t>
      </w:r>
    </w:p>
    <w:p>
      <w:pPr>
        <w:spacing w:after="0" w:line="203"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The Committee periodically reviews and considers the deductibility of executive compensation under Section 162(m) in designing and implementing our compensation programs and arrangements. The Committee awards some of our compensation based upon the achievement of certain predetermined financial performance goals under a stockholder-approved plan, which is intended to permit us to deduct such amounts pursuant to Section 162(m). The rules and regulations promulgated under Section 162(m) are complex and subject to change from time to time, sometimes with retroactive effect. There can be no guarantee, therefore, that amounts potentially subject to the Section 162(m) limitations will be treated by the Internal Revenue Service as “qualified performance-based compensation” under Section 162(m) and/or deductible by the Company.</w:t>
      </w:r>
    </w:p>
    <w:p>
      <w:pPr>
        <w:spacing w:after="0" w:line="203"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While we will continue to monitor our compensation programs in light of Section 162(m), the Committee considers it important to retain the flexibility to design compensation programs that are in the best long-term interests of our company and our stockholders. As a result, the Committee may conclude that paying compensation at levels that are not deductible under Section 162(m) is nevertheless in the best interests of our company and our stockholders.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483E65"/>
        </w:rPr>
        <w:t>Human Resources and Compensation Committee Report</w:t>
      </w:r>
    </w:p>
    <w:p>
      <w:pPr>
        <w:spacing w:after="0" w:line="234" w:lineRule="exact"/>
        <w:rPr>
          <w:sz w:val="20"/>
          <w:szCs w:val="20"/>
          <w:color w:val="auto"/>
        </w:rPr>
      </w:pPr>
    </w:p>
    <w:p>
      <w:pPr>
        <w:ind w:right="340"/>
        <w:spacing w:after="0"/>
        <w:rPr>
          <w:sz w:val="20"/>
          <w:szCs w:val="20"/>
          <w:color w:val="auto"/>
        </w:rPr>
      </w:pPr>
      <w:r>
        <w:rPr>
          <w:rFonts w:ascii="Arial" w:cs="Arial" w:eastAsia="Arial" w:hAnsi="Arial"/>
          <w:sz w:val="18"/>
          <w:szCs w:val="18"/>
          <w:color w:val="auto"/>
        </w:rPr>
        <w:t>The Human Resources and Compensation Committee has reviewed and discussed with our management the CD&amp;A included in this Proxy Statement. Based upon this review and discussion, the Committee recommended to the Board that the CD&amp;A be included in this Proxy Statement.</w:t>
      </w:r>
    </w:p>
    <w:p>
      <w:pPr>
        <w:spacing w:after="0" w:line="198"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Miriam E. John (Chair)</w:t>
      </w:r>
    </w:p>
    <w:p>
      <w:pPr>
        <w:ind w:left="1240"/>
        <w:spacing w:after="0" w:line="234" w:lineRule="auto"/>
        <w:rPr>
          <w:sz w:val="20"/>
          <w:szCs w:val="20"/>
          <w:color w:val="auto"/>
        </w:rPr>
      </w:pPr>
      <w:r>
        <w:rPr>
          <w:rFonts w:ascii="Arial" w:cs="Arial" w:eastAsia="Arial" w:hAnsi="Arial"/>
          <w:sz w:val="18"/>
          <w:szCs w:val="18"/>
          <w:color w:val="auto"/>
        </w:rPr>
        <w:t>David G. Fubini</w:t>
      </w:r>
    </w:p>
    <w:p>
      <w:pPr>
        <w:ind w:left="1240"/>
        <w:spacing w:after="0" w:line="235" w:lineRule="auto"/>
        <w:rPr>
          <w:sz w:val="20"/>
          <w:szCs w:val="20"/>
          <w:color w:val="auto"/>
        </w:rPr>
      </w:pPr>
      <w:r>
        <w:rPr>
          <w:rFonts w:ascii="Arial" w:cs="Arial" w:eastAsia="Arial" w:hAnsi="Arial"/>
          <w:sz w:val="18"/>
          <w:szCs w:val="18"/>
          <w:color w:val="auto"/>
        </w:rPr>
        <w:t>Gary S. May</w:t>
      </w:r>
    </w:p>
    <w:p>
      <w:pPr>
        <w:ind w:left="1240"/>
        <w:spacing w:after="0" w:line="235" w:lineRule="auto"/>
        <w:rPr>
          <w:sz w:val="20"/>
          <w:szCs w:val="20"/>
          <w:color w:val="auto"/>
        </w:rPr>
      </w:pPr>
      <w:r>
        <w:rPr>
          <w:rFonts w:ascii="Arial" w:cs="Arial" w:eastAsia="Arial" w:hAnsi="Arial"/>
          <w:sz w:val="18"/>
          <w:szCs w:val="18"/>
          <w:color w:val="auto"/>
        </w:rPr>
        <w:t>Surya N. Mohapatra</w:t>
      </w:r>
    </w:p>
    <w:p>
      <w:pPr>
        <w:spacing w:after="0" w:line="1"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Noel B. Williams</w:t>
      </w:r>
    </w:p>
    <w:p>
      <w:pPr>
        <w:spacing w:after="0" w:line="127" w:lineRule="exact"/>
        <w:rPr>
          <w:sz w:val="20"/>
          <w:szCs w:val="20"/>
          <w:color w:val="auto"/>
        </w:rPr>
      </w:pPr>
    </w:p>
    <w:p>
      <w:pPr>
        <w:spacing w:after="0"/>
        <w:tabs>
          <w:tab w:leader="none" w:pos="340" w:val="left"/>
          <w:tab w:leader="none" w:pos="580" w:val="left"/>
        </w:tabs>
        <w:rPr>
          <w:sz w:val="20"/>
          <w:szCs w:val="20"/>
          <w:color w:val="auto"/>
        </w:rPr>
      </w:pPr>
      <w:r>
        <w:rPr>
          <w:rFonts w:ascii="Arial" w:cs="Arial" w:eastAsia="Arial" w:hAnsi="Arial"/>
          <w:sz w:val="16"/>
          <w:szCs w:val="16"/>
          <w:b w:val="1"/>
          <w:bCs w:val="1"/>
          <w:color w:val="483E65"/>
        </w:rPr>
        <w:t>38</w:t>
        <w:tab/>
        <w:t>|</w:t>
        <w:tab/>
        <w:t>2017 Proxy Statement</w:t>
      </w:r>
    </w:p>
    <w:p>
      <w:pPr>
        <w:sectPr>
          <w:pgSz w:w="11900" w:h="16838" w:orient="portrait"/>
          <w:cols w:equalWidth="0" w:num="1">
            <w:col w:w="11380"/>
          </w:cols>
          <w:pgMar w:left="240" w:top="459" w:right="27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8" w:lineRule="exact"/>
        <w:rPr>
          <w:sz w:val="20"/>
          <w:szCs w:val="20"/>
          <w:color w:val="auto"/>
        </w:rPr>
      </w:pPr>
    </w:p>
    <w:p>
      <w:pPr>
        <w:spacing w:after="0"/>
        <w:rPr>
          <w:sz w:val="20"/>
          <w:szCs w:val="20"/>
          <w:color w:val="auto"/>
        </w:rPr>
      </w:pPr>
      <w:r>
        <w:rPr>
          <w:rFonts w:ascii="Arial" w:cs="Arial" w:eastAsia="Arial" w:hAnsi="Arial"/>
          <w:sz w:val="32"/>
          <w:szCs w:val="32"/>
          <w:color w:val="483E65"/>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149860</wp:posOffset>
            </wp:positionV>
            <wp:extent cx="724662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483E65"/>
        </w:rPr>
        <w:t>Summary Compensation Table</w:t>
      </w:r>
    </w:p>
    <w:p>
      <w:pPr>
        <w:spacing w:after="0" w:line="234" w:lineRule="exact"/>
        <w:rPr>
          <w:sz w:val="20"/>
          <w:szCs w:val="20"/>
          <w:color w:val="auto"/>
        </w:rPr>
      </w:pPr>
    </w:p>
    <w:p>
      <w:pPr>
        <w:ind w:right="160"/>
        <w:spacing w:after="0"/>
        <w:rPr>
          <w:sz w:val="20"/>
          <w:szCs w:val="20"/>
          <w:color w:val="auto"/>
        </w:rPr>
      </w:pPr>
      <w:r>
        <w:rPr>
          <w:rFonts w:ascii="Arial" w:cs="Arial" w:eastAsia="Arial" w:hAnsi="Arial"/>
          <w:sz w:val="18"/>
          <w:szCs w:val="18"/>
          <w:color w:val="auto"/>
        </w:rPr>
        <w:t>The following table sets forth information regarding compensation earned by our named executive officers for service to us during Fiscal 2016 and, if applicable, the 11-month period ended January 1, 2016, and the 12-month period ended January 30, 2015 and the 12-month period ended February 1, 2014, whether or not such amounts were paid in such year:</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6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00" w:type="dxa"/>
            <w:vAlign w:val="bottom"/>
          </w:tcPr>
          <w:p>
            <w:pPr>
              <w:ind w:left="100"/>
              <w:spacing w:after="0"/>
              <w:rPr>
                <w:sz w:val="20"/>
                <w:szCs w:val="20"/>
                <w:color w:val="auto"/>
              </w:rPr>
            </w:pPr>
            <w:r>
              <w:rPr>
                <w:rFonts w:ascii="Arial" w:cs="Arial" w:eastAsia="Arial" w:hAnsi="Arial"/>
                <w:sz w:val="14"/>
                <w:szCs w:val="14"/>
                <w:color w:val="483E65"/>
              </w:rPr>
              <w:t>Non-equity</w:t>
            </w: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2"/>
        </w:trPr>
        <w:tc>
          <w:tcPr>
            <w:tcW w:w="36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00" w:type="dxa"/>
            <w:vAlign w:val="bottom"/>
          </w:tcPr>
          <w:p>
            <w:pPr>
              <w:ind w:left="100"/>
              <w:spacing w:after="0"/>
              <w:rPr>
                <w:sz w:val="20"/>
                <w:szCs w:val="20"/>
                <w:color w:val="auto"/>
              </w:rPr>
            </w:pPr>
            <w:r>
              <w:rPr>
                <w:rFonts w:ascii="Arial" w:cs="Arial" w:eastAsia="Arial" w:hAnsi="Arial"/>
                <w:sz w:val="14"/>
                <w:szCs w:val="14"/>
                <w:color w:val="483E65"/>
              </w:rPr>
              <w:t>incentive plan</w:t>
            </w:r>
          </w:p>
        </w:tc>
        <w:tc>
          <w:tcPr>
            <w:tcW w:w="880" w:type="dxa"/>
            <w:vAlign w:val="bottom"/>
          </w:tcPr>
          <w:p>
            <w:pPr>
              <w:ind w:left="100"/>
              <w:spacing w:after="0"/>
              <w:rPr>
                <w:sz w:val="20"/>
                <w:szCs w:val="20"/>
                <w:color w:val="auto"/>
              </w:rPr>
            </w:pPr>
            <w:r>
              <w:rPr>
                <w:rFonts w:ascii="Arial" w:cs="Arial" w:eastAsia="Arial" w:hAnsi="Arial"/>
                <w:sz w:val="14"/>
                <w:szCs w:val="14"/>
                <w:color w:val="483E65"/>
              </w:rPr>
              <w:t>All other</w:t>
            </w:r>
          </w:p>
        </w:tc>
        <w:tc>
          <w:tcPr>
            <w:tcW w:w="880" w:type="dxa"/>
            <w:vAlign w:val="bottom"/>
          </w:tcPr>
          <w:p>
            <w:pPr>
              <w:spacing w:after="0"/>
              <w:rPr>
                <w:sz w:val="14"/>
                <w:szCs w:val="14"/>
                <w:color w:val="auto"/>
              </w:rPr>
            </w:pPr>
          </w:p>
        </w:tc>
      </w:tr>
      <w:tr>
        <w:trPr>
          <w:trHeight w:val="155"/>
        </w:trPr>
        <w:tc>
          <w:tcPr>
            <w:tcW w:w="3620" w:type="dxa"/>
            <w:vAlign w:val="bottom"/>
          </w:tcPr>
          <w:p>
            <w:pPr>
              <w:spacing w:after="0"/>
              <w:rPr>
                <w:sz w:val="13"/>
                <w:szCs w:val="13"/>
                <w:color w:val="auto"/>
              </w:rPr>
            </w:pPr>
          </w:p>
        </w:tc>
        <w:tc>
          <w:tcPr>
            <w:tcW w:w="1040" w:type="dxa"/>
            <w:vAlign w:val="bottom"/>
          </w:tcPr>
          <w:p>
            <w:pPr>
              <w:ind w:left="160"/>
              <w:spacing w:after="0" w:line="155" w:lineRule="exact"/>
              <w:rPr>
                <w:sz w:val="20"/>
                <w:szCs w:val="20"/>
                <w:color w:val="auto"/>
              </w:rPr>
            </w:pPr>
            <w:r>
              <w:rPr>
                <w:rFonts w:ascii="Arial" w:cs="Arial" w:eastAsia="Arial" w:hAnsi="Arial"/>
                <w:sz w:val="14"/>
                <w:szCs w:val="14"/>
                <w:color w:val="483E65"/>
              </w:rPr>
              <w:t>Fiscal year</w:t>
            </w:r>
          </w:p>
        </w:tc>
        <w:tc>
          <w:tcPr>
            <w:tcW w:w="9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0" w:type="dxa"/>
            <w:vAlign w:val="bottom"/>
          </w:tcPr>
          <w:p>
            <w:pPr>
              <w:ind w:left="100"/>
              <w:spacing w:after="0" w:line="155" w:lineRule="exact"/>
              <w:rPr>
                <w:sz w:val="20"/>
                <w:szCs w:val="20"/>
                <w:color w:val="auto"/>
              </w:rPr>
            </w:pPr>
            <w:r>
              <w:rPr>
                <w:rFonts w:ascii="Arial" w:cs="Arial" w:eastAsia="Arial" w:hAnsi="Arial"/>
                <w:sz w:val="14"/>
                <w:szCs w:val="14"/>
                <w:color w:val="483E65"/>
              </w:rPr>
              <w:t>Stock</w:t>
            </w:r>
          </w:p>
        </w:tc>
        <w:tc>
          <w:tcPr>
            <w:tcW w:w="1000" w:type="dxa"/>
            <w:vAlign w:val="bottom"/>
          </w:tcPr>
          <w:p>
            <w:pPr>
              <w:ind w:left="100"/>
              <w:spacing w:after="0" w:line="155" w:lineRule="exact"/>
              <w:rPr>
                <w:sz w:val="20"/>
                <w:szCs w:val="20"/>
                <w:color w:val="auto"/>
              </w:rPr>
            </w:pPr>
            <w:r>
              <w:rPr>
                <w:rFonts w:ascii="Arial" w:cs="Arial" w:eastAsia="Arial" w:hAnsi="Arial"/>
                <w:sz w:val="14"/>
                <w:szCs w:val="14"/>
                <w:color w:val="483E65"/>
              </w:rPr>
              <w:t>Option</w:t>
            </w:r>
          </w:p>
        </w:tc>
        <w:tc>
          <w:tcPr>
            <w:tcW w:w="1100" w:type="dxa"/>
            <w:vAlign w:val="bottom"/>
          </w:tcPr>
          <w:p>
            <w:pPr>
              <w:ind w:left="100"/>
              <w:spacing w:after="0" w:line="155" w:lineRule="exact"/>
              <w:rPr>
                <w:sz w:val="20"/>
                <w:szCs w:val="20"/>
                <w:color w:val="auto"/>
              </w:rPr>
            </w:pPr>
            <w:r>
              <w:rPr>
                <w:rFonts w:ascii="Arial" w:cs="Arial" w:eastAsia="Arial" w:hAnsi="Arial"/>
                <w:sz w:val="14"/>
                <w:szCs w:val="14"/>
                <w:color w:val="483E65"/>
              </w:rPr>
              <w:t>compen-</w:t>
            </w:r>
          </w:p>
        </w:tc>
        <w:tc>
          <w:tcPr>
            <w:tcW w:w="880" w:type="dxa"/>
            <w:vAlign w:val="bottom"/>
          </w:tcPr>
          <w:p>
            <w:pPr>
              <w:ind w:left="100"/>
              <w:spacing w:after="0" w:line="155" w:lineRule="exact"/>
              <w:rPr>
                <w:sz w:val="20"/>
                <w:szCs w:val="20"/>
                <w:color w:val="auto"/>
              </w:rPr>
            </w:pPr>
            <w:r>
              <w:rPr>
                <w:rFonts w:ascii="Arial" w:cs="Arial" w:eastAsia="Arial" w:hAnsi="Arial"/>
                <w:sz w:val="14"/>
                <w:szCs w:val="14"/>
                <w:color w:val="483E65"/>
              </w:rPr>
              <w:t>compen-</w:t>
            </w:r>
          </w:p>
        </w:tc>
        <w:tc>
          <w:tcPr>
            <w:tcW w:w="880" w:type="dxa"/>
            <w:vAlign w:val="bottom"/>
          </w:tcPr>
          <w:p>
            <w:pPr>
              <w:spacing w:after="0"/>
              <w:rPr>
                <w:sz w:val="13"/>
                <w:szCs w:val="13"/>
                <w:color w:val="auto"/>
              </w:rPr>
            </w:pPr>
          </w:p>
        </w:tc>
      </w:tr>
      <w:tr>
        <w:trPr>
          <w:trHeight w:val="178"/>
        </w:trPr>
        <w:tc>
          <w:tcPr>
            <w:tcW w:w="3620" w:type="dxa"/>
            <w:vAlign w:val="bottom"/>
            <w:tcBorders>
              <w:bottom w:val="single" w:sz="8" w:color="483E65"/>
            </w:tcBorders>
          </w:tcPr>
          <w:p>
            <w:pPr>
              <w:ind w:left="80"/>
              <w:spacing w:after="0"/>
              <w:rPr>
                <w:sz w:val="20"/>
                <w:szCs w:val="20"/>
                <w:color w:val="auto"/>
              </w:rPr>
            </w:pPr>
            <w:r>
              <w:rPr>
                <w:rFonts w:ascii="Arial" w:cs="Arial" w:eastAsia="Arial" w:hAnsi="Arial"/>
                <w:sz w:val="14"/>
                <w:szCs w:val="14"/>
                <w:color w:val="483E65"/>
              </w:rPr>
              <w:t>Name and principal position</w:t>
            </w:r>
          </w:p>
        </w:tc>
        <w:tc>
          <w:tcPr>
            <w:tcW w:w="1040" w:type="dxa"/>
            <w:vAlign w:val="bottom"/>
            <w:tcBorders>
              <w:bottom w:val="single" w:sz="8" w:color="483E65"/>
            </w:tcBorders>
          </w:tcPr>
          <w:p>
            <w:pPr>
              <w:ind w:left="160"/>
              <w:spacing w:after="0" w:line="179" w:lineRule="exact"/>
              <w:rPr>
                <w:sz w:val="20"/>
                <w:szCs w:val="20"/>
                <w:color w:val="auto"/>
              </w:rPr>
            </w:pPr>
            <w:r>
              <w:rPr>
                <w:rFonts w:ascii="Arial" w:cs="Arial" w:eastAsia="Arial" w:hAnsi="Arial"/>
                <w:sz w:val="12"/>
                <w:szCs w:val="12"/>
                <w:color w:val="483E65"/>
              </w:rPr>
              <w:t>ended</w:t>
            </w:r>
            <w:r>
              <w:rPr>
                <w:rFonts w:ascii="Arial" w:cs="Arial" w:eastAsia="Arial" w:hAnsi="Arial"/>
                <w:sz w:val="20"/>
                <w:szCs w:val="20"/>
                <w:color w:val="483E65"/>
                <w:vertAlign w:val="superscript"/>
              </w:rPr>
              <w:t>(1)</w:t>
            </w:r>
          </w:p>
        </w:tc>
        <w:tc>
          <w:tcPr>
            <w:tcW w:w="940" w:type="dxa"/>
            <w:vAlign w:val="bottom"/>
            <w:tcBorders>
              <w:bottom w:val="single" w:sz="8" w:color="483E65"/>
            </w:tcBorders>
          </w:tcPr>
          <w:p>
            <w:pPr>
              <w:jc w:val="right"/>
              <w:ind w:right="29"/>
              <w:spacing w:after="0" w:line="179" w:lineRule="exact"/>
              <w:rPr>
                <w:sz w:val="20"/>
                <w:szCs w:val="20"/>
                <w:color w:val="auto"/>
              </w:rPr>
            </w:pPr>
            <w:r>
              <w:rPr>
                <w:rFonts w:ascii="Arial" w:cs="Arial" w:eastAsia="Arial" w:hAnsi="Arial"/>
                <w:sz w:val="12"/>
                <w:szCs w:val="12"/>
                <w:color w:val="483E65"/>
              </w:rPr>
              <w:t>Salary($)</w:t>
            </w:r>
            <w:r>
              <w:rPr>
                <w:rFonts w:ascii="Arial" w:cs="Arial" w:eastAsia="Arial" w:hAnsi="Arial"/>
                <w:sz w:val="20"/>
                <w:szCs w:val="20"/>
                <w:color w:val="483E65"/>
                <w:vertAlign w:val="superscript"/>
              </w:rPr>
              <w:t>(2)</w:t>
            </w:r>
          </w:p>
        </w:tc>
        <w:tc>
          <w:tcPr>
            <w:tcW w:w="960" w:type="dxa"/>
            <w:vAlign w:val="bottom"/>
            <w:tcBorders>
              <w:bottom w:val="single" w:sz="8" w:color="483E65"/>
            </w:tcBorders>
          </w:tcPr>
          <w:p>
            <w:pPr>
              <w:jc w:val="right"/>
              <w:ind w:right="49"/>
              <w:spacing w:after="0" w:line="179" w:lineRule="exact"/>
              <w:rPr>
                <w:sz w:val="20"/>
                <w:szCs w:val="20"/>
                <w:color w:val="auto"/>
              </w:rPr>
            </w:pPr>
            <w:r>
              <w:rPr>
                <w:rFonts w:ascii="Arial" w:cs="Arial" w:eastAsia="Arial" w:hAnsi="Arial"/>
                <w:sz w:val="12"/>
                <w:szCs w:val="12"/>
                <w:color w:val="483E65"/>
              </w:rPr>
              <w:t>Bonus($)</w:t>
            </w:r>
            <w:r>
              <w:rPr>
                <w:rFonts w:ascii="Arial" w:cs="Arial" w:eastAsia="Arial" w:hAnsi="Arial"/>
                <w:sz w:val="20"/>
                <w:szCs w:val="20"/>
                <w:color w:val="483E65"/>
                <w:vertAlign w:val="superscript"/>
              </w:rPr>
              <w:t>(3)</w:t>
            </w:r>
          </w:p>
        </w:tc>
        <w:tc>
          <w:tcPr>
            <w:tcW w:w="1000" w:type="dxa"/>
            <w:vAlign w:val="bottom"/>
            <w:tcBorders>
              <w:bottom w:val="single" w:sz="8" w:color="483E65"/>
            </w:tcBorders>
          </w:tcPr>
          <w:p>
            <w:pPr>
              <w:ind w:left="100"/>
              <w:spacing w:after="0" w:line="179" w:lineRule="exact"/>
              <w:rPr>
                <w:sz w:val="20"/>
                <w:szCs w:val="20"/>
                <w:color w:val="auto"/>
              </w:rPr>
            </w:pPr>
            <w:r>
              <w:rPr>
                <w:rFonts w:ascii="Arial" w:cs="Arial" w:eastAsia="Arial" w:hAnsi="Arial"/>
                <w:sz w:val="12"/>
                <w:szCs w:val="12"/>
                <w:color w:val="483E65"/>
              </w:rPr>
              <w:t>awards($)</w:t>
            </w:r>
            <w:r>
              <w:rPr>
                <w:rFonts w:ascii="Arial" w:cs="Arial" w:eastAsia="Arial" w:hAnsi="Arial"/>
                <w:sz w:val="20"/>
                <w:szCs w:val="20"/>
                <w:color w:val="483E65"/>
                <w:vertAlign w:val="superscript"/>
              </w:rPr>
              <w:t>(4)</w:t>
            </w:r>
          </w:p>
        </w:tc>
        <w:tc>
          <w:tcPr>
            <w:tcW w:w="1000" w:type="dxa"/>
            <w:vAlign w:val="bottom"/>
            <w:tcBorders>
              <w:bottom w:val="single" w:sz="8" w:color="483E65"/>
            </w:tcBorders>
          </w:tcPr>
          <w:p>
            <w:pPr>
              <w:ind w:left="100"/>
              <w:spacing w:after="0" w:line="179" w:lineRule="exact"/>
              <w:rPr>
                <w:sz w:val="20"/>
                <w:szCs w:val="20"/>
                <w:color w:val="auto"/>
              </w:rPr>
            </w:pPr>
            <w:r>
              <w:rPr>
                <w:rFonts w:ascii="Arial" w:cs="Arial" w:eastAsia="Arial" w:hAnsi="Arial"/>
                <w:sz w:val="12"/>
                <w:szCs w:val="12"/>
                <w:color w:val="483E65"/>
              </w:rPr>
              <w:t>awards($)</w:t>
            </w:r>
            <w:r>
              <w:rPr>
                <w:rFonts w:ascii="Arial" w:cs="Arial" w:eastAsia="Arial" w:hAnsi="Arial"/>
                <w:sz w:val="20"/>
                <w:szCs w:val="20"/>
                <w:color w:val="483E65"/>
                <w:vertAlign w:val="superscript"/>
              </w:rPr>
              <w:t>(4)</w:t>
            </w:r>
          </w:p>
        </w:tc>
        <w:tc>
          <w:tcPr>
            <w:tcW w:w="1100" w:type="dxa"/>
            <w:vAlign w:val="bottom"/>
            <w:tcBorders>
              <w:bottom w:val="single" w:sz="8" w:color="483E65"/>
            </w:tcBorders>
          </w:tcPr>
          <w:p>
            <w:pPr>
              <w:ind w:left="100"/>
              <w:spacing w:after="0" w:line="179" w:lineRule="exact"/>
              <w:rPr>
                <w:sz w:val="20"/>
                <w:szCs w:val="20"/>
                <w:color w:val="auto"/>
              </w:rPr>
            </w:pPr>
            <w:r>
              <w:rPr>
                <w:rFonts w:ascii="Arial" w:cs="Arial" w:eastAsia="Arial" w:hAnsi="Arial"/>
                <w:sz w:val="12"/>
                <w:szCs w:val="12"/>
                <w:color w:val="483E65"/>
              </w:rPr>
              <w:t>sation($)</w:t>
            </w:r>
            <w:r>
              <w:rPr>
                <w:rFonts w:ascii="Arial" w:cs="Arial" w:eastAsia="Arial" w:hAnsi="Arial"/>
                <w:sz w:val="20"/>
                <w:szCs w:val="20"/>
                <w:color w:val="483E65"/>
                <w:vertAlign w:val="superscript"/>
              </w:rPr>
              <w:t>(5)</w:t>
            </w:r>
          </w:p>
        </w:tc>
        <w:tc>
          <w:tcPr>
            <w:tcW w:w="880" w:type="dxa"/>
            <w:vAlign w:val="bottom"/>
            <w:tcBorders>
              <w:bottom w:val="single" w:sz="8" w:color="483E65"/>
            </w:tcBorders>
          </w:tcPr>
          <w:p>
            <w:pPr>
              <w:ind w:left="100"/>
              <w:spacing w:after="0" w:line="179" w:lineRule="exact"/>
              <w:rPr>
                <w:sz w:val="20"/>
                <w:szCs w:val="20"/>
                <w:color w:val="auto"/>
              </w:rPr>
            </w:pPr>
            <w:r>
              <w:rPr>
                <w:rFonts w:ascii="Arial" w:cs="Arial" w:eastAsia="Arial" w:hAnsi="Arial"/>
                <w:sz w:val="12"/>
                <w:szCs w:val="12"/>
                <w:color w:val="483E65"/>
              </w:rPr>
              <w:t>sation($)</w:t>
            </w:r>
            <w:r>
              <w:rPr>
                <w:rFonts w:ascii="Arial" w:cs="Arial" w:eastAsia="Arial" w:hAnsi="Arial"/>
                <w:sz w:val="20"/>
                <w:szCs w:val="20"/>
                <w:color w:val="483E65"/>
                <w:vertAlign w:val="superscript"/>
              </w:rPr>
              <w:t>(6)</w:t>
            </w:r>
          </w:p>
        </w:tc>
        <w:tc>
          <w:tcPr>
            <w:tcW w:w="880" w:type="dxa"/>
            <w:vAlign w:val="bottom"/>
            <w:tcBorders>
              <w:bottom w:val="single" w:sz="8" w:color="483E65"/>
            </w:tcBorders>
          </w:tcPr>
          <w:p>
            <w:pPr>
              <w:jc w:val="right"/>
              <w:ind w:right="208"/>
              <w:spacing w:after="0"/>
              <w:rPr>
                <w:sz w:val="20"/>
                <w:szCs w:val="20"/>
                <w:color w:val="auto"/>
              </w:rPr>
            </w:pPr>
            <w:r>
              <w:rPr>
                <w:rFonts w:ascii="Arial" w:cs="Arial" w:eastAsia="Arial" w:hAnsi="Arial"/>
                <w:sz w:val="14"/>
                <w:szCs w:val="14"/>
                <w:color w:val="483E65"/>
              </w:rPr>
              <w:t>Total($)</w:t>
            </w:r>
          </w:p>
        </w:tc>
      </w:tr>
      <w:tr>
        <w:trPr>
          <w:trHeight w:val="363"/>
        </w:trPr>
        <w:tc>
          <w:tcPr>
            <w:tcW w:w="3620" w:type="dxa"/>
            <w:vAlign w:val="bottom"/>
          </w:tcPr>
          <w:p>
            <w:pPr>
              <w:ind w:left="80"/>
              <w:spacing w:after="0"/>
              <w:rPr>
                <w:sz w:val="20"/>
                <w:szCs w:val="20"/>
                <w:color w:val="auto"/>
              </w:rPr>
            </w:pPr>
            <w:r>
              <w:rPr>
                <w:rFonts w:ascii="Arial" w:cs="Arial" w:eastAsia="Arial" w:hAnsi="Arial"/>
                <w:sz w:val="14"/>
                <w:szCs w:val="14"/>
                <w:color w:val="auto"/>
              </w:rPr>
              <w:t>Roger A. Krone</w:t>
            </w:r>
          </w:p>
        </w:tc>
        <w:tc>
          <w:tcPr>
            <w:tcW w:w="1040" w:type="dxa"/>
            <w:vAlign w:val="bottom"/>
          </w:tcPr>
          <w:p>
            <w:pPr>
              <w:jc w:val="right"/>
              <w:ind w:right="29"/>
              <w:spacing w:after="0"/>
              <w:rPr>
                <w:sz w:val="20"/>
                <w:szCs w:val="20"/>
                <w:color w:val="auto"/>
              </w:rPr>
            </w:pPr>
            <w:r>
              <w:rPr>
                <w:rFonts w:ascii="Arial" w:cs="Arial" w:eastAsia="Arial" w:hAnsi="Arial"/>
                <w:sz w:val="14"/>
                <w:szCs w:val="14"/>
                <w:color w:val="auto"/>
              </w:rPr>
              <w:t>12/30/2016</w:t>
            </w:r>
          </w:p>
        </w:tc>
        <w:tc>
          <w:tcPr>
            <w:tcW w:w="940" w:type="dxa"/>
            <w:vAlign w:val="bottom"/>
          </w:tcPr>
          <w:p>
            <w:pPr>
              <w:jc w:val="right"/>
              <w:ind w:right="29"/>
              <w:spacing w:after="0"/>
              <w:rPr>
                <w:sz w:val="20"/>
                <w:szCs w:val="20"/>
                <w:color w:val="auto"/>
              </w:rPr>
            </w:pPr>
            <w:r>
              <w:rPr>
                <w:rFonts w:ascii="Arial" w:cs="Arial" w:eastAsia="Arial" w:hAnsi="Arial"/>
                <w:sz w:val="14"/>
                <w:szCs w:val="14"/>
                <w:color w:val="auto"/>
              </w:rPr>
              <w:t>988,462</w:t>
            </w:r>
          </w:p>
        </w:tc>
        <w:tc>
          <w:tcPr>
            <w:tcW w:w="96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49"/>
              <w:spacing w:after="0"/>
              <w:rPr>
                <w:sz w:val="20"/>
                <w:szCs w:val="20"/>
                <w:color w:val="auto"/>
              </w:rPr>
            </w:pPr>
            <w:r>
              <w:rPr>
                <w:rFonts w:ascii="Arial" w:cs="Arial" w:eastAsia="Arial" w:hAnsi="Arial"/>
                <w:sz w:val="14"/>
                <w:szCs w:val="14"/>
                <w:color w:val="auto"/>
              </w:rPr>
              <w:t>4,243,439</w:t>
            </w:r>
          </w:p>
        </w:tc>
        <w:tc>
          <w:tcPr>
            <w:tcW w:w="1000" w:type="dxa"/>
            <w:vAlign w:val="bottom"/>
          </w:tcPr>
          <w:p>
            <w:pPr>
              <w:jc w:val="right"/>
              <w:ind w:right="49"/>
              <w:spacing w:after="0"/>
              <w:rPr>
                <w:sz w:val="20"/>
                <w:szCs w:val="20"/>
                <w:color w:val="auto"/>
              </w:rPr>
            </w:pPr>
            <w:r>
              <w:rPr>
                <w:rFonts w:ascii="Arial" w:cs="Arial" w:eastAsia="Arial" w:hAnsi="Arial"/>
                <w:sz w:val="14"/>
                <w:szCs w:val="14"/>
                <w:color w:val="auto"/>
              </w:rPr>
              <w:t>995,298</w:t>
            </w:r>
          </w:p>
        </w:tc>
        <w:tc>
          <w:tcPr>
            <w:tcW w:w="1100" w:type="dxa"/>
            <w:vAlign w:val="bottom"/>
          </w:tcPr>
          <w:p>
            <w:pPr>
              <w:jc w:val="right"/>
              <w:ind w:right="49"/>
              <w:spacing w:after="0"/>
              <w:rPr>
                <w:sz w:val="20"/>
                <w:szCs w:val="20"/>
                <w:color w:val="auto"/>
              </w:rPr>
            </w:pPr>
            <w:r>
              <w:rPr>
                <w:rFonts w:ascii="Arial" w:cs="Arial" w:eastAsia="Arial" w:hAnsi="Arial"/>
                <w:sz w:val="14"/>
                <w:szCs w:val="14"/>
                <w:color w:val="auto"/>
              </w:rPr>
              <w:t>1,638,000</w:t>
            </w:r>
          </w:p>
        </w:tc>
        <w:tc>
          <w:tcPr>
            <w:tcW w:w="880" w:type="dxa"/>
            <w:vAlign w:val="bottom"/>
          </w:tcPr>
          <w:p>
            <w:pPr>
              <w:jc w:val="right"/>
              <w:spacing w:after="0"/>
              <w:rPr>
                <w:sz w:val="20"/>
                <w:szCs w:val="20"/>
                <w:color w:val="auto"/>
              </w:rPr>
            </w:pPr>
            <w:r>
              <w:rPr>
                <w:rFonts w:ascii="Arial" w:cs="Arial" w:eastAsia="Arial" w:hAnsi="Arial"/>
                <w:sz w:val="14"/>
                <w:szCs w:val="14"/>
                <w:color w:val="auto"/>
              </w:rPr>
              <w:t>19,698</w:t>
            </w:r>
          </w:p>
        </w:tc>
        <w:tc>
          <w:tcPr>
            <w:tcW w:w="880" w:type="dxa"/>
            <w:vAlign w:val="bottom"/>
          </w:tcPr>
          <w:p>
            <w:pPr>
              <w:jc w:val="right"/>
              <w:ind w:right="108"/>
              <w:spacing w:after="0"/>
              <w:rPr>
                <w:sz w:val="20"/>
                <w:szCs w:val="20"/>
                <w:color w:val="auto"/>
              </w:rPr>
            </w:pPr>
            <w:r>
              <w:rPr>
                <w:rFonts w:ascii="Arial" w:cs="Arial" w:eastAsia="Arial" w:hAnsi="Arial"/>
                <w:sz w:val="14"/>
                <w:szCs w:val="14"/>
                <w:color w:val="auto"/>
              </w:rPr>
              <w:t>7,884,897</w:t>
            </w:r>
          </w:p>
        </w:tc>
      </w:tr>
      <w:tr>
        <w:trPr>
          <w:trHeight w:val="162"/>
        </w:trPr>
        <w:tc>
          <w:tcPr>
            <w:tcW w:w="3620" w:type="dxa"/>
            <w:vAlign w:val="bottom"/>
          </w:tcPr>
          <w:p>
            <w:pPr>
              <w:ind w:left="240"/>
              <w:spacing w:after="0"/>
              <w:rPr>
                <w:sz w:val="20"/>
                <w:szCs w:val="20"/>
                <w:color w:val="auto"/>
              </w:rPr>
            </w:pPr>
            <w:r>
              <w:rPr>
                <w:rFonts w:ascii="Arial" w:cs="Arial" w:eastAsia="Arial" w:hAnsi="Arial"/>
                <w:sz w:val="14"/>
                <w:szCs w:val="14"/>
                <w:color w:val="auto"/>
              </w:rPr>
              <w:t>Chief Executive Officer</w:t>
            </w:r>
          </w:p>
        </w:tc>
        <w:tc>
          <w:tcPr>
            <w:tcW w:w="1040" w:type="dxa"/>
            <w:vAlign w:val="bottom"/>
          </w:tcPr>
          <w:p>
            <w:pPr>
              <w:jc w:val="right"/>
              <w:ind w:right="29"/>
              <w:spacing w:after="0"/>
              <w:rPr>
                <w:sz w:val="20"/>
                <w:szCs w:val="20"/>
                <w:color w:val="auto"/>
              </w:rPr>
            </w:pPr>
            <w:r>
              <w:rPr>
                <w:rFonts w:ascii="Arial" w:cs="Arial" w:eastAsia="Arial" w:hAnsi="Arial"/>
                <w:sz w:val="14"/>
                <w:szCs w:val="14"/>
                <w:color w:val="auto"/>
              </w:rPr>
              <w:t>1/1/2016</w:t>
            </w:r>
          </w:p>
        </w:tc>
        <w:tc>
          <w:tcPr>
            <w:tcW w:w="940" w:type="dxa"/>
            <w:vAlign w:val="bottom"/>
          </w:tcPr>
          <w:p>
            <w:pPr>
              <w:jc w:val="right"/>
              <w:ind w:right="29"/>
              <w:spacing w:after="0"/>
              <w:rPr>
                <w:sz w:val="20"/>
                <w:szCs w:val="20"/>
                <w:color w:val="auto"/>
              </w:rPr>
            </w:pPr>
            <w:r>
              <w:rPr>
                <w:rFonts w:ascii="Arial" w:cs="Arial" w:eastAsia="Arial" w:hAnsi="Arial"/>
                <w:sz w:val="14"/>
                <w:szCs w:val="14"/>
                <w:color w:val="auto"/>
              </w:rPr>
              <w:t>876,923</w:t>
            </w:r>
          </w:p>
        </w:tc>
        <w:tc>
          <w:tcPr>
            <w:tcW w:w="96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49"/>
              <w:spacing w:after="0"/>
              <w:rPr>
                <w:sz w:val="20"/>
                <w:szCs w:val="20"/>
                <w:color w:val="auto"/>
              </w:rPr>
            </w:pPr>
            <w:r>
              <w:rPr>
                <w:rFonts w:ascii="Arial" w:cs="Arial" w:eastAsia="Arial" w:hAnsi="Arial"/>
                <w:sz w:val="14"/>
                <w:szCs w:val="14"/>
                <w:color w:val="auto"/>
              </w:rPr>
              <w:t>3,478,358</w:t>
            </w:r>
          </w:p>
        </w:tc>
        <w:tc>
          <w:tcPr>
            <w:tcW w:w="1000" w:type="dxa"/>
            <w:vAlign w:val="bottom"/>
          </w:tcPr>
          <w:p>
            <w:pPr>
              <w:jc w:val="right"/>
              <w:ind w:right="49"/>
              <w:spacing w:after="0"/>
              <w:rPr>
                <w:sz w:val="20"/>
                <w:szCs w:val="20"/>
                <w:color w:val="auto"/>
              </w:rPr>
            </w:pPr>
            <w:r>
              <w:rPr>
                <w:rFonts w:ascii="Arial" w:cs="Arial" w:eastAsia="Arial" w:hAnsi="Arial"/>
                <w:sz w:val="14"/>
                <w:szCs w:val="14"/>
                <w:color w:val="auto"/>
              </w:rPr>
              <w:t>699,493</w:t>
            </w:r>
          </w:p>
        </w:tc>
        <w:tc>
          <w:tcPr>
            <w:tcW w:w="1100" w:type="dxa"/>
            <w:vAlign w:val="bottom"/>
          </w:tcPr>
          <w:p>
            <w:pPr>
              <w:jc w:val="right"/>
              <w:ind w:right="49"/>
              <w:spacing w:after="0"/>
              <w:rPr>
                <w:sz w:val="20"/>
                <w:szCs w:val="20"/>
                <w:color w:val="auto"/>
              </w:rPr>
            </w:pPr>
            <w:r>
              <w:rPr>
                <w:rFonts w:ascii="Arial" w:cs="Arial" w:eastAsia="Arial" w:hAnsi="Arial"/>
                <w:sz w:val="14"/>
                <w:szCs w:val="14"/>
                <w:color w:val="auto"/>
              </w:rPr>
              <w:t>1,468,720</w:t>
            </w:r>
          </w:p>
        </w:tc>
        <w:tc>
          <w:tcPr>
            <w:tcW w:w="880" w:type="dxa"/>
            <w:vAlign w:val="bottom"/>
          </w:tcPr>
          <w:p>
            <w:pPr>
              <w:jc w:val="right"/>
              <w:spacing w:after="0"/>
              <w:rPr>
                <w:sz w:val="20"/>
                <w:szCs w:val="20"/>
                <w:color w:val="auto"/>
              </w:rPr>
            </w:pPr>
            <w:r>
              <w:rPr>
                <w:rFonts w:ascii="Arial" w:cs="Arial" w:eastAsia="Arial" w:hAnsi="Arial"/>
                <w:sz w:val="14"/>
                <w:szCs w:val="14"/>
                <w:color w:val="auto"/>
              </w:rPr>
              <w:t>12,637</w:t>
            </w:r>
          </w:p>
        </w:tc>
        <w:tc>
          <w:tcPr>
            <w:tcW w:w="880" w:type="dxa"/>
            <w:vAlign w:val="bottom"/>
          </w:tcPr>
          <w:p>
            <w:pPr>
              <w:jc w:val="right"/>
              <w:ind w:right="108"/>
              <w:spacing w:after="0"/>
              <w:rPr>
                <w:sz w:val="20"/>
                <w:szCs w:val="20"/>
                <w:color w:val="auto"/>
              </w:rPr>
            </w:pPr>
            <w:r>
              <w:rPr>
                <w:rFonts w:ascii="Arial" w:cs="Arial" w:eastAsia="Arial" w:hAnsi="Arial"/>
                <w:sz w:val="14"/>
                <w:szCs w:val="14"/>
                <w:color w:val="auto"/>
              </w:rPr>
              <w:t>6,536,131</w:t>
            </w:r>
          </w:p>
        </w:tc>
      </w:tr>
      <w:tr>
        <w:trPr>
          <w:trHeight w:val="157"/>
        </w:trPr>
        <w:tc>
          <w:tcPr>
            <w:tcW w:w="3620" w:type="dxa"/>
            <w:vAlign w:val="bottom"/>
          </w:tcPr>
          <w:p>
            <w:pPr>
              <w:spacing w:after="0"/>
              <w:rPr>
                <w:sz w:val="13"/>
                <w:szCs w:val="13"/>
                <w:color w:val="auto"/>
              </w:rPr>
            </w:pPr>
          </w:p>
        </w:tc>
        <w:tc>
          <w:tcPr>
            <w:tcW w:w="1040" w:type="dxa"/>
            <w:vAlign w:val="bottom"/>
          </w:tcPr>
          <w:p>
            <w:pPr>
              <w:jc w:val="right"/>
              <w:ind w:right="29"/>
              <w:spacing w:after="0" w:line="157" w:lineRule="exact"/>
              <w:rPr>
                <w:sz w:val="20"/>
                <w:szCs w:val="20"/>
                <w:color w:val="auto"/>
              </w:rPr>
            </w:pPr>
            <w:r>
              <w:rPr>
                <w:rFonts w:ascii="Arial" w:cs="Arial" w:eastAsia="Arial" w:hAnsi="Arial"/>
                <w:sz w:val="14"/>
                <w:szCs w:val="14"/>
                <w:color w:val="auto"/>
              </w:rPr>
              <w:t>1/30/2015</w:t>
            </w:r>
          </w:p>
        </w:tc>
        <w:tc>
          <w:tcPr>
            <w:tcW w:w="940" w:type="dxa"/>
            <w:vAlign w:val="bottom"/>
          </w:tcPr>
          <w:p>
            <w:pPr>
              <w:jc w:val="right"/>
              <w:ind w:right="29"/>
              <w:spacing w:after="0" w:line="157" w:lineRule="exact"/>
              <w:rPr>
                <w:sz w:val="20"/>
                <w:szCs w:val="20"/>
                <w:color w:val="auto"/>
              </w:rPr>
            </w:pPr>
            <w:r>
              <w:rPr>
                <w:rFonts w:ascii="Arial" w:cs="Arial" w:eastAsia="Arial" w:hAnsi="Arial"/>
                <w:sz w:val="14"/>
                <w:szCs w:val="14"/>
                <w:color w:val="auto"/>
              </w:rPr>
              <w:t>493,269</w:t>
            </w:r>
          </w:p>
        </w:tc>
        <w:tc>
          <w:tcPr>
            <w:tcW w:w="960" w:type="dxa"/>
            <w:vAlign w:val="bottom"/>
          </w:tcPr>
          <w:p>
            <w:pPr>
              <w:jc w:val="right"/>
              <w:ind w:right="29"/>
              <w:spacing w:after="0" w:line="157" w:lineRule="exact"/>
              <w:rPr>
                <w:sz w:val="20"/>
                <w:szCs w:val="20"/>
                <w:color w:val="auto"/>
              </w:rPr>
            </w:pPr>
            <w:r>
              <w:rPr>
                <w:rFonts w:ascii="Arial" w:cs="Arial" w:eastAsia="Arial" w:hAnsi="Arial"/>
                <w:sz w:val="14"/>
                <w:szCs w:val="14"/>
                <w:color w:val="auto"/>
              </w:rPr>
              <w:t>1,860,822</w:t>
            </w:r>
          </w:p>
        </w:tc>
        <w:tc>
          <w:tcPr>
            <w:tcW w:w="1000" w:type="dxa"/>
            <w:vAlign w:val="bottom"/>
          </w:tcPr>
          <w:p>
            <w:pPr>
              <w:jc w:val="right"/>
              <w:ind w:right="49"/>
              <w:spacing w:after="0" w:line="157" w:lineRule="exact"/>
              <w:rPr>
                <w:sz w:val="20"/>
                <w:szCs w:val="20"/>
                <w:color w:val="auto"/>
              </w:rPr>
            </w:pPr>
            <w:r>
              <w:rPr>
                <w:rFonts w:ascii="Arial" w:cs="Arial" w:eastAsia="Arial" w:hAnsi="Arial"/>
                <w:sz w:val="14"/>
                <w:szCs w:val="14"/>
                <w:color w:val="auto"/>
              </w:rPr>
              <w:t>2,732,044</w:t>
            </w:r>
          </w:p>
        </w:tc>
        <w:tc>
          <w:tcPr>
            <w:tcW w:w="1000" w:type="dxa"/>
            <w:vAlign w:val="bottom"/>
          </w:tcPr>
          <w:p>
            <w:pPr>
              <w:jc w:val="right"/>
              <w:ind w:right="49"/>
              <w:spacing w:after="0" w:line="157" w:lineRule="exact"/>
              <w:rPr>
                <w:sz w:val="20"/>
                <w:szCs w:val="20"/>
                <w:color w:val="auto"/>
              </w:rPr>
            </w:pPr>
            <w:r>
              <w:rPr>
                <w:rFonts w:ascii="Arial" w:cs="Arial" w:eastAsia="Arial" w:hAnsi="Arial"/>
                <w:sz w:val="14"/>
                <w:szCs w:val="14"/>
                <w:color w:val="auto"/>
              </w:rPr>
              <w:t>396,498</w:t>
            </w:r>
          </w:p>
        </w:tc>
        <w:tc>
          <w:tcPr>
            <w:tcW w:w="1100" w:type="dxa"/>
            <w:vAlign w:val="bottom"/>
          </w:tcPr>
          <w:p>
            <w:pPr>
              <w:jc w:val="right"/>
              <w:ind w:right="49"/>
              <w:spacing w:after="0" w:line="157" w:lineRule="exact"/>
              <w:rPr>
                <w:sz w:val="20"/>
                <w:szCs w:val="20"/>
                <w:color w:val="auto"/>
              </w:rPr>
            </w:pPr>
            <w:r>
              <w:rPr>
                <w:rFonts w:ascii="Arial" w:cs="Arial" w:eastAsia="Arial" w:hAnsi="Arial"/>
                <w:sz w:val="14"/>
                <w:szCs w:val="14"/>
                <w:color w:val="auto"/>
              </w:rPr>
              <w:t>—</w:t>
            </w:r>
          </w:p>
        </w:tc>
        <w:tc>
          <w:tcPr>
            <w:tcW w:w="880" w:type="dxa"/>
            <w:vAlign w:val="bottom"/>
          </w:tcPr>
          <w:p>
            <w:pPr>
              <w:jc w:val="right"/>
              <w:spacing w:after="0" w:line="157" w:lineRule="exact"/>
              <w:rPr>
                <w:sz w:val="20"/>
                <w:szCs w:val="20"/>
                <w:color w:val="auto"/>
              </w:rPr>
            </w:pPr>
            <w:r>
              <w:rPr>
                <w:rFonts w:ascii="Arial" w:cs="Arial" w:eastAsia="Arial" w:hAnsi="Arial"/>
                <w:sz w:val="14"/>
                <w:szCs w:val="14"/>
                <w:color w:val="auto"/>
              </w:rPr>
              <w:t>57,792</w:t>
            </w:r>
          </w:p>
        </w:tc>
        <w:tc>
          <w:tcPr>
            <w:tcW w:w="880" w:type="dxa"/>
            <w:vAlign w:val="bottom"/>
          </w:tcPr>
          <w:p>
            <w:pPr>
              <w:jc w:val="right"/>
              <w:ind w:right="108"/>
              <w:spacing w:after="0" w:line="157" w:lineRule="exact"/>
              <w:rPr>
                <w:sz w:val="20"/>
                <w:szCs w:val="20"/>
                <w:color w:val="auto"/>
              </w:rPr>
            </w:pPr>
            <w:r>
              <w:rPr>
                <w:rFonts w:ascii="Arial" w:cs="Arial" w:eastAsia="Arial" w:hAnsi="Arial"/>
                <w:sz w:val="14"/>
                <w:szCs w:val="14"/>
                <w:color w:val="auto"/>
              </w:rPr>
              <w:t>5,540,425</w:t>
            </w:r>
          </w:p>
        </w:tc>
      </w:tr>
      <w:tr>
        <w:trPr>
          <w:trHeight w:val="162"/>
        </w:trPr>
        <w:tc>
          <w:tcPr>
            <w:tcW w:w="3620" w:type="dxa"/>
            <w:vAlign w:val="bottom"/>
            <w:shd w:val="clear" w:color="auto" w:fill="ACABA7"/>
          </w:tcPr>
          <w:p>
            <w:pPr>
              <w:ind w:left="80"/>
              <w:spacing w:after="0"/>
              <w:rPr>
                <w:sz w:val="20"/>
                <w:szCs w:val="20"/>
                <w:color w:val="auto"/>
              </w:rPr>
            </w:pPr>
            <w:r>
              <w:rPr>
                <w:rFonts w:ascii="Arial" w:cs="Arial" w:eastAsia="Arial" w:hAnsi="Arial"/>
                <w:sz w:val="14"/>
                <w:szCs w:val="14"/>
                <w:color w:val="auto"/>
              </w:rPr>
              <w:t>James C. Reagan</w:t>
            </w:r>
          </w:p>
        </w:tc>
        <w:tc>
          <w:tcPr>
            <w:tcW w:w="1040" w:type="dxa"/>
            <w:vAlign w:val="bottom"/>
            <w:shd w:val="clear" w:color="auto" w:fill="ACABA7"/>
          </w:tcPr>
          <w:p>
            <w:pPr>
              <w:jc w:val="right"/>
              <w:ind w:right="29"/>
              <w:spacing w:after="0"/>
              <w:rPr>
                <w:sz w:val="20"/>
                <w:szCs w:val="20"/>
                <w:color w:val="auto"/>
              </w:rPr>
            </w:pPr>
            <w:r>
              <w:rPr>
                <w:rFonts w:ascii="Arial" w:cs="Arial" w:eastAsia="Arial" w:hAnsi="Arial"/>
                <w:sz w:val="14"/>
                <w:szCs w:val="14"/>
                <w:color w:val="auto"/>
              </w:rPr>
              <w:t>12/30/2016</w:t>
            </w:r>
          </w:p>
        </w:tc>
        <w:tc>
          <w:tcPr>
            <w:tcW w:w="940" w:type="dxa"/>
            <w:vAlign w:val="bottom"/>
            <w:shd w:val="clear" w:color="auto" w:fill="ACABA7"/>
          </w:tcPr>
          <w:p>
            <w:pPr>
              <w:jc w:val="right"/>
              <w:ind w:right="29"/>
              <w:spacing w:after="0"/>
              <w:rPr>
                <w:sz w:val="20"/>
                <w:szCs w:val="20"/>
                <w:color w:val="auto"/>
              </w:rPr>
            </w:pPr>
            <w:r>
              <w:rPr>
                <w:rFonts w:ascii="Arial" w:cs="Arial" w:eastAsia="Arial" w:hAnsi="Arial"/>
                <w:sz w:val="14"/>
                <w:szCs w:val="14"/>
                <w:color w:val="auto"/>
              </w:rPr>
              <w:t>561,538</w:t>
            </w:r>
          </w:p>
        </w:tc>
        <w:tc>
          <w:tcPr>
            <w:tcW w:w="960" w:type="dxa"/>
            <w:vAlign w:val="bottom"/>
            <w:shd w:val="clear" w:color="auto" w:fill="ACABA7"/>
          </w:tcPr>
          <w:p>
            <w:pPr>
              <w:jc w:val="right"/>
              <w:ind w:right="29"/>
              <w:spacing w:after="0"/>
              <w:rPr>
                <w:sz w:val="20"/>
                <w:szCs w:val="20"/>
                <w:color w:val="auto"/>
              </w:rPr>
            </w:pPr>
            <w:r>
              <w:rPr>
                <w:rFonts w:ascii="Arial" w:cs="Arial" w:eastAsia="Arial" w:hAnsi="Arial"/>
                <w:sz w:val="14"/>
                <w:szCs w:val="14"/>
                <w:color w:val="auto"/>
              </w:rPr>
              <w:t>200,000</w:t>
            </w:r>
          </w:p>
        </w:tc>
        <w:tc>
          <w:tcPr>
            <w:tcW w:w="1000" w:type="dxa"/>
            <w:vAlign w:val="bottom"/>
            <w:shd w:val="clear" w:color="auto" w:fill="ACABA7"/>
          </w:tcPr>
          <w:p>
            <w:pPr>
              <w:jc w:val="right"/>
              <w:ind w:right="49"/>
              <w:spacing w:after="0"/>
              <w:rPr>
                <w:sz w:val="20"/>
                <w:szCs w:val="20"/>
                <w:color w:val="auto"/>
              </w:rPr>
            </w:pPr>
            <w:r>
              <w:rPr>
                <w:rFonts w:ascii="Arial" w:cs="Arial" w:eastAsia="Arial" w:hAnsi="Arial"/>
                <w:sz w:val="14"/>
                <w:szCs w:val="14"/>
                <w:color w:val="auto"/>
              </w:rPr>
              <w:t>960,096</w:t>
            </w:r>
          </w:p>
        </w:tc>
        <w:tc>
          <w:tcPr>
            <w:tcW w:w="1000" w:type="dxa"/>
            <w:vAlign w:val="bottom"/>
            <w:shd w:val="clear" w:color="auto" w:fill="ACABA7"/>
          </w:tcPr>
          <w:p>
            <w:pPr>
              <w:jc w:val="right"/>
              <w:ind w:right="49"/>
              <w:spacing w:after="0"/>
              <w:rPr>
                <w:sz w:val="20"/>
                <w:szCs w:val="20"/>
                <w:color w:val="auto"/>
              </w:rPr>
            </w:pPr>
            <w:r>
              <w:rPr>
                <w:rFonts w:ascii="Arial" w:cs="Arial" w:eastAsia="Arial" w:hAnsi="Arial"/>
                <w:sz w:val="14"/>
                <w:szCs w:val="14"/>
                <w:color w:val="auto"/>
              </w:rPr>
              <w:t>254,121</w:t>
            </w:r>
          </w:p>
        </w:tc>
        <w:tc>
          <w:tcPr>
            <w:tcW w:w="1100" w:type="dxa"/>
            <w:vAlign w:val="bottom"/>
            <w:shd w:val="clear" w:color="auto" w:fill="ACABA7"/>
          </w:tcPr>
          <w:p>
            <w:pPr>
              <w:jc w:val="right"/>
              <w:ind w:right="49"/>
              <w:spacing w:after="0"/>
              <w:rPr>
                <w:sz w:val="20"/>
                <w:szCs w:val="20"/>
                <w:color w:val="auto"/>
              </w:rPr>
            </w:pPr>
            <w:r>
              <w:rPr>
                <w:rFonts w:ascii="Arial" w:cs="Arial" w:eastAsia="Arial" w:hAnsi="Arial"/>
                <w:sz w:val="14"/>
                <w:szCs w:val="14"/>
                <w:color w:val="auto"/>
              </w:rPr>
              <w:t>625,964</w:t>
            </w:r>
          </w:p>
        </w:tc>
        <w:tc>
          <w:tcPr>
            <w:tcW w:w="880" w:type="dxa"/>
            <w:vAlign w:val="bottom"/>
            <w:shd w:val="clear" w:color="auto" w:fill="ACABA7"/>
          </w:tcPr>
          <w:p>
            <w:pPr>
              <w:jc w:val="right"/>
              <w:spacing w:after="0"/>
              <w:rPr>
                <w:sz w:val="20"/>
                <w:szCs w:val="20"/>
                <w:color w:val="auto"/>
              </w:rPr>
            </w:pPr>
            <w:r>
              <w:rPr>
                <w:rFonts w:ascii="Arial" w:cs="Arial" w:eastAsia="Arial" w:hAnsi="Arial"/>
                <w:sz w:val="14"/>
                <w:szCs w:val="14"/>
                <w:color w:val="auto"/>
              </w:rPr>
              <w:t>7,204</w:t>
            </w:r>
          </w:p>
        </w:tc>
        <w:tc>
          <w:tcPr>
            <w:tcW w:w="880" w:type="dxa"/>
            <w:vAlign w:val="bottom"/>
            <w:shd w:val="clear" w:color="auto" w:fill="ACABA7"/>
          </w:tcPr>
          <w:p>
            <w:pPr>
              <w:jc w:val="right"/>
              <w:ind w:right="108"/>
              <w:spacing w:after="0"/>
              <w:rPr>
                <w:sz w:val="20"/>
                <w:szCs w:val="20"/>
                <w:color w:val="auto"/>
              </w:rPr>
            </w:pPr>
            <w:r>
              <w:rPr>
                <w:rFonts w:ascii="Arial" w:cs="Arial" w:eastAsia="Arial" w:hAnsi="Arial"/>
                <w:sz w:val="14"/>
                <w:szCs w:val="14"/>
                <w:color w:val="auto"/>
              </w:rPr>
              <w:t>2,608,923</w:t>
            </w:r>
          </w:p>
        </w:tc>
      </w:tr>
      <w:tr>
        <w:trPr>
          <w:trHeight w:val="162"/>
        </w:trPr>
        <w:tc>
          <w:tcPr>
            <w:tcW w:w="3620" w:type="dxa"/>
            <w:vAlign w:val="bottom"/>
            <w:shd w:val="clear" w:color="auto" w:fill="ACABA7"/>
          </w:tcPr>
          <w:p>
            <w:pPr>
              <w:ind w:left="240"/>
              <w:spacing w:after="0"/>
              <w:rPr>
                <w:sz w:val="20"/>
                <w:szCs w:val="20"/>
                <w:color w:val="auto"/>
              </w:rPr>
            </w:pPr>
            <w:r>
              <w:rPr>
                <w:rFonts w:ascii="Arial" w:cs="Arial" w:eastAsia="Arial" w:hAnsi="Arial"/>
                <w:sz w:val="14"/>
                <w:szCs w:val="14"/>
                <w:color w:val="auto"/>
              </w:rPr>
              <w:t>Executive Vice President,</w:t>
            </w:r>
          </w:p>
        </w:tc>
        <w:tc>
          <w:tcPr>
            <w:tcW w:w="1040" w:type="dxa"/>
            <w:vAlign w:val="bottom"/>
            <w:shd w:val="clear" w:color="auto" w:fill="ACABA7"/>
          </w:tcPr>
          <w:p>
            <w:pPr>
              <w:jc w:val="right"/>
              <w:ind w:right="29"/>
              <w:spacing w:after="0"/>
              <w:rPr>
                <w:sz w:val="20"/>
                <w:szCs w:val="20"/>
                <w:color w:val="auto"/>
              </w:rPr>
            </w:pPr>
            <w:r>
              <w:rPr>
                <w:rFonts w:ascii="Arial" w:cs="Arial" w:eastAsia="Arial" w:hAnsi="Arial"/>
                <w:sz w:val="14"/>
                <w:szCs w:val="14"/>
                <w:color w:val="auto"/>
              </w:rPr>
              <w:t>1/1/2016</w:t>
            </w:r>
          </w:p>
        </w:tc>
        <w:tc>
          <w:tcPr>
            <w:tcW w:w="940" w:type="dxa"/>
            <w:vAlign w:val="bottom"/>
            <w:shd w:val="clear" w:color="auto" w:fill="ACABA7"/>
          </w:tcPr>
          <w:p>
            <w:pPr>
              <w:jc w:val="right"/>
              <w:ind w:right="29"/>
              <w:spacing w:after="0"/>
              <w:rPr>
                <w:sz w:val="20"/>
                <w:szCs w:val="20"/>
                <w:color w:val="auto"/>
              </w:rPr>
            </w:pPr>
            <w:r>
              <w:rPr>
                <w:rFonts w:ascii="Arial" w:cs="Arial" w:eastAsia="Arial" w:hAnsi="Arial"/>
                <w:sz w:val="14"/>
                <w:szCs w:val="14"/>
                <w:color w:val="auto"/>
              </w:rPr>
              <w:t>253,846</w:t>
            </w:r>
          </w:p>
        </w:tc>
        <w:tc>
          <w:tcPr>
            <w:tcW w:w="960" w:type="dxa"/>
            <w:vAlign w:val="bottom"/>
            <w:shd w:val="clear" w:color="auto" w:fill="ACABA7"/>
          </w:tcPr>
          <w:p>
            <w:pPr>
              <w:jc w:val="right"/>
              <w:ind w:right="29"/>
              <w:spacing w:after="0"/>
              <w:rPr>
                <w:sz w:val="20"/>
                <w:szCs w:val="20"/>
                <w:color w:val="auto"/>
              </w:rPr>
            </w:pPr>
            <w:r>
              <w:rPr>
                <w:rFonts w:ascii="Arial" w:cs="Arial" w:eastAsia="Arial" w:hAnsi="Arial"/>
                <w:sz w:val="14"/>
                <w:szCs w:val="14"/>
                <w:color w:val="auto"/>
              </w:rPr>
              <w:t>150,000</w:t>
            </w:r>
          </w:p>
        </w:tc>
        <w:tc>
          <w:tcPr>
            <w:tcW w:w="1000" w:type="dxa"/>
            <w:vAlign w:val="bottom"/>
            <w:shd w:val="clear" w:color="auto" w:fill="ACABA7"/>
          </w:tcPr>
          <w:p>
            <w:pPr>
              <w:jc w:val="right"/>
              <w:ind w:right="49"/>
              <w:spacing w:after="0"/>
              <w:rPr>
                <w:sz w:val="20"/>
                <w:szCs w:val="20"/>
                <w:color w:val="auto"/>
              </w:rPr>
            </w:pPr>
            <w:r>
              <w:rPr>
                <w:rFonts w:ascii="Arial" w:cs="Arial" w:eastAsia="Arial" w:hAnsi="Arial"/>
                <w:sz w:val="14"/>
                <w:szCs w:val="14"/>
                <w:color w:val="auto"/>
              </w:rPr>
              <w:t>1,169,586</w:t>
            </w:r>
          </w:p>
        </w:tc>
        <w:tc>
          <w:tcPr>
            <w:tcW w:w="1000" w:type="dxa"/>
            <w:vAlign w:val="bottom"/>
            <w:shd w:val="clear" w:color="auto" w:fill="ACABA7"/>
          </w:tcPr>
          <w:p>
            <w:pPr>
              <w:jc w:val="right"/>
              <w:ind w:right="49"/>
              <w:spacing w:after="0"/>
              <w:rPr>
                <w:sz w:val="20"/>
                <w:szCs w:val="20"/>
                <w:color w:val="auto"/>
              </w:rPr>
            </w:pPr>
            <w:r>
              <w:rPr>
                <w:rFonts w:ascii="Arial" w:cs="Arial" w:eastAsia="Arial" w:hAnsi="Arial"/>
                <w:sz w:val="14"/>
                <w:szCs w:val="14"/>
                <w:color w:val="auto"/>
              </w:rPr>
              <w:t>278,308</w:t>
            </w:r>
          </w:p>
        </w:tc>
        <w:tc>
          <w:tcPr>
            <w:tcW w:w="1100" w:type="dxa"/>
            <w:vAlign w:val="bottom"/>
            <w:shd w:val="clear" w:color="auto" w:fill="ACABA7"/>
          </w:tcPr>
          <w:p>
            <w:pPr>
              <w:jc w:val="right"/>
              <w:ind w:right="49"/>
              <w:spacing w:after="0"/>
              <w:rPr>
                <w:sz w:val="20"/>
                <w:szCs w:val="20"/>
                <w:color w:val="auto"/>
              </w:rPr>
            </w:pPr>
            <w:r>
              <w:rPr>
                <w:rFonts w:ascii="Arial" w:cs="Arial" w:eastAsia="Arial" w:hAnsi="Arial"/>
                <w:sz w:val="14"/>
                <w:szCs w:val="14"/>
                <w:color w:val="auto"/>
              </w:rPr>
              <w:t>347,079</w:t>
            </w:r>
          </w:p>
        </w:tc>
        <w:tc>
          <w:tcPr>
            <w:tcW w:w="880" w:type="dxa"/>
            <w:vAlign w:val="bottom"/>
            <w:shd w:val="clear" w:color="auto" w:fill="ACABA7"/>
          </w:tcPr>
          <w:p>
            <w:pPr>
              <w:jc w:val="right"/>
              <w:spacing w:after="0"/>
              <w:rPr>
                <w:sz w:val="20"/>
                <w:szCs w:val="20"/>
                <w:color w:val="auto"/>
              </w:rPr>
            </w:pPr>
            <w:r>
              <w:rPr>
                <w:rFonts w:ascii="Arial" w:cs="Arial" w:eastAsia="Arial" w:hAnsi="Arial"/>
                <w:sz w:val="14"/>
                <w:szCs w:val="14"/>
                <w:color w:val="auto"/>
              </w:rPr>
              <w:t>5,300</w:t>
            </w:r>
          </w:p>
        </w:tc>
        <w:tc>
          <w:tcPr>
            <w:tcW w:w="880" w:type="dxa"/>
            <w:vAlign w:val="bottom"/>
            <w:shd w:val="clear" w:color="auto" w:fill="ACABA7"/>
          </w:tcPr>
          <w:p>
            <w:pPr>
              <w:jc w:val="right"/>
              <w:ind w:right="108"/>
              <w:spacing w:after="0"/>
              <w:rPr>
                <w:sz w:val="20"/>
                <w:szCs w:val="20"/>
                <w:color w:val="auto"/>
              </w:rPr>
            </w:pPr>
            <w:r>
              <w:rPr>
                <w:rFonts w:ascii="Arial" w:cs="Arial" w:eastAsia="Arial" w:hAnsi="Arial"/>
                <w:sz w:val="14"/>
                <w:szCs w:val="14"/>
                <w:color w:val="auto"/>
              </w:rPr>
              <w:t>2,204,119</w:t>
            </w:r>
          </w:p>
        </w:tc>
      </w:tr>
      <w:tr>
        <w:trPr>
          <w:trHeight w:val="162"/>
        </w:trPr>
        <w:tc>
          <w:tcPr>
            <w:tcW w:w="3620" w:type="dxa"/>
            <w:vAlign w:val="bottom"/>
            <w:shd w:val="clear" w:color="auto" w:fill="ACABA7"/>
          </w:tcPr>
          <w:p>
            <w:pPr>
              <w:ind w:left="240"/>
              <w:spacing w:after="0"/>
              <w:rPr>
                <w:sz w:val="20"/>
                <w:szCs w:val="20"/>
                <w:color w:val="auto"/>
              </w:rPr>
            </w:pPr>
            <w:r>
              <w:rPr>
                <w:rFonts w:ascii="Arial" w:cs="Arial" w:eastAsia="Arial" w:hAnsi="Arial"/>
                <w:sz w:val="14"/>
                <w:szCs w:val="14"/>
                <w:color w:val="auto"/>
              </w:rPr>
              <w:t>Chief Financial Officer</w:t>
            </w:r>
          </w:p>
        </w:tc>
        <w:tc>
          <w:tcPr>
            <w:tcW w:w="1040" w:type="dxa"/>
            <w:vAlign w:val="bottom"/>
            <w:shd w:val="clear" w:color="auto" w:fill="ACABA7"/>
          </w:tcPr>
          <w:p>
            <w:pPr>
              <w:spacing w:after="0"/>
              <w:rPr>
                <w:sz w:val="14"/>
                <w:szCs w:val="14"/>
                <w:color w:val="auto"/>
              </w:rPr>
            </w:pPr>
          </w:p>
        </w:tc>
        <w:tc>
          <w:tcPr>
            <w:tcW w:w="940" w:type="dxa"/>
            <w:vAlign w:val="bottom"/>
            <w:shd w:val="clear" w:color="auto" w:fill="ACABA7"/>
          </w:tcPr>
          <w:p>
            <w:pPr>
              <w:spacing w:after="0"/>
              <w:rPr>
                <w:sz w:val="14"/>
                <w:szCs w:val="14"/>
                <w:color w:val="auto"/>
              </w:rPr>
            </w:pPr>
          </w:p>
        </w:tc>
        <w:tc>
          <w:tcPr>
            <w:tcW w:w="960" w:type="dxa"/>
            <w:vAlign w:val="bottom"/>
            <w:shd w:val="clear" w:color="auto" w:fill="ACABA7"/>
          </w:tcPr>
          <w:p>
            <w:pPr>
              <w:spacing w:after="0"/>
              <w:rPr>
                <w:sz w:val="14"/>
                <w:szCs w:val="14"/>
                <w:color w:val="auto"/>
              </w:rPr>
            </w:pPr>
          </w:p>
        </w:tc>
        <w:tc>
          <w:tcPr>
            <w:tcW w:w="1000" w:type="dxa"/>
            <w:vAlign w:val="bottom"/>
            <w:shd w:val="clear" w:color="auto" w:fill="ACABA7"/>
          </w:tcPr>
          <w:p>
            <w:pPr>
              <w:spacing w:after="0"/>
              <w:rPr>
                <w:sz w:val="14"/>
                <w:szCs w:val="14"/>
                <w:color w:val="auto"/>
              </w:rPr>
            </w:pPr>
          </w:p>
        </w:tc>
        <w:tc>
          <w:tcPr>
            <w:tcW w:w="1000" w:type="dxa"/>
            <w:vAlign w:val="bottom"/>
            <w:shd w:val="clear" w:color="auto" w:fill="ACABA7"/>
          </w:tcPr>
          <w:p>
            <w:pPr>
              <w:spacing w:after="0"/>
              <w:rPr>
                <w:sz w:val="14"/>
                <w:szCs w:val="14"/>
                <w:color w:val="auto"/>
              </w:rPr>
            </w:pPr>
          </w:p>
        </w:tc>
        <w:tc>
          <w:tcPr>
            <w:tcW w:w="1100" w:type="dxa"/>
            <w:vAlign w:val="bottom"/>
            <w:shd w:val="clear" w:color="auto" w:fill="ACABA7"/>
          </w:tcPr>
          <w:p>
            <w:pPr>
              <w:spacing w:after="0"/>
              <w:rPr>
                <w:sz w:val="14"/>
                <w:szCs w:val="14"/>
                <w:color w:val="auto"/>
              </w:rPr>
            </w:pPr>
          </w:p>
        </w:tc>
        <w:tc>
          <w:tcPr>
            <w:tcW w:w="880" w:type="dxa"/>
            <w:vAlign w:val="bottom"/>
            <w:shd w:val="clear" w:color="auto" w:fill="ACABA7"/>
          </w:tcPr>
          <w:p>
            <w:pPr>
              <w:spacing w:after="0"/>
              <w:rPr>
                <w:sz w:val="14"/>
                <w:szCs w:val="14"/>
                <w:color w:val="auto"/>
              </w:rPr>
            </w:pPr>
          </w:p>
        </w:tc>
        <w:tc>
          <w:tcPr>
            <w:tcW w:w="880" w:type="dxa"/>
            <w:vAlign w:val="bottom"/>
            <w:shd w:val="clear" w:color="auto" w:fill="ACABA7"/>
          </w:tcPr>
          <w:p>
            <w:pPr>
              <w:spacing w:after="0"/>
              <w:rPr>
                <w:sz w:val="14"/>
                <w:szCs w:val="14"/>
                <w:color w:val="auto"/>
              </w:rPr>
            </w:pPr>
          </w:p>
        </w:tc>
      </w:tr>
      <w:tr>
        <w:trPr>
          <w:trHeight w:val="167"/>
        </w:trPr>
        <w:tc>
          <w:tcPr>
            <w:tcW w:w="3620" w:type="dxa"/>
            <w:vAlign w:val="bottom"/>
          </w:tcPr>
          <w:p>
            <w:pPr>
              <w:ind w:left="80"/>
              <w:spacing w:after="0" w:line="167" w:lineRule="exact"/>
              <w:rPr>
                <w:sz w:val="20"/>
                <w:szCs w:val="20"/>
                <w:color w:val="auto"/>
              </w:rPr>
            </w:pPr>
            <w:r>
              <w:rPr>
                <w:rFonts w:ascii="Arial" w:cs="Arial" w:eastAsia="Arial" w:hAnsi="Arial"/>
                <w:sz w:val="12"/>
                <w:szCs w:val="12"/>
                <w:color w:val="auto"/>
              </w:rPr>
              <w:t>Timothy J. Reardon</w:t>
            </w:r>
            <w:r>
              <w:rPr>
                <w:rFonts w:ascii="Arial" w:cs="Arial" w:eastAsia="Arial" w:hAnsi="Arial"/>
                <w:sz w:val="19"/>
                <w:szCs w:val="19"/>
                <w:color w:val="auto"/>
                <w:vertAlign w:val="superscript"/>
              </w:rPr>
              <w:t>(7)</w:t>
            </w:r>
          </w:p>
        </w:tc>
        <w:tc>
          <w:tcPr>
            <w:tcW w:w="1040" w:type="dxa"/>
            <w:vAlign w:val="bottom"/>
          </w:tcPr>
          <w:p>
            <w:pPr>
              <w:jc w:val="right"/>
              <w:ind w:right="29"/>
              <w:spacing w:after="0"/>
              <w:rPr>
                <w:sz w:val="20"/>
                <w:szCs w:val="20"/>
                <w:color w:val="auto"/>
              </w:rPr>
            </w:pPr>
            <w:r>
              <w:rPr>
                <w:rFonts w:ascii="Arial" w:cs="Arial" w:eastAsia="Arial" w:hAnsi="Arial"/>
                <w:sz w:val="14"/>
                <w:szCs w:val="14"/>
                <w:color w:val="auto"/>
              </w:rPr>
              <w:t>12/30/2016</w:t>
            </w:r>
          </w:p>
        </w:tc>
        <w:tc>
          <w:tcPr>
            <w:tcW w:w="940" w:type="dxa"/>
            <w:vAlign w:val="bottom"/>
          </w:tcPr>
          <w:p>
            <w:pPr>
              <w:jc w:val="right"/>
              <w:ind w:right="29"/>
              <w:spacing w:after="0"/>
              <w:rPr>
                <w:sz w:val="20"/>
                <w:szCs w:val="20"/>
                <w:color w:val="auto"/>
              </w:rPr>
            </w:pPr>
            <w:r>
              <w:rPr>
                <w:rFonts w:ascii="Arial" w:cs="Arial" w:eastAsia="Arial" w:hAnsi="Arial"/>
                <w:sz w:val="14"/>
                <w:szCs w:val="14"/>
                <w:color w:val="auto"/>
              </w:rPr>
              <w:t>162,240</w:t>
            </w:r>
          </w:p>
        </w:tc>
        <w:tc>
          <w:tcPr>
            <w:tcW w:w="96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49"/>
              <w:spacing w:after="0"/>
              <w:rPr>
                <w:sz w:val="20"/>
                <w:szCs w:val="20"/>
                <w:color w:val="auto"/>
              </w:rPr>
            </w:pPr>
            <w:r>
              <w:rPr>
                <w:rFonts w:ascii="Arial" w:cs="Arial" w:eastAsia="Arial" w:hAnsi="Arial"/>
                <w:sz w:val="14"/>
                <w:szCs w:val="14"/>
                <w:color w:val="auto"/>
              </w:rPr>
              <w:t>1,304,649</w:t>
            </w:r>
          </w:p>
        </w:tc>
        <w:tc>
          <w:tcPr>
            <w:tcW w:w="1000" w:type="dxa"/>
            <w:vAlign w:val="bottom"/>
          </w:tcPr>
          <w:p>
            <w:pPr>
              <w:jc w:val="right"/>
              <w:ind w:right="49"/>
              <w:spacing w:after="0"/>
              <w:rPr>
                <w:sz w:val="20"/>
                <w:szCs w:val="20"/>
                <w:color w:val="auto"/>
              </w:rPr>
            </w:pPr>
            <w:r>
              <w:rPr>
                <w:rFonts w:ascii="Arial" w:cs="Arial" w:eastAsia="Arial" w:hAnsi="Arial"/>
                <w:sz w:val="14"/>
                <w:szCs w:val="14"/>
                <w:color w:val="auto"/>
              </w:rPr>
              <w:t>251,645</w:t>
            </w:r>
          </w:p>
        </w:tc>
        <w:tc>
          <w:tcPr>
            <w:tcW w:w="1100" w:type="dxa"/>
            <w:vAlign w:val="bottom"/>
          </w:tcPr>
          <w:p>
            <w:pPr>
              <w:jc w:val="right"/>
              <w:ind w:right="49"/>
              <w:spacing w:after="0"/>
              <w:rPr>
                <w:sz w:val="20"/>
                <w:szCs w:val="20"/>
                <w:color w:val="auto"/>
              </w:rPr>
            </w:pPr>
            <w:r>
              <w:rPr>
                <w:rFonts w:ascii="Arial" w:cs="Arial" w:eastAsia="Arial" w:hAnsi="Arial"/>
                <w:sz w:val="14"/>
                <w:szCs w:val="14"/>
                <w:color w:val="auto"/>
              </w:rPr>
              <w:t>570,200</w:t>
            </w:r>
          </w:p>
        </w:tc>
        <w:tc>
          <w:tcPr>
            <w:tcW w:w="880" w:type="dxa"/>
            <w:vAlign w:val="bottom"/>
          </w:tcPr>
          <w:p>
            <w:pPr>
              <w:jc w:val="right"/>
              <w:spacing w:after="0"/>
              <w:rPr>
                <w:sz w:val="20"/>
                <w:szCs w:val="20"/>
                <w:color w:val="auto"/>
              </w:rPr>
            </w:pPr>
            <w:r>
              <w:rPr>
                <w:rFonts w:ascii="Arial" w:cs="Arial" w:eastAsia="Arial" w:hAnsi="Arial"/>
                <w:sz w:val="14"/>
                <w:szCs w:val="14"/>
                <w:color w:val="auto"/>
              </w:rPr>
              <w:t>11,091</w:t>
            </w:r>
          </w:p>
        </w:tc>
        <w:tc>
          <w:tcPr>
            <w:tcW w:w="880" w:type="dxa"/>
            <w:vAlign w:val="bottom"/>
          </w:tcPr>
          <w:p>
            <w:pPr>
              <w:jc w:val="right"/>
              <w:ind w:right="108"/>
              <w:spacing w:after="0"/>
              <w:rPr>
                <w:sz w:val="20"/>
                <w:szCs w:val="20"/>
                <w:color w:val="auto"/>
              </w:rPr>
            </w:pPr>
            <w:r>
              <w:rPr>
                <w:rFonts w:ascii="Arial" w:cs="Arial" w:eastAsia="Arial" w:hAnsi="Arial"/>
                <w:sz w:val="14"/>
                <w:szCs w:val="14"/>
                <w:color w:val="auto"/>
              </w:rPr>
              <w:t>2,299,825</w:t>
            </w:r>
          </w:p>
        </w:tc>
      </w:tr>
      <w:tr>
        <w:trPr>
          <w:trHeight w:val="162"/>
        </w:trPr>
        <w:tc>
          <w:tcPr>
            <w:tcW w:w="3620" w:type="dxa"/>
            <w:vAlign w:val="bottom"/>
          </w:tcPr>
          <w:p>
            <w:pPr>
              <w:ind w:left="240"/>
              <w:spacing w:after="0"/>
              <w:rPr>
                <w:sz w:val="20"/>
                <w:szCs w:val="20"/>
                <w:color w:val="auto"/>
              </w:rPr>
            </w:pPr>
            <w:r>
              <w:rPr>
                <w:rFonts w:ascii="Arial" w:cs="Arial" w:eastAsia="Arial" w:hAnsi="Arial"/>
                <w:sz w:val="14"/>
                <w:szCs w:val="14"/>
                <w:color w:val="auto"/>
              </w:rPr>
              <w:t>Group President, Defense</w:t>
            </w:r>
          </w:p>
        </w:tc>
        <w:tc>
          <w:tcPr>
            <w:tcW w:w="10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57"/>
        </w:trPr>
        <w:tc>
          <w:tcPr>
            <w:tcW w:w="3620" w:type="dxa"/>
            <w:vAlign w:val="bottom"/>
          </w:tcPr>
          <w:p>
            <w:pPr>
              <w:ind w:left="240"/>
              <w:spacing w:after="0" w:line="157" w:lineRule="exact"/>
              <w:rPr>
                <w:sz w:val="20"/>
                <w:szCs w:val="20"/>
                <w:color w:val="auto"/>
              </w:rPr>
            </w:pPr>
            <w:r>
              <w:rPr>
                <w:rFonts w:ascii="Arial" w:cs="Arial" w:eastAsia="Arial" w:hAnsi="Arial"/>
                <w:sz w:val="14"/>
                <w:szCs w:val="14"/>
                <w:color w:val="auto"/>
              </w:rPr>
              <w:t>and Intelligence</w:t>
            </w:r>
          </w:p>
        </w:tc>
        <w:tc>
          <w:tcPr>
            <w:tcW w:w="10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62"/>
        </w:trPr>
        <w:tc>
          <w:tcPr>
            <w:tcW w:w="3620" w:type="dxa"/>
            <w:vAlign w:val="bottom"/>
            <w:shd w:val="clear" w:color="auto" w:fill="ACABA7"/>
          </w:tcPr>
          <w:p>
            <w:pPr>
              <w:ind w:left="80"/>
              <w:spacing w:after="0"/>
              <w:rPr>
                <w:sz w:val="20"/>
                <w:szCs w:val="20"/>
                <w:color w:val="auto"/>
              </w:rPr>
            </w:pPr>
            <w:r>
              <w:rPr>
                <w:rFonts w:ascii="Arial" w:cs="Arial" w:eastAsia="Arial" w:hAnsi="Arial"/>
                <w:sz w:val="14"/>
                <w:szCs w:val="14"/>
                <w:color w:val="auto"/>
              </w:rPr>
              <w:t>Vincent A. Maffeo</w:t>
            </w:r>
          </w:p>
        </w:tc>
        <w:tc>
          <w:tcPr>
            <w:tcW w:w="1040" w:type="dxa"/>
            <w:vAlign w:val="bottom"/>
            <w:shd w:val="clear" w:color="auto" w:fill="ACABA7"/>
          </w:tcPr>
          <w:p>
            <w:pPr>
              <w:jc w:val="right"/>
              <w:ind w:right="29"/>
              <w:spacing w:after="0"/>
              <w:rPr>
                <w:sz w:val="20"/>
                <w:szCs w:val="20"/>
                <w:color w:val="auto"/>
              </w:rPr>
            </w:pPr>
            <w:r>
              <w:rPr>
                <w:rFonts w:ascii="Arial" w:cs="Arial" w:eastAsia="Arial" w:hAnsi="Arial"/>
                <w:sz w:val="14"/>
                <w:szCs w:val="14"/>
                <w:color w:val="auto"/>
              </w:rPr>
              <w:t>12/30/2016</w:t>
            </w:r>
          </w:p>
        </w:tc>
        <w:tc>
          <w:tcPr>
            <w:tcW w:w="940" w:type="dxa"/>
            <w:vAlign w:val="bottom"/>
            <w:shd w:val="clear" w:color="auto" w:fill="ACABA7"/>
          </w:tcPr>
          <w:p>
            <w:pPr>
              <w:jc w:val="right"/>
              <w:ind w:right="29"/>
              <w:spacing w:after="0"/>
              <w:rPr>
                <w:sz w:val="20"/>
                <w:szCs w:val="20"/>
                <w:color w:val="auto"/>
              </w:rPr>
            </w:pPr>
            <w:r>
              <w:rPr>
                <w:rFonts w:ascii="Arial" w:cs="Arial" w:eastAsia="Arial" w:hAnsi="Arial"/>
                <w:sz w:val="14"/>
                <w:szCs w:val="14"/>
                <w:color w:val="auto"/>
              </w:rPr>
              <w:t>575,000</w:t>
            </w:r>
          </w:p>
        </w:tc>
        <w:tc>
          <w:tcPr>
            <w:tcW w:w="960" w:type="dxa"/>
            <w:vAlign w:val="bottom"/>
            <w:shd w:val="clear" w:color="auto" w:fill="ACABA7"/>
          </w:tcPr>
          <w:p>
            <w:pPr>
              <w:jc w:val="right"/>
              <w:ind w:right="29"/>
              <w:spacing w:after="0"/>
              <w:rPr>
                <w:sz w:val="20"/>
                <w:szCs w:val="20"/>
                <w:color w:val="auto"/>
              </w:rPr>
            </w:pPr>
            <w:r>
              <w:rPr>
                <w:rFonts w:ascii="Arial" w:cs="Arial" w:eastAsia="Arial" w:hAnsi="Arial"/>
                <w:sz w:val="14"/>
                <w:szCs w:val="14"/>
                <w:color w:val="auto"/>
              </w:rPr>
              <w:t>—</w:t>
            </w:r>
          </w:p>
        </w:tc>
        <w:tc>
          <w:tcPr>
            <w:tcW w:w="1000" w:type="dxa"/>
            <w:vAlign w:val="bottom"/>
            <w:shd w:val="clear" w:color="auto" w:fill="ACABA7"/>
          </w:tcPr>
          <w:p>
            <w:pPr>
              <w:jc w:val="right"/>
              <w:ind w:right="49"/>
              <w:spacing w:after="0"/>
              <w:rPr>
                <w:sz w:val="20"/>
                <w:szCs w:val="20"/>
                <w:color w:val="auto"/>
              </w:rPr>
            </w:pPr>
            <w:r>
              <w:rPr>
                <w:rFonts w:ascii="Arial" w:cs="Arial" w:eastAsia="Arial" w:hAnsi="Arial"/>
                <w:sz w:val="14"/>
                <w:szCs w:val="14"/>
                <w:color w:val="auto"/>
              </w:rPr>
              <w:t>900,254</w:t>
            </w:r>
          </w:p>
        </w:tc>
        <w:tc>
          <w:tcPr>
            <w:tcW w:w="1000" w:type="dxa"/>
            <w:vAlign w:val="bottom"/>
            <w:shd w:val="clear" w:color="auto" w:fill="ACABA7"/>
          </w:tcPr>
          <w:p>
            <w:pPr>
              <w:jc w:val="right"/>
              <w:ind w:right="49"/>
              <w:spacing w:after="0"/>
              <w:rPr>
                <w:sz w:val="20"/>
                <w:szCs w:val="20"/>
                <w:color w:val="auto"/>
              </w:rPr>
            </w:pPr>
            <w:r>
              <w:rPr>
                <w:rFonts w:ascii="Arial" w:cs="Arial" w:eastAsia="Arial" w:hAnsi="Arial"/>
                <w:sz w:val="14"/>
                <w:szCs w:val="14"/>
                <w:color w:val="auto"/>
              </w:rPr>
              <w:t>190,591</w:t>
            </w:r>
          </w:p>
        </w:tc>
        <w:tc>
          <w:tcPr>
            <w:tcW w:w="1100" w:type="dxa"/>
            <w:vAlign w:val="bottom"/>
            <w:shd w:val="clear" w:color="auto" w:fill="ACABA7"/>
          </w:tcPr>
          <w:p>
            <w:pPr>
              <w:jc w:val="right"/>
              <w:ind w:right="49"/>
              <w:spacing w:after="0"/>
              <w:rPr>
                <w:sz w:val="20"/>
                <w:szCs w:val="20"/>
                <w:color w:val="auto"/>
              </w:rPr>
            </w:pPr>
            <w:r>
              <w:rPr>
                <w:rFonts w:ascii="Arial" w:cs="Arial" w:eastAsia="Arial" w:hAnsi="Arial"/>
                <w:sz w:val="14"/>
                <w:szCs w:val="14"/>
                <w:color w:val="auto"/>
              </w:rPr>
              <w:t>534,250</w:t>
            </w:r>
          </w:p>
        </w:tc>
        <w:tc>
          <w:tcPr>
            <w:tcW w:w="880" w:type="dxa"/>
            <w:vAlign w:val="bottom"/>
            <w:shd w:val="clear" w:color="auto" w:fill="ACABA7"/>
          </w:tcPr>
          <w:p>
            <w:pPr>
              <w:jc w:val="right"/>
              <w:spacing w:after="0"/>
              <w:rPr>
                <w:sz w:val="20"/>
                <w:szCs w:val="20"/>
                <w:color w:val="auto"/>
              </w:rPr>
            </w:pPr>
            <w:r>
              <w:rPr>
                <w:rFonts w:ascii="Arial" w:cs="Arial" w:eastAsia="Arial" w:hAnsi="Arial"/>
                <w:sz w:val="14"/>
                <w:szCs w:val="14"/>
                <w:color w:val="auto"/>
              </w:rPr>
              <w:t>14,496</w:t>
            </w:r>
          </w:p>
        </w:tc>
        <w:tc>
          <w:tcPr>
            <w:tcW w:w="880" w:type="dxa"/>
            <w:vAlign w:val="bottom"/>
            <w:shd w:val="clear" w:color="auto" w:fill="ACABA7"/>
          </w:tcPr>
          <w:p>
            <w:pPr>
              <w:jc w:val="right"/>
              <w:ind w:right="108"/>
              <w:spacing w:after="0"/>
              <w:rPr>
                <w:sz w:val="20"/>
                <w:szCs w:val="20"/>
                <w:color w:val="auto"/>
              </w:rPr>
            </w:pPr>
            <w:r>
              <w:rPr>
                <w:rFonts w:ascii="Arial" w:cs="Arial" w:eastAsia="Arial" w:hAnsi="Arial"/>
                <w:sz w:val="14"/>
                <w:szCs w:val="14"/>
                <w:color w:val="auto"/>
              </w:rPr>
              <w:t>2,214,591</w:t>
            </w:r>
          </w:p>
        </w:tc>
      </w:tr>
      <w:tr>
        <w:trPr>
          <w:trHeight w:val="162"/>
        </w:trPr>
        <w:tc>
          <w:tcPr>
            <w:tcW w:w="3620" w:type="dxa"/>
            <w:vAlign w:val="bottom"/>
            <w:shd w:val="clear" w:color="auto" w:fill="ACABA7"/>
          </w:tcPr>
          <w:p>
            <w:pPr>
              <w:ind w:left="240"/>
              <w:spacing w:after="0"/>
              <w:rPr>
                <w:sz w:val="20"/>
                <w:szCs w:val="20"/>
                <w:color w:val="auto"/>
              </w:rPr>
            </w:pPr>
            <w:r>
              <w:rPr>
                <w:rFonts w:ascii="Arial" w:cs="Arial" w:eastAsia="Arial" w:hAnsi="Arial"/>
                <w:sz w:val="14"/>
                <w:szCs w:val="14"/>
                <w:color w:val="auto"/>
              </w:rPr>
              <w:t>Executive Vice President,</w:t>
            </w:r>
          </w:p>
        </w:tc>
        <w:tc>
          <w:tcPr>
            <w:tcW w:w="1040" w:type="dxa"/>
            <w:vAlign w:val="bottom"/>
            <w:shd w:val="clear" w:color="auto" w:fill="ACABA7"/>
          </w:tcPr>
          <w:p>
            <w:pPr>
              <w:jc w:val="right"/>
              <w:ind w:right="29"/>
              <w:spacing w:after="0"/>
              <w:rPr>
                <w:sz w:val="20"/>
                <w:szCs w:val="20"/>
                <w:color w:val="auto"/>
              </w:rPr>
            </w:pPr>
            <w:r>
              <w:rPr>
                <w:rFonts w:ascii="Arial" w:cs="Arial" w:eastAsia="Arial" w:hAnsi="Arial"/>
                <w:sz w:val="14"/>
                <w:szCs w:val="14"/>
                <w:color w:val="auto"/>
              </w:rPr>
              <w:t>1/1/2016</w:t>
            </w:r>
          </w:p>
        </w:tc>
        <w:tc>
          <w:tcPr>
            <w:tcW w:w="940" w:type="dxa"/>
            <w:vAlign w:val="bottom"/>
            <w:shd w:val="clear" w:color="auto" w:fill="ACABA7"/>
          </w:tcPr>
          <w:p>
            <w:pPr>
              <w:jc w:val="right"/>
              <w:ind w:right="29"/>
              <w:spacing w:after="0"/>
              <w:rPr>
                <w:sz w:val="20"/>
                <w:szCs w:val="20"/>
                <w:color w:val="auto"/>
              </w:rPr>
            </w:pPr>
            <w:r>
              <w:rPr>
                <w:rFonts w:ascii="Arial" w:cs="Arial" w:eastAsia="Arial" w:hAnsi="Arial"/>
                <w:sz w:val="14"/>
                <w:szCs w:val="14"/>
                <w:color w:val="auto"/>
              </w:rPr>
              <w:t>530,769</w:t>
            </w:r>
          </w:p>
        </w:tc>
        <w:tc>
          <w:tcPr>
            <w:tcW w:w="960" w:type="dxa"/>
            <w:vAlign w:val="bottom"/>
            <w:shd w:val="clear" w:color="auto" w:fill="ACABA7"/>
          </w:tcPr>
          <w:p>
            <w:pPr>
              <w:jc w:val="right"/>
              <w:ind w:right="29"/>
              <w:spacing w:after="0"/>
              <w:rPr>
                <w:sz w:val="20"/>
                <w:szCs w:val="20"/>
                <w:color w:val="auto"/>
              </w:rPr>
            </w:pPr>
            <w:r>
              <w:rPr>
                <w:rFonts w:ascii="Arial" w:cs="Arial" w:eastAsia="Arial" w:hAnsi="Arial"/>
                <w:sz w:val="14"/>
                <w:szCs w:val="14"/>
                <w:color w:val="auto"/>
              </w:rPr>
              <w:t>—</w:t>
            </w:r>
          </w:p>
        </w:tc>
        <w:tc>
          <w:tcPr>
            <w:tcW w:w="1000" w:type="dxa"/>
            <w:vAlign w:val="bottom"/>
            <w:shd w:val="clear" w:color="auto" w:fill="ACABA7"/>
          </w:tcPr>
          <w:p>
            <w:pPr>
              <w:jc w:val="right"/>
              <w:ind w:right="49"/>
              <w:spacing w:after="0"/>
              <w:rPr>
                <w:sz w:val="20"/>
                <w:szCs w:val="20"/>
                <w:color w:val="auto"/>
              </w:rPr>
            </w:pPr>
            <w:r>
              <w:rPr>
                <w:rFonts w:ascii="Arial" w:cs="Arial" w:eastAsia="Arial" w:hAnsi="Arial"/>
                <w:sz w:val="14"/>
                <w:szCs w:val="14"/>
                <w:color w:val="auto"/>
              </w:rPr>
              <w:t>857,329</w:t>
            </w:r>
          </w:p>
        </w:tc>
        <w:tc>
          <w:tcPr>
            <w:tcW w:w="1000" w:type="dxa"/>
            <w:vAlign w:val="bottom"/>
            <w:shd w:val="clear" w:color="auto" w:fill="ACABA7"/>
          </w:tcPr>
          <w:p>
            <w:pPr>
              <w:jc w:val="right"/>
              <w:ind w:right="49"/>
              <w:spacing w:after="0"/>
              <w:rPr>
                <w:sz w:val="20"/>
                <w:szCs w:val="20"/>
                <w:color w:val="auto"/>
              </w:rPr>
            </w:pPr>
            <w:r>
              <w:rPr>
                <w:rFonts w:ascii="Arial" w:cs="Arial" w:eastAsia="Arial" w:hAnsi="Arial"/>
                <w:sz w:val="14"/>
                <w:szCs w:val="14"/>
                <w:color w:val="auto"/>
              </w:rPr>
              <w:t>157,385</w:t>
            </w:r>
          </w:p>
        </w:tc>
        <w:tc>
          <w:tcPr>
            <w:tcW w:w="1100" w:type="dxa"/>
            <w:vAlign w:val="bottom"/>
            <w:shd w:val="clear" w:color="auto" w:fill="ACABA7"/>
          </w:tcPr>
          <w:p>
            <w:pPr>
              <w:jc w:val="right"/>
              <w:ind w:right="49"/>
              <w:spacing w:after="0"/>
              <w:rPr>
                <w:sz w:val="20"/>
                <w:szCs w:val="20"/>
                <w:color w:val="auto"/>
              </w:rPr>
            </w:pPr>
            <w:r>
              <w:rPr>
                <w:rFonts w:ascii="Arial" w:cs="Arial" w:eastAsia="Arial" w:hAnsi="Arial"/>
                <w:sz w:val="14"/>
                <w:szCs w:val="14"/>
                <w:color w:val="auto"/>
              </w:rPr>
              <w:t>537,488</w:t>
            </w:r>
          </w:p>
        </w:tc>
        <w:tc>
          <w:tcPr>
            <w:tcW w:w="880" w:type="dxa"/>
            <w:vAlign w:val="bottom"/>
            <w:shd w:val="clear" w:color="auto" w:fill="ACABA7"/>
          </w:tcPr>
          <w:p>
            <w:pPr>
              <w:jc w:val="right"/>
              <w:spacing w:after="0"/>
              <w:rPr>
                <w:sz w:val="20"/>
                <w:szCs w:val="20"/>
                <w:color w:val="auto"/>
              </w:rPr>
            </w:pPr>
            <w:r>
              <w:rPr>
                <w:rFonts w:ascii="Arial" w:cs="Arial" w:eastAsia="Arial" w:hAnsi="Arial"/>
                <w:sz w:val="14"/>
                <w:szCs w:val="14"/>
                <w:color w:val="auto"/>
              </w:rPr>
              <w:t>7,954</w:t>
            </w:r>
          </w:p>
        </w:tc>
        <w:tc>
          <w:tcPr>
            <w:tcW w:w="880" w:type="dxa"/>
            <w:vAlign w:val="bottom"/>
            <w:shd w:val="clear" w:color="auto" w:fill="ACABA7"/>
          </w:tcPr>
          <w:p>
            <w:pPr>
              <w:jc w:val="right"/>
              <w:ind w:right="108"/>
              <w:spacing w:after="0"/>
              <w:rPr>
                <w:sz w:val="20"/>
                <w:szCs w:val="20"/>
                <w:color w:val="auto"/>
              </w:rPr>
            </w:pPr>
            <w:r>
              <w:rPr>
                <w:rFonts w:ascii="Arial" w:cs="Arial" w:eastAsia="Arial" w:hAnsi="Arial"/>
                <w:sz w:val="14"/>
                <w:szCs w:val="14"/>
                <w:color w:val="auto"/>
              </w:rPr>
              <w:t>2,090,925</w:t>
            </w:r>
          </w:p>
        </w:tc>
      </w:tr>
      <w:tr>
        <w:trPr>
          <w:trHeight w:val="162"/>
        </w:trPr>
        <w:tc>
          <w:tcPr>
            <w:tcW w:w="3620" w:type="dxa"/>
            <w:vAlign w:val="bottom"/>
            <w:shd w:val="clear" w:color="auto" w:fill="ACABA7"/>
          </w:tcPr>
          <w:p>
            <w:pPr>
              <w:ind w:left="240"/>
              <w:spacing w:after="0"/>
              <w:rPr>
                <w:sz w:val="20"/>
                <w:szCs w:val="20"/>
                <w:color w:val="auto"/>
              </w:rPr>
            </w:pPr>
            <w:r>
              <w:rPr>
                <w:rFonts w:ascii="Arial" w:cs="Arial" w:eastAsia="Arial" w:hAnsi="Arial"/>
                <w:sz w:val="14"/>
                <w:szCs w:val="14"/>
                <w:color w:val="auto"/>
              </w:rPr>
              <w:t>General Counsel</w:t>
            </w:r>
          </w:p>
        </w:tc>
        <w:tc>
          <w:tcPr>
            <w:tcW w:w="1040" w:type="dxa"/>
            <w:vAlign w:val="bottom"/>
            <w:shd w:val="clear" w:color="auto" w:fill="ACABA7"/>
          </w:tcPr>
          <w:p>
            <w:pPr>
              <w:jc w:val="right"/>
              <w:ind w:right="29"/>
              <w:spacing w:after="0"/>
              <w:rPr>
                <w:sz w:val="20"/>
                <w:szCs w:val="20"/>
                <w:color w:val="auto"/>
              </w:rPr>
            </w:pPr>
            <w:r>
              <w:rPr>
                <w:rFonts w:ascii="Arial" w:cs="Arial" w:eastAsia="Arial" w:hAnsi="Arial"/>
                <w:sz w:val="14"/>
                <w:szCs w:val="14"/>
                <w:color w:val="auto"/>
              </w:rPr>
              <w:t>1/30/2015</w:t>
            </w:r>
          </w:p>
        </w:tc>
        <w:tc>
          <w:tcPr>
            <w:tcW w:w="940" w:type="dxa"/>
            <w:vAlign w:val="bottom"/>
            <w:shd w:val="clear" w:color="auto" w:fill="ACABA7"/>
          </w:tcPr>
          <w:p>
            <w:pPr>
              <w:jc w:val="right"/>
              <w:ind w:right="29"/>
              <w:spacing w:after="0"/>
              <w:rPr>
                <w:sz w:val="20"/>
                <w:szCs w:val="20"/>
                <w:color w:val="auto"/>
              </w:rPr>
            </w:pPr>
            <w:r>
              <w:rPr>
                <w:rFonts w:ascii="Arial" w:cs="Arial" w:eastAsia="Arial" w:hAnsi="Arial"/>
                <w:sz w:val="14"/>
                <w:szCs w:val="14"/>
                <w:color w:val="auto"/>
              </w:rPr>
              <w:t>574,723</w:t>
            </w:r>
          </w:p>
        </w:tc>
        <w:tc>
          <w:tcPr>
            <w:tcW w:w="960" w:type="dxa"/>
            <w:vAlign w:val="bottom"/>
            <w:shd w:val="clear" w:color="auto" w:fill="ACABA7"/>
          </w:tcPr>
          <w:p>
            <w:pPr>
              <w:jc w:val="right"/>
              <w:ind w:right="29"/>
              <w:spacing w:after="0"/>
              <w:rPr>
                <w:sz w:val="20"/>
                <w:szCs w:val="20"/>
                <w:color w:val="auto"/>
              </w:rPr>
            </w:pPr>
            <w:r>
              <w:rPr>
                <w:rFonts w:ascii="Arial" w:cs="Arial" w:eastAsia="Arial" w:hAnsi="Arial"/>
                <w:sz w:val="14"/>
                <w:szCs w:val="14"/>
                <w:color w:val="auto"/>
              </w:rPr>
              <w:t>—</w:t>
            </w:r>
          </w:p>
        </w:tc>
        <w:tc>
          <w:tcPr>
            <w:tcW w:w="1000" w:type="dxa"/>
            <w:vAlign w:val="bottom"/>
            <w:shd w:val="clear" w:color="auto" w:fill="ACABA7"/>
          </w:tcPr>
          <w:p>
            <w:pPr>
              <w:jc w:val="right"/>
              <w:ind w:right="49"/>
              <w:spacing w:after="0"/>
              <w:rPr>
                <w:sz w:val="20"/>
                <w:szCs w:val="20"/>
                <w:color w:val="auto"/>
              </w:rPr>
            </w:pPr>
            <w:r>
              <w:rPr>
                <w:rFonts w:ascii="Arial" w:cs="Arial" w:eastAsia="Arial" w:hAnsi="Arial"/>
                <w:sz w:val="14"/>
                <w:szCs w:val="14"/>
                <w:color w:val="auto"/>
              </w:rPr>
              <w:t>374,986</w:t>
            </w:r>
          </w:p>
        </w:tc>
        <w:tc>
          <w:tcPr>
            <w:tcW w:w="1000" w:type="dxa"/>
            <w:vAlign w:val="bottom"/>
            <w:shd w:val="clear" w:color="auto" w:fill="ACABA7"/>
          </w:tcPr>
          <w:p>
            <w:pPr>
              <w:jc w:val="right"/>
              <w:ind w:right="49"/>
              <w:spacing w:after="0"/>
              <w:rPr>
                <w:sz w:val="20"/>
                <w:szCs w:val="20"/>
                <w:color w:val="auto"/>
              </w:rPr>
            </w:pPr>
            <w:r>
              <w:rPr>
                <w:rFonts w:ascii="Arial" w:cs="Arial" w:eastAsia="Arial" w:hAnsi="Arial"/>
                <w:sz w:val="14"/>
                <w:szCs w:val="14"/>
                <w:color w:val="auto"/>
              </w:rPr>
              <w:t>152,162</w:t>
            </w:r>
          </w:p>
        </w:tc>
        <w:tc>
          <w:tcPr>
            <w:tcW w:w="1100" w:type="dxa"/>
            <w:vAlign w:val="bottom"/>
            <w:shd w:val="clear" w:color="auto" w:fill="ACABA7"/>
          </w:tcPr>
          <w:p>
            <w:pPr>
              <w:jc w:val="right"/>
              <w:ind w:right="49"/>
              <w:spacing w:after="0"/>
              <w:rPr>
                <w:sz w:val="20"/>
                <w:szCs w:val="20"/>
                <w:color w:val="auto"/>
              </w:rPr>
            </w:pPr>
            <w:r>
              <w:rPr>
                <w:rFonts w:ascii="Arial" w:cs="Arial" w:eastAsia="Arial" w:hAnsi="Arial"/>
                <w:sz w:val="14"/>
                <w:szCs w:val="14"/>
                <w:color w:val="auto"/>
              </w:rPr>
              <w:t>414,401</w:t>
            </w:r>
          </w:p>
        </w:tc>
        <w:tc>
          <w:tcPr>
            <w:tcW w:w="880" w:type="dxa"/>
            <w:vAlign w:val="bottom"/>
            <w:shd w:val="clear" w:color="auto" w:fill="ACABA7"/>
          </w:tcPr>
          <w:p>
            <w:pPr>
              <w:jc w:val="right"/>
              <w:spacing w:after="0"/>
              <w:rPr>
                <w:sz w:val="20"/>
                <w:szCs w:val="20"/>
                <w:color w:val="auto"/>
              </w:rPr>
            </w:pPr>
            <w:r>
              <w:rPr>
                <w:rFonts w:ascii="Arial" w:cs="Arial" w:eastAsia="Arial" w:hAnsi="Arial"/>
                <w:sz w:val="14"/>
                <w:szCs w:val="14"/>
                <w:color w:val="auto"/>
              </w:rPr>
              <w:t>13,276</w:t>
            </w:r>
          </w:p>
        </w:tc>
        <w:tc>
          <w:tcPr>
            <w:tcW w:w="880" w:type="dxa"/>
            <w:vAlign w:val="bottom"/>
            <w:shd w:val="clear" w:color="auto" w:fill="ACABA7"/>
          </w:tcPr>
          <w:p>
            <w:pPr>
              <w:jc w:val="right"/>
              <w:ind w:right="108"/>
              <w:spacing w:after="0"/>
              <w:rPr>
                <w:sz w:val="20"/>
                <w:szCs w:val="20"/>
                <w:color w:val="auto"/>
              </w:rPr>
            </w:pPr>
            <w:r>
              <w:rPr>
                <w:rFonts w:ascii="Arial" w:cs="Arial" w:eastAsia="Arial" w:hAnsi="Arial"/>
                <w:sz w:val="14"/>
                <w:szCs w:val="14"/>
                <w:color w:val="auto"/>
              </w:rPr>
              <w:t>1,529,548</w:t>
            </w:r>
          </w:p>
        </w:tc>
      </w:tr>
      <w:tr>
        <w:trPr>
          <w:trHeight w:val="162"/>
        </w:trPr>
        <w:tc>
          <w:tcPr>
            <w:tcW w:w="3620" w:type="dxa"/>
            <w:vAlign w:val="bottom"/>
            <w:shd w:val="clear" w:color="auto" w:fill="ACABA7"/>
          </w:tcPr>
          <w:p>
            <w:pPr>
              <w:spacing w:after="0"/>
              <w:rPr>
                <w:sz w:val="14"/>
                <w:szCs w:val="14"/>
                <w:color w:val="auto"/>
              </w:rPr>
            </w:pPr>
          </w:p>
        </w:tc>
        <w:tc>
          <w:tcPr>
            <w:tcW w:w="1040" w:type="dxa"/>
            <w:vAlign w:val="bottom"/>
            <w:shd w:val="clear" w:color="auto" w:fill="ACABA7"/>
          </w:tcPr>
          <w:p>
            <w:pPr>
              <w:jc w:val="right"/>
              <w:ind w:right="29"/>
              <w:spacing w:after="0"/>
              <w:rPr>
                <w:sz w:val="20"/>
                <w:szCs w:val="20"/>
                <w:color w:val="auto"/>
              </w:rPr>
            </w:pPr>
            <w:r>
              <w:rPr>
                <w:rFonts w:ascii="Arial" w:cs="Arial" w:eastAsia="Arial" w:hAnsi="Arial"/>
                <w:sz w:val="14"/>
                <w:szCs w:val="14"/>
                <w:color w:val="auto"/>
              </w:rPr>
              <w:t>2/1/2014</w:t>
            </w:r>
          </w:p>
        </w:tc>
        <w:tc>
          <w:tcPr>
            <w:tcW w:w="940" w:type="dxa"/>
            <w:vAlign w:val="bottom"/>
            <w:shd w:val="clear" w:color="auto" w:fill="ACABA7"/>
          </w:tcPr>
          <w:p>
            <w:pPr>
              <w:jc w:val="right"/>
              <w:ind w:right="29"/>
              <w:spacing w:after="0"/>
              <w:rPr>
                <w:sz w:val="20"/>
                <w:szCs w:val="20"/>
                <w:color w:val="auto"/>
              </w:rPr>
            </w:pPr>
            <w:r>
              <w:rPr>
                <w:rFonts w:ascii="Arial" w:cs="Arial" w:eastAsia="Arial" w:hAnsi="Arial"/>
                <w:sz w:val="14"/>
                <w:szCs w:val="14"/>
                <w:color w:val="auto"/>
              </w:rPr>
              <w:t>575,000</w:t>
            </w:r>
          </w:p>
        </w:tc>
        <w:tc>
          <w:tcPr>
            <w:tcW w:w="960" w:type="dxa"/>
            <w:vAlign w:val="bottom"/>
            <w:shd w:val="clear" w:color="auto" w:fill="ACABA7"/>
          </w:tcPr>
          <w:p>
            <w:pPr>
              <w:jc w:val="right"/>
              <w:ind w:right="29"/>
              <w:spacing w:after="0"/>
              <w:rPr>
                <w:sz w:val="20"/>
                <w:szCs w:val="20"/>
                <w:color w:val="auto"/>
              </w:rPr>
            </w:pPr>
            <w:r>
              <w:rPr>
                <w:rFonts w:ascii="Arial" w:cs="Arial" w:eastAsia="Arial" w:hAnsi="Arial"/>
                <w:sz w:val="14"/>
                <w:szCs w:val="14"/>
                <w:color w:val="auto"/>
              </w:rPr>
              <w:t>—</w:t>
            </w:r>
          </w:p>
        </w:tc>
        <w:tc>
          <w:tcPr>
            <w:tcW w:w="1000" w:type="dxa"/>
            <w:vAlign w:val="bottom"/>
            <w:shd w:val="clear" w:color="auto" w:fill="ACABA7"/>
          </w:tcPr>
          <w:p>
            <w:pPr>
              <w:jc w:val="right"/>
              <w:ind w:right="49"/>
              <w:spacing w:after="0"/>
              <w:rPr>
                <w:sz w:val="20"/>
                <w:szCs w:val="20"/>
                <w:color w:val="auto"/>
              </w:rPr>
            </w:pPr>
            <w:r>
              <w:rPr>
                <w:rFonts w:ascii="Arial" w:cs="Arial" w:eastAsia="Arial" w:hAnsi="Arial"/>
                <w:sz w:val="14"/>
                <w:szCs w:val="14"/>
                <w:color w:val="auto"/>
              </w:rPr>
              <w:t>937,497</w:t>
            </w:r>
          </w:p>
        </w:tc>
        <w:tc>
          <w:tcPr>
            <w:tcW w:w="1000" w:type="dxa"/>
            <w:vAlign w:val="bottom"/>
            <w:shd w:val="clear" w:color="auto" w:fill="ACABA7"/>
          </w:tcPr>
          <w:p>
            <w:pPr>
              <w:jc w:val="right"/>
              <w:ind w:right="49"/>
              <w:spacing w:after="0"/>
              <w:rPr>
                <w:sz w:val="20"/>
                <w:szCs w:val="20"/>
                <w:color w:val="auto"/>
              </w:rPr>
            </w:pPr>
            <w:r>
              <w:rPr>
                <w:rFonts w:ascii="Arial" w:cs="Arial" w:eastAsia="Arial" w:hAnsi="Arial"/>
                <w:sz w:val="14"/>
                <w:szCs w:val="14"/>
                <w:color w:val="auto"/>
              </w:rPr>
              <w:t>312,512</w:t>
            </w:r>
          </w:p>
        </w:tc>
        <w:tc>
          <w:tcPr>
            <w:tcW w:w="1100" w:type="dxa"/>
            <w:vAlign w:val="bottom"/>
            <w:shd w:val="clear" w:color="auto" w:fill="ACABA7"/>
          </w:tcPr>
          <w:p>
            <w:pPr>
              <w:jc w:val="right"/>
              <w:ind w:right="49"/>
              <w:spacing w:after="0"/>
              <w:rPr>
                <w:sz w:val="20"/>
                <w:szCs w:val="20"/>
                <w:color w:val="auto"/>
              </w:rPr>
            </w:pPr>
            <w:r>
              <w:rPr>
                <w:rFonts w:ascii="Arial" w:cs="Arial" w:eastAsia="Arial" w:hAnsi="Arial"/>
                <w:sz w:val="14"/>
                <w:szCs w:val="14"/>
                <w:color w:val="auto"/>
              </w:rPr>
              <w:t>383,000</w:t>
            </w:r>
          </w:p>
        </w:tc>
        <w:tc>
          <w:tcPr>
            <w:tcW w:w="880" w:type="dxa"/>
            <w:vAlign w:val="bottom"/>
            <w:shd w:val="clear" w:color="auto" w:fill="ACABA7"/>
          </w:tcPr>
          <w:p>
            <w:pPr>
              <w:jc w:val="right"/>
              <w:spacing w:after="0"/>
              <w:rPr>
                <w:sz w:val="20"/>
                <w:szCs w:val="20"/>
                <w:color w:val="auto"/>
              </w:rPr>
            </w:pPr>
            <w:r>
              <w:rPr>
                <w:rFonts w:ascii="Arial" w:cs="Arial" w:eastAsia="Arial" w:hAnsi="Arial"/>
                <w:sz w:val="14"/>
                <w:szCs w:val="14"/>
                <w:color w:val="auto"/>
              </w:rPr>
              <w:t>58,436</w:t>
            </w:r>
          </w:p>
        </w:tc>
        <w:tc>
          <w:tcPr>
            <w:tcW w:w="880" w:type="dxa"/>
            <w:vAlign w:val="bottom"/>
            <w:shd w:val="clear" w:color="auto" w:fill="ACABA7"/>
          </w:tcPr>
          <w:p>
            <w:pPr>
              <w:jc w:val="right"/>
              <w:ind w:right="108"/>
              <w:spacing w:after="0"/>
              <w:rPr>
                <w:sz w:val="20"/>
                <w:szCs w:val="20"/>
                <w:color w:val="auto"/>
              </w:rPr>
            </w:pPr>
            <w:r>
              <w:rPr>
                <w:rFonts w:ascii="Arial" w:cs="Arial" w:eastAsia="Arial" w:hAnsi="Arial"/>
                <w:sz w:val="14"/>
                <w:szCs w:val="14"/>
                <w:color w:val="auto"/>
              </w:rPr>
              <w:t>2,266,445</w:t>
            </w:r>
          </w:p>
        </w:tc>
      </w:tr>
      <w:tr>
        <w:trPr>
          <w:trHeight w:val="167"/>
        </w:trPr>
        <w:tc>
          <w:tcPr>
            <w:tcW w:w="3620" w:type="dxa"/>
            <w:vAlign w:val="bottom"/>
          </w:tcPr>
          <w:p>
            <w:pPr>
              <w:ind w:left="80"/>
              <w:spacing w:after="0"/>
              <w:rPr>
                <w:sz w:val="20"/>
                <w:szCs w:val="20"/>
                <w:color w:val="auto"/>
              </w:rPr>
            </w:pPr>
            <w:r>
              <w:rPr>
                <w:rFonts w:ascii="Arial" w:cs="Arial" w:eastAsia="Arial" w:hAnsi="Arial"/>
                <w:sz w:val="14"/>
                <w:szCs w:val="14"/>
                <w:color w:val="auto"/>
              </w:rPr>
              <w:t>Michael E. Leiter</w:t>
            </w:r>
          </w:p>
        </w:tc>
        <w:tc>
          <w:tcPr>
            <w:tcW w:w="1040" w:type="dxa"/>
            <w:vAlign w:val="bottom"/>
          </w:tcPr>
          <w:p>
            <w:pPr>
              <w:jc w:val="right"/>
              <w:ind w:right="29"/>
              <w:spacing w:after="0"/>
              <w:rPr>
                <w:sz w:val="20"/>
                <w:szCs w:val="20"/>
                <w:color w:val="auto"/>
              </w:rPr>
            </w:pPr>
            <w:r>
              <w:rPr>
                <w:rFonts w:ascii="Arial" w:cs="Arial" w:eastAsia="Arial" w:hAnsi="Arial"/>
                <w:sz w:val="14"/>
                <w:szCs w:val="14"/>
                <w:color w:val="auto"/>
              </w:rPr>
              <w:t>12/30/2016</w:t>
            </w:r>
          </w:p>
        </w:tc>
        <w:tc>
          <w:tcPr>
            <w:tcW w:w="940" w:type="dxa"/>
            <w:vAlign w:val="bottom"/>
          </w:tcPr>
          <w:p>
            <w:pPr>
              <w:jc w:val="right"/>
              <w:ind w:right="29"/>
              <w:spacing w:after="0"/>
              <w:rPr>
                <w:sz w:val="20"/>
                <w:szCs w:val="20"/>
                <w:color w:val="auto"/>
              </w:rPr>
            </w:pPr>
            <w:r>
              <w:rPr>
                <w:rFonts w:ascii="Arial" w:cs="Arial" w:eastAsia="Arial" w:hAnsi="Arial"/>
                <w:sz w:val="14"/>
                <w:szCs w:val="14"/>
                <w:color w:val="auto"/>
              </w:rPr>
              <w:t>525,000</w:t>
            </w:r>
          </w:p>
        </w:tc>
        <w:tc>
          <w:tcPr>
            <w:tcW w:w="960" w:type="dxa"/>
            <w:vAlign w:val="bottom"/>
          </w:tcPr>
          <w:p>
            <w:pPr>
              <w:jc w:val="right"/>
              <w:ind w:right="29"/>
              <w:spacing w:after="0"/>
              <w:rPr>
                <w:sz w:val="20"/>
                <w:szCs w:val="20"/>
                <w:color w:val="auto"/>
              </w:rPr>
            </w:pPr>
            <w:r>
              <w:rPr>
                <w:rFonts w:ascii="Arial" w:cs="Arial" w:eastAsia="Arial" w:hAnsi="Arial"/>
                <w:sz w:val="14"/>
                <w:szCs w:val="14"/>
                <w:color w:val="auto"/>
              </w:rPr>
              <w:t>175,000</w:t>
            </w:r>
          </w:p>
        </w:tc>
        <w:tc>
          <w:tcPr>
            <w:tcW w:w="1000" w:type="dxa"/>
            <w:vAlign w:val="bottom"/>
          </w:tcPr>
          <w:p>
            <w:pPr>
              <w:jc w:val="right"/>
              <w:ind w:right="49"/>
              <w:spacing w:after="0"/>
              <w:rPr>
                <w:sz w:val="20"/>
                <w:szCs w:val="20"/>
                <w:color w:val="auto"/>
              </w:rPr>
            </w:pPr>
            <w:r>
              <w:rPr>
                <w:rFonts w:ascii="Arial" w:cs="Arial" w:eastAsia="Arial" w:hAnsi="Arial"/>
                <w:sz w:val="14"/>
                <w:szCs w:val="14"/>
                <w:color w:val="auto"/>
              </w:rPr>
              <w:t>720,072</w:t>
            </w:r>
          </w:p>
        </w:tc>
        <w:tc>
          <w:tcPr>
            <w:tcW w:w="1000" w:type="dxa"/>
            <w:vAlign w:val="bottom"/>
          </w:tcPr>
          <w:p>
            <w:pPr>
              <w:jc w:val="right"/>
              <w:ind w:right="49"/>
              <w:spacing w:after="0"/>
              <w:rPr>
                <w:sz w:val="20"/>
                <w:szCs w:val="20"/>
                <w:color w:val="auto"/>
              </w:rPr>
            </w:pPr>
            <w:r>
              <w:rPr>
                <w:rFonts w:ascii="Arial" w:cs="Arial" w:eastAsia="Arial" w:hAnsi="Arial"/>
                <w:sz w:val="14"/>
                <w:szCs w:val="14"/>
                <w:color w:val="auto"/>
              </w:rPr>
              <w:t>190,591</w:t>
            </w:r>
          </w:p>
        </w:tc>
        <w:tc>
          <w:tcPr>
            <w:tcW w:w="1100" w:type="dxa"/>
            <w:vAlign w:val="bottom"/>
          </w:tcPr>
          <w:p>
            <w:pPr>
              <w:jc w:val="right"/>
              <w:ind w:right="49"/>
              <w:spacing w:after="0"/>
              <w:rPr>
                <w:sz w:val="20"/>
                <w:szCs w:val="20"/>
                <w:color w:val="auto"/>
              </w:rPr>
            </w:pPr>
            <w:r>
              <w:rPr>
                <w:rFonts w:ascii="Arial" w:cs="Arial" w:eastAsia="Arial" w:hAnsi="Arial"/>
                <w:sz w:val="14"/>
                <w:szCs w:val="14"/>
                <w:color w:val="auto"/>
              </w:rPr>
              <w:t>420,000</w:t>
            </w:r>
          </w:p>
        </w:tc>
        <w:tc>
          <w:tcPr>
            <w:tcW w:w="880" w:type="dxa"/>
            <w:vAlign w:val="bottom"/>
          </w:tcPr>
          <w:p>
            <w:pPr>
              <w:jc w:val="right"/>
              <w:spacing w:after="0"/>
              <w:rPr>
                <w:sz w:val="20"/>
                <w:szCs w:val="20"/>
                <w:color w:val="auto"/>
              </w:rPr>
            </w:pPr>
            <w:r>
              <w:rPr>
                <w:rFonts w:ascii="Arial" w:cs="Arial" w:eastAsia="Arial" w:hAnsi="Arial"/>
                <w:sz w:val="14"/>
                <w:szCs w:val="14"/>
                <w:color w:val="auto"/>
              </w:rPr>
              <w:t>13,752</w:t>
            </w:r>
          </w:p>
        </w:tc>
        <w:tc>
          <w:tcPr>
            <w:tcW w:w="880" w:type="dxa"/>
            <w:vAlign w:val="bottom"/>
          </w:tcPr>
          <w:p>
            <w:pPr>
              <w:jc w:val="right"/>
              <w:ind w:right="108"/>
              <w:spacing w:after="0"/>
              <w:rPr>
                <w:sz w:val="20"/>
                <w:szCs w:val="20"/>
                <w:color w:val="auto"/>
              </w:rPr>
            </w:pPr>
            <w:r>
              <w:rPr>
                <w:rFonts w:ascii="Arial" w:cs="Arial" w:eastAsia="Arial" w:hAnsi="Arial"/>
                <w:sz w:val="14"/>
                <w:szCs w:val="14"/>
                <w:color w:val="auto"/>
              </w:rPr>
              <w:t>2,044,415</w:t>
            </w:r>
          </w:p>
        </w:tc>
      </w:tr>
      <w:tr>
        <w:trPr>
          <w:trHeight w:val="157"/>
        </w:trPr>
        <w:tc>
          <w:tcPr>
            <w:tcW w:w="3620" w:type="dxa"/>
            <w:vAlign w:val="bottom"/>
          </w:tcPr>
          <w:p>
            <w:pPr>
              <w:ind w:left="240"/>
              <w:spacing w:after="0" w:line="157" w:lineRule="exact"/>
              <w:rPr>
                <w:sz w:val="20"/>
                <w:szCs w:val="20"/>
                <w:color w:val="auto"/>
              </w:rPr>
            </w:pPr>
            <w:r>
              <w:rPr>
                <w:rFonts w:ascii="Arial" w:cs="Arial" w:eastAsia="Arial" w:hAnsi="Arial"/>
                <w:sz w:val="14"/>
                <w:szCs w:val="14"/>
                <w:color w:val="auto"/>
              </w:rPr>
              <w:t>Former Executive Vice President</w:t>
            </w:r>
          </w:p>
        </w:tc>
        <w:tc>
          <w:tcPr>
            <w:tcW w:w="1040" w:type="dxa"/>
            <w:vAlign w:val="bottom"/>
          </w:tcPr>
          <w:p>
            <w:pPr>
              <w:jc w:val="right"/>
              <w:ind w:right="29"/>
              <w:spacing w:after="0" w:line="157" w:lineRule="exact"/>
              <w:rPr>
                <w:sz w:val="20"/>
                <w:szCs w:val="20"/>
                <w:color w:val="auto"/>
              </w:rPr>
            </w:pPr>
            <w:r>
              <w:rPr>
                <w:rFonts w:ascii="Arial" w:cs="Arial" w:eastAsia="Arial" w:hAnsi="Arial"/>
                <w:sz w:val="14"/>
                <w:szCs w:val="14"/>
                <w:color w:val="auto"/>
              </w:rPr>
              <w:t>1/1/2016</w:t>
            </w:r>
          </w:p>
        </w:tc>
        <w:tc>
          <w:tcPr>
            <w:tcW w:w="940" w:type="dxa"/>
            <w:vAlign w:val="bottom"/>
          </w:tcPr>
          <w:p>
            <w:pPr>
              <w:jc w:val="right"/>
              <w:ind w:right="29"/>
              <w:spacing w:after="0" w:line="157" w:lineRule="exact"/>
              <w:rPr>
                <w:sz w:val="20"/>
                <w:szCs w:val="20"/>
                <w:color w:val="auto"/>
              </w:rPr>
            </w:pPr>
            <w:r>
              <w:rPr>
                <w:rFonts w:ascii="Arial" w:cs="Arial" w:eastAsia="Arial" w:hAnsi="Arial"/>
                <w:sz w:val="14"/>
                <w:szCs w:val="14"/>
                <w:color w:val="auto"/>
              </w:rPr>
              <w:t>484,615</w:t>
            </w:r>
          </w:p>
        </w:tc>
        <w:tc>
          <w:tcPr>
            <w:tcW w:w="960" w:type="dxa"/>
            <w:vAlign w:val="bottom"/>
          </w:tcPr>
          <w:p>
            <w:pPr>
              <w:jc w:val="right"/>
              <w:ind w:right="29"/>
              <w:spacing w:after="0" w:line="157" w:lineRule="exact"/>
              <w:rPr>
                <w:sz w:val="20"/>
                <w:szCs w:val="20"/>
                <w:color w:val="auto"/>
              </w:rPr>
            </w:pPr>
            <w:r>
              <w:rPr>
                <w:rFonts w:ascii="Arial" w:cs="Arial" w:eastAsia="Arial" w:hAnsi="Arial"/>
                <w:sz w:val="14"/>
                <w:szCs w:val="14"/>
                <w:color w:val="auto"/>
              </w:rPr>
              <w:t>—</w:t>
            </w:r>
          </w:p>
        </w:tc>
        <w:tc>
          <w:tcPr>
            <w:tcW w:w="1000" w:type="dxa"/>
            <w:vAlign w:val="bottom"/>
          </w:tcPr>
          <w:p>
            <w:pPr>
              <w:jc w:val="right"/>
              <w:ind w:right="49"/>
              <w:spacing w:after="0" w:line="157" w:lineRule="exact"/>
              <w:rPr>
                <w:sz w:val="20"/>
                <w:szCs w:val="20"/>
                <w:color w:val="auto"/>
              </w:rPr>
            </w:pPr>
            <w:r>
              <w:rPr>
                <w:rFonts w:ascii="Arial" w:cs="Arial" w:eastAsia="Arial" w:hAnsi="Arial"/>
                <w:sz w:val="14"/>
                <w:szCs w:val="14"/>
                <w:color w:val="auto"/>
              </w:rPr>
              <w:t>669,005</w:t>
            </w:r>
          </w:p>
        </w:tc>
        <w:tc>
          <w:tcPr>
            <w:tcW w:w="1000" w:type="dxa"/>
            <w:vAlign w:val="bottom"/>
          </w:tcPr>
          <w:p>
            <w:pPr>
              <w:jc w:val="right"/>
              <w:ind w:right="49"/>
              <w:spacing w:after="0" w:line="157" w:lineRule="exact"/>
              <w:rPr>
                <w:sz w:val="20"/>
                <w:szCs w:val="20"/>
                <w:color w:val="auto"/>
              </w:rPr>
            </w:pPr>
            <w:r>
              <w:rPr>
                <w:rFonts w:ascii="Arial" w:cs="Arial" w:eastAsia="Arial" w:hAnsi="Arial"/>
                <w:sz w:val="14"/>
                <w:szCs w:val="14"/>
                <w:color w:val="auto"/>
              </w:rPr>
              <w:t>157,385</w:t>
            </w:r>
          </w:p>
        </w:tc>
        <w:tc>
          <w:tcPr>
            <w:tcW w:w="1100" w:type="dxa"/>
            <w:vAlign w:val="bottom"/>
          </w:tcPr>
          <w:p>
            <w:pPr>
              <w:jc w:val="right"/>
              <w:ind w:right="49"/>
              <w:spacing w:after="0" w:line="157" w:lineRule="exact"/>
              <w:rPr>
                <w:sz w:val="20"/>
                <w:szCs w:val="20"/>
                <w:color w:val="auto"/>
              </w:rPr>
            </w:pPr>
            <w:r>
              <w:rPr>
                <w:rFonts w:ascii="Arial" w:cs="Arial" w:eastAsia="Arial" w:hAnsi="Arial"/>
                <w:sz w:val="14"/>
                <w:szCs w:val="14"/>
                <w:color w:val="auto"/>
              </w:rPr>
              <w:t>380,000</w:t>
            </w:r>
          </w:p>
        </w:tc>
        <w:tc>
          <w:tcPr>
            <w:tcW w:w="880" w:type="dxa"/>
            <w:vAlign w:val="bottom"/>
          </w:tcPr>
          <w:p>
            <w:pPr>
              <w:jc w:val="right"/>
              <w:spacing w:after="0" w:line="157" w:lineRule="exact"/>
              <w:rPr>
                <w:sz w:val="20"/>
                <w:szCs w:val="20"/>
                <w:color w:val="auto"/>
              </w:rPr>
            </w:pPr>
            <w:r>
              <w:rPr>
                <w:rFonts w:ascii="Arial" w:cs="Arial" w:eastAsia="Arial" w:hAnsi="Arial"/>
                <w:sz w:val="14"/>
                <w:szCs w:val="14"/>
                <w:color w:val="auto"/>
              </w:rPr>
              <w:t>12,421</w:t>
            </w:r>
          </w:p>
        </w:tc>
        <w:tc>
          <w:tcPr>
            <w:tcW w:w="880" w:type="dxa"/>
            <w:vAlign w:val="bottom"/>
          </w:tcPr>
          <w:p>
            <w:pPr>
              <w:jc w:val="right"/>
              <w:ind w:right="108"/>
              <w:spacing w:after="0" w:line="157" w:lineRule="exact"/>
              <w:rPr>
                <w:sz w:val="20"/>
                <w:szCs w:val="20"/>
                <w:color w:val="auto"/>
              </w:rPr>
            </w:pPr>
            <w:r>
              <w:rPr>
                <w:rFonts w:ascii="Arial" w:cs="Arial" w:eastAsia="Arial" w:hAnsi="Arial"/>
                <w:sz w:val="14"/>
                <w:szCs w:val="14"/>
                <w:color w:val="auto"/>
              </w:rPr>
              <w:t>1,703,426</w:t>
            </w:r>
          </w:p>
        </w:tc>
      </w:tr>
      <w:tr>
        <w:trPr>
          <w:trHeight w:val="162"/>
        </w:trPr>
        <w:tc>
          <w:tcPr>
            <w:tcW w:w="3620" w:type="dxa"/>
            <w:vAlign w:val="bottom"/>
            <w:shd w:val="clear" w:color="auto" w:fill="ACABA7"/>
          </w:tcPr>
          <w:p>
            <w:pPr>
              <w:ind w:left="80"/>
              <w:spacing w:after="0" w:line="162" w:lineRule="exact"/>
              <w:rPr>
                <w:sz w:val="20"/>
                <w:szCs w:val="20"/>
                <w:color w:val="auto"/>
              </w:rPr>
            </w:pPr>
            <w:r>
              <w:rPr>
                <w:rFonts w:ascii="Arial" w:cs="Arial" w:eastAsia="Arial" w:hAnsi="Arial"/>
                <w:sz w:val="11"/>
                <w:szCs w:val="11"/>
                <w:color w:val="auto"/>
              </w:rPr>
              <w:t>Sarah K. Allen</w:t>
            </w:r>
            <w:r>
              <w:rPr>
                <w:rFonts w:ascii="Arial" w:cs="Arial" w:eastAsia="Arial" w:hAnsi="Arial"/>
                <w:sz w:val="18"/>
                <w:szCs w:val="18"/>
                <w:color w:val="auto"/>
                <w:vertAlign w:val="superscript"/>
              </w:rPr>
              <w:t>(8)</w:t>
            </w:r>
          </w:p>
        </w:tc>
        <w:tc>
          <w:tcPr>
            <w:tcW w:w="1040" w:type="dxa"/>
            <w:vAlign w:val="bottom"/>
            <w:shd w:val="clear" w:color="auto" w:fill="ACABA7"/>
          </w:tcPr>
          <w:p>
            <w:pPr>
              <w:jc w:val="right"/>
              <w:ind w:right="29"/>
              <w:spacing w:after="0"/>
              <w:rPr>
                <w:sz w:val="20"/>
                <w:szCs w:val="20"/>
                <w:color w:val="auto"/>
              </w:rPr>
            </w:pPr>
            <w:r>
              <w:rPr>
                <w:rFonts w:ascii="Arial" w:cs="Arial" w:eastAsia="Arial" w:hAnsi="Arial"/>
                <w:sz w:val="14"/>
                <w:szCs w:val="14"/>
                <w:color w:val="auto"/>
              </w:rPr>
              <w:t>12/30/2016</w:t>
            </w:r>
          </w:p>
        </w:tc>
        <w:tc>
          <w:tcPr>
            <w:tcW w:w="940" w:type="dxa"/>
            <w:vAlign w:val="bottom"/>
            <w:shd w:val="clear" w:color="auto" w:fill="ACABA7"/>
          </w:tcPr>
          <w:p>
            <w:pPr>
              <w:jc w:val="right"/>
              <w:ind w:right="29"/>
              <w:spacing w:after="0"/>
              <w:rPr>
                <w:sz w:val="20"/>
                <w:szCs w:val="20"/>
                <w:color w:val="auto"/>
              </w:rPr>
            </w:pPr>
            <w:r>
              <w:rPr>
                <w:rFonts w:ascii="Arial" w:cs="Arial" w:eastAsia="Arial" w:hAnsi="Arial"/>
                <w:sz w:val="14"/>
                <w:szCs w:val="14"/>
                <w:color w:val="auto"/>
              </w:rPr>
              <w:t>330,334</w:t>
            </w:r>
          </w:p>
        </w:tc>
        <w:tc>
          <w:tcPr>
            <w:tcW w:w="960" w:type="dxa"/>
            <w:vAlign w:val="bottom"/>
            <w:shd w:val="clear" w:color="auto" w:fill="ACABA7"/>
          </w:tcPr>
          <w:p>
            <w:pPr>
              <w:jc w:val="right"/>
              <w:ind w:right="29"/>
              <w:spacing w:after="0"/>
              <w:rPr>
                <w:sz w:val="20"/>
                <w:szCs w:val="20"/>
                <w:color w:val="auto"/>
              </w:rPr>
            </w:pPr>
            <w:r>
              <w:rPr>
                <w:rFonts w:ascii="Arial" w:cs="Arial" w:eastAsia="Arial" w:hAnsi="Arial"/>
                <w:sz w:val="14"/>
                <w:szCs w:val="14"/>
                <w:color w:val="auto"/>
              </w:rPr>
              <w:t>—</w:t>
            </w:r>
          </w:p>
        </w:tc>
        <w:tc>
          <w:tcPr>
            <w:tcW w:w="1000" w:type="dxa"/>
            <w:vAlign w:val="bottom"/>
            <w:shd w:val="clear" w:color="auto" w:fill="ACABA7"/>
          </w:tcPr>
          <w:p>
            <w:pPr>
              <w:jc w:val="right"/>
              <w:ind w:right="49"/>
              <w:spacing w:after="0"/>
              <w:rPr>
                <w:sz w:val="20"/>
                <w:szCs w:val="20"/>
                <w:color w:val="auto"/>
              </w:rPr>
            </w:pPr>
            <w:r>
              <w:rPr>
                <w:rFonts w:ascii="Arial" w:cs="Arial" w:eastAsia="Arial" w:hAnsi="Arial"/>
                <w:sz w:val="14"/>
                <w:szCs w:val="14"/>
                <w:color w:val="auto"/>
              </w:rPr>
              <w:t>545,169</w:t>
            </w:r>
          </w:p>
        </w:tc>
        <w:tc>
          <w:tcPr>
            <w:tcW w:w="1000" w:type="dxa"/>
            <w:vAlign w:val="bottom"/>
            <w:shd w:val="clear" w:color="auto" w:fill="ACABA7"/>
          </w:tcPr>
          <w:p>
            <w:pPr>
              <w:jc w:val="right"/>
              <w:ind w:right="49"/>
              <w:spacing w:after="0"/>
              <w:rPr>
                <w:sz w:val="20"/>
                <w:szCs w:val="20"/>
                <w:color w:val="auto"/>
              </w:rPr>
            </w:pPr>
            <w:r>
              <w:rPr>
                <w:rFonts w:ascii="Arial" w:cs="Arial" w:eastAsia="Arial" w:hAnsi="Arial"/>
                <w:sz w:val="14"/>
                <w:szCs w:val="14"/>
                <w:color w:val="auto"/>
              </w:rPr>
              <w:t>116,471</w:t>
            </w:r>
          </w:p>
        </w:tc>
        <w:tc>
          <w:tcPr>
            <w:tcW w:w="1100" w:type="dxa"/>
            <w:vAlign w:val="bottom"/>
            <w:shd w:val="clear" w:color="auto" w:fill="ACABA7"/>
          </w:tcPr>
          <w:p>
            <w:pPr>
              <w:jc w:val="right"/>
              <w:ind w:right="49"/>
              <w:spacing w:after="0"/>
              <w:rPr>
                <w:sz w:val="20"/>
                <w:szCs w:val="20"/>
                <w:color w:val="auto"/>
              </w:rPr>
            </w:pPr>
            <w:r>
              <w:rPr>
                <w:rFonts w:ascii="Arial" w:cs="Arial" w:eastAsia="Arial" w:hAnsi="Arial"/>
                <w:sz w:val="14"/>
                <w:szCs w:val="14"/>
                <w:color w:val="auto"/>
              </w:rPr>
              <w:t>—</w:t>
            </w:r>
          </w:p>
        </w:tc>
        <w:tc>
          <w:tcPr>
            <w:tcW w:w="880" w:type="dxa"/>
            <w:vAlign w:val="bottom"/>
            <w:shd w:val="clear" w:color="auto" w:fill="ACABA7"/>
          </w:tcPr>
          <w:p>
            <w:pPr>
              <w:jc w:val="right"/>
              <w:spacing w:after="0"/>
              <w:rPr>
                <w:sz w:val="20"/>
                <w:szCs w:val="20"/>
                <w:color w:val="auto"/>
              </w:rPr>
            </w:pPr>
            <w:r>
              <w:rPr>
                <w:rFonts w:ascii="Arial" w:cs="Arial" w:eastAsia="Arial" w:hAnsi="Arial"/>
                <w:sz w:val="14"/>
                <w:szCs w:val="14"/>
                <w:color w:val="auto"/>
              </w:rPr>
              <w:t>3,090,856</w:t>
            </w:r>
          </w:p>
        </w:tc>
        <w:tc>
          <w:tcPr>
            <w:tcW w:w="880" w:type="dxa"/>
            <w:vAlign w:val="bottom"/>
            <w:shd w:val="clear" w:color="auto" w:fill="ACABA7"/>
          </w:tcPr>
          <w:p>
            <w:pPr>
              <w:jc w:val="right"/>
              <w:ind w:right="108"/>
              <w:spacing w:after="0"/>
              <w:rPr>
                <w:sz w:val="20"/>
                <w:szCs w:val="20"/>
                <w:color w:val="auto"/>
              </w:rPr>
            </w:pPr>
            <w:r>
              <w:rPr>
                <w:rFonts w:ascii="Arial" w:cs="Arial" w:eastAsia="Arial" w:hAnsi="Arial"/>
                <w:sz w:val="14"/>
                <w:szCs w:val="14"/>
                <w:color w:val="auto"/>
              </w:rPr>
              <w:t>4,082,830</w:t>
            </w:r>
          </w:p>
        </w:tc>
      </w:tr>
      <w:tr>
        <w:trPr>
          <w:trHeight w:val="162"/>
        </w:trPr>
        <w:tc>
          <w:tcPr>
            <w:tcW w:w="3620" w:type="dxa"/>
            <w:vAlign w:val="bottom"/>
            <w:shd w:val="clear" w:color="auto" w:fill="ACABA7"/>
          </w:tcPr>
          <w:p>
            <w:pPr>
              <w:ind w:left="240"/>
              <w:spacing w:after="0"/>
              <w:rPr>
                <w:sz w:val="20"/>
                <w:szCs w:val="20"/>
                <w:color w:val="auto"/>
              </w:rPr>
            </w:pPr>
            <w:r>
              <w:rPr>
                <w:rFonts w:ascii="Arial" w:cs="Arial" w:eastAsia="Arial" w:hAnsi="Arial"/>
                <w:sz w:val="14"/>
                <w:szCs w:val="14"/>
                <w:color w:val="auto"/>
              </w:rPr>
              <w:t>Former Chief Human</w:t>
            </w:r>
          </w:p>
        </w:tc>
        <w:tc>
          <w:tcPr>
            <w:tcW w:w="1040" w:type="dxa"/>
            <w:vAlign w:val="bottom"/>
            <w:shd w:val="clear" w:color="auto" w:fill="ACABA7"/>
          </w:tcPr>
          <w:p>
            <w:pPr>
              <w:jc w:val="right"/>
              <w:ind w:right="29"/>
              <w:spacing w:after="0"/>
              <w:rPr>
                <w:sz w:val="20"/>
                <w:szCs w:val="20"/>
                <w:color w:val="auto"/>
              </w:rPr>
            </w:pPr>
            <w:r>
              <w:rPr>
                <w:rFonts w:ascii="Arial" w:cs="Arial" w:eastAsia="Arial" w:hAnsi="Arial"/>
                <w:sz w:val="14"/>
                <w:szCs w:val="14"/>
                <w:color w:val="auto"/>
              </w:rPr>
              <w:t>1/1/2016</w:t>
            </w:r>
          </w:p>
        </w:tc>
        <w:tc>
          <w:tcPr>
            <w:tcW w:w="940" w:type="dxa"/>
            <w:vAlign w:val="bottom"/>
            <w:shd w:val="clear" w:color="auto" w:fill="ACABA7"/>
          </w:tcPr>
          <w:p>
            <w:pPr>
              <w:jc w:val="right"/>
              <w:ind w:right="29"/>
              <w:spacing w:after="0"/>
              <w:rPr>
                <w:sz w:val="20"/>
                <w:szCs w:val="20"/>
                <w:color w:val="auto"/>
              </w:rPr>
            </w:pPr>
            <w:r>
              <w:rPr>
                <w:rFonts w:ascii="Arial" w:cs="Arial" w:eastAsia="Arial" w:hAnsi="Arial"/>
                <w:sz w:val="14"/>
                <w:szCs w:val="14"/>
                <w:color w:val="auto"/>
              </w:rPr>
              <w:t>350,769</w:t>
            </w:r>
          </w:p>
        </w:tc>
        <w:tc>
          <w:tcPr>
            <w:tcW w:w="960" w:type="dxa"/>
            <w:vAlign w:val="bottom"/>
            <w:shd w:val="clear" w:color="auto" w:fill="ACABA7"/>
          </w:tcPr>
          <w:p>
            <w:pPr>
              <w:jc w:val="right"/>
              <w:ind w:right="29"/>
              <w:spacing w:after="0"/>
              <w:rPr>
                <w:sz w:val="20"/>
                <w:szCs w:val="20"/>
                <w:color w:val="auto"/>
              </w:rPr>
            </w:pPr>
            <w:r>
              <w:rPr>
                <w:rFonts w:ascii="Arial" w:cs="Arial" w:eastAsia="Arial" w:hAnsi="Arial"/>
                <w:sz w:val="14"/>
                <w:szCs w:val="14"/>
                <w:color w:val="auto"/>
              </w:rPr>
              <w:t>—</w:t>
            </w:r>
          </w:p>
        </w:tc>
        <w:tc>
          <w:tcPr>
            <w:tcW w:w="1000" w:type="dxa"/>
            <w:vAlign w:val="bottom"/>
            <w:shd w:val="clear" w:color="auto" w:fill="ACABA7"/>
          </w:tcPr>
          <w:p>
            <w:pPr>
              <w:jc w:val="right"/>
              <w:ind w:right="49"/>
              <w:spacing w:after="0"/>
              <w:rPr>
                <w:sz w:val="20"/>
                <w:szCs w:val="20"/>
                <w:color w:val="auto"/>
              </w:rPr>
            </w:pPr>
            <w:r>
              <w:rPr>
                <w:rFonts w:ascii="Arial" w:cs="Arial" w:eastAsia="Arial" w:hAnsi="Arial"/>
                <w:sz w:val="14"/>
                <w:szCs w:val="14"/>
                <w:color w:val="auto"/>
              </w:rPr>
              <w:t>500,124</w:t>
            </w:r>
          </w:p>
        </w:tc>
        <w:tc>
          <w:tcPr>
            <w:tcW w:w="1000" w:type="dxa"/>
            <w:vAlign w:val="bottom"/>
            <w:shd w:val="clear" w:color="auto" w:fill="ACABA7"/>
          </w:tcPr>
          <w:p>
            <w:pPr>
              <w:jc w:val="right"/>
              <w:ind w:right="49"/>
              <w:spacing w:after="0"/>
              <w:rPr>
                <w:sz w:val="20"/>
                <w:szCs w:val="20"/>
                <w:color w:val="auto"/>
              </w:rPr>
            </w:pPr>
            <w:r>
              <w:rPr>
                <w:rFonts w:ascii="Arial" w:cs="Arial" w:eastAsia="Arial" w:hAnsi="Arial"/>
                <w:sz w:val="14"/>
                <w:szCs w:val="14"/>
                <w:color w:val="auto"/>
              </w:rPr>
              <w:t>91,811</w:t>
            </w:r>
          </w:p>
        </w:tc>
        <w:tc>
          <w:tcPr>
            <w:tcW w:w="1100" w:type="dxa"/>
            <w:vAlign w:val="bottom"/>
            <w:shd w:val="clear" w:color="auto" w:fill="ACABA7"/>
          </w:tcPr>
          <w:p>
            <w:pPr>
              <w:jc w:val="right"/>
              <w:ind w:right="49"/>
              <w:spacing w:after="0"/>
              <w:rPr>
                <w:sz w:val="20"/>
                <w:szCs w:val="20"/>
                <w:color w:val="auto"/>
              </w:rPr>
            </w:pPr>
            <w:r>
              <w:rPr>
                <w:rFonts w:ascii="Arial" w:cs="Arial" w:eastAsia="Arial" w:hAnsi="Arial"/>
                <w:sz w:val="14"/>
                <w:szCs w:val="14"/>
                <w:color w:val="auto"/>
              </w:rPr>
              <w:t>266,578</w:t>
            </w:r>
          </w:p>
        </w:tc>
        <w:tc>
          <w:tcPr>
            <w:tcW w:w="880" w:type="dxa"/>
            <w:vAlign w:val="bottom"/>
            <w:shd w:val="clear" w:color="auto" w:fill="ACABA7"/>
          </w:tcPr>
          <w:p>
            <w:pPr>
              <w:jc w:val="right"/>
              <w:spacing w:after="0"/>
              <w:rPr>
                <w:sz w:val="20"/>
                <w:szCs w:val="20"/>
                <w:color w:val="auto"/>
              </w:rPr>
            </w:pPr>
            <w:r>
              <w:rPr>
                <w:rFonts w:ascii="Arial" w:cs="Arial" w:eastAsia="Arial" w:hAnsi="Arial"/>
                <w:sz w:val="14"/>
                <w:szCs w:val="14"/>
                <w:color w:val="auto"/>
              </w:rPr>
              <w:t>9,638</w:t>
            </w:r>
          </w:p>
        </w:tc>
        <w:tc>
          <w:tcPr>
            <w:tcW w:w="880" w:type="dxa"/>
            <w:vAlign w:val="bottom"/>
            <w:shd w:val="clear" w:color="auto" w:fill="ACABA7"/>
          </w:tcPr>
          <w:p>
            <w:pPr>
              <w:jc w:val="right"/>
              <w:ind w:right="108"/>
              <w:spacing w:after="0"/>
              <w:rPr>
                <w:sz w:val="20"/>
                <w:szCs w:val="20"/>
                <w:color w:val="auto"/>
              </w:rPr>
            </w:pPr>
            <w:r>
              <w:rPr>
                <w:rFonts w:ascii="Arial" w:cs="Arial" w:eastAsia="Arial" w:hAnsi="Arial"/>
                <w:sz w:val="14"/>
                <w:szCs w:val="14"/>
                <w:color w:val="auto"/>
              </w:rPr>
              <w:t>1,218,920</w:t>
            </w:r>
          </w:p>
        </w:tc>
      </w:tr>
      <w:tr>
        <w:trPr>
          <w:trHeight w:val="162"/>
        </w:trPr>
        <w:tc>
          <w:tcPr>
            <w:tcW w:w="3620" w:type="dxa"/>
            <w:vAlign w:val="bottom"/>
            <w:shd w:val="clear" w:color="auto" w:fill="ACABA7"/>
          </w:tcPr>
          <w:p>
            <w:pPr>
              <w:ind w:left="240"/>
              <w:spacing w:after="0"/>
              <w:rPr>
                <w:sz w:val="20"/>
                <w:szCs w:val="20"/>
                <w:color w:val="auto"/>
              </w:rPr>
            </w:pPr>
            <w:r>
              <w:rPr>
                <w:rFonts w:ascii="Arial" w:cs="Arial" w:eastAsia="Arial" w:hAnsi="Arial"/>
                <w:sz w:val="14"/>
                <w:szCs w:val="14"/>
                <w:color w:val="auto"/>
              </w:rPr>
              <w:t>Resources Officer</w:t>
            </w:r>
          </w:p>
        </w:tc>
        <w:tc>
          <w:tcPr>
            <w:tcW w:w="1040" w:type="dxa"/>
            <w:vAlign w:val="bottom"/>
            <w:shd w:val="clear" w:color="auto" w:fill="ACABA7"/>
          </w:tcPr>
          <w:p>
            <w:pPr>
              <w:jc w:val="right"/>
              <w:ind w:right="29"/>
              <w:spacing w:after="0"/>
              <w:rPr>
                <w:sz w:val="20"/>
                <w:szCs w:val="20"/>
                <w:color w:val="auto"/>
              </w:rPr>
            </w:pPr>
            <w:r>
              <w:rPr>
                <w:rFonts w:ascii="Arial" w:cs="Arial" w:eastAsia="Arial" w:hAnsi="Arial"/>
                <w:sz w:val="14"/>
                <w:szCs w:val="14"/>
                <w:color w:val="auto"/>
              </w:rPr>
              <w:t>1/30/2015</w:t>
            </w:r>
          </w:p>
        </w:tc>
        <w:tc>
          <w:tcPr>
            <w:tcW w:w="940" w:type="dxa"/>
            <w:vAlign w:val="bottom"/>
            <w:shd w:val="clear" w:color="auto" w:fill="ACABA7"/>
          </w:tcPr>
          <w:p>
            <w:pPr>
              <w:jc w:val="right"/>
              <w:ind w:right="29"/>
              <w:spacing w:after="0"/>
              <w:rPr>
                <w:sz w:val="20"/>
                <w:szCs w:val="20"/>
                <w:color w:val="auto"/>
              </w:rPr>
            </w:pPr>
            <w:r>
              <w:rPr>
                <w:rFonts w:ascii="Arial" w:cs="Arial" w:eastAsia="Arial" w:hAnsi="Arial"/>
                <w:sz w:val="14"/>
                <w:szCs w:val="14"/>
                <w:color w:val="auto"/>
              </w:rPr>
              <w:t>375,385</w:t>
            </w:r>
          </w:p>
        </w:tc>
        <w:tc>
          <w:tcPr>
            <w:tcW w:w="960" w:type="dxa"/>
            <w:vAlign w:val="bottom"/>
            <w:shd w:val="clear" w:color="auto" w:fill="ACABA7"/>
          </w:tcPr>
          <w:p>
            <w:pPr>
              <w:jc w:val="right"/>
              <w:ind w:right="29"/>
              <w:spacing w:after="0"/>
              <w:rPr>
                <w:sz w:val="20"/>
                <w:szCs w:val="20"/>
                <w:color w:val="auto"/>
              </w:rPr>
            </w:pPr>
            <w:r>
              <w:rPr>
                <w:rFonts w:ascii="Arial" w:cs="Arial" w:eastAsia="Arial" w:hAnsi="Arial"/>
                <w:sz w:val="14"/>
                <w:szCs w:val="14"/>
                <w:color w:val="auto"/>
              </w:rPr>
              <w:t>—</w:t>
            </w:r>
          </w:p>
        </w:tc>
        <w:tc>
          <w:tcPr>
            <w:tcW w:w="1000" w:type="dxa"/>
            <w:vAlign w:val="bottom"/>
            <w:shd w:val="clear" w:color="auto" w:fill="ACABA7"/>
          </w:tcPr>
          <w:p>
            <w:pPr>
              <w:jc w:val="right"/>
              <w:ind w:right="49"/>
              <w:spacing w:after="0"/>
              <w:rPr>
                <w:sz w:val="20"/>
                <w:szCs w:val="20"/>
                <w:color w:val="auto"/>
              </w:rPr>
            </w:pPr>
            <w:r>
              <w:rPr>
                <w:rFonts w:ascii="Arial" w:cs="Arial" w:eastAsia="Arial" w:hAnsi="Arial"/>
                <w:sz w:val="14"/>
                <w:szCs w:val="14"/>
                <w:color w:val="auto"/>
              </w:rPr>
              <w:t>218,742</w:t>
            </w:r>
          </w:p>
        </w:tc>
        <w:tc>
          <w:tcPr>
            <w:tcW w:w="1000" w:type="dxa"/>
            <w:vAlign w:val="bottom"/>
            <w:shd w:val="clear" w:color="auto" w:fill="ACABA7"/>
          </w:tcPr>
          <w:p>
            <w:pPr>
              <w:jc w:val="right"/>
              <w:ind w:right="49"/>
              <w:spacing w:after="0"/>
              <w:rPr>
                <w:sz w:val="20"/>
                <w:szCs w:val="20"/>
                <w:color w:val="auto"/>
              </w:rPr>
            </w:pPr>
            <w:r>
              <w:rPr>
                <w:rFonts w:ascii="Arial" w:cs="Arial" w:eastAsia="Arial" w:hAnsi="Arial"/>
                <w:sz w:val="14"/>
                <w:szCs w:val="14"/>
                <w:color w:val="auto"/>
              </w:rPr>
              <w:t>88,759</w:t>
            </w:r>
          </w:p>
        </w:tc>
        <w:tc>
          <w:tcPr>
            <w:tcW w:w="1100" w:type="dxa"/>
            <w:vAlign w:val="bottom"/>
            <w:shd w:val="clear" w:color="auto" w:fill="ACABA7"/>
          </w:tcPr>
          <w:p>
            <w:pPr>
              <w:jc w:val="right"/>
              <w:ind w:right="49"/>
              <w:spacing w:after="0"/>
              <w:rPr>
                <w:sz w:val="20"/>
                <w:szCs w:val="20"/>
                <w:color w:val="auto"/>
              </w:rPr>
            </w:pPr>
            <w:r>
              <w:rPr>
                <w:rFonts w:ascii="Arial" w:cs="Arial" w:eastAsia="Arial" w:hAnsi="Arial"/>
                <w:sz w:val="14"/>
                <w:szCs w:val="14"/>
                <w:color w:val="auto"/>
              </w:rPr>
              <w:t>199,776</w:t>
            </w:r>
          </w:p>
        </w:tc>
        <w:tc>
          <w:tcPr>
            <w:tcW w:w="880" w:type="dxa"/>
            <w:vAlign w:val="bottom"/>
            <w:shd w:val="clear" w:color="auto" w:fill="ACABA7"/>
          </w:tcPr>
          <w:p>
            <w:pPr>
              <w:jc w:val="right"/>
              <w:spacing w:after="0"/>
              <w:rPr>
                <w:sz w:val="20"/>
                <w:szCs w:val="20"/>
                <w:color w:val="auto"/>
              </w:rPr>
            </w:pPr>
            <w:r>
              <w:rPr>
                <w:rFonts w:ascii="Arial" w:cs="Arial" w:eastAsia="Arial" w:hAnsi="Arial"/>
                <w:sz w:val="14"/>
                <w:szCs w:val="14"/>
                <w:color w:val="auto"/>
              </w:rPr>
              <w:t>13,069</w:t>
            </w:r>
          </w:p>
        </w:tc>
        <w:tc>
          <w:tcPr>
            <w:tcW w:w="880" w:type="dxa"/>
            <w:vAlign w:val="bottom"/>
            <w:shd w:val="clear" w:color="auto" w:fill="ACABA7"/>
          </w:tcPr>
          <w:p>
            <w:pPr>
              <w:jc w:val="right"/>
              <w:ind w:right="108"/>
              <w:spacing w:after="0"/>
              <w:rPr>
                <w:sz w:val="20"/>
                <w:szCs w:val="20"/>
                <w:color w:val="auto"/>
              </w:rPr>
            </w:pPr>
            <w:r>
              <w:rPr>
                <w:rFonts w:ascii="Arial" w:cs="Arial" w:eastAsia="Arial" w:hAnsi="Arial"/>
                <w:sz w:val="14"/>
                <w:szCs w:val="14"/>
                <w:color w:val="auto"/>
              </w:rPr>
              <w:t>895,731</w:t>
            </w:r>
          </w:p>
        </w:tc>
      </w:tr>
    </w:tbl>
    <w:p>
      <w:pPr>
        <w:spacing w:after="0" w:line="242" w:lineRule="exact"/>
        <w:rPr>
          <w:sz w:val="20"/>
          <w:szCs w:val="20"/>
          <w:color w:val="auto"/>
        </w:rPr>
      </w:pPr>
    </w:p>
    <w:p>
      <w:pPr>
        <w:ind w:left="460" w:hanging="452"/>
        <w:spacing w:after="0"/>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Compensation is provided only for fiscal years for which an individual qualified as a named executive officer.</w:t>
      </w:r>
    </w:p>
    <w:p>
      <w:pPr>
        <w:spacing w:after="0" w:line="117" w:lineRule="exact"/>
        <w:rPr>
          <w:rFonts w:ascii="Arial" w:cs="Arial" w:eastAsia="Arial" w:hAnsi="Arial"/>
          <w:sz w:val="18"/>
          <w:szCs w:val="18"/>
          <w:color w:val="auto"/>
        </w:rPr>
      </w:pPr>
    </w:p>
    <w:p>
      <w:pPr>
        <w:ind w:left="460" w:hanging="452"/>
        <w:spacing w:after="0"/>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Amounts in this column include a compensation leave payout for Ms. Allen in the amount of $72,393 in 2016.</w:t>
      </w:r>
    </w:p>
    <w:p>
      <w:pPr>
        <w:spacing w:after="0" w:line="117" w:lineRule="exact"/>
        <w:rPr>
          <w:rFonts w:ascii="Arial" w:cs="Arial" w:eastAsia="Arial" w:hAnsi="Arial"/>
          <w:sz w:val="18"/>
          <w:szCs w:val="18"/>
          <w:color w:val="auto"/>
        </w:rPr>
      </w:pPr>
    </w:p>
    <w:p>
      <w:pPr>
        <w:ind w:left="460" w:right="420" w:hanging="452"/>
        <w:spacing w:after="0" w:line="246" w:lineRule="auto"/>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Mr. Reagan and Mr. Leiter were awarded one-time discretionary bonuses in 2016 in connection with the successful completion of our acquisition of the IS&amp;GS business.</w:t>
      </w:r>
    </w:p>
    <w:p>
      <w:pPr>
        <w:spacing w:after="0" w:line="102" w:lineRule="exact"/>
        <w:rPr>
          <w:rFonts w:ascii="Arial" w:cs="Arial" w:eastAsia="Arial" w:hAnsi="Arial"/>
          <w:sz w:val="18"/>
          <w:szCs w:val="18"/>
          <w:color w:val="auto"/>
        </w:rPr>
      </w:pPr>
    </w:p>
    <w:p>
      <w:pPr>
        <w:ind w:left="460" w:right="40" w:hanging="452"/>
        <w:spacing w:after="0" w:line="236" w:lineRule="auto"/>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These columns reflect the grant date fair value computed in accordance with stock-based compensation accounting rules (FASB ASC Topic 718). The awards shown in the “Stock awards” column in the above table include restricted stock units and performance share awards, both of which are subject to performance conditions (except for the restricted stock units granted to Mr. Reardon). The grant date fair value for the performance share awards includes both (i) the grant date fair value for the performance share awards granted in fiscal 2015 but which had an accounting grant date on February 18, 2016 when the goals were set for the third year performance period related to adjusted operating income and (ii) the grant date fair value for the performance share awards granted on March 3, 2016 for the three year performance period related to adjusted operating income and total stockholder return. Values for all performance share awards are computed based upon the probable outcome of the performance conditions as of the grant date of the award. Assuming the highest level of the performance conditions is achieved, the value of the Fiscal 2016 performance shares in the “Stock Awards” column would be as follows: Mr. Krone, $5,660,156; Mr. Reagan, $1,260,124; Mr. Maffeo, $1,215,367; Mr. Leiter, $945,093 and Ms. Allen, $735,248. Because Ms. Allen’s employment with the company ended in August 2016, a portion of the stock awards granted to her for Fiscal 2016 was forfeited. The awards shown in the “Options awards” column are not subject to performance conditions.</w:t>
      </w:r>
    </w:p>
    <w:p>
      <w:pPr>
        <w:spacing w:after="0" w:line="110" w:lineRule="exact"/>
        <w:rPr>
          <w:rFonts w:ascii="Arial" w:cs="Arial" w:eastAsia="Arial" w:hAnsi="Arial"/>
          <w:sz w:val="18"/>
          <w:szCs w:val="18"/>
          <w:color w:val="auto"/>
        </w:rPr>
      </w:pPr>
    </w:p>
    <w:p>
      <w:pPr>
        <w:ind w:left="460" w:right="240"/>
        <w:spacing w:after="0"/>
        <w:rPr>
          <w:rFonts w:ascii="Arial" w:cs="Arial" w:eastAsia="Arial" w:hAnsi="Arial"/>
          <w:sz w:val="18"/>
          <w:szCs w:val="18"/>
          <w:color w:val="auto"/>
        </w:rPr>
      </w:pPr>
      <w:r>
        <w:rPr>
          <w:rFonts w:ascii="Arial" w:cs="Arial" w:eastAsia="Arial" w:hAnsi="Arial"/>
          <w:sz w:val="18"/>
          <w:szCs w:val="18"/>
          <w:color w:val="auto"/>
        </w:rPr>
        <w:t>For more information regarding our application of FASB ASC Topic 718, including the assumptions used in the calculation of these amounts, please refer to Note 14 of the Notes to Consolidated Financial Statements contained in our Annual Report on Form 10-K filed with the SEC on February 24, 2017.</w:t>
      </w:r>
    </w:p>
    <w:p>
      <w:pPr>
        <w:spacing w:after="0" w:line="108" w:lineRule="exact"/>
        <w:rPr>
          <w:rFonts w:ascii="Arial" w:cs="Arial" w:eastAsia="Arial" w:hAnsi="Arial"/>
          <w:sz w:val="18"/>
          <w:szCs w:val="18"/>
          <w:color w:val="auto"/>
        </w:rPr>
      </w:pPr>
    </w:p>
    <w:p>
      <w:pPr>
        <w:ind w:left="460" w:right="200" w:hanging="452"/>
        <w:spacing w:after="0"/>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Amounts shown in this column represent the actual amounts paid to the named executive officers under our cash incentive award programs for the stated fiscal years. The threshold, target and maximum payouts are shown in the “Grants of Plan Based Awards” table under the column headed “Estimated future payouts under non-equity incentive plan awards.”</w:t>
      </w:r>
    </w:p>
    <w:p>
      <w:pPr>
        <w:spacing w:after="0" w:line="118" w:lineRule="exact"/>
        <w:rPr>
          <w:sz w:val="20"/>
          <w:szCs w:val="20"/>
          <w:color w:val="auto"/>
        </w:rPr>
      </w:pPr>
    </w:p>
    <w:p>
      <w:pPr>
        <w:ind w:left="9140"/>
        <w:spacing w:after="0"/>
        <w:tabs>
          <w:tab w:leader="none" w:pos="11000" w:val="left"/>
          <w:tab w:leader="none" w:pos="11220" w:val="left"/>
        </w:tabs>
        <w:rPr>
          <w:sz w:val="20"/>
          <w:szCs w:val="20"/>
          <w:color w:val="auto"/>
        </w:rPr>
      </w:pPr>
      <w:r>
        <w:rPr>
          <w:rFonts w:ascii="Arial" w:cs="Arial" w:eastAsia="Arial" w:hAnsi="Arial"/>
          <w:sz w:val="16"/>
          <w:szCs w:val="16"/>
          <w:b w:val="1"/>
          <w:bCs w:val="1"/>
          <w:color w:val="483E65"/>
        </w:rPr>
        <w:t>2017 Proxy Statement</w:t>
        <w:tab/>
        <w:t>|</w:t>
        <w:tab/>
        <w:t>39</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8" w:lineRule="exact"/>
        <w:rPr>
          <w:sz w:val="20"/>
          <w:szCs w:val="20"/>
          <w:color w:val="auto"/>
        </w:rPr>
      </w:pPr>
    </w:p>
    <w:p>
      <w:pPr>
        <w:spacing w:after="0"/>
        <w:rPr>
          <w:sz w:val="20"/>
          <w:szCs w:val="20"/>
          <w:color w:val="auto"/>
        </w:rPr>
      </w:pPr>
      <w:r>
        <w:rPr>
          <w:rFonts w:ascii="Arial" w:cs="Arial" w:eastAsia="Arial" w:hAnsi="Arial"/>
          <w:sz w:val="32"/>
          <w:szCs w:val="32"/>
          <w:color w:val="483E65"/>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149860</wp:posOffset>
            </wp:positionV>
            <wp:extent cx="724662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40" w:hanging="332"/>
        <w:spacing w:after="0" w:line="238" w:lineRule="auto"/>
        <w:tabs>
          <w:tab w:leader="none" w:pos="3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Amounts shown in this column for Fiscal 2016 primarily represent company contributions that we made on behalf of the named executive officers under the Leidos Retirement Plan as follows: Mr. Krone, $12,154, Mr. Reagan, $7,204, Mr. Maffeo, $14,496, Mr. Leiter, $13,252 and Ms. Allen, $12,812. Amount listed for Mr. Reardon in this column for Fiscal 2016 primarily represents company contributions that we made on his behalf into the Leidos, Inc. Deferred Compensation Plan for Former IS&amp;GS Employees. In addition, for Fiscal 2016, the amount for Ms. Allen includes the payment of $3,078,044 paid in August 2016 pursuant to a severance agreement.</w:t>
      </w:r>
    </w:p>
    <w:p>
      <w:pPr>
        <w:spacing w:after="0" w:line="108" w:lineRule="exact"/>
        <w:rPr>
          <w:rFonts w:ascii="Arial" w:cs="Arial" w:eastAsia="Arial" w:hAnsi="Arial"/>
          <w:sz w:val="18"/>
          <w:szCs w:val="18"/>
          <w:color w:val="auto"/>
        </w:rPr>
      </w:pPr>
    </w:p>
    <w:p>
      <w:pPr>
        <w:ind w:left="340" w:right="180" w:hanging="332"/>
        <w:spacing w:after="0" w:line="246" w:lineRule="auto"/>
        <w:tabs>
          <w:tab w:leader="none" w:pos="3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Mr. Reardon joined our company in August 2016 in conjunction with the merger; therefore, the amount in the “Salary” column reflects a partial year of service in Fiscal 2016.</w:t>
      </w:r>
    </w:p>
    <w:p>
      <w:pPr>
        <w:spacing w:after="0" w:line="102" w:lineRule="exact"/>
        <w:rPr>
          <w:rFonts w:ascii="Arial" w:cs="Arial" w:eastAsia="Arial" w:hAnsi="Arial"/>
          <w:sz w:val="18"/>
          <w:szCs w:val="18"/>
          <w:color w:val="auto"/>
        </w:rPr>
      </w:pPr>
    </w:p>
    <w:p>
      <w:pPr>
        <w:ind w:left="340" w:right="240" w:hanging="332"/>
        <w:spacing w:after="0" w:line="246" w:lineRule="auto"/>
        <w:tabs>
          <w:tab w:leader="none" w:pos="3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Ms. Allen’s employment with us ended in August 2016; therefore, the amount in the “Salary” column reflects a partial year of service in Fiscal 2016.</w:t>
      </w:r>
    </w:p>
    <w:p>
      <w:pPr>
        <w:spacing w:after="0" w:line="112" w:lineRule="exact"/>
        <w:rPr>
          <w:sz w:val="20"/>
          <w:szCs w:val="20"/>
          <w:color w:val="auto"/>
        </w:rPr>
      </w:pPr>
    </w:p>
    <w:p>
      <w:pPr>
        <w:spacing w:after="0"/>
        <w:tabs>
          <w:tab w:leader="none" w:pos="340" w:val="left"/>
          <w:tab w:leader="none" w:pos="580" w:val="left"/>
        </w:tabs>
        <w:rPr>
          <w:sz w:val="20"/>
          <w:szCs w:val="20"/>
          <w:color w:val="auto"/>
        </w:rPr>
      </w:pPr>
      <w:r>
        <w:rPr>
          <w:rFonts w:ascii="Arial" w:cs="Arial" w:eastAsia="Arial" w:hAnsi="Arial"/>
          <w:sz w:val="16"/>
          <w:szCs w:val="16"/>
          <w:b w:val="1"/>
          <w:bCs w:val="1"/>
          <w:color w:val="483E65"/>
        </w:rPr>
        <w:t>40</w:t>
        <w:tab/>
        <w:t>|</w:t>
        <w:tab/>
        <w:t>2017 Proxy Statement</w:t>
      </w:r>
    </w:p>
    <w:p>
      <w:pPr>
        <w:sectPr>
          <w:pgSz w:w="11900" w:h="16838" w:orient="portrait"/>
          <w:cols w:equalWidth="0" w:num="1">
            <w:col w:w="11240"/>
          </w:cols>
          <w:pgMar w:left="240" w:top="459" w:right="41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8" w:lineRule="exact"/>
        <w:rPr>
          <w:sz w:val="20"/>
          <w:szCs w:val="20"/>
          <w:color w:val="auto"/>
        </w:rPr>
      </w:pPr>
    </w:p>
    <w:p>
      <w:pPr>
        <w:spacing w:after="0"/>
        <w:rPr>
          <w:sz w:val="20"/>
          <w:szCs w:val="20"/>
          <w:color w:val="auto"/>
        </w:rPr>
      </w:pPr>
      <w:r>
        <w:rPr>
          <w:rFonts w:ascii="Arial" w:cs="Arial" w:eastAsia="Arial" w:hAnsi="Arial"/>
          <w:sz w:val="32"/>
          <w:szCs w:val="32"/>
          <w:color w:val="483E65"/>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149860</wp:posOffset>
            </wp:positionV>
            <wp:extent cx="724662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483E65"/>
        </w:rPr>
        <w:t>Grants of Plan-Based Awards</w:t>
      </w:r>
    </w:p>
    <w:p>
      <w:pPr>
        <w:spacing w:after="0" w:line="234" w:lineRule="exact"/>
        <w:rPr>
          <w:sz w:val="20"/>
          <w:szCs w:val="20"/>
          <w:color w:val="auto"/>
        </w:rPr>
      </w:pPr>
    </w:p>
    <w:p>
      <w:pPr>
        <w:ind w:right="160"/>
        <w:spacing w:after="0"/>
        <w:rPr>
          <w:sz w:val="20"/>
          <w:szCs w:val="20"/>
          <w:color w:val="auto"/>
        </w:rPr>
      </w:pPr>
      <w:r>
        <w:rPr>
          <w:rFonts w:ascii="Arial" w:cs="Arial" w:eastAsia="Arial" w:hAnsi="Arial"/>
          <w:sz w:val="18"/>
          <w:szCs w:val="18"/>
          <w:color w:val="auto"/>
        </w:rPr>
        <w:t>The following table sets forth information regarding the cash and equity incentive awards made to our named executive officers in Fiscal 2016 pursuant to our 2006 Equity Incentive Plan, including any portion of such awards deferred into our Key Executive Stock Deferral Plan and Keystaff Deferral Plan.</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50" w:type="dxa"/>
            <w:vAlign w:val="bottom"/>
          </w:tcPr>
          <w:p>
            <w:pPr>
              <w:spacing w:after="0"/>
              <w:rPr>
                <w:sz w:val="14"/>
                <w:szCs w:val="14"/>
                <w:color w:val="auto"/>
              </w:rPr>
            </w:pPr>
          </w:p>
        </w:tc>
        <w:tc>
          <w:tcPr>
            <w:tcW w:w="51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483E65"/>
                <w:w w:val="97"/>
              </w:rPr>
              <w:t>All other</w:t>
            </w:r>
          </w:p>
        </w:tc>
        <w:tc>
          <w:tcPr>
            <w:tcW w:w="760" w:type="dxa"/>
            <w:vAlign w:val="bottom"/>
          </w:tcPr>
          <w:p>
            <w:pPr>
              <w:jc w:val="center"/>
              <w:spacing w:after="0"/>
              <w:rPr>
                <w:sz w:val="20"/>
                <w:szCs w:val="20"/>
                <w:color w:val="auto"/>
              </w:rPr>
            </w:pPr>
            <w:r>
              <w:rPr>
                <w:rFonts w:ascii="Arial" w:cs="Arial" w:eastAsia="Arial" w:hAnsi="Arial"/>
                <w:sz w:val="14"/>
                <w:szCs w:val="14"/>
                <w:color w:val="483E65"/>
                <w:w w:val="97"/>
              </w:rPr>
              <w:t>All other</w:t>
            </w:r>
          </w:p>
        </w:tc>
        <w:tc>
          <w:tcPr>
            <w:tcW w:w="6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750" w:type="dxa"/>
            <w:vAlign w:val="bottom"/>
          </w:tcPr>
          <w:p>
            <w:pPr>
              <w:spacing w:after="0"/>
              <w:rPr>
                <w:sz w:val="12"/>
                <w:szCs w:val="12"/>
                <w:color w:val="auto"/>
              </w:rPr>
            </w:pPr>
          </w:p>
        </w:tc>
        <w:tc>
          <w:tcPr>
            <w:tcW w:w="51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color w:val="483E65"/>
                <w:w w:val="99"/>
              </w:rPr>
              <w:t>option</w:t>
            </w:r>
          </w:p>
        </w:tc>
        <w:tc>
          <w:tcPr>
            <w:tcW w:w="760" w:type="dxa"/>
            <w:vAlign w:val="bottom"/>
          </w:tcPr>
          <w:p>
            <w:pPr>
              <w:jc w:val="center"/>
              <w:spacing w:after="0" w:line="149" w:lineRule="exact"/>
              <w:rPr>
                <w:sz w:val="20"/>
                <w:szCs w:val="20"/>
                <w:color w:val="auto"/>
              </w:rPr>
            </w:pPr>
            <w:r>
              <w:rPr>
                <w:rFonts w:ascii="Arial" w:cs="Arial" w:eastAsia="Arial" w:hAnsi="Arial"/>
                <w:sz w:val="14"/>
                <w:szCs w:val="14"/>
                <w:color w:val="483E65"/>
                <w:w w:val="97"/>
              </w:rPr>
              <w:t>stock</w:t>
            </w:r>
          </w:p>
        </w:tc>
        <w:tc>
          <w:tcPr>
            <w:tcW w:w="6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50" w:type="dxa"/>
            <w:vAlign w:val="bottom"/>
          </w:tcPr>
          <w:p>
            <w:pPr>
              <w:spacing w:after="0"/>
              <w:rPr>
                <w:sz w:val="12"/>
                <w:szCs w:val="12"/>
                <w:color w:val="auto"/>
              </w:rPr>
            </w:pPr>
          </w:p>
        </w:tc>
        <w:tc>
          <w:tcPr>
            <w:tcW w:w="51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300" w:type="dxa"/>
            <w:vAlign w:val="bottom"/>
            <w:gridSpan w:val="4"/>
            <w:vMerge w:val="restart"/>
          </w:tcPr>
          <w:p>
            <w:pPr>
              <w:jc w:val="center"/>
              <w:ind w:right="140"/>
              <w:spacing w:after="0"/>
              <w:rPr>
                <w:sz w:val="20"/>
                <w:szCs w:val="20"/>
                <w:color w:val="auto"/>
              </w:rPr>
            </w:pPr>
            <w:r>
              <w:rPr>
                <w:rFonts w:ascii="Arial" w:cs="Arial" w:eastAsia="Arial" w:hAnsi="Arial"/>
                <w:sz w:val="14"/>
                <w:szCs w:val="14"/>
                <w:color w:val="483E65"/>
                <w:w w:val="96"/>
              </w:rPr>
              <w:t>Estimated future payouts under</w:t>
            </w:r>
          </w:p>
        </w:tc>
        <w:tc>
          <w:tcPr>
            <w:tcW w:w="2020" w:type="dxa"/>
            <w:vAlign w:val="bottom"/>
            <w:gridSpan w:val="4"/>
            <w:vMerge w:val="restart"/>
          </w:tcPr>
          <w:p>
            <w:pPr>
              <w:jc w:val="center"/>
              <w:ind w:right="80"/>
              <w:spacing w:after="0"/>
              <w:rPr>
                <w:sz w:val="20"/>
                <w:szCs w:val="20"/>
                <w:color w:val="auto"/>
              </w:rPr>
            </w:pPr>
            <w:r>
              <w:rPr>
                <w:rFonts w:ascii="Arial" w:cs="Arial" w:eastAsia="Arial" w:hAnsi="Arial"/>
                <w:sz w:val="14"/>
                <w:szCs w:val="14"/>
                <w:color w:val="483E65"/>
                <w:w w:val="96"/>
              </w:rPr>
              <w:t>Estimated future payouts</w:t>
            </w:r>
          </w:p>
        </w:tc>
        <w:tc>
          <w:tcPr>
            <w:tcW w:w="760" w:type="dxa"/>
            <w:vAlign w:val="bottom"/>
          </w:tcPr>
          <w:p>
            <w:pPr>
              <w:jc w:val="center"/>
              <w:spacing w:after="0" w:line="149" w:lineRule="exact"/>
              <w:rPr>
                <w:sz w:val="20"/>
                <w:szCs w:val="20"/>
                <w:color w:val="auto"/>
              </w:rPr>
            </w:pPr>
            <w:r>
              <w:rPr>
                <w:rFonts w:ascii="Arial" w:cs="Arial" w:eastAsia="Arial" w:hAnsi="Arial"/>
                <w:sz w:val="14"/>
                <w:szCs w:val="14"/>
                <w:color w:val="483E65"/>
                <w:w w:val="93"/>
              </w:rPr>
              <w:t>awards;</w:t>
            </w:r>
          </w:p>
        </w:tc>
        <w:tc>
          <w:tcPr>
            <w:tcW w:w="760" w:type="dxa"/>
            <w:vAlign w:val="bottom"/>
          </w:tcPr>
          <w:p>
            <w:pPr>
              <w:jc w:val="center"/>
              <w:spacing w:after="0" w:line="149" w:lineRule="exact"/>
              <w:rPr>
                <w:sz w:val="20"/>
                <w:szCs w:val="20"/>
                <w:color w:val="auto"/>
              </w:rPr>
            </w:pPr>
            <w:r>
              <w:rPr>
                <w:rFonts w:ascii="Arial" w:cs="Arial" w:eastAsia="Arial" w:hAnsi="Arial"/>
                <w:sz w:val="14"/>
                <w:szCs w:val="14"/>
                <w:color w:val="483E65"/>
                <w:w w:val="97"/>
              </w:rPr>
              <w:t>awards;</w:t>
            </w:r>
          </w:p>
        </w:tc>
        <w:tc>
          <w:tcPr>
            <w:tcW w:w="680" w:type="dxa"/>
            <w:vAlign w:val="bottom"/>
          </w:tcPr>
          <w:p>
            <w:pPr>
              <w:jc w:val="center"/>
              <w:spacing w:after="0" w:line="149" w:lineRule="exact"/>
              <w:rPr>
                <w:sz w:val="20"/>
                <w:szCs w:val="20"/>
                <w:color w:val="auto"/>
              </w:rPr>
            </w:pPr>
            <w:r>
              <w:rPr>
                <w:rFonts w:ascii="Arial" w:cs="Arial" w:eastAsia="Arial" w:hAnsi="Arial"/>
                <w:sz w:val="14"/>
                <w:szCs w:val="14"/>
                <w:color w:val="483E65"/>
                <w:w w:val="96"/>
              </w:rPr>
              <w:t>Exercise</w:t>
            </w:r>
          </w:p>
        </w:tc>
        <w:tc>
          <w:tcPr>
            <w:tcW w:w="840" w:type="dxa"/>
            <w:vAlign w:val="bottom"/>
          </w:tcPr>
          <w:p>
            <w:pPr>
              <w:jc w:val="center"/>
              <w:spacing w:after="0" w:line="149" w:lineRule="exact"/>
              <w:rPr>
                <w:sz w:val="20"/>
                <w:szCs w:val="20"/>
                <w:color w:val="auto"/>
              </w:rPr>
            </w:pPr>
            <w:r>
              <w:rPr>
                <w:rFonts w:ascii="Arial" w:cs="Arial" w:eastAsia="Arial" w:hAnsi="Arial"/>
                <w:sz w:val="14"/>
                <w:szCs w:val="14"/>
                <w:color w:val="483E65"/>
                <w:w w:val="96"/>
              </w:rPr>
              <w:t>Grant date</w:t>
            </w:r>
          </w:p>
        </w:tc>
        <w:tc>
          <w:tcPr>
            <w:tcW w:w="0" w:type="dxa"/>
            <w:vAlign w:val="bottom"/>
          </w:tcPr>
          <w:p>
            <w:pPr>
              <w:spacing w:after="0"/>
              <w:rPr>
                <w:sz w:val="1"/>
                <w:szCs w:val="1"/>
                <w:color w:val="auto"/>
              </w:rPr>
            </w:pPr>
          </w:p>
        </w:tc>
      </w:tr>
      <w:tr>
        <w:trPr>
          <w:trHeight w:val="68"/>
        </w:trPr>
        <w:tc>
          <w:tcPr>
            <w:tcW w:w="2750" w:type="dxa"/>
            <w:vAlign w:val="bottom"/>
          </w:tcPr>
          <w:p>
            <w:pPr>
              <w:spacing w:after="0"/>
              <w:rPr>
                <w:sz w:val="5"/>
                <w:szCs w:val="5"/>
                <w:color w:val="auto"/>
              </w:rPr>
            </w:pPr>
          </w:p>
        </w:tc>
        <w:tc>
          <w:tcPr>
            <w:tcW w:w="510" w:type="dxa"/>
            <w:vAlign w:val="bottom"/>
          </w:tcPr>
          <w:p>
            <w:pPr>
              <w:spacing w:after="0"/>
              <w:rPr>
                <w:sz w:val="5"/>
                <w:szCs w:val="5"/>
                <w:color w:val="auto"/>
              </w:rPr>
            </w:pPr>
          </w:p>
        </w:tc>
        <w:tc>
          <w:tcPr>
            <w:tcW w:w="800" w:type="dxa"/>
            <w:vAlign w:val="bottom"/>
          </w:tcPr>
          <w:p>
            <w:pPr>
              <w:spacing w:after="0"/>
              <w:rPr>
                <w:sz w:val="5"/>
                <w:szCs w:val="5"/>
                <w:color w:val="auto"/>
              </w:rPr>
            </w:pPr>
          </w:p>
        </w:tc>
        <w:tc>
          <w:tcPr>
            <w:tcW w:w="2300" w:type="dxa"/>
            <w:vAlign w:val="bottom"/>
            <w:gridSpan w:val="4"/>
            <w:vMerge w:val="continue"/>
          </w:tcPr>
          <w:p>
            <w:pPr>
              <w:spacing w:after="0"/>
              <w:rPr>
                <w:sz w:val="5"/>
                <w:szCs w:val="5"/>
                <w:color w:val="auto"/>
              </w:rPr>
            </w:pPr>
          </w:p>
        </w:tc>
        <w:tc>
          <w:tcPr>
            <w:tcW w:w="2020" w:type="dxa"/>
            <w:vAlign w:val="bottom"/>
            <w:gridSpan w:val="4"/>
            <w:vMerge w:val="continue"/>
          </w:tcPr>
          <w:p>
            <w:pPr>
              <w:spacing w:after="0"/>
              <w:rPr>
                <w:sz w:val="5"/>
                <w:szCs w:val="5"/>
                <w:color w:val="auto"/>
              </w:rPr>
            </w:pPr>
          </w:p>
        </w:tc>
        <w:tc>
          <w:tcPr>
            <w:tcW w:w="760" w:type="dxa"/>
            <w:vAlign w:val="bottom"/>
            <w:vMerge w:val="restart"/>
          </w:tcPr>
          <w:p>
            <w:pPr>
              <w:jc w:val="center"/>
              <w:spacing w:after="0" w:line="149" w:lineRule="exact"/>
              <w:rPr>
                <w:sz w:val="20"/>
                <w:szCs w:val="20"/>
                <w:color w:val="auto"/>
              </w:rPr>
            </w:pPr>
            <w:r>
              <w:rPr>
                <w:rFonts w:ascii="Arial" w:cs="Arial" w:eastAsia="Arial" w:hAnsi="Arial"/>
                <w:sz w:val="14"/>
                <w:szCs w:val="14"/>
                <w:color w:val="483E65"/>
                <w:w w:val="98"/>
              </w:rPr>
              <w:t>number of</w:t>
            </w:r>
          </w:p>
        </w:tc>
        <w:tc>
          <w:tcPr>
            <w:tcW w:w="760" w:type="dxa"/>
            <w:vAlign w:val="bottom"/>
            <w:vMerge w:val="restart"/>
          </w:tcPr>
          <w:p>
            <w:pPr>
              <w:jc w:val="center"/>
              <w:spacing w:after="0" w:line="149" w:lineRule="exact"/>
              <w:rPr>
                <w:sz w:val="20"/>
                <w:szCs w:val="20"/>
                <w:color w:val="auto"/>
              </w:rPr>
            </w:pPr>
            <w:r>
              <w:rPr>
                <w:rFonts w:ascii="Arial" w:cs="Arial" w:eastAsia="Arial" w:hAnsi="Arial"/>
                <w:sz w:val="14"/>
                <w:szCs w:val="14"/>
                <w:color w:val="483E65"/>
                <w:w w:val="95"/>
              </w:rPr>
              <w:t>number of</w:t>
            </w:r>
          </w:p>
        </w:tc>
        <w:tc>
          <w:tcPr>
            <w:tcW w:w="680" w:type="dxa"/>
            <w:vAlign w:val="bottom"/>
            <w:vMerge w:val="restart"/>
          </w:tcPr>
          <w:p>
            <w:pPr>
              <w:jc w:val="center"/>
              <w:spacing w:after="0" w:line="149" w:lineRule="exact"/>
              <w:rPr>
                <w:sz w:val="20"/>
                <w:szCs w:val="20"/>
                <w:color w:val="auto"/>
              </w:rPr>
            </w:pPr>
            <w:r>
              <w:rPr>
                <w:rFonts w:ascii="Arial" w:cs="Arial" w:eastAsia="Arial" w:hAnsi="Arial"/>
                <w:sz w:val="14"/>
                <w:szCs w:val="14"/>
                <w:color w:val="483E65"/>
                <w:w w:val="98"/>
              </w:rPr>
              <w:t>or base</w:t>
            </w:r>
          </w:p>
        </w:tc>
        <w:tc>
          <w:tcPr>
            <w:tcW w:w="840" w:type="dxa"/>
            <w:vAlign w:val="bottom"/>
            <w:vMerge w:val="restart"/>
          </w:tcPr>
          <w:p>
            <w:pPr>
              <w:jc w:val="center"/>
              <w:spacing w:after="0" w:line="149" w:lineRule="exact"/>
              <w:rPr>
                <w:sz w:val="20"/>
                <w:szCs w:val="20"/>
                <w:color w:val="auto"/>
              </w:rPr>
            </w:pPr>
            <w:r>
              <w:rPr>
                <w:rFonts w:ascii="Arial" w:cs="Arial" w:eastAsia="Arial" w:hAnsi="Arial"/>
                <w:sz w:val="14"/>
                <w:szCs w:val="14"/>
                <w:color w:val="483E65"/>
                <w:w w:val="96"/>
              </w:rPr>
              <w:t>fair value of</w:t>
            </w:r>
          </w:p>
        </w:tc>
        <w:tc>
          <w:tcPr>
            <w:tcW w:w="0" w:type="dxa"/>
            <w:vAlign w:val="bottom"/>
          </w:tcPr>
          <w:p>
            <w:pPr>
              <w:spacing w:after="0"/>
              <w:rPr>
                <w:sz w:val="1"/>
                <w:szCs w:val="1"/>
                <w:color w:val="auto"/>
              </w:rPr>
            </w:pPr>
          </w:p>
        </w:tc>
      </w:tr>
      <w:tr>
        <w:trPr>
          <w:trHeight w:val="81"/>
        </w:trPr>
        <w:tc>
          <w:tcPr>
            <w:tcW w:w="2750" w:type="dxa"/>
            <w:vAlign w:val="bottom"/>
          </w:tcPr>
          <w:p>
            <w:pPr>
              <w:spacing w:after="0"/>
              <w:rPr>
                <w:sz w:val="7"/>
                <w:szCs w:val="7"/>
                <w:color w:val="auto"/>
              </w:rPr>
            </w:pPr>
          </w:p>
        </w:tc>
        <w:tc>
          <w:tcPr>
            <w:tcW w:w="510" w:type="dxa"/>
            <w:vAlign w:val="bottom"/>
          </w:tcPr>
          <w:p>
            <w:pPr>
              <w:spacing w:after="0"/>
              <w:rPr>
                <w:sz w:val="7"/>
                <w:szCs w:val="7"/>
                <w:color w:val="auto"/>
              </w:rPr>
            </w:pPr>
          </w:p>
        </w:tc>
        <w:tc>
          <w:tcPr>
            <w:tcW w:w="800" w:type="dxa"/>
            <w:vAlign w:val="bottom"/>
          </w:tcPr>
          <w:p>
            <w:pPr>
              <w:spacing w:after="0"/>
              <w:rPr>
                <w:sz w:val="7"/>
                <w:szCs w:val="7"/>
                <w:color w:val="auto"/>
              </w:rPr>
            </w:pPr>
          </w:p>
        </w:tc>
        <w:tc>
          <w:tcPr>
            <w:tcW w:w="2300" w:type="dxa"/>
            <w:vAlign w:val="bottom"/>
            <w:gridSpan w:val="4"/>
            <w:vMerge w:val="restart"/>
          </w:tcPr>
          <w:p>
            <w:pPr>
              <w:jc w:val="center"/>
              <w:ind w:right="120"/>
              <w:spacing w:after="0" w:line="149" w:lineRule="exact"/>
              <w:rPr>
                <w:sz w:val="20"/>
                <w:szCs w:val="20"/>
                <w:color w:val="auto"/>
              </w:rPr>
            </w:pPr>
            <w:r>
              <w:rPr>
                <w:rFonts w:ascii="Arial" w:cs="Arial" w:eastAsia="Arial" w:hAnsi="Arial"/>
                <w:sz w:val="14"/>
                <w:szCs w:val="14"/>
                <w:color w:val="483E65"/>
                <w:w w:val="96"/>
              </w:rPr>
              <w:t>non- equity incentive plan</w:t>
            </w:r>
          </w:p>
        </w:tc>
        <w:tc>
          <w:tcPr>
            <w:tcW w:w="2020" w:type="dxa"/>
            <w:vAlign w:val="bottom"/>
            <w:gridSpan w:val="4"/>
            <w:vMerge w:val="restart"/>
          </w:tcPr>
          <w:p>
            <w:pPr>
              <w:jc w:val="center"/>
              <w:ind w:right="60"/>
              <w:spacing w:after="0" w:line="149" w:lineRule="exact"/>
              <w:rPr>
                <w:sz w:val="20"/>
                <w:szCs w:val="20"/>
                <w:color w:val="auto"/>
              </w:rPr>
            </w:pPr>
            <w:r>
              <w:rPr>
                <w:rFonts w:ascii="Arial" w:cs="Arial" w:eastAsia="Arial" w:hAnsi="Arial"/>
                <w:sz w:val="14"/>
                <w:szCs w:val="14"/>
                <w:color w:val="483E65"/>
                <w:w w:val="96"/>
              </w:rPr>
              <w:t>under equity incentive plan</w:t>
            </w:r>
          </w:p>
        </w:tc>
        <w:tc>
          <w:tcPr>
            <w:tcW w:w="76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2750" w:type="dxa"/>
            <w:vAlign w:val="bottom"/>
          </w:tcPr>
          <w:p>
            <w:pPr>
              <w:spacing w:after="0"/>
              <w:rPr>
                <w:sz w:val="5"/>
                <w:szCs w:val="5"/>
                <w:color w:val="auto"/>
              </w:rPr>
            </w:pPr>
          </w:p>
        </w:tc>
        <w:tc>
          <w:tcPr>
            <w:tcW w:w="510" w:type="dxa"/>
            <w:vAlign w:val="bottom"/>
          </w:tcPr>
          <w:p>
            <w:pPr>
              <w:spacing w:after="0"/>
              <w:rPr>
                <w:sz w:val="5"/>
                <w:szCs w:val="5"/>
                <w:color w:val="auto"/>
              </w:rPr>
            </w:pPr>
          </w:p>
        </w:tc>
        <w:tc>
          <w:tcPr>
            <w:tcW w:w="800" w:type="dxa"/>
            <w:vAlign w:val="bottom"/>
          </w:tcPr>
          <w:p>
            <w:pPr>
              <w:spacing w:after="0"/>
              <w:rPr>
                <w:sz w:val="5"/>
                <w:szCs w:val="5"/>
                <w:color w:val="auto"/>
              </w:rPr>
            </w:pPr>
          </w:p>
        </w:tc>
        <w:tc>
          <w:tcPr>
            <w:tcW w:w="2300" w:type="dxa"/>
            <w:vAlign w:val="bottom"/>
            <w:gridSpan w:val="4"/>
            <w:vMerge w:val="continue"/>
          </w:tcPr>
          <w:p>
            <w:pPr>
              <w:spacing w:after="0"/>
              <w:rPr>
                <w:sz w:val="5"/>
                <w:szCs w:val="5"/>
                <w:color w:val="auto"/>
              </w:rPr>
            </w:pPr>
          </w:p>
        </w:tc>
        <w:tc>
          <w:tcPr>
            <w:tcW w:w="2020" w:type="dxa"/>
            <w:vAlign w:val="bottom"/>
            <w:gridSpan w:val="4"/>
            <w:vMerge w:val="continue"/>
          </w:tcPr>
          <w:p>
            <w:pPr>
              <w:spacing w:after="0"/>
              <w:rPr>
                <w:sz w:val="5"/>
                <w:szCs w:val="5"/>
                <w:color w:val="auto"/>
              </w:rPr>
            </w:pPr>
          </w:p>
        </w:tc>
        <w:tc>
          <w:tcPr>
            <w:tcW w:w="760" w:type="dxa"/>
            <w:vAlign w:val="bottom"/>
            <w:vMerge w:val="restart"/>
          </w:tcPr>
          <w:p>
            <w:pPr>
              <w:jc w:val="center"/>
              <w:spacing w:after="0" w:line="149" w:lineRule="exact"/>
              <w:rPr>
                <w:sz w:val="20"/>
                <w:szCs w:val="20"/>
                <w:color w:val="auto"/>
              </w:rPr>
            </w:pPr>
            <w:r>
              <w:rPr>
                <w:rFonts w:ascii="Arial" w:cs="Arial" w:eastAsia="Arial" w:hAnsi="Arial"/>
                <w:sz w:val="14"/>
                <w:szCs w:val="14"/>
                <w:color w:val="483E65"/>
                <w:w w:val="98"/>
              </w:rPr>
              <w:t>securities</w:t>
            </w:r>
          </w:p>
        </w:tc>
        <w:tc>
          <w:tcPr>
            <w:tcW w:w="760" w:type="dxa"/>
            <w:vAlign w:val="bottom"/>
            <w:vMerge w:val="restart"/>
          </w:tcPr>
          <w:p>
            <w:pPr>
              <w:jc w:val="center"/>
              <w:spacing w:after="0" w:line="149" w:lineRule="exact"/>
              <w:rPr>
                <w:sz w:val="20"/>
                <w:szCs w:val="20"/>
                <w:color w:val="auto"/>
              </w:rPr>
            </w:pPr>
            <w:r>
              <w:rPr>
                <w:rFonts w:ascii="Arial" w:cs="Arial" w:eastAsia="Arial" w:hAnsi="Arial"/>
                <w:sz w:val="14"/>
                <w:szCs w:val="14"/>
                <w:color w:val="483E65"/>
                <w:w w:val="97"/>
              </w:rPr>
              <w:t>shares of</w:t>
            </w:r>
          </w:p>
        </w:tc>
        <w:tc>
          <w:tcPr>
            <w:tcW w:w="680" w:type="dxa"/>
            <w:vAlign w:val="bottom"/>
            <w:vMerge w:val="restart"/>
          </w:tcPr>
          <w:p>
            <w:pPr>
              <w:jc w:val="center"/>
              <w:spacing w:after="0" w:line="149" w:lineRule="exact"/>
              <w:rPr>
                <w:sz w:val="20"/>
                <w:szCs w:val="20"/>
                <w:color w:val="auto"/>
              </w:rPr>
            </w:pPr>
            <w:r>
              <w:rPr>
                <w:rFonts w:ascii="Arial" w:cs="Arial" w:eastAsia="Arial" w:hAnsi="Arial"/>
                <w:sz w:val="14"/>
                <w:szCs w:val="14"/>
                <w:color w:val="483E65"/>
                <w:w w:val="95"/>
              </w:rPr>
              <w:t>price of</w:t>
            </w:r>
          </w:p>
        </w:tc>
        <w:tc>
          <w:tcPr>
            <w:tcW w:w="840" w:type="dxa"/>
            <w:vAlign w:val="bottom"/>
            <w:vMerge w:val="restart"/>
          </w:tcPr>
          <w:p>
            <w:pPr>
              <w:jc w:val="center"/>
              <w:spacing w:after="0" w:line="149" w:lineRule="exact"/>
              <w:rPr>
                <w:sz w:val="20"/>
                <w:szCs w:val="20"/>
                <w:color w:val="auto"/>
              </w:rPr>
            </w:pPr>
            <w:r>
              <w:rPr>
                <w:rFonts w:ascii="Arial" w:cs="Arial" w:eastAsia="Arial" w:hAnsi="Arial"/>
                <w:sz w:val="14"/>
                <w:szCs w:val="14"/>
                <w:color w:val="483E65"/>
                <w:w w:val="96"/>
              </w:rPr>
              <w:t>stock and</w:t>
            </w:r>
          </w:p>
        </w:tc>
        <w:tc>
          <w:tcPr>
            <w:tcW w:w="0" w:type="dxa"/>
            <w:vAlign w:val="bottom"/>
          </w:tcPr>
          <w:p>
            <w:pPr>
              <w:spacing w:after="0"/>
              <w:rPr>
                <w:sz w:val="1"/>
                <w:szCs w:val="1"/>
                <w:color w:val="auto"/>
              </w:rPr>
            </w:pPr>
          </w:p>
        </w:tc>
      </w:tr>
      <w:tr>
        <w:trPr>
          <w:trHeight w:val="81"/>
        </w:trPr>
        <w:tc>
          <w:tcPr>
            <w:tcW w:w="2750" w:type="dxa"/>
            <w:vAlign w:val="bottom"/>
          </w:tcPr>
          <w:p>
            <w:pPr>
              <w:spacing w:after="0"/>
              <w:rPr>
                <w:sz w:val="7"/>
                <w:szCs w:val="7"/>
                <w:color w:val="auto"/>
              </w:rPr>
            </w:pPr>
          </w:p>
        </w:tc>
        <w:tc>
          <w:tcPr>
            <w:tcW w:w="510" w:type="dxa"/>
            <w:vAlign w:val="bottom"/>
          </w:tcPr>
          <w:p>
            <w:pPr>
              <w:spacing w:after="0"/>
              <w:rPr>
                <w:sz w:val="7"/>
                <w:szCs w:val="7"/>
                <w:color w:val="auto"/>
              </w:rPr>
            </w:pPr>
          </w:p>
        </w:tc>
        <w:tc>
          <w:tcPr>
            <w:tcW w:w="800" w:type="dxa"/>
            <w:vAlign w:val="bottom"/>
          </w:tcPr>
          <w:p>
            <w:pPr>
              <w:spacing w:after="0"/>
              <w:rPr>
                <w:sz w:val="7"/>
                <w:szCs w:val="7"/>
                <w:color w:val="auto"/>
              </w:rPr>
            </w:pPr>
          </w:p>
        </w:tc>
        <w:tc>
          <w:tcPr>
            <w:tcW w:w="700" w:type="dxa"/>
            <w:vAlign w:val="bottom"/>
          </w:tcPr>
          <w:p>
            <w:pPr>
              <w:spacing w:after="0"/>
              <w:rPr>
                <w:sz w:val="7"/>
                <w:szCs w:val="7"/>
                <w:color w:val="auto"/>
              </w:rPr>
            </w:pPr>
          </w:p>
        </w:tc>
        <w:tc>
          <w:tcPr>
            <w:tcW w:w="780" w:type="dxa"/>
            <w:vAlign w:val="bottom"/>
            <w:vMerge w:val="restart"/>
          </w:tcPr>
          <w:p>
            <w:pPr>
              <w:jc w:val="center"/>
              <w:spacing w:after="0" w:line="149" w:lineRule="exact"/>
              <w:rPr>
                <w:sz w:val="20"/>
                <w:szCs w:val="20"/>
                <w:color w:val="auto"/>
              </w:rPr>
            </w:pPr>
            <w:r>
              <w:rPr>
                <w:rFonts w:ascii="Arial" w:cs="Arial" w:eastAsia="Arial" w:hAnsi="Arial"/>
                <w:sz w:val="14"/>
                <w:szCs w:val="14"/>
                <w:color w:val="483E65"/>
                <w:w w:val="98"/>
              </w:rPr>
              <w:t>awards</w:t>
            </w:r>
            <w:r>
              <w:rPr>
                <w:rFonts w:ascii="Arial" w:cs="Arial" w:eastAsia="Arial" w:hAnsi="Arial"/>
                <w:sz w:val="11"/>
                <w:szCs w:val="11"/>
                <w:color w:val="483E65"/>
                <w:w w:val="98"/>
              </w:rPr>
              <w:t>(1)</w:t>
            </w:r>
          </w:p>
        </w:tc>
        <w:tc>
          <w:tcPr>
            <w:tcW w:w="7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640" w:type="dxa"/>
            <w:vAlign w:val="bottom"/>
            <w:vMerge w:val="restart"/>
          </w:tcPr>
          <w:p>
            <w:pPr>
              <w:jc w:val="center"/>
              <w:spacing w:after="0" w:line="149" w:lineRule="exact"/>
              <w:rPr>
                <w:sz w:val="20"/>
                <w:szCs w:val="20"/>
                <w:color w:val="auto"/>
              </w:rPr>
            </w:pPr>
            <w:r>
              <w:rPr>
                <w:rFonts w:ascii="Arial" w:cs="Arial" w:eastAsia="Arial" w:hAnsi="Arial"/>
                <w:sz w:val="14"/>
                <w:szCs w:val="14"/>
                <w:color w:val="483E65"/>
                <w:w w:val="98"/>
              </w:rPr>
              <w:t>awards</w:t>
            </w:r>
            <w:r>
              <w:rPr>
                <w:rFonts w:ascii="Arial" w:cs="Arial" w:eastAsia="Arial" w:hAnsi="Arial"/>
                <w:sz w:val="11"/>
                <w:szCs w:val="11"/>
                <w:color w:val="483E65"/>
                <w:w w:val="98"/>
              </w:rPr>
              <w:t>(2)</w:t>
            </w:r>
          </w:p>
        </w:tc>
        <w:tc>
          <w:tcPr>
            <w:tcW w:w="64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2750" w:type="dxa"/>
            <w:vAlign w:val="bottom"/>
          </w:tcPr>
          <w:p>
            <w:pPr>
              <w:spacing w:after="0"/>
              <w:rPr>
                <w:sz w:val="5"/>
                <w:szCs w:val="5"/>
                <w:color w:val="auto"/>
              </w:rPr>
            </w:pPr>
          </w:p>
        </w:tc>
        <w:tc>
          <w:tcPr>
            <w:tcW w:w="510" w:type="dxa"/>
            <w:vAlign w:val="bottom"/>
          </w:tcPr>
          <w:p>
            <w:pPr>
              <w:spacing w:after="0"/>
              <w:rPr>
                <w:sz w:val="5"/>
                <w:szCs w:val="5"/>
                <w:color w:val="auto"/>
              </w:rPr>
            </w:pPr>
          </w:p>
        </w:tc>
        <w:tc>
          <w:tcPr>
            <w:tcW w:w="800" w:type="dxa"/>
            <w:vAlign w:val="bottom"/>
          </w:tcPr>
          <w:p>
            <w:pPr>
              <w:spacing w:after="0"/>
              <w:rPr>
                <w:sz w:val="5"/>
                <w:szCs w:val="5"/>
                <w:color w:val="auto"/>
              </w:rPr>
            </w:pPr>
          </w:p>
        </w:tc>
        <w:tc>
          <w:tcPr>
            <w:tcW w:w="700" w:type="dxa"/>
            <w:vAlign w:val="bottom"/>
            <w:tcBorders>
              <w:bottom w:val="single" w:sz="8" w:color="483E65"/>
            </w:tcBorders>
          </w:tcPr>
          <w:p>
            <w:pPr>
              <w:spacing w:after="0"/>
              <w:rPr>
                <w:sz w:val="5"/>
                <w:szCs w:val="5"/>
                <w:color w:val="auto"/>
              </w:rPr>
            </w:pPr>
          </w:p>
        </w:tc>
        <w:tc>
          <w:tcPr>
            <w:tcW w:w="780" w:type="dxa"/>
            <w:vAlign w:val="bottom"/>
            <w:tcBorders>
              <w:bottom w:val="single" w:sz="8" w:color="483E65"/>
            </w:tcBorders>
            <w:vMerge w:val="continue"/>
          </w:tcPr>
          <w:p>
            <w:pPr>
              <w:spacing w:after="0"/>
              <w:rPr>
                <w:sz w:val="5"/>
                <w:szCs w:val="5"/>
                <w:color w:val="auto"/>
              </w:rPr>
            </w:pPr>
          </w:p>
        </w:tc>
        <w:tc>
          <w:tcPr>
            <w:tcW w:w="700" w:type="dxa"/>
            <w:vAlign w:val="bottom"/>
            <w:tcBorders>
              <w:bottom w:val="single" w:sz="8" w:color="483E65"/>
            </w:tcBorders>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Borders>
              <w:bottom w:val="single" w:sz="8" w:color="483E65"/>
            </w:tcBorders>
          </w:tcPr>
          <w:p>
            <w:pPr>
              <w:spacing w:after="0"/>
              <w:rPr>
                <w:sz w:val="5"/>
                <w:szCs w:val="5"/>
                <w:color w:val="auto"/>
              </w:rPr>
            </w:pPr>
          </w:p>
        </w:tc>
        <w:tc>
          <w:tcPr>
            <w:tcW w:w="640" w:type="dxa"/>
            <w:vAlign w:val="bottom"/>
            <w:tcBorders>
              <w:bottom w:val="single" w:sz="8" w:color="483E65"/>
            </w:tcBorders>
            <w:vMerge w:val="continue"/>
          </w:tcPr>
          <w:p>
            <w:pPr>
              <w:spacing w:after="0"/>
              <w:rPr>
                <w:sz w:val="5"/>
                <w:szCs w:val="5"/>
                <w:color w:val="auto"/>
              </w:rPr>
            </w:pPr>
          </w:p>
        </w:tc>
        <w:tc>
          <w:tcPr>
            <w:tcW w:w="640" w:type="dxa"/>
            <w:vAlign w:val="bottom"/>
            <w:tcBorders>
              <w:bottom w:val="single" w:sz="8" w:color="483E65"/>
            </w:tcBorders>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vMerge w:val="restart"/>
          </w:tcPr>
          <w:p>
            <w:pPr>
              <w:jc w:val="center"/>
              <w:spacing w:after="0" w:line="149" w:lineRule="exact"/>
              <w:rPr>
                <w:sz w:val="20"/>
                <w:szCs w:val="20"/>
                <w:color w:val="auto"/>
              </w:rPr>
            </w:pPr>
            <w:r>
              <w:rPr>
                <w:rFonts w:ascii="Arial" w:cs="Arial" w:eastAsia="Arial" w:hAnsi="Arial"/>
                <w:sz w:val="14"/>
                <w:szCs w:val="14"/>
                <w:color w:val="483E65"/>
                <w:w w:val="95"/>
              </w:rPr>
              <w:t>underlying</w:t>
            </w:r>
          </w:p>
        </w:tc>
        <w:tc>
          <w:tcPr>
            <w:tcW w:w="760" w:type="dxa"/>
            <w:vAlign w:val="bottom"/>
            <w:vMerge w:val="restart"/>
          </w:tcPr>
          <w:p>
            <w:pPr>
              <w:jc w:val="center"/>
              <w:spacing w:after="0" w:line="149" w:lineRule="exact"/>
              <w:rPr>
                <w:sz w:val="20"/>
                <w:szCs w:val="20"/>
                <w:color w:val="auto"/>
              </w:rPr>
            </w:pPr>
            <w:r>
              <w:rPr>
                <w:rFonts w:ascii="Arial" w:cs="Arial" w:eastAsia="Arial" w:hAnsi="Arial"/>
                <w:sz w:val="14"/>
                <w:szCs w:val="14"/>
                <w:color w:val="483E65"/>
                <w:w w:val="97"/>
              </w:rPr>
              <w:t>stock or</w:t>
            </w:r>
          </w:p>
        </w:tc>
        <w:tc>
          <w:tcPr>
            <w:tcW w:w="680" w:type="dxa"/>
            <w:vAlign w:val="bottom"/>
            <w:vMerge w:val="restart"/>
          </w:tcPr>
          <w:p>
            <w:pPr>
              <w:jc w:val="center"/>
              <w:spacing w:after="0" w:line="149" w:lineRule="exact"/>
              <w:rPr>
                <w:sz w:val="20"/>
                <w:szCs w:val="20"/>
                <w:color w:val="auto"/>
              </w:rPr>
            </w:pPr>
            <w:r>
              <w:rPr>
                <w:rFonts w:ascii="Arial" w:cs="Arial" w:eastAsia="Arial" w:hAnsi="Arial"/>
                <w:sz w:val="14"/>
                <w:szCs w:val="14"/>
                <w:color w:val="483E65"/>
                <w:w w:val="99"/>
              </w:rPr>
              <w:t>option</w:t>
            </w:r>
          </w:p>
        </w:tc>
        <w:tc>
          <w:tcPr>
            <w:tcW w:w="840" w:type="dxa"/>
            <w:vAlign w:val="bottom"/>
            <w:vMerge w:val="restart"/>
          </w:tcPr>
          <w:p>
            <w:pPr>
              <w:jc w:val="center"/>
              <w:spacing w:after="0" w:line="149" w:lineRule="exact"/>
              <w:rPr>
                <w:sz w:val="20"/>
                <w:szCs w:val="20"/>
                <w:color w:val="auto"/>
              </w:rPr>
            </w:pPr>
            <w:r>
              <w:rPr>
                <w:rFonts w:ascii="Arial" w:cs="Arial" w:eastAsia="Arial" w:hAnsi="Arial"/>
                <w:sz w:val="14"/>
                <w:szCs w:val="14"/>
                <w:color w:val="483E65"/>
                <w:w w:val="94"/>
              </w:rPr>
              <w:t>option</w:t>
            </w:r>
          </w:p>
        </w:tc>
        <w:tc>
          <w:tcPr>
            <w:tcW w:w="0" w:type="dxa"/>
            <w:vAlign w:val="bottom"/>
          </w:tcPr>
          <w:p>
            <w:pPr>
              <w:spacing w:after="0"/>
              <w:rPr>
                <w:sz w:val="1"/>
                <w:szCs w:val="1"/>
                <w:color w:val="auto"/>
              </w:rPr>
            </w:pPr>
          </w:p>
        </w:tc>
      </w:tr>
      <w:tr>
        <w:trPr>
          <w:trHeight w:val="60"/>
        </w:trPr>
        <w:tc>
          <w:tcPr>
            <w:tcW w:w="2750" w:type="dxa"/>
            <w:vAlign w:val="bottom"/>
          </w:tcPr>
          <w:p>
            <w:pPr>
              <w:spacing w:after="0"/>
              <w:rPr>
                <w:sz w:val="5"/>
                <w:szCs w:val="5"/>
                <w:color w:val="auto"/>
              </w:rPr>
            </w:pPr>
          </w:p>
        </w:tc>
        <w:tc>
          <w:tcPr>
            <w:tcW w:w="510" w:type="dxa"/>
            <w:vAlign w:val="bottom"/>
          </w:tcPr>
          <w:p>
            <w:pPr>
              <w:spacing w:after="0"/>
              <w:rPr>
                <w:sz w:val="5"/>
                <w:szCs w:val="5"/>
                <w:color w:val="auto"/>
              </w:rPr>
            </w:pPr>
          </w:p>
        </w:tc>
        <w:tc>
          <w:tcPr>
            <w:tcW w:w="8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64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2750" w:type="dxa"/>
            <w:vAlign w:val="bottom"/>
          </w:tcPr>
          <w:p>
            <w:pPr>
              <w:spacing w:after="0"/>
              <w:rPr>
                <w:sz w:val="12"/>
                <w:szCs w:val="12"/>
                <w:color w:val="auto"/>
              </w:rPr>
            </w:pPr>
          </w:p>
        </w:tc>
        <w:tc>
          <w:tcPr>
            <w:tcW w:w="510" w:type="dxa"/>
            <w:vAlign w:val="bottom"/>
          </w:tcPr>
          <w:p>
            <w:pPr>
              <w:jc w:val="center"/>
              <w:spacing w:after="0" w:line="149" w:lineRule="exact"/>
              <w:rPr>
                <w:sz w:val="20"/>
                <w:szCs w:val="20"/>
                <w:color w:val="auto"/>
              </w:rPr>
            </w:pPr>
            <w:r>
              <w:rPr>
                <w:rFonts w:ascii="Arial" w:cs="Arial" w:eastAsia="Arial" w:hAnsi="Arial"/>
                <w:sz w:val="14"/>
                <w:szCs w:val="14"/>
                <w:color w:val="483E65"/>
                <w:w w:val="95"/>
              </w:rPr>
              <w:t>Award</w:t>
            </w:r>
          </w:p>
        </w:tc>
        <w:tc>
          <w:tcPr>
            <w:tcW w:w="800" w:type="dxa"/>
            <w:vAlign w:val="bottom"/>
          </w:tcPr>
          <w:p>
            <w:pPr>
              <w:jc w:val="center"/>
              <w:spacing w:after="0" w:line="149" w:lineRule="exact"/>
              <w:rPr>
                <w:sz w:val="20"/>
                <w:szCs w:val="20"/>
                <w:color w:val="auto"/>
              </w:rPr>
            </w:pPr>
            <w:r>
              <w:rPr>
                <w:rFonts w:ascii="Arial" w:cs="Arial" w:eastAsia="Arial" w:hAnsi="Arial"/>
                <w:sz w:val="14"/>
                <w:szCs w:val="14"/>
                <w:color w:val="483E65"/>
                <w:w w:val="96"/>
              </w:rPr>
              <w:t>Grant</w:t>
            </w:r>
          </w:p>
        </w:tc>
        <w:tc>
          <w:tcPr>
            <w:tcW w:w="700" w:type="dxa"/>
            <w:vAlign w:val="bottom"/>
          </w:tcPr>
          <w:p>
            <w:pPr>
              <w:jc w:val="right"/>
              <w:ind w:right="32"/>
              <w:spacing w:after="0" w:line="149" w:lineRule="exact"/>
              <w:rPr>
                <w:sz w:val="20"/>
                <w:szCs w:val="20"/>
                <w:color w:val="auto"/>
              </w:rPr>
            </w:pPr>
            <w:r>
              <w:rPr>
                <w:rFonts w:ascii="Arial" w:cs="Arial" w:eastAsia="Arial" w:hAnsi="Arial"/>
                <w:sz w:val="14"/>
                <w:szCs w:val="14"/>
                <w:color w:val="483E65"/>
                <w:w w:val="93"/>
              </w:rPr>
              <w:t>Threshold</w:t>
            </w:r>
          </w:p>
        </w:tc>
        <w:tc>
          <w:tcPr>
            <w:tcW w:w="780" w:type="dxa"/>
            <w:vAlign w:val="bottom"/>
          </w:tcPr>
          <w:p>
            <w:pPr>
              <w:jc w:val="center"/>
              <w:spacing w:after="0" w:line="149" w:lineRule="exact"/>
              <w:rPr>
                <w:sz w:val="20"/>
                <w:szCs w:val="20"/>
                <w:color w:val="auto"/>
              </w:rPr>
            </w:pPr>
            <w:r>
              <w:rPr>
                <w:rFonts w:ascii="Arial" w:cs="Arial" w:eastAsia="Arial" w:hAnsi="Arial"/>
                <w:sz w:val="14"/>
                <w:szCs w:val="14"/>
                <w:color w:val="483E65"/>
                <w:w w:val="93"/>
              </w:rPr>
              <w:t>Target</w:t>
            </w:r>
          </w:p>
        </w:tc>
        <w:tc>
          <w:tcPr>
            <w:tcW w:w="820" w:type="dxa"/>
            <w:vAlign w:val="bottom"/>
            <w:gridSpan w:val="2"/>
          </w:tcPr>
          <w:p>
            <w:pPr>
              <w:ind w:left="80"/>
              <w:spacing w:after="0" w:line="149" w:lineRule="exact"/>
              <w:rPr>
                <w:sz w:val="20"/>
                <w:szCs w:val="20"/>
                <w:color w:val="auto"/>
              </w:rPr>
            </w:pPr>
            <w:r>
              <w:rPr>
                <w:rFonts w:ascii="Arial" w:cs="Arial" w:eastAsia="Arial" w:hAnsi="Arial"/>
                <w:sz w:val="14"/>
                <w:szCs w:val="14"/>
                <w:color w:val="483E65"/>
              </w:rPr>
              <w:t>Maximum</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483E65"/>
                <w:w w:val="96"/>
              </w:rPr>
              <w:t>Threshold</w:t>
            </w:r>
          </w:p>
        </w:tc>
        <w:tc>
          <w:tcPr>
            <w:tcW w:w="640" w:type="dxa"/>
            <w:vAlign w:val="bottom"/>
          </w:tcPr>
          <w:p>
            <w:pPr>
              <w:jc w:val="center"/>
              <w:spacing w:after="0" w:line="149" w:lineRule="exact"/>
              <w:rPr>
                <w:sz w:val="20"/>
                <w:szCs w:val="20"/>
                <w:color w:val="auto"/>
              </w:rPr>
            </w:pPr>
            <w:r>
              <w:rPr>
                <w:rFonts w:ascii="Arial" w:cs="Arial" w:eastAsia="Arial" w:hAnsi="Arial"/>
                <w:sz w:val="14"/>
                <w:szCs w:val="14"/>
                <w:color w:val="483E65"/>
                <w:w w:val="88"/>
              </w:rPr>
              <w:t>Target</w:t>
            </w: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483E65"/>
              </w:rPr>
              <w:t>Maximum</w:t>
            </w:r>
          </w:p>
        </w:tc>
        <w:tc>
          <w:tcPr>
            <w:tcW w:w="760" w:type="dxa"/>
            <w:vAlign w:val="bottom"/>
          </w:tcPr>
          <w:p>
            <w:pPr>
              <w:jc w:val="center"/>
              <w:spacing w:after="0" w:line="149" w:lineRule="exact"/>
              <w:rPr>
                <w:sz w:val="20"/>
                <w:szCs w:val="20"/>
                <w:color w:val="auto"/>
              </w:rPr>
            </w:pPr>
            <w:r>
              <w:rPr>
                <w:rFonts w:ascii="Arial" w:cs="Arial" w:eastAsia="Arial" w:hAnsi="Arial"/>
                <w:sz w:val="14"/>
                <w:szCs w:val="14"/>
                <w:color w:val="483E65"/>
                <w:w w:val="98"/>
              </w:rPr>
              <w:t>options</w:t>
            </w:r>
            <w:r>
              <w:rPr>
                <w:rFonts w:ascii="Arial" w:cs="Arial" w:eastAsia="Arial" w:hAnsi="Arial"/>
                <w:sz w:val="11"/>
                <w:szCs w:val="11"/>
                <w:color w:val="483E65"/>
                <w:w w:val="98"/>
              </w:rPr>
              <w:t>(3)</w:t>
            </w:r>
          </w:p>
        </w:tc>
        <w:tc>
          <w:tcPr>
            <w:tcW w:w="760" w:type="dxa"/>
            <w:vAlign w:val="bottom"/>
          </w:tcPr>
          <w:p>
            <w:pPr>
              <w:jc w:val="center"/>
              <w:spacing w:after="0" w:line="149" w:lineRule="exact"/>
              <w:rPr>
                <w:sz w:val="20"/>
                <w:szCs w:val="20"/>
                <w:color w:val="auto"/>
              </w:rPr>
            </w:pPr>
            <w:r>
              <w:rPr>
                <w:rFonts w:ascii="Arial" w:cs="Arial" w:eastAsia="Arial" w:hAnsi="Arial"/>
                <w:sz w:val="14"/>
                <w:szCs w:val="14"/>
                <w:color w:val="483E65"/>
                <w:w w:val="97"/>
              </w:rPr>
              <w:t>units</w:t>
            </w:r>
            <w:r>
              <w:rPr>
                <w:rFonts w:ascii="Arial" w:cs="Arial" w:eastAsia="Arial" w:hAnsi="Arial"/>
                <w:sz w:val="11"/>
                <w:szCs w:val="11"/>
                <w:color w:val="483E65"/>
                <w:w w:val="97"/>
              </w:rPr>
              <w:t>(4)</w:t>
            </w:r>
          </w:p>
        </w:tc>
        <w:tc>
          <w:tcPr>
            <w:tcW w:w="680" w:type="dxa"/>
            <w:vAlign w:val="bottom"/>
          </w:tcPr>
          <w:p>
            <w:pPr>
              <w:jc w:val="center"/>
              <w:spacing w:after="0" w:line="149" w:lineRule="exact"/>
              <w:rPr>
                <w:sz w:val="20"/>
                <w:szCs w:val="20"/>
                <w:color w:val="auto"/>
              </w:rPr>
            </w:pPr>
            <w:r>
              <w:rPr>
                <w:rFonts w:ascii="Arial" w:cs="Arial" w:eastAsia="Arial" w:hAnsi="Arial"/>
                <w:sz w:val="14"/>
                <w:szCs w:val="14"/>
                <w:color w:val="483E65"/>
                <w:w w:val="98"/>
              </w:rPr>
              <w:t>awards</w:t>
            </w:r>
            <w:r>
              <w:rPr>
                <w:rFonts w:ascii="Arial" w:cs="Arial" w:eastAsia="Arial" w:hAnsi="Arial"/>
                <w:sz w:val="11"/>
                <w:szCs w:val="11"/>
                <w:color w:val="483E65"/>
                <w:w w:val="98"/>
              </w:rPr>
              <w:t>(5)</w:t>
            </w:r>
          </w:p>
        </w:tc>
        <w:tc>
          <w:tcPr>
            <w:tcW w:w="840" w:type="dxa"/>
            <w:vAlign w:val="bottom"/>
          </w:tcPr>
          <w:p>
            <w:pPr>
              <w:jc w:val="center"/>
              <w:spacing w:after="0" w:line="149" w:lineRule="exact"/>
              <w:rPr>
                <w:sz w:val="20"/>
                <w:szCs w:val="20"/>
                <w:color w:val="auto"/>
              </w:rPr>
            </w:pPr>
            <w:r>
              <w:rPr>
                <w:rFonts w:ascii="Arial" w:cs="Arial" w:eastAsia="Arial" w:hAnsi="Arial"/>
                <w:sz w:val="14"/>
                <w:szCs w:val="14"/>
                <w:color w:val="483E65"/>
                <w:w w:val="98"/>
              </w:rPr>
              <w:t>awards</w:t>
            </w:r>
            <w:r>
              <w:rPr>
                <w:rFonts w:ascii="Arial" w:cs="Arial" w:eastAsia="Arial" w:hAnsi="Arial"/>
                <w:sz w:val="11"/>
                <w:szCs w:val="11"/>
                <w:color w:val="483E65"/>
                <w:w w:val="98"/>
              </w:rPr>
              <w:t>(6)</w:t>
            </w:r>
          </w:p>
        </w:tc>
        <w:tc>
          <w:tcPr>
            <w:tcW w:w="0" w:type="dxa"/>
            <w:vAlign w:val="bottom"/>
          </w:tcPr>
          <w:p>
            <w:pPr>
              <w:spacing w:after="0"/>
              <w:rPr>
                <w:sz w:val="1"/>
                <w:szCs w:val="1"/>
                <w:color w:val="auto"/>
              </w:rPr>
            </w:pPr>
          </w:p>
        </w:tc>
      </w:tr>
      <w:tr>
        <w:trPr>
          <w:trHeight w:val="163"/>
        </w:trPr>
        <w:tc>
          <w:tcPr>
            <w:tcW w:w="2750" w:type="dxa"/>
            <w:vAlign w:val="bottom"/>
            <w:tcBorders>
              <w:bottom w:val="single" w:sz="8" w:color="483E65"/>
            </w:tcBorders>
          </w:tcPr>
          <w:p>
            <w:pPr>
              <w:ind w:left="80"/>
              <w:spacing w:after="0"/>
              <w:rPr>
                <w:sz w:val="20"/>
                <w:szCs w:val="20"/>
                <w:color w:val="auto"/>
              </w:rPr>
            </w:pPr>
            <w:r>
              <w:rPr>
                <w:rFonts w:ascii="Arial" w:cs="Arial" w:eastAsia="Arial" w:hAnsi="Arial"/>
                <w:sz w:val="14"/>
                <w:szCs w:val="14"/>
                <w:color w:val="483E65"/>
              </w:rPr>
              <w:t>Name</w:t>
            </w:r>
          </w:p>
        </w:tc>
        <w:tc>
          <w:tcPr>
            <w:tcW w:w="510" w:type="dxa"/>
            <w:vAlign w:val="bottom"/>
            <w:tcBorders>
              <w:bottom w:val="single" w:sz="8" w:color="483E65"/>
            </w:tcBorders>
          </w:tcPr>
          <w:p>
            <w:pPr>
              <w:jc w:val="center"/>
              <w:spacing w:after="0"/>
              <w:rPr>
                <w:sz w:val="20"/>
                <w:szCs w:val="20"/>
                <w:color w:val="auto"/>
              </w:rPr>
            </w:pPr>
            <w:r>
              <w:rPr>
                <w:rFonts w:ascii="Arial" w:cs="Arial" w:eastAsia="Arial" w:hAnsi="Arial"/>
                <w:sz w:val="14"/>
                <w:szCs w:val="14"/>
                <w:color w:val="483E65"/>
                <w:w w:val="98"/>
              </w:rPr>
              <w:t>type</w:t>
            </w:r>
          </w:p>
        </w:tc>
        <w:tc>
          <w:tcPr>
            <w:tcW w:w="800" w:type="dxa"/>
            <w:vAlign w:val="bottom"/>
            <w:tcBorders>
              <w:bottom w:val="single" w:sz="8" w:color="483E65"/>
            </w:tcBorders>
          </w:tcPr>
          <w:p>
            <w:pPr>
              <w:jc w:val="center"/>
              <w:spacing w:after="0"/>
              <w:rPr>
                <w:sz w:val="20"/>
                <w:szCs w:val="20"/>
                <w:color w:val="auto"/>
              </w:rPr>
            </w:pPr>
            <w:r>
              <w:rPr>
                <w:rFonts w:ascii="Arial" w:cs="Arial" w:eastAsia="Arial" w:hAnsi="Arial"/>
                <w:sz w:val="14"/>
                <w:szCs w:val="14"/>
                <w:color w:val="483E65"/>
              </w:rPr>
              <w:t>date</w:t>
            </w:r>
          </w:p>
        </w:tc>
        <w:tc>
          <w:tcPr>
            <w:tcW w:w="700" w:type="dxa"/>
            <w:vAlign w:val="bottom"/>
            <w:tcBorders>
              <w:bottom w:val="single" w:sz="8" w:color="483E65"/>
            </w:tcBorders>
          </w:tcPr>
          <w:p>
            <w:pPr>
              <w:jc w:val="right"/>
              <w:ind w:right="252"/>
              <w:spacing w:after="0"/>
              <w:rPr>
                <w:sz w:val="20"/>
                <w:szCs w:val="20"/>
                <w:color w:val="auto"/>
              </w:rPr>
            </w:pPr>
            <w:r>
              <w:rPr>
                <w:rFonts w:ascii="Arial" w:cs="Arial" w:eastAsia="Arial" w:hAnsi="Arial"/>
                <w:sz w:val="14"/>
                <w:szCs w:val="14"/>
                <w:color w:val="483E65"/>
              </w:rPr>
              <w:t>($)</w:t>
            </w:r>
          </w:p>
        </w:tc>
        <w:tc>
          <w:tcPr>
            <w:tcW w:w="780" w:type="dxa"/>
            <w:vAlign w:val="bottom"/>
            <w:tcBorders>
              <w:bottom w:val="single" w:sz="8" w:color="483E65"/>
            </w:tcBorders>
          </w:tcPr>
          <w:p>
            <w:pPr>
              <w:jc w:val="center"/>
              <w:spacing w:after="0"/>
              <w:rPr>
                <w:sz w:val="20"/>
                <w:szCs w:val="20"/>
                <w:color w:val="auto"/>
              </w:rPr>
            </w:pPr>
            <w:r>
              <w:rPr>
                <w:rFonts w:ascii="Arial" w:cs="Arial" w:eastAsia="Arial" w:hAnsi="Arial"/>
                <w:sz w:val="14"/>
                <w:szCs w:val="14"/>
                <w:color w:val="483E65"/>
                <w:w w:val="93"/>
              </w:rPr>
              <w:t>($)</w:t>
            </w:r>
          </w:p>
        </w:tc>
        <w:tc>
          <w:tcPr>
            <w:tcW w:w="700" w:type="dxa"/>
            <w:vAlign w:val="bottom"/>
            <w:tcBorders>
              <w:bottom w:val="single" w:sz="8" w:color="483E65"/>
            </w:tcBorders>
          </w:tcPr>
          <w:p>
            <w:pPr>
              <w:jc w:val="right"/>
              <w:ind w:right="172"/>
              <w:spacing w:after="0"/>
              <w:rPr>
                <w:sz w:val="20"/>
                <w:szCs w:val="20"/>
                <w:color w:val="auto"/>
              </w:rPr>
            </w:pPr>
            <w:r>
              <w:rPr>
                <w:rFonts w:ascii="Arial" w:cs="Arial" w:eastAsia="Arial" w:hAnsi="Arial"/>
                <w:sz w:val="14"/>
                <w:szCs w:val="14"/>
                <w:color w:val="483E65"/>
              </w:rPr>
              <w:t>($)</w:t>
            </w:r>
          </w:p>
        </w:tc>
        <w:tc>
          <w:tcPr>
            <w:tcW w:w="120" w:type="dxa"/>
            <w:vAlign w:val="bottom"/>
            <w:tcBorders>
              <w:bottom w:val="single" w:sz="8" w:color="483E65"/>
            </w:tcBorders>
          </w:tcPr>
          <w:p>
            <w:pPr>
              <w:spacing w:after="0"/>
              <w:rPr>
                <w:sz w:val="14"/>
                <w:szCs w:val="14"/>
                <w:color w:val="auto"/>
              </w:rPr>
            </w:pPr>
          </w:p>
        </w:tc>
        <w:tc>
          <w:tcPr>
            <w:tcW w:w="660" w:type="dxa"/>
            <w:vAlign w:val="bottom"/>
            <w:tcBorders>
              <w:bottom w:val="single" w:sz="8" w:color="483E65"/>
            </w:tcBorders>
          </w:tcPr>
          <w:p>
            <w:pPr>
              <w:jc w:val="right"/>
              <w:ind w:right="192"/>
              <w:spacing w:after="0"/>
              <w:rPr>
                <w:sz w:val="20"/>
                <w:szCs w:val="20"/>
                <w:color w:val="auto"/>
              </w:rPr>
            </w:pPr>
            <w:r>
              <w:rPr>
                <w:rFonts w:ascii="Arial" w:cs="Arial" w:eastAsia="Arial" w:hAnsi="Arial"/>
                <w:sz w:val="14"/>
                <w:szCs w:val="14"/>
                <w:color w:val="483E65"/>
              </w:rPr>
              <w:t>(#)</w:t>
            </w:r>
          </w:p>
        </w:tc>
        <w:tc>
          <w:tcPr>
            <w:tcW w:w="640" w:type="dxa"/>
            <w:vAlign w:val="bottom"/>
            <w:tcBorders>
              <w:bottom w:val="single" w:sz="8" w:color="483E65"/>
            </w:tcBorders>
          </w:tcPr>
          <w:p>
            <w:pPr>
              <w:jc w:val="center"/>
              <w:spacing w:after="0"/>
              <w:rPr>
                <w:sz w:val="20"/>
                <w:szCs w:val="20"/>
                <w:color w:val="auto"/>
              </w:rPr>
            </w:pPr>
            <w:r>
              <w:rPr>
                <w:rFonts w:ascii="Arial" w:cs="Arial" w:eastAsia="Arial" w:hAnsi="Arial"/>
                <w:sz w:val="14"/>
                <w:szCs w:val="14"/>
                <w:color w:val="483E65"/>
                <w:w w:val="93"/>
              </w:rPr>
              <w:t>(#)</w:t>
            </w:r>
          </w:p>
        </w:tc>
        <w:tc>
          <w:tcPr>
            <w:tcW w:w="640" w:type="dxa"/>
            <w:vAlign w:val="bottom"/>
            <w:tcBorders>
              <w:bottom w:val="single" w:sz="8" w:color="483E65"/>
            </w:tcBorders>
          </w:tcPr>
          <w:p>
            <w:pPr>
              <w:jc w:val="right"/>
              <w:ind w:right="152"/>
              <w:spacing w:after="0"/>
              <w:rPr>
                <w:sz w:val="20"/>
                <w:szCs w:val="20"/>
                <w:color w:val="auto"/>
              </w:rPr>
            </w:pPr>
            <w:r>
              <w:rPr>
                <w:rFonts w:ascii="Arial" w:cs="Arial" w:eastAsia="Arial" w:hAnsi="Arial"/>
                <w:sz w:val="14"/>
                <w:szCs w:val="14"/>
                <w:color w:val="483E65"/>
              </w:rPr>
              <w:t>(#)</w:t>
            </w:r>
          </w:p>
        </w:tc>
        <w:tc>
          <w:tcPr>
            <w:tcW w:w="80" w:type="dxa"/>
            <w:vAlign w:val="bottom"/>
            <w:tcBorders>
              <w:bottom w:val="single" w:sz="8" w:color="483E65"/>
            </w:tcBorders>
          </w:tcPr>
          <w:p>
            <w:pPr>
              <w:spacing w:after="0"/>
              <w:rPr>
                <w:sz w:val="14"/>
                <w:szCs w:val="14"/>
                <w:color w:val="auto"/>
              </w:rPr>
            </w:pPr>
          </w:p>
        </w:tc>
        <w:tc>
          <w:tcPr>
            <w:tcW w:w="760" w:type="dxa"/>
            <w:vAlign w:val="bottom"/>
            <w:tcBorders>
              <w:bottom w:val="single" w:sz="8" w:color="483E65"/>
            </w:tcBorders>
          </w:tcPr>
          <w:p>
            <w:pPr>
              <w:jc w:val="center"/>
              <w:spacing w:after="0"/>
              <w:rPr>
                <w:sz w:val="20"/>
                <w:szCs w:val="20"/>
                <w:color w:val="auto"/>
              </w:rPr>
            </w:pPr>
            <w:r>
              <w:rPr>
                <w:rFonts w:ascii="Arial" w:cs="Arial" w:eastAsia="Arial" w:hAnsi="Arial"/>
                <w:sz w:val="14"/>
                <w:szCs w:val="14"/>
                <w:color w:val="483E65"/>
                <w:w w:val="93"/>
              </w:rPr>
              <w:t>(#)</w:t>
            </w:r>
          </w:p>
        </w:tc>
        <w:tc>
          <w:tcPr>
            <w:tcW w:w="760" w:type="dxa"/>
            <w:vAlign w:val="bottom"/>
            <w:tcBorders>
              <w:bottom w:val="single" w:sz="8" w:color="483E65"/>
            </w:tcBorders>
          </w:tcPr>
          <w:p>
            <w:pPr>
              <w:jc w:val="center"/>
              <w:spacing w:after="0"/>
              <w:rPr>
                <w:sz w:val="20"/>
                <w:szCs w:val="20"/>
                <w:color w:val="auto"/>
              </w:rPr>
            </w:pPr>
            <w:r>
              <w:rPr>
                <w:rFonts w:ascii="Arial" w:cs="Arial" w:eastAsia="Arial" w:hAnsi="Arial"/>
                <w:sz w:val="14"/>
                <w:szCs w:val="14"/>
                <w:color w:val="483E65"/>
                <w:w w:val="93"/>
              </w:rPr>
              <w:t>(#)</w:t>
            </w:r>
          </w:p>
        </w:tc>
        <w:tc>
          <w:tcPr>
            <w:tcW w:w="680" w:type="dxa"/>
            <w:vAlign w:val="bottom"/>
            <w:tcBorders>
              <w:bottom w:val="single" w:sz="8" w:color="483E65"/>
            </w:tcBorders>
          </w:tcPr>
          <w:p>
            <w:pPr>
              <w:jc w:val="center"/>
              <w:spacing w:after="0"/>
              <w:rPr>
                <w:sz w:val="20"/>
                <w:szCs w:val="20"/>
                <w:color w:val="auto"/>
              </w:rPr>
            </w:pPr>
            <w:r>
              <w:rPr>
                <w:rFonts w:ascii="Arial" w:cs="Arial" w:eastAsia="Arial" w:hAnsi="Arial"/>
                <w:sz w:val="14"/>
                <w:szCs w:val="14"/>
                <w:color w:val="483E65"/>
                <w:w w:val="96"/>
              </w:rPr>
              <w:t>($/share)</w:t>
            </w:r>
          </w:p>
        </w:tc>
        <w:tc>
          <w:tcPr>
            <w:tcW w:w="840" w:type="dxa"/>
            <w:vAlign w:val="bottom"/>
            <w:tcBorders>
              <w:bottom w:val="single" w:sz="8" w:color="483E65"/>
            </w:tcBorders>
          </w:tcPr>
          <w:p>
            <w:pPr>
              <w:jc w:val="center"/>
              <w:spacing w:after="0"/>
              <w:rPr>
                <w:sz w:val="20"/>
                <w:szCs w:val="20"/>
                <w:color w:val="auto"/>
              </w:rPr>
            </w:pPr>
            <w:r>
              <w:rPr>
                <w:rFonts w:ascii="Arial" w:cs="Arial" w:eastAsia="Arial" w:hAnsi="Arial"/>
                <w:sz w:val="14"/>
                <w:szCs w:val="14"/>
                <w:color w:val="483E65"/>
                <w:w w:val="93"/>
              </w:rPr>
              <w:t>($)</w:t>
            </w:r>
          </w:p>
        </w:tc>
        <w:tc>
          <w:tcPr>
            <w:tcW w:w="0" w:type="dxa"/>
            <w:vAlign w:val="bottom"/>
          </w:tcPr>
          <w:p>
            <w:pPr>
              <w:spacing w:after="0"/>
              <w:rPr>
                <w:sz w:val="1"/>
                <w:szCs w:val="1"/>
                <w:color w:val="auto"/>
              </w:rPr>
            </w:pPr>
          </w:p>
        </w:tc>
      </w:tr>
      <w:tr>
        <w:trPr>
          <w:trHeight w:val="141"/>
        </w:trPr>
        <w:tc>
          <w:tcPr>
            <w:tcW w:w="2750" w:type="dxa"/>
            <w:vAlign w:val="bottom"/>
          </w:tcPr>
          <w:p>
            <w:pPr>
              <w:ind w:left="80"/>
              <w:spacing w:after="0" w:line="141" w:lineRule="exact"/>
              <w:rPr>
                <w:sz w:val="20"/>
                <w:szCs w:val="20"/>
                <w:color w:val="auto"/>
              </w:rPr>
            </w:pPr>
            <w:r>
              <w:rPr>
                <w:rFonts w:ascii="Arial" w:cs="Arial" w:eastAsia="Arial" w:hAnsi="Arial"/>
                <w:sz w:val="14"/>
                <w:szCs w:val="14"/>
                <w:color w:val="auto"/>
              </w:rPr>
              <w:t>Mr. Krone</w:t>
            </w:r>
          </w:p>
        </w:tc>
        <w:tc>
          <w:tcPr>
            <w:tcW w:w="510" w:type="dxa"/>
            <w:vAlign w:val="bottom"/>
          </w:tcPr>
          <w:p>
            <w:pPr>
              <w:jc w:val="center"/>
              <w:spacing w:after="0" w:line="141" w:lineRule="exact"/>
              <w:rPr>
                <w:sz w:val="20"/>
                <w:szCs w:val="20"/>
                <w:color w:val="auto"/>
              </w:rPr>
            </w:pPr>
            <w:r>
              <w:rPr>
                <w:rFonts w:ascii="Arial" w:cs="Arial" w:eastAsia="Arial" w:hAnsi="Arial"/>
                <w:sz w:val="14"/>
                <w:szCs w:val="14"/>
                <w:color w:val="auto"/>
                <w:w w:val="97"/>
              </w:rPr>
              <w:t>Cash</w:t>
            </w:r>
          </w:p>
        </w:tc>
        <w:tc>
          <w:tcPr>
            <w:tcW w:w="800" w:type="dxa"/>
            <w:vAlign w:val="bottom"/>
          </w:tcPr>
          <w:p>
            <w:pPr>
              <w:jc w:val="center"/>
              <w:spacing w:after="0" w:line="141" w:lineRule="exact"/>
              <w:rPr>
                <w:sz w:val="20"/>
                <w:szCs w:val="20"/>
                <w:color w:val="auto"/>
              </w:rPr>
            </w:pPr>
            <w:r>
              <w:rPr>
                <w:rFonts w:ascii="Arial" w:cs="Arial" w:eastAsia="Arial" w:hAnsi="Arial"/>
                <w:sz w:val="14"/>
                <w:szCs w:val="14"/>
                <w:color w:val="auto"/>
                <w:w w:val="96"/>
              </w:rPr>
              <w:t>2/18/2016</w:t>
            </w:r>
          </w:p>
        </w:tc>
        <w:tc>
          <w:tcPr>
            <w:tcW w:w="700" w:type="dxa"/>
            <w:vAlign w:val="bottom"/>
          </w:tcPr>
          <w:p>
            <w:pPr>
              <w:jc w:val="right"/>
              <w:ind w:right="32"/>
              <w:spacing w:after="0" w:line="141" w:lineRule="exact"/>
              <w:rPr>
                <w:sz w:val="20"/>
                <w:szCs w:val="20"/>
                <w:color w:val="auto"/>
              </w:rPr>
            </w:pPr>
            <w:r>
              <w:rPr>
                <w:rFonts w:ascii="Arial" w:cs="Arial" w:eastAsia="Arial" w:hAnsi="Arial"/>
                <w:sz w:val="14"/>
                <w:szCs w:val="14"/>
                <w:color w:val="auto"/>
              </w:rPr>
              <w:t>702,000</w:t>
            </w:r>
          </w:p>
        </w:tc>
        <w:tc>
          <w:tcPr>
            <w:tcW w:w="780" w:type="dxa"/>
            <w:vAlign w:val="bottom"/>
          </w:tcPr>
          <w:p>
            <w:pPr>
              <w:jc w:val="right"/>
              <w:ind w:right="12"/>
              <w:spacing w:after="0" w:line="141" w:lineRule="exact"/>
              <w:rPr>
                <w:sz w:val="20"/>
                <w:szCs w:val="20"/>
                <w:color w:val="auto"/>
              </w:rPr>
            </w:pPr>
            <w:r>
              <w:rPr>
                <w:rFonts w:ascii="Arial" w:cs="Arial" w:eastAsia="Arial" w:hAnsi="Arial"/>
                <w:sz w:val="14"/>
                <w:szCs w:val="14"/>
                <w:color w:val="auto"/>
              </w:rPr>
              <w:t>1,300,000</w:t>
            </w:r>
          </w:p>
        </w:tc>
        <w:tc>
          <w:tcPr>
            <w:tcW w:w="700" w:type="dxa"/>
            <w:vAlign w:val="bottom"/>
          </w:tcPr>
          <w:p>
            <w:pPr>
              <w:jc w:val="right"/>
              <w:spacing w:after="0" w:line="141" w:lineRule="exact"/>
              <w:rPr>
                <w:sz w:val="20"/>
                <w:szCs w:val="20"/>
                <w:color w:val="auto"/>
              </w:rPr>
            </w:pPr>
            <w:r>
              <w:rPr>
                <w:rFonts w:ascii="Arial" w:cs="Arial" w:eastAsia="Arial" w:hAnsi="Arial"/>
                <w:sz w:val="14"/>
                <w:szCs w:val="14"/>
                <w:color w:val="auto"/>
              </w:rPr>
              <w:t>2,047,500</w:t>
            </w:r>
          </w:p>
        </w:tc>
        <w:tc>
          <w:tcPr>
            <w:tcW w:w="120" w:type="dxa"/>
            <w:vAlign w:val="bottom"/>
          </w:tcPr>
          <w:p>
            <w:pPr>
              <w:spacing w:after="0"/>
              <w:rPr>
                <w:sz w:val="12"/>
                <w:szCs w:val="12"/>
                <w:color w:val="auto"/>
              </w:rPr>
            </w:pPr>
          </w:p>
        </w:tc>
        <w:tc>
          <w:tcPr>
            <w:tcW w:w="660" w:type="dxa"/>
            <w:vAlign w:val="bottom"/>
          </w:tcPr>
          <w:p>
            <w:pPr>
              <w:jc w:val="right"/>
              <w:spacing w:after="0" w:line="141" w:lineRule="exact"/>
              <w:rPr>
                <w:sz w:val="20"/>
                <w:szCs w:val="20"/>
                <w:color w:val="auto"/>
              </w:rPr>
            </w:pPr>
            <w:r>
              <w:rPr>
                <w:rFonts w:ascii="Arial" w:cs="Arial" w:eastAsia="Arial" w:hAnsi="Arial"/>
                <w:sz w:val="14"/>
                <w:szCs w:val="14"/>
                <w:color w:val="auto"/>
              </w:rPr>
              <w:t>—</w:t>
            </w:r>
          </w:p>
        </w:tc>
        <w:tc>
          <w:tcPr>
            <w:tcW w:w="640" w:type="dxa"/>
            <w:vAlign w:val="bottom"/>
          </w:tcPr>
          <w:p>
            <w:pPr>
              <w:jc w:val="right"/>
              <w:ind w:right="12"/>
              <w:spacing w:after="0" w:line="141"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80"/>
              <w:spacing w:after="0" w:line="141" w:lineRule="exact"/>
              <w:rPr>
                <w:sz w:val="20"/>
                <w:szCs w:val="20"/>
                <w:color w:val="auto"/>
              </w:rPr>
            </w:pPr>
            <w:r>
              <w:rPr>
                <w:rFonts w:ascii="Arial" w:cs="Arial" w:eastAsia="Arial" w:hAnsi="Arial"/>
                <w:sz w:val="14"/>
                <w:szCs w:val="14"/>
                <w:color w:val="auto"/>
              </w:rPr>
              <w:t>—</w:t>
            </w:r>
          </w:p>
        </w:tc>
        <w:tc>
          <w:tcPr>
            <w:tcW w:w="760" w:type="dxa"/>
            <w:vAlign w:val="bottom"/>
          </w:tcPr>
          <w:p>
            <w:pPr>
              <w:jc w:val="right"/>
              <w:spacing w:after="0" w:line="141" w:lineRule="exact"/>
              <w:rPr>
                <w:sz w:val="20"/>
                <w:szCs w:val="20"/>
                <w:color w:val="auto"/>
              </w:rPr>
            </w:pPr>
            <w:r>
              <w:rPr>
                <w:rFonts w:ascii="Arial" w:cs="Arial" w:eastAsia="Arial" w:hAnsi="Arial"/>
                <w:sz w:val="14"/>
                <w:szCs w:val="14"/>
                <w:color w:val="auto"/>
              </w:rPr>
              <w:t>—</w:t>
            </w:r>
          </w:p>
        </w:tc>
        <w:tc>
          <w:tcPr>
            <w:tcW w:w="760" w:type="dxa"/>
            <w:vAlign w:val="bottom"/>
          </w:tcPr>
          <w:p>
            <w:pPr>
              <w:jc w:val="right"/>
              <w:ind w:right="12"/>
              <w:spacing w:after="0" w:line="141"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1" w:lineRule="exact"/>
              <w:rPr>
                <w:sz w:val="20"/>
                <w:szCs w:val="20"/>
                <w:color w:val="auto"/>
              </w:rPr>
            </w:pPr>
            <w:r>
              <w:rPr>
                <w:rFonts w:ascii="Arial" w:cs="Arial" w:eastAsia="Arial" w:hAnsi="Arial"/>
                <w:sz w:val="14"/>
                <w:szCs w:val="14"/>
                <w:color w:val="auto"/>
              </w:rPr>
              <w:t>—</w:t>
            </w:r>
          </w:p>
        </w:tc>
        <w:tc>
          <w:tcPr>
            <w:tcW w:w="840" w:type="dxa"/>
            <w:vAlign w:val="bottom"/>
          </w:tcPr>
          <w:p>
            <w:pPr>
              <w:jc w:val="right"/>
              <w:ind w:right="32"/>
              <w:spacing w:after="0" w:line="141"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750" w:type="dxa"/>
            <w:vAlign w:val="bottom"/>
          </w:tcPr>
          <w:p>
            <w:pPr>
              <w:spacing w:after="0"/>
              <w:rPr>
                <w:sz w:val="12"/>
                <w:szCs w:val="12"/>
                <w:color w:val="auto"/>
              </w:rPr>
            </w:pPr>
          </w:p>
        </w:tc>
        <w:tc>
          <w:tcPr>
            <w:tcW w:w="510" w:type="dxa"/>
            <w:vAlign w:val="bottom"/>
          </w:tcPr>
          <w:p>
            <w:pPr>
              <w:jc w:val="center"/>
              <w:spacing w:after="0" w:line="149" w:lineRule="exact"/>
              <w:rPr>
                <w:sz w:val="20"/>
                <w:szCs w:val="20"/>
                <w:color w:val="auto"/>
              </w:rPr>
            </w:pPr>
            <w:r>
              <w:rPr>
                <w:rFonts w:ascii="Arial" w:cs="Arial" w:eastAsia="Arial" w:hAnsi="Arial"/>
                <w:sz w:val="14"/>
                <w:szCs w:val="14"/>
                <w:color w:val="auto"/>
                <w:w w:val="95"/>
              </w:rPr>
              <w:t>Options</w:t>
            </w:r>
          </w:p>
        </w:tc>
        <w:tc>
          <w:tcPr>
            <w:tcW w:w="800" w:type="dxa"/>
            <w:vAlign w:val="bottom"/>
          </w:tcPr>
          <w:p>
            <w:pPr>
              <w:jc w:val="center"/>
              <w:spacing w:after="0" w:line="149" w:lineRule="exact"/>
              <w:rPr>
                <w:sz w:val="20"/>
                <w:szCs w:val="20"/>
                <w:color w:val="auto"/>
              </w:rPr>
            </w:pPr>
            <w:r>
              <w:rPr>
                <w:rFonts w:ascii="Arial" w:cs="Arial" w:eastAsia="Arial" w:hAnsi="Arial"/>
                <w:sz w:val="14"/>
                <w:szCs w:val="14"/>
                <w:color w:val="auto"/>
                <w:w w:val="95"/>
              </w:rPr>
              <w:t>3/4/2016</w:t>
            </w:r>
          </w:p>
        </w:tc>
        <w:tc>
          <w:tcPr>
            <w:tcW w:w="7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141,171</w:t>
            </w:r>
          </w:p>
        </w:tc>
        <w:tc>
          <w:tcPr>
            <w:tcW w:w="76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33.82</w:t>
            </w:r>
          </w:p>
        </w:tc>
        <w:tc>
          <w:tcPr>
            <w:tcW w:w="8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995,298</w:t>
            </w:r>
          </w:p>
        </w:tc>
        <w:tc>
          <w:tcPr>
            <w:tcW w:w="0" w:type="dxa"/>
            <w:vAlign w:val="bottom"/>
          </w:tcPr>
          <w:p>
            <w:pPr>
              <w:spacing w:after="0"/>
              <w:rPr>
                <w:sz w:val="1"/>
                <w:szCs w:val="1"/>
                <w:color w:val="auto"/>
              </w:rPr>
            </w:pPr>
          </w:p>
        </w:tc>
      </w:tr>
      <w:tr>
        <w:trPr>
          <w:trHeight w:val="149"/>
        </w:trPr>
        <w:tc>
          <w:tcPr>
            <w:tcW w:w="2750" w:type="dxa"/>
            <w:vAlign w:val="bottom"/>
          </w:tcPr>
          <w:p>
            <w:pPr>
              <w:spacing w:after="0"/>
              <w:rPr>
                <w:sz w:val="12"/>
                <w:szCs w:val="12"/>
                <w:color w:val="auto"/>
              </w:rPr>
            </w:pPr>
          </w:p>
        </w:tc>
        <w:tc>
          <w:tcPr>
            <w:tcW w:w="510" w:type="dxa"/>
            <w:vAlign w:val="bottom"/>
          </w:tcPr>
          <w:p>
            <w:pPr>
              <w:jc w:val="center"/>
              <w:spacing w:after="0" w:line="149" w:lineRule="exact"/>
              <w:rPr>
                <w:sz w:val="20"/>
                <w:szCs w:val="20"/>
                <w:color w:val="auto"/>
              </w:rPr>
            </w:pPr>
            <w:r>
              <w:rPr>
                <w:rFonts w:ascii="Arial" w:cs="Arial" w:eastAsia="Arial" w:hAnsi="Arial"/>
                <w:sz w:val="14"/>
                <w:szCs w:val="14"/>
                <w:color w:val="auto"/>
                <w:w w:val="97"/>
              </w:rPr>
              <w:t>PRSU</w:t>
            </w:r>
          </w:p>
        </w:tc>
        <w:tc>
          <w:tcPr>
            <w:tcW w:w="800" w:type="dxa"/>
            <w:vAlign w:val="bottom"/>
          </w:tcPr>
          <w:p>
            <w:pPr>
              <w:jc w:val="center"/>
              <w:spacing w:after="0" w:line="149" w:lineRule="exact"/>
              <w:rPr>
                <w:sz w:val="20"/>
                <w:szCs w:val="20"/>
                <w:color w:val="auto"/>
              </w:rPr>
            </w:pPr>
            <w:r>
              <w:rPr>
                <w:rFonts w:ascii="Arial" w:cs="Arial" w:eastAsia="Arial" w:hAnsi="Arial"/>
                <w:sz w:val="14"/>
                <w:szCs w:val="14"/>
                <w:color w:val="auto"/>
                <w:w w:val="95"/>
              </w:rPr>
              <w:t>3/4/2016</w:t>
            </w:r>
          </w:p>
        </w:tc>
        <w:tc>
          <w:tcPr>
            <w:tcW w:w="7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30,813</w:t>
            </w: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1,410,003</w:t>
            </w:r>
          </w:p>
        </w:tc>
        <w:tc>
          <w:tcPr>
            <w:tcW w:w="0" w:type="dxa"/>
            <w:vAlign w:val="bottom"/>
          </w:tcPr>
          <w:p>
            <w:pPr>
              <w:spacing w:after="0"/>
              <w:rPr>
                <w:sz w:val="1"/>
                <w:szCs w:val="1"/>
                <w:color w:val="auto"/>
              </w:rPr>
            </w:pPr>
          </w:p>
        </w:tc>
      </w:tr>
      <w:tr>
        <w:trPr>
          <w:trHeight w:val="149"/>
        </w:trPr>
        <w:tc>
          <w:tcPr>
            <w:tcW w:w="2750" w:type="dxa"/>
            <w:vAlign w:val="bottom"/>
          </w:tcPr>
          <w:p>
            <w:pPr>
              <w:spacing w:after="0"/>
              <w:rPr>
                <w:sz w:val="12"/>
                <w:szCs w:val="12"/>
                <w:color w:val="auto"/>
              </w:rPr>
            </w:pPr>
          </w:p>
        </w:tc>
        <w:tc>
          <w:tcPr>
            <w:tcW w:w="510" w:type="dxa"/>
            <w:vAlign w:val="bottom"/>
          </w:tcPr>
          <w:p>
            <w:pPr>
              <w:jc w:val="center"/>
              <w:spacing w:after="0" w:line="149" w:lineRule="exact"/>
              <w:rPr>
                <w:sz w:val="20"/>
                <w:szCs w:val="20"/>
                <w:color w:val="auto"/>
              </w:rPr>
            </w:pPr>
            <w:r>
              <w:rPr>
                <w:rFonts w:ascii="Arial" w:cs="Arial" w:eastAsia="Arial" w:hAnsi="Arial"/>
                <w:sz w:val="14"/>
                <w:szCs w:val="14"/>
                <w:color w:val="auto"/>
                <w:w w:val="92"/>
              </w:rPr>
              <w:t>PSA</w:t>
            </w:r>
          </w:p>
        </w:tc>
        <w:tc>
          <w:tcPr>
            <w:tcW w:w="800" w:type="dxa"/>
            <w:vAlign w:val="bottom"/>
          </w:tcPr>
          <w:p>
            <w:pPr>
              <w:jc w:val="center"/>
              <w:spacing w:after="0" w:line="149" w:lineRule="exact"/>
              <w:rPr>
                <w:sz w:val="20"/>
                <w:szCs w:val="20"/>
                <w:color w:val="auto"/>
              </w:rPr>
            </w:pPr>
            <w:r>
              <w:rPr>
                <w:rFonts w:ascii="Arial" w:cs="Arial" w:eastAsia="Arial" w:hAnsi="Arial"/>
                <w:sz w:val="14"/>
                <w:szCs w:val="14"/>
                <w:color w:val="auto"/>
                <w:w w:val="96"/>
              </w:rPr>
              <w:t>2/18/2016</w:t>
            </w:r>
          </w:p>
        </w:tc>
        <w:tc>
          <w:tcPr>
            <w:tcW w:w="7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5,459</w:t>
            </w:r>
          </w:p>
        </w:tc>
        <w:tc>
          <w:tcPr>
            <w:tcW w:w="6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10,918</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16,377</w:t>
            </w:r>
          </w:p>
        </w:tc>
        <w:tc>
          <w:tcPr>
            <w:tcW w:w="8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483,231</w:t>
            </w:r>
          </w:p>
        </w:tc>
        <w:tc>
          <w:tcPr>
            <w:tcW w:w="0" w:type="dxa"/>
            <w:vAlign w:val="bottom"/>
          </w:tcPr>
          <w:p>
            <w:pPr>
              <w:spacing w:after="0"/>
              <w:rPr>
                <w:sz w:val="1"/>
                <w:szCs w:val="1"/>
                <w:color w:val="auto"/>
              </w:rPr>
            </w:pPr>
          </w:p>
        </w:tc>
      </w:tr>
      <w:tr>
        <w:trPr>
          <w:trHeight w:val="149"/>
        </w:trPr>
        <w:tc>
          <w:tcPr>
            <w:tcW w:w="2750" w:type="dxa"/>
            <w:vAlign w:val="bottom"/>
          </w:tcPr>
          <w:p>
            <w:pPr>
              <w:spacing w:after="0"/>
              <w:rPr>
                <w:sz w:val="12"/>
                <w:szCs w:val="12"/>
                <w:color w:val="auto"/>
              </w:rPr>
            </w:pPr>
          </w:p>
        </w:tc>
        <w:tc>
          <w:tcPr>
            <w:tcW w:w="510" w:type="dxa"/>
            <w:vAlign w:val="bottom"/>
          </w:tcPr>
          <w:p>
            <w:pPr>
              <w:jc w:val="center"/>
              <w:spacing w:after="0" w:line="149" w:lineRule="exact"/>
              <w:rPr>
                <w:sz w:val="20"/>
                <w:szCs w:val="20"/>
                <w:color w:val="auto"/>
              </w:rPr>
            </w:pPr>
            <w:r>
              <w:rPr>
                <w:rFonts w:ascii="Arial" w:cs="Arial" w:eastAsia="Arial" w:hAnsi="Arial"/>
                <w:sz w:val="14"/>
                <w:szCs w:val="14"/>
                <w:color w:val="auto"/>
                <w:w w:val="92"/>
              </w:rPr>
              <w:t>PSA</w:t>
            </w:r>
          </w:p>
        </w:tc>
        <w:tc>
          <w:tcPr>
            <w:tcW w:w="800" w:type="dxa"/>
            <w:vAlign w:val="bottom"/>
          </w:tcPr>
          <w:p>
            <w:pPr>
              <w:jc w:val="center"/>
              <w:spacing w:after="0" w:line="149" w:lineRule="exact"/>
              <w:rPr>
                <w:sz w:val="20"/>
                <w:szCs w:val="20"/>
                <w:color w:val="auto"/>
              </w:rPr>
            </w:pPr>
            <w:r>
              <w:rPr>
                <w:rFonts w:ascii="Arial" w:cs="Arial" w:eastAsia="Arial" w:hAnsi="Arial"/>
                <w:sz w:val="14"/>
                <w:szCs w:val="14"/>
                <w:color w:val="auto"/>
                <w:w w:val="95"/>
              </w:rPr>
              <w:t>3/4/2016</w:t>
            </w:r>
          </w:p>
        </w:tc>
        <w:tc>
          <w:tcPr>
            <w:tcW w:w="7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25,678</w:t>
            </w:r>
          </w:p>
        </w:tc>
        <w:tc>
          <w:tcPr>
            <w:tcW w:w="6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51,355</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77,033</w:t>
            </w:r>
          </w:p>
        </w:tc>
        <w:tc>
          <w:tcPr>
            <w:tcW w:w="8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2,350,205</w:t>
            </w:r>
          </w:p>
        </w:tc>
        <w:tc>
          <w:tcPr>
            <w:tcW w:w="0" w:type="dxa"/>
            <w:vAlign w:val="bottom"/>
          </w:tcPr>
          <w:p>
            <w:pPr>
              <w:spacing w:after="0"/>
              <w:rPr>
                <w:sz w:val="1"/>
                <w:szCs w:val="1"/>
                <w:color w:val="auto"/>
              </w:rPr>
            </w:pPr>
          </w:p>
        </w:tc>
      </w:tr>
      <w:tr>
        <w:trPr>
          <w:trHeight w:val="148"/>
        </w:trPr>
        <w:tc>
          <w:tcPr>
            <w:tcW w:w="2750" w:type="dxa"/>
            <w:vAlign w:val="bottom"/>
            <w:shd w:val="clear" w:color="auto" w:fill="ACABA7"/>
          </w:tcPr>
          <w:p>
            <w:pPr>
              <w:ind w:left="80"/>
              <w:spacing w:after="0" w:line="148" w:lineRule="exact"/>
              <w:rPr>
                <w:sz w:val="20"/>
                <w:szCs w:val="20"/>
                <w:color w:val="auto"/>
              </w:rPr>
            </w:pPr>
            <w:r>
              <w:rPr>
                <w:rFonts w:ascii="Arial" w:cs="Arial" w:eastAsia="Arial" w:hAnsi="Arial"/>
                <w:sz w:val="14"/>
                <w:szCs w:val="14"/>
                <w:color w:val="auto"/>
              </w:rPr>
              <w:t>Mr. Reagan</w:t>
            </w:r>
          </w:p>
        </w:tc>
        <w:tc>
          <w:tcPr>
            <w:tcW w:w="510" w:type="dxa"/>
            <w:vAlign w:val="bottom"/>
            <w:shd w:val="clear" w:color="auto" w:fill="ACABA7"/>
          </w:tcPr>
          <w:p>
            <w:pPr>
              <w:jc w:val="center"/>
              <w:spacing w:after="0" w:line="148" w:lineRule="exact"/>
              <w:rPr>
                <w:sz w:val="20"/>
                <w:szCs w:val="20"/>
                <w:color w:val="auto"/>
              </w:rPr>
            </w:pPr>
            <w:r>
              <w:rPr>
                <w:rFonts w:ascii="Arial" w:cs="Arial" w:eastAsia="Arial" w:hAnsi="Arial"/>
                <w:sz w:val="14"/>
                <w:szCs w:val="14"/>
                <w:color w:val="auto"/>
                <w:w w:val="97"/>
              </w:rPr>
              <w:t>Cash</w:t>
            </w:r>
          </w:p>
        </w:tc>
        <w:tc>
          <w:tcPr>
            <w:tcW w:w="800" w:type="dxa"/>
            <w:vAlign w:val="bottom"/>
            <w:shd w:val="clear" w:color="auto" w:fill="ACABA7"/>
          </w:tcPr>
          <w:p>
            <w:pPr>
              <w:jc w:val="center"/>
              <w:spacing w:after="0" w:line="148" w:lineRule="exact"/>
              <w:rPr>
                <w:sz w:val="20"/>
                <w:szCs w:val="20"/>
                <w:color w:val="auto"/>
              </w:rPr>
            </w:pPr>
            <w:r>
              <w:rPr>
                <w:rFonts w:ascii="Arial" w:cs="Arial" w:eastAsia="Arial" w:hAnsi="Arial"/>
                <w:sz w:val="14"/>
                <w:szCs w:val="14"/>
                <w:color w:val="auto"/>
                <w:w w:val="96"/>
              </w:rPr>
              <w:t>2/18/2016</w:t>
            </w:r>
          </w:p>
        </w:tc>
        <w:tc>
          <w:tcPr>
            <w:tcW w:w="700" w:type="dxa"/>
            <w:vAlign w:val="bottom"/>
            <w:shd w:val="clear" w:color="auto" w:fill="ACABA7"/>
          </w:tcPr>
          <w:p>
            <w:pPr>
              <w:jc w:val="right"/>
              <w:ind w:right="32"/>
              <w:spacing w:after="0" w:line="148" w:lineRule="exact"/>
              <w:rPr>
                <w:sz w:val="20"/>
                <w:szCs w:val="20"/>
                <w:color w:val="auto"/>
              </w:rPr>
            </w:pPr>
            <w:r>
              <w:rPr>
                <w:rFonts w:ascii="Arial" w:cs="Arial" w:eastAsia="Arial" w:hAnsi="Arial"/>
                <w:sz w:val="14"/>
                <w:szCs w:val="14"/>
                <w:color w:val="auto"/>
              </w:rPr>
              <w:t>274,590</w:t>
            </w:r>
          </w:p>
        </w:tc>
        <w:tc>
          <w:tcPr>
            <w:tcW w:w="780" w:type="dxa"/>
            <w:vAlign w:val="bottom"/>
            <w:shd w:val="clear" w:color="auto" w:fill="ACABA7"/>
          </w:tcPr>
          <w:p>
            <w:pPr>
              <w:jc w:val="right"/>
              <w:ind w:right="12"/>
              <w:spacing w:after="0" w:line="148" w:lineRule="exact"/>
              <w:rPr>
                <w:sz w:val="20"/>
                <w:szCs w:val="20"/>
                <w:color w:val="auto"/>
              </w:rPr>
            </w:pPr>
            <w:r>
              <w:rPr>
                <w:rFonts w:ascii="Arial" w:cs="Arial" w:eastAsia="Arial" w:hAnsi="Arial"/>
                <w:sz w:val="14"/>
                <w:szCs w:val="14"/>
                <w:color w:val="auto"/>
              </w:rPr>
              <w:t>508,500</w:t>
            </w:r>
          </w:p>
        </w:tc>
        <w:tc>
          <w:tcPr>
            <w:tcW w:w="820" w:type="dxa"/>
            <w:vAlign w:val="bottom"/>
            <w:gridSpan w:val="2"/>
            <w:shd w:val="clear" w:color="auto" w:fill="ACABA7"/>
          </w:tcPr>
          <w:p>
            <w:pPr>
              <w:jc w:val="right"/>
              <w:ind w:right="120"/>
              <w:spacing w:after="0" w:line="148" w:lineRule="exact"/>
              <w:rPr>
                <w:sz w:val="20"/>
                <w:szCs w:val="20"/>
                <w:color w:val="auto"/>
              </w:rPr>
            </w:pPr>
            <w:r>
              <w:rPr>
                <w:rFonts w:ascii="Arial" w:cs="Arial" w:eastAsia="Arial" w:hAnsi="Arial"/>
                <w:sz w:val="14"/>
                <w:szCs w:val="14"/>
                <w:color w:val="auto"/>
              </w:rPr>
              <w:t>800,888</w:t>
            </w:r>
          </w:p>
        </w:tc>
        <w:tc>
          <w:tcPr>
            <w:tcW w:w="660" w:type="dxa"/>
            <w:vAlign w:val="bottom"/>
            <w:shd w:val="clear" w:color="auto" w:fill="ACABA7"/>
          </w:tcPr>
          <w:p>
            <w:pPr>
              <w:jc w:val="right"/>
              <w:spacing w:after="0" w:line="148" w:lineRule="exact"/>
              <w:rPr>
                <w:sz w:val="20"/>
                <w:szCs w:val="20"/>
                <w:color w:val="auto"/>
              </w:rPr>
            </w:pPr>
            <w:r>
              <w:rPr>
                <w:rFonts w:ascii="Arial" w:cs="Arial" w:eastAsia="Arial" w:hAnsi="Arial"/>
                <w:sz w:val="14"/>
                <w:szCs w:val="14"/>
                <w:color w:val="auto"/>
              </w:rPr>
              <w:t>—</w:t>
            </w:r>
          </w:p>
        </w:tc>
        <w:tc>
          <w:tcPr>
            <w:tcW w:w="640" w:type="dxa"/>
            <w:vAlign w:val="bottom"/>
            <w:shd w:val="clear" w:color="auto" w:fill="ACABA7"/>
          </w:tcPr>
          <w:p>
            <w:pPr>
              <w:jc w:val="right"/>
              <w:ind w:right="12"/>
              <w:spacing w:after="0" w:line="148"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ACABA7"/>
          </w:tcPr>
          <w:p>
            <w:pPr>
              <w:jc w:val="right"/>
              <w:ind w:right="80"/>
              <w:spacing w:after="0" w:line="148" w:lineRule="exact"/>
              <w:rPr>
                <w:sz w:val="20"/>
                <w:szCs w:val="20"/>
                <w:color w:val="auto"/>
              </w:rPr>
            </w:pPr>
            <w:r>
              <w:rPr>
                <w:rFonts w:ascii="Arial" w:cs="Arial" w:eastAsia="Arial" w:hAnsi="Arial"/>
                <w:sz w:val="14"/>
                <w:szCs w:val="14"/>
                <w:color w:val="auto"/>
              </w:rPr>
              <w:t>—</w:t>
            </w:r>
          </w:p>
        </w:tc>
        <w:tc>
          <w:tcPr>
            <w:tcW w:w="760" w:type="dxa"/>
            <w:vAlign w:val="bottom"/>
            <w:shd w:val="clear" w:color="auto" w:fill="ACABA7"/>
          </w:tcPr>
          <w:p>
            <w:pPr>
              <w:jc w:val="right"/>
              <w:spacing w:after="0" w:line="148" w:lineRule="exact"/>
              <w:rPr>
                <w:sz w:val="20"/>
                <w:szCs w:val="20"/>
                <w:color w:val="auto"/>
              </w:rPr>
            </w:pPr>
            <w:r>
              <w:rPr>
                <w:rFonts w:ascii="Arial" w:cs="Arial" w:eastAsia="Arial" w:hAnsi="Arial"/>
                <w:sz w:val="14"/>
                <w:szCs w:val="14"/>
                <w:color w:val="auto"/>
              </w:rPr>
              <w:t>—</w:t>
            </w:r>
          </w:p>
        </w:tc>
        <w:tc>
          <w:tcPr>
            <w:tcW w:w="760" w:type="dxa"/>
            <w:vAlign w:val="bottom"/>
            <w:shd w:val="clear" w:color="auto" w:fill="ACABA7"/>
          </w:tcPr>
          <w:p>
            <w:pPr>
              <w:jc w:val="right"/>
              <w:ind w:right="12"/>
              <w:spacing w:after="0" w:line="148" w:lineRule="exact"/>
              <w:rPr>
                <w:sz w:val="20"/>
                <w:szCs w:val="20"/>
                <w:color w:val="auto"/>
              </w:rPr>
            </w:pPr>
            <w:r>
              <w:rPr>
                <w:rFonts w:ascii="Arial" w:cs="Arial" w:eastAsia="Arial" w:hAnsi="Arial"/>
                <w:sz w:val="14"/>
                <w:szCs w:val="14"/>
                <w:color w:val="auto"/>
              </w:rPr>
              <w:t>—</w:t>
            </w:r>
          </w:p>
        </w:tc>
        <w:tc>
          <w:tcPr>
            <w:tcW w:w="680" w:type="dxa"/>
            <w:vAlign w:val="bottom"/>
            <w:shd w:val="clear" w:color="auto" w:fill="ACABA7"/>
          </w:tcPr>
          <w:p>
            <w:pPr>
              <w:jc w:val="right"/>
              <w:spacing w:after="0" w:line="148" w:lineRule="exact"/>
              <w:rPr>
                <w:sz w:val="20"/>
                <w:szCs w:val="20"/>
                <w:color w:val="auto"/>
              </w:rPr>
            </w:pPr>
            <w:r>
              <w:rPr>
                <w:rFonts w:ascii="Arial" w:cs="Arial" w:eastAsia="Arial" w:hAnsi="Arial"/>
                <w:sz w:val="14"/>
                <w:szCs w:val="14"/>
                <w:color w:val="auto"/>
              </w:rPr>
              <w:t>—</w:t>
            </w:r>
          </w:p>
        </w:tc>
        <w:tc>
          <w:tcPr>
            <w:tcW w:w="840" w:type="dxa"/>
            <w:vAlign w:val="bottom"/>
            <w:shd w:val="clear" w:color="auto" w:fill="ACABA7"/>
          </w:tcPr>
          <w:p>
            <w:pPr>
              <w:jc w:val="right"/>
              <w:ind w:right="32"/>
              <w:spacing w:after="0" w:line="14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750" w:type="dxa"/>
            <w:vAlign w:val="bottom"/>
            <w:shd w:val="clear" w:color="auto" w:fill="ACABA7"/>
          </w:tcPr>
          <w:p>
            <w:pPr>
              <w:spacing w:after="0"/>
              <w:rPr>
                <w:sz w:val="12"/>
                <w:szCs w:val="12"/>
                <w:color w:val="auto"/>
              </w:rPr>
            </w:pPr>
          </w:p>
        </w:tc>
        <w:tc>
          <w:tcPr>
            <w:tcW w:w="510" w:type="dxa"/>
            <w:vAlign w:val="bottom"/>
            <w:shd w:val="clear" w:color="auto" w:fill="ACABA7"/>
          </w:tcPr>
          <w:p>
            <w:pPr>
              <w:jc w:val="center"/>
              <w:spacing w:after="0" w:line="149" w:lineRule="exact"/>
              <w:rPr>
                <w:sz w:val="20"/>
                <w:szCs w:val="20"/>
                <w:color w:val="auto"/>
              </w:rPr>
            </w:pPr>
            <w:r>
              <w:rPr>
                <w:rFonts w:ascii="Arial" w:cs="Arial" w:eastAsia="Arial" w:hAnsi="Arial"/>
                <w:sz w:val="14"/>
                <w:szCs w:val="14"/>
                <w:color w:val="auto"/>
                <w:w w:val="95"/>
              </w:rPr>
              <w:t>Options</w:t>
            </w:r>
          </w:p>
        </w:tc>
        <w:tc>
          <w:tcPr>
            <w:tcW w:w="800" w:type="dxa"/>
            <w:vAlign w:val="bottom"/>
            <w:shd w:val="clear" w:color="auto" w:fill="ACABA7"/>
          </w:tcPr>
          <w:p>
            <w:pPr>
              <w:jc w:val="center"/>
              <w:spacing w:after="0" w:line="149" w:lineRule="exact"/>
              <w:rPr>
                <w:sz w:val="20"/>
                <w:szCs w:val="20"/>
                <w:color w:val="auto"/>
              </w:rPr>
            </w:pPr>
            <w:r>
              <w:rPr>
                <w:rFonts w:ascii="Arial" w:cs="Arial" w:eastAsia="Arial" w:hAnsi="Arial"/>
                <w:sz w:val="14"/>
                <w:szCs w:val="14"/>
                <w:color w:val="auto"/>
                <w:w w:val="95"/>
              </w:rPr>
              <w:t>3/4/2016</w:t>
            </w:r>
          </w:p>
        </w:tc>
        <w:tc>
          <w:tcPr>
            <w:tcW w:w="700" w:type="dxa"/>
            <w:vAlign w:val="bottom"/>
            <w:shd w:val="clear" w:color="auto" w:fill="ACABA7"/>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ACABA7"/>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ACABA7"/>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ACABA7"/>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ACABA7"/>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ACABA7"/>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760" w:type="dxa"/>
            <w:vAlign w:val="bottom"/>
            <w:shd w:val="clear" w:color="auto" w:fill="ACABA7"/>
          </w:tcPr>
          <w:p>
            <w:pPr>
              <w:jc w:val="right"/>
              <w:spacing w:after="0" w:line="149" w:lineRule="exact"/>
              <w:rPr>
                <w:sz w:val="20"/>
                <w:szCs w:val="20"/>
                <w:color w:val="auto"/>
              </w:rPr>
            </w:pPr>
            <w:r>
              <w:rPr>
                <w:rFonts w:ascii="Arial" w:cs="Arial" w:eastAsia="Arial" w:hAnsi="Arial"/>
                <w:sz w:val="14"/>
                <w:szCs w:val="14"/>
                <w:color w:val="auto"/>
              </w:rPr>
              <w:t>36,044</w:t>
            </w:r>
          </w:p>
        </w:tc>
        <w:tc>
          <w:tcPr>
            <w:tcW w:w="760" w:type="dxa"/>
            <w:vAlign w:val="bottom"/>
            <w:shd w:val="clear" w:color="auto" w:fill="ACABA7"/>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ACABA7"/>
          </w:tcPr>
          <w:p>
            <w:pPr>
              <w:jc w:val="right"/>
              <w:spacing w:after="0" w:line="149" w:lineRule="exact"/>
              <w:rPr>
                <w:sz w:val="20"/>
                <w:szCs w:val="20"/>
                <w:color w:val="auto"/>
              </w:rPr>
            </w:pPr>
            <w:r>
              <w:rPr>
                <w:rFonts w:ascii="Arial" w:cs="Arial" w:eastAsia="Arial" w:hAnsi="Arial"/>
                <w:sz w:val="14"/>
                <w:szCs w:val="14"/>
                <w:color w:val="auto"/>
              </w:rPr>
              <w:t>33.82</w:t>
            </w:r>
          </w:p>
        </w:tc>
        <w:tc>
          <w:tcPr>
            <w:tcW w:w="840" w:type="dxa"/>
            <w:vAlign w:val="bottom"/>
            <w:shd w:val="clear" w:color="auto" w:fill="ACABA7"/>
          </w:tcPr>
          <w:p>
            <w:pPr>
              <w:jc w:val="right"/>
              <w:ind w:right="32"/>
              <w:spacing w:after="0" w:line="149" w:lineRule="exact"/>
              <w:rPr>
                <w:sz w:val="20"/>
                <w:szCs w:val="20"/>
                <w:color w:val="auto"/>
              </w:rPr>
            </w:pPr>
            <w:r>
              <w:rPr>
                <w:rFonts w:ascii="Arial" w:cs="Arial" w:eastAsia="Arial" w:hAnsi="Arial"/>
                <w:sz w:val="14"/>
                <w:szCs w:val="14"/>
                <w:color w:val="auto"/>
              </w:rPr>
              <w:t>254,121</w:t>
            </w:r>
          </w:p>
        </w:tc>
        <w:tc>
          <w:tcPr>
            <w:tcW w:w="0" w:type="dxa"/>
            <w:vAlign w:val="bottom"/>
          </w:tcPr>
          <w:p>
            <w:pPr>
              <w:spacing w:after="0"/>
              <w:rPr>
                <w:sz w:val="1"/>
                <w:szCs w:val="1"/>
                <w:color w:val="auto"/>
              </w:rPr>
            </w:pPr>
          </w:p>
        </w:tc>
      </w:tr>
      <w:tr>
        <w:trPr>
          <w:trHeight w:val="149"/>
        </w:trPr>
        <w:tc>
          <w:tcPr>
            <w:tcW w:w="2750" w:type="dxa"/>
            <w:vAlign w:val="bottom"/>
            <w:shd w:val="clear" w:color="auto" w:fill="ACABA7"/>
          </w:tcPr>
          <w:p>
            <w:pPr>
              <w:spacing w:after="0"/>
              <w:rPr>
                <w:sz w:val="12"/>
                <w:szCs w:val="12"/>
                <w:color w:val="auto"/>
              </w:rPr>
            </w:pPr>
          </w:p>
        </w:tc>
        <w:tc>
          <w:tcPr>
            <w:tcW w:w="510" w:type="dxa"/>
            <w:vAlign w:val="bottom"/>
            <w:shd w:val="clear" w:color="auto" w:fill="ACABA7"/>
          </w:tcPr>
          <w:p>
            <w:pPr>
              <w:jc w:val="center"/>
              <w:spacing w:after="0" w:line="149" w:lineRule="exact"/>
              <w:rPr>
                <w:sz w:val="20"/>
                <w:szCs w:val="20"/>
                <w:color w:val="auto"/>
              </w:rPr>
            </w:pPr>
            <w:r>
              <w:rPr>
                <w:rFonts w:ascii="Arial" w:cs="Arial" w:eastAsia="Arial" w:hAnsi="Arial"/>
                <w:sz w:val="14"/>
                <w:szCs w:val="14"/>
                <w:color w:val="auto"/>
                <w:w w:val="97"/>
              </w:rPr>
              <w:t>PRSU</w:t>
            </w:r>
          </w:p>
        </w:tc>
        <w:tc>
          <w:tcPr>
            <w:tcW w:w="800" w:type="dxa"/>
            <w:vAlign w:val="bottom"/>
            <w:shd w:val="clear" w:color="auto" w:fill="ACABA7"/>
          </w:tcPr>
          <w:p>
            <w:pPr>
              <w:jc w:val="center"/>
              <w:spacing w:after="0" w:line="149" w:lineRule="exact"/>
              <w:rPr>
                <w:sz w:val="20"/>
                <w:szCs w:val="20"/>
                <w:color w:val="auto"/>
              </w:rPr>
            </w:pPr>
            <w:r>
              <w:rPr>
                <w:rFonts w:ascii="Arial" w:cs="Arial" w:eastAsia="Arial" w:hAnsi="Arial"/>
                <w:sz w:val="14"/>
                <w:szCs w:val="14"/>
                <w:color w:val="auto"/>
                <w:w w:val="95"/>
              </w:rPr>
              <w:t>3/4/2016</w:t>
            </w:r>
          </w:p>
        </w:tc>
        <w:tc>
          <w:tcPr>
            <w:tcW w:w="700" w:type="dxa"/>
            <w:vAlign w:val="bottom"/>
            <w:shd w:val="clear" w:color="auto" w:fill="ACABA7"/>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ACABA7"/>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ACABA7"/>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ACABA7"/>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ACABA7"/>
          </w:tcPr>
          <w:p>
            <w:pPr>
              <w:jc w:val="right"/>
              <w:ind w:right="12"/>
              <w:spacing w:after="0" w:line="149" w:lineRule="exact"/>
              <w:rPr>
                <w:sz w:val="20"/>
                <w:szCs w:val="20"/>
                <w:color w:val="auto"/>
              </w:rPr>
            </w:pPr>
            <w:r>
              <w:rPr>
                <w:rFonts w:ascii="Arial" w:cs="Arial" w:eastAsia="Arial" w:hAnsi="Arial"/>
                <w:sz w:val="14"/>
                <w:szCs w:val="14"/>
                <w:color w:val="auto"/>
              </w:rPr>
              <w:t>7,868</w:t>
            </w:r>
          </w:p>
        </w:tc>
        <w:tc>
          <w:tcPr>
            <w:tcW w:w="720" w:type="dxa"/>
            <w:vAlign w:val="bottom"/>
            <w:gridSpan w:val="2"/>
            <w:shd w:val="clear" w:color="auto" w:fill="ACABA7"/>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760" w:type="dxa"/>
            <w:vAlign w:val="bottom"/>
            <w:shd w:val="clear" w:color="auto" w:fill="ACABA7"/>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shd w:val="clear" w:color="auto" w:fill="ACABA7"/>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ACABA7"/>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shd w:val="clear" w:color="auto" w:fill="ACABA7"/>
          </w:tcPr>
          <w:p>
            <w:pPr>
              <w:jc w:val="right"/>
              <w:ind w:right="32"/>
              <w:spacing w:after="0" w:line="149" w:lineRule="exact"/>
              <w:rPr>
                <w:sz w:val="20"/>
                <w:szCs w:val="20"/>
                <w:color w:val="auto"/>
              </w:rPr>
            </w:pPr>
            <w:r>
              <w:rPr>
                <w:rFonts w:ascii="Arial" w:cs="Arial" w:eastAsia="Arial" w:hAnsi="Arial"/>
                <w:sz w:val="14"/>
                <w:szCs w:val="14"/>
                <w:color w:val="auto"/>
              </w:rPr>
              <w:t>360,040</w:t>
            </w:r>
          </w:p>
        </w:tc>
        <w:tc>
          <w:tcPr>
            <w:tcW w:w="0" w:type="dxa"/>
            <w:vAlign w:val="bottom"/>
          </w:tcPr>
          <w:p>
            <w:pPr>
              <w:spacing w:after="0"/>
              <w:rPr>
                <w:sz w:val="1"/>
                <w:szCs w:val="1"/>
                <w:color w:val="auto"/>
              </w:rPr>
            </w:pPr>
          </w:p>
        </w:tc>
      </w:tr>
      <w:tr>
        <w:trPr>
          <w:trHeight w:val="149"/>
        </w:trPr>
        <w:tc>
          <w:tcPr>
            <w:tcW w:w="2750" w:type="dxa"/>
            <w:vAlign w:val="bottom"/>
            <w:shd w:val="clear" w:color="auto" w:fill="ACABA7"/>
          </w:tcPr>
          <w:p>
            <w:pPr>
              <w:spacing w:after="0"/>
              <w:rPr>
                <w:sz w:val="12"/>
                <w:szCs w:val="12"/>
                <w:color w:val="auto"/>
              </w:rPr>
            </w:pPr>
          </w:p>
        </w:tc>
        <w:tc>
          <w:tcPr>
            <w:tcW w:w="510" w:type="dxa"/>
            <w:vAlign w:val="bottom"/>
            <w:shd w:val="clear" w:color="auto" w:fill="ACABA7"/>
          </w:tcPr>
          <w:p>
            <w:pPr>
              <w:jc w:val="center"/>
              <w:spacing w:after="0" w:line="149" w:lineRule="exact"/>
              <w:rPr>
                <w:sz w:val="20"/>
                <w:szCs w:val="20"/>
                <w:color w:val="auto"/>
              </w:rPr>
            </w:pPr>
            <w:r>
              <w:rPr>
                <w:rFonts w:ascii="Arial" w:cs="Arial" w:eastAsia="Arial" w:hAnsi="Arial"/>
                <w:sz w:val="14"/>
                <w:szCs w:val="14"/>
                <w:color w:val="auto"/>
                <w:w w:val="92"/>
              </w:rPr>
              <w:t>PSA</w:t>
            </w:r>
          </w:p>
        </w:tc>
        <w:tc>
          <w:tcPr>
            <w:tcW w:w="800" w:type="dxa"/>
            <w:vAlign w:val="bottom"/>
            <w:shd w:val="clear" w:color="auto" w:fill="ACABA7"/>
          </w:tcPr>
          <w:p>
            <w:pPr>
              <w:jc w:val="center"/>
              <w:spacing w:after="0" w:line="149" w:lineRule="exact"/>
              <w:rPr>
                <w:sz w:val="20"/>
                <w:szCs w:val="20"/>
                <w:color w:val="auto"/>
              </w:rPr>
            </w:pPr>
            <w:r>
              <w:rPr>
                <w:rFonts w:ascii="Arial" w:cs="Arial" w:eastAsia="Arial" w:hAnsi="Arial"/>
                <w:sz w:val="14"/>
                <w:szCs w:val="14"/>
                <w:color w:val="auto"/>
                <w:w w:val="95"/>
              </w:rPr>
              <w:t>3/4/2016</w:t>
            </w:r>
          </w:p>
        </w:tc>
        <w:tc>
          <w:tcPr>
            <w:tcW w:w="700" w:type="dxa"/>
            <w:vAlign w:val="bottom"/>
            <w:shd w:val="clear" w:color="auto" w:fill="ACABA7"/>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ACABA7"/>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ACABA7"/>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ACABA7"/>
          </w:tcPr>
          <w:p>
            <w:pPr>
              <w:jc w:val="right"/>
              <w:spacing w:after="0" w:line="149" w:lineRule="exact"/>
              <w:rPr>
                <w:sz w:val="20"/>
                <w:szCs w:val="20"/>
                <w:color w:val="auto"/>
              </w:rPr>
            </w:pPr>
            <w:r>
              <w:rPr>
                <w:rFonts w:ascii="Arial" w:cs="Arial" w:eastAsia="Arial" w:hAnsi="Arial"/>
                <w:sz w:val="14"/>
                <w:szCs w:val="14"/>
                <w:color w:val="auto"/>
              </w:rPr>
              <w:t>6,556</w:t>
            </w:r>
          </w:p>
        </w:tc>
        <w:tc>
          <w:tcPr>
            <w:tcW w:w="640" w:type="dxa"/>
            <w:vAlign w:val="bottom"/>
            <w:shd w:val="clear" w:color="auto" w:fill="ACABA7"/>
          </w:tcPr>
          <w:p>
            <w:pPr>
              <w:jc w:val="right"/>
              <w:ind w:right="12"/>
              <w:spacing w:after="0" w:line="149" w:lineRule="exact"/>
              <w:rPr>
                <w:sz w:val="20"/>
                <w:szCs w:val="20"/>
                <w:color w:val="auto"/>
              </w:rPr>
            </w:pPr>
            <w:r>
              <w:rPr>
                <w:rFonts w:ascii="Arial" w:cs="Arial" w:eastAsia="Arial" w:hAnsi="Arial"/>
                <w:sz w:val="14"/>
                <w:szCs w:val="14"/>
                <w:color w:val="auto"/>
              </w:rPr>
              <w:t>13,112</w:t>
            </w:r>
          </w:p>
        </w:tc>
        <w:tc>
          <w:tcPr>
            <w:tcW w:w="640" w:type="dxa"/>
            <w:vAlign w:val="bottom"/>
            <w:shd w:val="clear" w:color="auto" w:fill="ACABA7"/>
          </w:tcPr>
          <w:p>
            <w:pPr>
              <w:jc w:val="right"/>
              <w:spacing w:after="0" w:line="149" w:lineRule="exact"/>
              <w:rPr>
                <w:sz w:val="20"/>
                <w:szCs w:val="20"/>
                <w:color w:val="auto"/>
              </w:rPr>
            </w:pPr>
            <w:r>
              <w:rPr>
                <w:rFonts w:ascii="Arial" w:cs="Arial" w:eastAsia="Arial" w:hAnsi="Arial"/>
                <w:sz w:val="14"/>
                <w:szCs w:val="14"/>
                <w:color w:val="auto"/>
              </w:rPr>
              <w:t>19,668</w:t>
            </w:r>
          </w:p>
        </w:tc>
        <w:tc>
          <w:tcPr>
            <w:tcW w:w="80" w:type="dxa"/>
            <w:vAlign w:val="bottom"/>
            <w:shd w:val="clear" w:color="auto" w:fill="ACABA7"/>
          </w:tcPr>
          <w:p>
            <w:pPr>
              <w:spacing w:after="0"/>
              <w:rPr>
                <w:sz w:val="12"/>
                <w:szCs w:val="12"/>
                <w:color w:val="auto"/>
              </w:rPr>
            </w:pPr>
          </w:p>
        </w:tc>
        <w:tc>
          <w:tcPr>
            <w:tcW w:w="760" w:type="dxa"/>
            <w:vAlign w:val="bottom"/>
            <w:shd w:val="clear" w:color="auto" w:fill="ACABA7"/>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shd w:val="clear" w:color="auto" w:fill="ACABA7"/>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ACABA7"/>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shd w:val="clear" w:color="auto" w:fill="ACABA7"/>
          </w:tcPr>
          <w:p>
            <w:pPr>
              <w:jc w:val="right"/>
              <w:ind w:right="32"/>
              <w:spacing w:after="0" w:line="149" w:lineRule="exact"/>
              <w:rPr>
                <w:sz w:val="20"/>
                <w:szCs w:val="20"/>
                <w:color w:val="auto"/>
              </w:rPr>
            </w:pPr>
            <w:r>
              <w:rPr>
                <w:rFonts w:ascii="Arial" w:cs="Arial" w:eastAsia="Arial" w:hAnsi="Arial"/>
                <w:sz w:val="14"/>
                <w:szCs w:val="14"/>
                <w:color w:val="auto"/>
              </w:rPr>
              <w:t>600,056</w:t>
            </w:r>
          </w:p>
        </w:tc>
        <w:tc>
          <w:tcPr>
            <w:tcW w:w="0" w:type="dxa"/>
            <w:vAlign w:val="bottom"/>
          </w:tcPr>
          <w:p>
            <w:pPr>
              <w:spacing w:after="0"/>
              <w:rPr>
                <w:sz w:val="1"/>
                <w:szCs w:val="1"/>
                <w:color w:val="auto"/>
              </w:rPr>
            </w:pPr>
          </w:p>
        </w:tc>
      </w:tr>
      <w:tr>
        <w:trPr>
          <w:trHeight w:val="148"/>
        </w:trPr>
        <w:tc>
          <w:tcPr>
            <w:tcW w:w="2750" w:type="dxa"/>
            <w:vAlign w:val="bottom"/>
          </w:tcPr>
          <w:p>
            <w:pPr>
              <w:ind w:left="80"/>
              <w:spacing w:after="0" w:line="148" w:lineRule="exact"/>
              <w:rPr>
                <w:sz w:val="20"/>
                <w:szCs w:val="20"/>
                <w:color w:val="auto"/>
              </w:rPr>
            </w:pPr>
            <w:r>
              <w:rPr>
                <w:rFonts w:ascii="Arial" w:cs="Arial" w:eastAsia="Arial" w:hAnsi="Arial"/>
                <w:sz w:val="14"/>
                <w:szCs w:val="14"/>
                <w:color w:val="auto"/>
              </w:rPr>
              <w:t>Mr. Reardon</w:t>
            </w:r>
          </w:p>
        </w:tc>
        <w:tc>
          <w:tcPr>
            <w:tcW w:w="510" w:type="dxa"/>
            <w:vAlign w:val="bottom"/>
          </w:tcPr>
          <w:p>
            <w:pPr>
              <w:jc w:val="center"/>
              <w:spacing w:after="0" w:line="148" w:lineRule="exact"/>
              <w:rPr>
                <w:sz w:val="20"/>
                <w:szCs w:val="20"/>
                <w:color w:val="auto"/>
              </w:rPr>
            </w:pPr>
            <w:r>
              <w:rPr>
                <w:rFonts w:ascii="Arial" w:cs="Arial" w:eastAsia="Arial" w:hAnsi="Arial"/>
                <w:sz w:val="14"/>
                <w:szCs w:val="14"/>
                <w:color w:val="auto"/>
                <w:w w:val="97"/>
              </w:rPr>
              <w:t>Cash</w:t>
            </w:r>
          </w:p>
        </w:tc>
        <w:tc>
          <w:tcPr>
            <w:tcW w:w="800" w:type="dxa"/>
            <w:vAlign w:val="bottom"/>
          </w:tcPr>
          <w:p>
            <w:pPr>
              <w:jc w:val="center"/>
              <w:spacing w:after="0" w:line="148" w:lineRule="exact"/>
              <w:rPr>
                <w:sz w:val="20"/>
                <w:szCs w:val="20"/>
                <w:color w:val="auto"/>
              </w:rPr>
            </w:pPr>
            <w:r>
              <w:rPr>
                <w:rFonts w:ascii="Arial" w:cs="Arial" w:eastAsia="Arial" w:hAnsi="Arial"/>
                <w:sz w:val="14"/>
                <w:szCs w:val="14"/>
                <w:color w:val="auto"/>
                <w:w w:val="96"/>
              </w:rPr>
              <w:t>8/16/2016</w:t>
            </w:r>
          </w:p>
        </w:tc>
        <w:tc>
          <w:tcPr>
            <w:tcW w:w="700" w:type="dxa"/>
            <w:vAlign w:val="bottom"/>
          </w:tcPr>
          <w:p>
            <w:pPr>
              <w:jc w:val="right"/>
              <w:ind w:right="32"/>
              <w:spacing w:after="0" w:line="148" w:lineRule="exact"/>
              <w:rPr>
                <w:sz w:val="20"/>
                <w:szCs w:val="20"/>
                <w:color w:val="auto"/>
              </w:rPr>
            </w:pPr>
            <w:r>
              <w:rPr>
                <w:rFonts w:ascii="Arial" w:cs="Arial" w:eastAsia="Arial" w:hAnsi="Arial"/>
                <w:sz w:val="14"/>
                <w:szCs w:val="14"/>
                <w:color w:val="auto"/>
              </w:rPr>
              <w:t>164,500</w:t>
            </w:r>
          </w:p>
        </w:tc>
        <w:tc>
          <w:tcPr>
            <w:tcW w:w="780" w:type="dxa"/>
            <w:vAlign w:val="bottom"/>
          </w:tcPr>
          <w:p>
            <w:pPr>
              <w:jc w:val="right"/>
              <w:ind w:right="12"/>
              <w:spacing w:after="0" w:line="148" w:lineRule="exact"/>
              <w:rPr>
                <w:sz w:val="20"/>
                <w:szCs w:val="20"/>
                <w:color w:val="auto"/>
              </w:rPr>
            </w:pPr>
            <w:r>
              <w:rPr>
                <w:rFonts w:ascii="Arial" w:cs="Arial" w:eastAsia="Arial" w:hAnsi="Arial"/>
                <w:sz w:val="14"/>
                <w:szCs w:val="14"/>
                <w:color w:val="auto"/>
              </w:rPr>
              <w:t>329,000</w:t>
            </w:r>
          </w:p>
        </w:tc>
        <w:tc>
          <w:tcPr>
            <w:tcW w:w="820" w:type="dxa"/>
            <w:vAlign w:val="bottom"/>
            <w:gridSpan w:val="2"/>
          </w:tcPr>
          <w:p>
            <w:pPr>
              <w:jc w:val="right"/>
              <w:ind w:right="120"/>
              <w:spacing w:after="0" w:line="148" w:lineRule="exact"/>
              <w:rPr>
                <w:sz w:val="20"/>
                <w:szCs w:val="20"/>
                <w:color w:val="auto"/>
              </w:rPr>
            </w:pPr>
            <w:r>
              <w:rPr>
                <w:rFonts w:ascii="Arial" w:cs="Arial" w:eastAsia="Arial" w:hAnsi="Arial"/>
                <w:sz w:val="14"/>
                <w:szCs w:val="14"/>
                <w:color w:val="auto"/>
              </w:rPr>
              <w:t>658,000</w:t>
            </w:r>
          </w:p>
        </w:tc>
        <w:tc>
          <w:tcPr>
            <w:tcW w:w="660" w:type="dxa"/>
            <w:vAlign w:val="bottom"/>
          </w:tcPr>
          <w:p>
            <w:pPr>
              <w:jc w:val="right"/>
              <w:spacing w:after="0" w:line="148" w:lineRule="exact"/>
              <w:rPr>
                <w:sz w:val="20"/>
                <w:szCs w:val="20"/>
                <w:color w:val="auto"/>
              </w:rPr>
            </w:pPr>
            <w:r>
              <w:rPr>
                <w:rFonts w:ascii="Arial" w:cs="Arial" w:eastAsia="Arial" w:hAnsi="Arial"/>
                <w:sz w:val="14"/>
                <w:szCs w:val="14"/>
                <w:color w:val="auto"/>
              </w:rPr>
              <w:t>—</w:t>
            </w:r>
          </w:p>
        </w:tc>
        <w:tc>
          <w:tcPr>
            <w:tcW w:w="640" w:type="dxa"/>
            <w:vAlign w:val="bottom"/>
          </w:tcPr>
          <w:p>
            <w:pPr>
              <w:jc w:val="right"/>
              <w:ind w:right="12"/>
              <w:spacing w:after="0" w:line="148"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80"/>
              <w:spacing w:after="0" w:line="148" w:lineRule="exact"/>
              <w:rPr>
                <w:sz w:val="20"/>
                <w:szCs w:val="20"/>
                <w:color w:val="auto"/>
              </w:rPr>
            </w:pPr>
            <w:r>
              <w:rPr>
                <w:rFonts w:ascii="Arial" w:cs="Arial" w:eastAsia="Arial" w:hAnsi="Arial"/>
                <w:sz w:val="14"/>
                <w:szCs w:val="14"/>
                <w:color w:val="auto"/>
              </w:rPr>
              <w:t>—</w:t>
            </w:r>
          </w:p>
        </w:tc>
        <w:tc>
          <w:tcPr>
            <w:tcW w:w="760" w:type="dxa"/>
            <w:vAlign w:val="bottom"/>
          </w:tcPr>
          <w:p>
            <w:pPr>
              <w:jc w:val="right"/>
              <w:spacing w:after="0" w:line="148" w:lineRule="exact"/>
              <w:rPr>
                <w:sz w:val="20"/>
                <w:szCs w:val="20"/>
                <w:color w:val="auto"/>
              </w:rPr>
            </w:pPr>
            <w:r>
              <w:rPr>
                <w:rFonts w:ascii="Arial" w:cs="Arial" w:eastAsia="Arial" w:hAnsi="Arial"/>
                <w:sz w:val="14"/>
                <w:szCs w:val="14"/>
                <w:color w:val="auto"/>
              </w:rPr>
              <w:t>—</w:t>
            </w:r>
          </w:p>
        </w:tc>
        <w:tc>
          <w:tcPr>
            <w:tcW w:w="760" w:type="dxa"/>
            <w:vAlign w:val="bottom"/>
          </w:tcPr>
          <w:p>
            <w:pPr>
              <w:jc w:val="right"/>
              <w:ind w:right="12"/>
              <w:spacing w:after="0" w:line="148"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8" w:lineRule="exact"/>
              <w:rPr>
                <w:sz w:val="20"/>
                <w:szCs w:val="20"/>
                <w:color w:val="auto"/>
              </w:rPr>
            </w:pPr>
            <w:r>
              <w:rPr>
                <w:rFonts w:ascii="Arial" w:cs="Arial" w:eastAsia="Arial" w:hAnsi="Arial"/>
                <w:sz w:val="14"/>
                <w:szCs w:val="14"/>
                <w:color w:val="auto"/>
              </w:rPr>
              <w:t>—</w:t>
            </w:r>
          </w:p>
        </w:tc>
        <w:tc>
          <w:tcPr>
            <w:tcW w:w="840" w:type="dxa"/>
            <w:vAlign w:val="bottom"/>
          </w:tcPr>
          <w:p>
            <w:pPr>
              <w:jc w:val="right"/>
              <w:ind w:right="32"/>
              <w:spacing w:after="0" w:line="14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750" w:type="dxa"/>
            <w:vAlign w:val="bottom"/>
          </w:tcPr>
          <w:p>
            <w:pPr>
              <w:spacing w:after="0"/>
              <w:rPr>
                <w:sz w:val="12"/>
                <w:szCs w:val="12"/>
                <w:color w:val="auto"/>
              </w:rPr>
            </w:pPr>
          </w:p>
        </w:tc>
        <w:tc>
          <w:tcPr>
            <w:tcW w:w="510" w:type="dxa"/>
            <w:vAlign w:val="bottom"/>
          </w:tcPr>
          <w:p>
            <w:pPr>
              <w:jc w:val="center"/>
              <w:spacing w:after="0" w:line="149" w:lineRule="exact"/>
              <w:rPr>
                <w:sz w:val="20"/>
                <w:szCs w:val="20"/>
                <w:color w:val="auto"/>
              </w:rPr>
            </w:pPr>
            <w:r>
              <w:rPr>
                <w:rFonts w:ascii="Arial" w:cs="Arial" w:eastAsia="Arial" w:hAnsi="Arial"/>
                <w:sz w:val="14"/>
                <w:szCs w:val="14"/>
                <w:color w:val="auto"/>
                <w:w w:val="95"/>
              </w:rPr>
              <w:t>Options</w:t>
            </w:r>
          </w:p>
        </w:tc>
        <w:tc>
          <w:tcPr>
            <w:tcW w:w="800" w:type="dxa"/>
            <w:vAlign w:val="bottom"/>
          </w:tcPr>
          <w:p>
            <w:pPr>
              <w:jc w:val="center"/>
              <w:spacing w:after="0" w:line="149" w:lineRule="exact"/>
              <w:rPr>
                <w:sz w:val="20"/>
                <w:szCs w:val="20"/>
                <w:color w:val="auto"/>
              </w:rPr>
            </w:pPr>
            <w:r>
              <w:rPr>
                <w:rFonts w:ascii="Arial" w:cs="Arial" w:eastAsia="Arial" w:hAnsi="Arial"/>
                <w:sz w:val="14"/>
                <w:szCs w:val="14"/>
                <w:color w:val="auto"/>
                <w:w w:val="96"/>
              </w:rPr>
              <w:t>8/26/2016</w:t>
            </w:r>
          </w:p>
        </w:tc>
        <w:tc>
          <w:tcPr>
            <w:tcW w:w="7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23,785</w:t>
            </w:r>
          </w:p>
        </w:tc>
        <w:tc>
          <w:tcPr>
            <w:tcW w:w="76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39.70</w:t>
            </w:r>
          </w:p>
        </w:tc>
        <w:tc>
          <w:tcPr>
            <w:tcW w:w="8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251,645</w:t>
            </w:r>
          </w:p>
        </w:tc>
        <w:tc>
          <w:tcPr>
            <w:tcW w:w="0" w:type="dxa"/>
            <w:vAlign w:val="bottom"/>
          </w:tcPr>
          <w:p>
            <w:pPr>
              <w:spacing w:after="0"/>
              <w:rPr>
                <w:sz w:val="1"/>
                <w:szCs w:val="1"/>
                <w:color w:val="auto"/>
              </w:rPr>
            </w:pPr>
          </w:p>
        </w:tc>
      </w:tr>
      <w:tr>
        <w:trPr>
          <w:trHeight w:val="149"/>
        </w:trPr>
        <w:tc>
          <w:tcPr>
            <w:tcW w:w="2750" w:type="dxa"/>
            <w:vAlign w:val="bottom"/>
          </w:tcPr>
          <w:p>
            <w:pPr>
              <w:spacing w:after="0"/>
              <w:rPr>
                <w:sz w:val="12"/>
                <w:szCs w:val="12"/>
                <w:color w:val="auto"/>
              </w:rPr>
            </w:pPr>
          </w:p>
        </w:tc>
        <w:tc>
          <w:tcPr>
            <w:tcW w:w="510" w:type="dxa"/>
            <w:vAlign w:val="bottom"/>
          </w:tcPr>
          <w:p>
            <w:pPr>
              <w:jc w:val="center"/>
              <w:spacing w:after="0" w:line="149" w:lineRule="exact"/>
              <w:rPr>
                <w:sz w:val="20"/>
                <w:szCs w:val="20"/>
                <w:color w:val="auto"/>
              </w:rPr>
            </w:pPr>
            <w:r>
              <w:rPr>
                <w:rFonts w:ascii="Arial" w:cs="Arial" w:eastAsia="Arial" w:hAnsi="Arial"/>
                <w:sz w:val="14"/>
                <w:szCs w:val="14"/>
                <w:color w:val="auto"/>
                <w:w w:val="94"/>
              </w:rPr>
              <w:t>RSU</w:t>
            </w:r>
          </w:p>
        </w:tc>
        <w:tc>
          <w:tcPr>
            <w:tcW w:w="800" w:type="dxa"/>
            <w:vAlign w:val="bottom"/>
          </w:tcPr>
          <w:p>
            <w:pPr>
              <w:jc w:val="center"/>
              <w:spacing w:after="0" w:line="149" w:lineRule="exact"/>
              <w:rPr>
                <w:sz w:val="20"/>
                <w:szCs w:val="20"/>
                <w:color w:val="auto"/>
              </w:rPr>
            </w:pPr>
            <w:r>
              <w:rPr>
                <w:rFonts w:ascii="Arial" w:cs="Arial" w:eastAsia="Arial" w:hAnsi="Arial"/>
                <w:sz w:val="14"/>
                <w:szCs w:val="14"/>
                <w:color w:val="auto"/>
                <w:w w:val="96"/>
              </w:rPr>
              <w:t>8/16/2016</w:t>
            </w:r>
          </w:p>
        </w:tc>
        <w:tc>
          <w:tcPr>
            <w:tcW w:w="7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tcPr>
          <w:p>
            <w:pPr>
              <w:jc w:val="right"/>
              <w:ind w:right="12"/>
              <w:spacing w:after="0" w:line="149" w:lineRule="exact"/>
              <w:rPr>
                <w:sz w:val="20"/>
                <w:szCs w:val="20"/>
                <w:color w:val="auto"/>
              </w:rPr>
            </w:pPr>
            <w:r>
              <w:rPr>
                <w:rFonts w:ascii="Arial" w:cs="Arial" w:eastAsia="Arial" w:hAnsi="Arial"/>
                <w:sz w:val="14"/>
                <w:szCs w:val="14"/>
                <w:color w:val="auto"/>
              </w:rPr>
              <w:t>33,808</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1,054,618</w:t>
            </w:r>
          </w:p>
        </w:tc>
        <w:tc>
          <w:tcPr>
            <w:tcW w:w="0" w:type="dxa"/>
            <w:vAlign w:val="bottom"/>
          </w:tcPr>
          <w:p>
            <w:pPr>
              <w:spacing w:after="0"/>
              <w:rPr>
                <w:sz w:val="1"/>
                <w:szCs w:val="1"/>
                <w:color w:val="auto"/>
              </w:rPr>
            </w:pPr>
          </w:p>
        </w:tc>
      </w:tr>
      <w:tr>
        <w:trPr>
          <w:trHeight w:val="149"/>
        </w:trPr>
        <w:tc>
          <w:tcPr>
            <w:tcW w:w="2750" w:type="dxa"/>
            <w:vAlign w:val="bottom"/>
          </w:tcPr>
          <w:p>
            <w:pPr>
              <w:spacing w:after="0"/>
              <w:rPr>
                <w:sz w:val="12"/>
                <w:szCs w:val="12"/>
                <w:color w:val="auto"/>
              </w:rPr>
            </w:pPr>
          </w:p>
        </w:tc>
        <w:tc>
          <w:tcPr>
            <w:tcW w:w="510" w:type="dxa"/>
            <w:vAlign w:val="bottom"/>
          </w:tcPr>
          <w:p>
            <w:pPr>
              <w:jc w:val="center"/>
              <w:spacing w:after="0" w:line="149" w:lineRule="exact"/>
              <w:rPr>
                <w:sz w:val="20"/>
                <w:szCs w:val="20"/>
                <w:color w:val="auto"/>
              </w:rPr>
            </w:pPr>
            <w:r>
              <w:rPr>
                <w:rFonts w:ascii="Arial" w:cs="Arial" w:eastAsia="Arial" w:hAnsi="Arial"/>
                <w:sz w:val="14"/>
                <w:szCs w:val="14"/>
                <w:color w:val="auto"/>
                <w:w w:val="94"/>
              </w:rPr>
              <w:t>RSU</w:t>
            </w:r>
          </w:p>
        </w:tc>
        <w:tc>
          <w:tcPr>
            <w:tcW w:w="800" w:type="dxa"/>
            <w:vAlign w:val="bottom"/>
          </w:tcPr>
          <w:p>
            <w:pPr>
              <w:jc w:val="center"/>
              <w:spacing w:after="0" w:line="149" w:lineRule="exact"/>
              <w:rPr>
                <w:sz w:val="20"/>
                <w:szCs w:val="20"/>
                <w:color w:val="auto"/>
              </w:rPr>
            </w:pPr>
            <w:r>
              <w:rPr>
                <w:rFonts w:ascii="Arial" w:cs="Arial" w:eastAsia="Arial" w:hAnsi="Arial"/>
                <w:sz w:val="14"/>
                <w:szCs w:val="14"/>
                <w:color w:val="auto"/>
                <w:w w:val="96"/>
              </w:rPr>
              <w:t>8/26/2016</w:t>
            </w:r>
          </w:p>
        </w:tc>
        <w:tc>
          <w:tcPr>
            <w:tcW w:w="7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tcPr>
          <w:p>
            <w:pPr>
              <w:jc w:val="right"/>
              <w:ind w:right="12"/>
              <w:spacing w:after="0" w:line="149" w:lineRule="exact"/>
              <w:rPr>
                <w:sz w:val="20"/>
                <w:szCs w:val="20"/>
                <w:color w:val="auto"/>
              </w:rPr>
            </w:pPr>
            <w:r>
              <w:rPr>
                <w:rFonts w:ascii="Arial" w:cs="Arial" w:eastAsia="Arial" w:hAnsi="Arial"/>
                <w:sz w:val="14"/>
                <w:szCs w:val="14"/>
                <w:color w:val="auto"/>
              </w:rPr>
              <w:t>6,298</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250,031</w:t>
            </w:r>
          </w:p>
        </w:tc>
        <w:tc>
          <w:tcPr>
            <w:tcW w:w="0" w:type="dxa"/>
            <w:vAlign w:val="bottom"/>
          </w:tcPr>
          <w:p>
            <w:pPr>
              <w:spacing w:after="0"/>
              <w:rPr>
                <w:sz w:val="1"/>
                <w:szCs w:val="1"/>
                <w:color w:val="auto"/>
              </w:rPr>
            </w:pPr>
          </w:p>
        </w:tc>
      </w:tr>
      <w:tr>
        <w:trPr>
          <w:trHeight w:val="148"/>
        </w:trPr>
        <w:tc>
          <w:tcPr>
            <w:tcW w:w="2750" w:type="dxa"/>
            <w:vAlign w:val="bottom"/>
            <w:shd w:val="clear" w:color="auto" w:fill="ACABA7"/>
          </w:tcPr>
          <w:p>
            <w:pPr>
              <w:ind w:left="80"/>
              <w:spacing w:after="0" w:line="148" w:lineRule="exact"/>
              <w:rPr>
                <w:sz w:val="20"/>
                <w:szCs w:val="20"/>
                <w:color w:val="auto"/>
              </w:rPr>
            </w:pPr>
            <w:r>
              <w:rPr>
                <w:rFonts w:ascii="Arial" w:cs="Arial" w:eastAsia="Arial" w:hAnsi="Arial"/>
                <w:sz w:val="14"/>
                <w:szCs w:val="14"/>
                <w:color w:val="auto"/>
              </w:rPr>
              <w:t>Mr. Maffeo</w:t>
            </w:r>
          </w:p>
        </w:tc>
        <w:tc>
          <w:tcPr>
            <w:tcW w:w="510" w:type="dxa"/>
            <w:vAlign w:val="bottom"/>
            <w:shd w:val="clear" w:color="auto" w:fill="ACABA7"/>
          </w:tcPr>
          <w:p>
            <w:pPr>
              <w:jc w:val="center"/>
              <w:spacing w:after="0" w:line="148" w:lineRule="exact"/>
              <w:rPr>
                <w:sz w:val="20"/>
                <w:szCs w:val="20"/>
                <w:color w:val="auto"/>
              </w:rPr>
            </w:pPr>
            <w:r>
              <w:rPr>
                <w:rFonts w:ascii="Arial" w:cs="Arial" w:eastAsia="Arial" w:hAnsi="Arial"/>
                <w:sz w:val="14"/>
                <w:szCs w:val="14"/>
                <w:color w:val="auto"/>
                <w:w w:val="97"/>
              </w:rPr>
              <w:t>Cash</w:t>
            </w:r>
          </w:p>
        </w:tc>
        <w:tc>
          <w:tcPr>
            <w:tcW w:w="800" w:type="dxa"/>
            <w:vAlign w:val="bottom"/>
            <w:shd w:val="clear" w:color="auto" w:fill="ACABA7"/>
          </w:tcPr>
          <w:p>
            <w:pPr>
              <w:jc w:val="center"/>
              <w:spacing w:after="0" w:line="148" w:lineRule="exact"/>
              <w:rPr>
                <w:sz w:val="20"/>
                <w:szCs w:val="20"/>
                <w:color w:val="auto"/>
              </w:rPr>
            </w:pPr>
            <w:r>
              <w:rPr>
                <w:rFonts w:ascii="Arial" w:cs="Arial" w:eastAsia="Arial" w:hAnsi="Arial"/>
                <w:sz w:val="14"/>
                <w:szCs w:val="14"/>
                <w:color w:val="auto"/>
                <w:w w:val="96"/>
              </w:rPr>
              <w:t>2/18/2016</w:t>
            </w:r>
          </w:p>
        </w:tc>
        <w:tc>
          <w:tcPr>
            <w:tcW w:w="700" w:type="dxa"/>
            <w:vAlign w:val="bottom"/>
            <w:shd w:val="clear" w:color="auto" w:fill="ACABA7"/>
          </w:tcPr>
          <w:p>
            <w:pPr>
              <w:jc w:val="right"/>
              <w:ind w:right="32"/>
              <w:spacing w:after="0" w:line="148" w:lineRule="exact"/>
              <w:rPr>
                <w:sz w:val="20"/>
                <w:szCs w:val="20"/>
                <w:color w:val="auto"/>
              </w:rPr>
            </w:pPr>
            <w:r>
              <w:rPr>
                <w:rFonts w:ascii="Arial" w:cs="Arial" w:eastAsia="Arial" w:hAnsi="Arial"/>
                <w:sz w:val="14"/>
                <w:szCs w:val="14"/>
                <w:color w:val="auto"/>
              </w:rPr>
              <w:t>243,045</w:t>
            </w:r>
          </w:p>
        </w:tc>
        <w:tc>
          <w:tcPr>
            <w:tcW w:w="780" w:type="dxa"/>
            <w:vAlign w:val="bottom"/>
            <w:shd w:val="clear" w:color="auto" w:fill="ACABA7"/>
          </w:tcPr>
          <w:p>
            <w:pPr>
              <w:jc w:val="right"/>
              <w:ind w:right="12"/>
              <w:spacing w:after="0" w:line="148" w:lineRule="exact"/>
              <w:rPr>
                <w:sz w:val="20"/>
                <w:szCs w:val="20"/>
                <w:color w:val="auto"/>
              </w:rPr>
            </w:pPr>
            <w:r>
              <w:rPr>
                <w:rFonts w:ascii="Arial" w:cs="Arial" w:eastAsia="Arial" w:hAnsi="Arial"/>
                <w:sz w:val="14"/>
                <w:szCs w:val="14"/>
                <w:color w:val="auto"/>
              </w:rPr>
              <w:t>450,084</w:t>
            </w:r>
          </w:p>
        </w:tc>
        <w:tc>
          <w:tcPr>
            <w:tcW w:w="820" w:type="dxa"/>
            <w:vAlign w:val="bottom"/>
            <w:gridSpan w:val="2"/>
            <w:shd w:val="clear" w:color="auto" w:fill="ACABA7"/>
          </w:tcPr>
          <w:p>
            <w:pPr>
              <w:jc w:val="right"/>
              <w:ind w:right="120"/>
              <w:spacing w:after="0" w:line="148" w:lineRule="exact"/>
              <w:rPr>
                <w:sz w:val="20"/>
                <w:szCs w:val="20"/>
                <w:color w:val="auto"/>
              </w:rPr>
            </w:pPr>
            <w:r>
              <w:rPr>
                <w:rFonts w:ascii="Arial" w:cs="Arial" w:eastAsia="Arial" w:hAnsi="Arial"/>
                <w:sz w:val="14"/>
                <w:szCs w:val="14"/>
                <w:color w:val="auto"/>
              </w:rPr>
              <w:t>708,882</w:t>
            </w:r>
          </w:p>
        </w:tc>
        <w:tc>
          <w:tcPr>
            <w:tcW w:w="660" w:type="dxa"/>
            <w:vAlign w:val="bottom"/>
            <w:shd w:val="clear" w:color="auto" w:fill="ACABA7"/>
          </w:tcPr>
          <w:p>
            <w:pPr>
              <w:jc w:val="right"/>
              <w:spacing w:after="0" w:line="148" w:lineRule="exact"/>
              <w:rPr>
                <w:sz w:val="20"/>
                <w:szCs w:val="20"/>
                <w:color w:val="auto"/>
              </w:rPr>
            </w:pPr>
            <w:r>
              <w:rPr>
                <w:rFonts w:ascii="Arial" w:cs="Arial" w:eastAsia="Arial" w:hAnsi="Arial"/>
                <w:sz w:val="14"/>
                <w:szCs w:val="14"/>
                <w:color w:val="auto"/>
              </w:rPr>
              <w:t>—</w:t>
            </w:r>
          </w:p>
        </w:tc>
        <w:tc>
          <w:tcPr>
            <w:tcW w:w="640" w:type="dxa"/>
            <w:vAlign w:val="bottom"/>
            <w:shd w:val="clear" w:color="auto" w:fill="ACABA7"/>
          </w:tcPr>
          <w:p>
            <w:pPr>
              <w:jc w:val="right"/>
              <w:ind w:right="12"/>
              <w:spacing w:after="0" w:line="148"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ACABA7"/>
          </w:tcPr>
          <w:p>
            <w:pPr>
              <w:jc w:val="right"/>
              <w:ind w:right="80"/>
              <w:spacing w:after="0" w:line="148" w:lineRule="exact"/>
              <w:rPr>
                <w:sz w:val="20"/>
                <w:szCs w:val="20"/>
                <w:color w:val="auto"/>
              </w:rPr>
            </w:pPr>
            <w:r>
              <w:rPr>
                <w:rFonts w:ascii="Arial" w:cs="Arial" w:eastAsia="Arial" w:hAnsi="Arial"/>
                <w:sz w:val="14"/>
                <w:szCs w:val="14"/>
                <w:color w:val="auto"/>
              </w:rPr>
              <w:t>—</w:t>
            </w:r>
          </w:p>
        </w:tc>
        <w:tc>
          <w:tcPr>
            <w:tcW w:w="760" w:type="dxa"/>
            <w:vAlign w:val="bottom"/>
            <w:shd w:val="clear" w:color="auto" w:fill="ACABA7"/>
          </w:tcPr>
          <w:p>
            <w:pPr>
              <w:jc w:val="right"/>
              <w:spacing w:after="0" w:line="148" w:lineRule="exact"/>
              <w:rPr>
                <w:sz w:val="20"/>
                <w:szCs w:val="20"/>
                <w:color w:val="auto"/>
              </w:rPr>
            </w:pPr>
            <w:r>
              <w:rPr>
                <w:rFonts w:ascii="Arial" w:cs="Arial" w:eastAsia="Arial" w:hAnsi="Arial"/>
                <w:sz w:val="14"/>
                <w:szCs w:val="14"/>
                <w:color w:val="auto"/>
              </w:rPr>
              <w:t>—</w:t>
            </w:r>
          </w:p>
        </w:tc>
        <w:tc>
          <w:tcPr>
            <w:tcW w:w="760" w:type="dxa"/>
            <w:vAlign w:val="bottom"/>
            <w:shd w:val="clear" w:color="auto" w:fill="ACABA7"/>
          </w:tcPr>
          <w:p>
            <w:pPr>
              <w:jc w:val="right"/>
              <w:ind w:right="12"/>
              <w:spacing w:after="0" w:line="148" w:lineRule="exact"/>
              <w:rPr>
                <w:sz w:val="20"/>
                <w:szCs w:val="20"/>
                <w:color w:val="auto"/>
              </w:rPr>
            </w:pPr>
            <w:r>
              <w:rPr>
                <w:rFonts w:ascii="Arial" w:cs="Arial" w:eastAsia="Arial" w:hAnsi="Arial"/>
                <w:sz w:val="14"/>
                <w:szCs w:val="14"/>
                <w:color w:val="auto"/>
              </w:rPr>
              <w:t>—</w:t>
            </w:r>
          </w:p>
        </w:tc>
        <w:tc>
          <w:tcPr>
            <w:tcW w:w="680" w:type="dxa"/>
            <w:vAlign w:val="bottom"/>
            <w:shd w:val="clear" w:color="auto" w:fill="ACABA7"/>
          </w:tcPr>
          <w:p>
            <w:pPr>
              <w:jc w:val="right"/>
              <w:spacing w:after="0" w:line="148" w:lineRule="exact"/>
              <w:rPr>
                <w:sz w:val="20"/>
                <w:szCs w:val="20"/>
                <w:color w:val="auto"/>
              </w:rPr>
            </w:pPr>
            <w:r>
              <w:rPr>
                <w:rFonts w:ascii="Arial" w:cs="Arial" w:eastAsia="Arial" w:hAnsi="Arial"/>
                <w:sz w:val="14"/>
                <w:szCs w:val="14"/>
                <w:color w:val="auto"/>
              </w:rPr>
              <w:t>—</w:t>
            </w:r>
          </w:p>
        </w:tc>
        <w:tc>
          <w:tcPr>
            <w:tcW w:w="840" w:type="dxa"/>
            <w:vAlign w:val="bottom"/>
            <w:shd w:val="clear" w:color="auto" w:fill="ACABA7"/>
          </w:tcPr>
          <w:p>
            <w:pPr>
              <w:jc w:val="right"/>
              <w:ind w:right="32"/>
              <w:spacing w:after="0" w:line="14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750" w:type="dxa"/>
            <w:vAlign w:val="bottom"/>
            <w:shd w:val="clear" w:color="auto" w:fill="ACABA7"/>
          </w:tcPr>
          <w:p>
            <w:pPr>
              <w:spacing w:after="0"/>
              <w:rPr>
                <w:sz w:val="12"/>
                <w:szCs w:val="12"/>
                <w:color w:val="auto"/>
              </w:rPr>
            </w:pPr>
          </w:p>
        </w:tc>
        <w:tc>
          <w:tcPr>
            <w:tcW w:w="510" w:type="dxa"/>
            <w:vAlign w:val="bottom"/>
            <w:shd w:val="clear" w:color="auto" w:fill="ACABA7"/>
          </w:tcPr>
          <w:p>
            <w:pPr>
              <w:jc w:val="center"/>
              <w:spacing w:after="0" w:line="149" w:lineRule="exact"/>
              <w:rPr>
                <w:sz w:val="20"/>
                <w:szCs w:val="20"/>
                <w:color w:val="auto"/>
              </w:rPr>
            </w:pPr>
            <w:r>
              <w:rPr>
                <w:rFonts w:ascii="Arial" w:cs="Arial" w:eastAsia="Arial" w:hAnsi="Arial"/>
                <w:sz w:val="14"/>
                <w:szCs w:val="14"/>
                <w:color w:val="auto"/>
                <w:w w:val="95"/>
              </w:rPr>
              <w:t>Options</w:t>
            </w:r>
          </w:p>
        </w:tc>
        <w:tc>
          <w:tcPr>
            <w:tcW w:w="800" w:type="dxa"/>
            <w:vAlign w:val="bottom"/>
            <w:shd w:val="clear" w:color="auto" w:fill="ACABA7"/>
          </w:tcPr>
          <w:p>
            <w:pPr>
              <w:jc w:val="center"/>
              <w:spacing w:after="0" w:line="149" w:lineRule="exact"/>
              <w:rPr>
                <w:sz w:val="20"/>
                <w:szCs w:val="20"/>
                <w:color w:val="auto"/>
              </w:rPr>
            </w:pPr>
            <w:r>
              <w:rPr>
                <w:rFonts w:ascii="Arial" w:cs="Arial" w:eastAsia="Arial" w:hAnsi="Arial"/>
                <w:sz w:val="14"/>
                <w:szCs w:val="14"/>
                <w:color w:val="auto"/>
                <w:w w:val="95"/>
              </w:rPr>
              <w:t>3/4/2016</w:t>
            </w:r>
          </w:p>
        </w:tc>
        <w:tc>
          <w:tcPr>
            <w:tcW w:w="700" w:type="dxa"/>
            <w:vAlign w:val="bottom"/>
            <w:shd w:val="clear" w:color="auto" w:fill="ACABA7"/>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ACABA7"/>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ACABA7"/>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ACABA7"/>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ACABA7"/>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ACABA7"/>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760" w:type="dxa"/>
            <w:vAlign w:val="bottom"/>
            <w:shd w:val="clear" w:color="auto" w:fill="ACABA7"/>
          </w:tcPr>
          <w:p>
            <w:pPr>
              <w:jc w:val="right"/>
              <w:spacing w:after="0" w:line="149" w:lineRule="exact"/>
              <w:rPr>
                <w:sz w:val="20"/>
                <w:szCs w:val="20"/>
                <w:color w:val="auto"/>
              </w:rPr>
            </w:pPr>
            <w:r>
              <w:rPr>
                <w:rFonts w:ascii="Arial" w:cs="Arial" w:eastAsia="Arial" w:hAnsi="Arial"/>
                <w:sz w:val="14"/>
                <w:szCs w:val="14"/>
                <w:color w:val="auto"/>
              </w:rPr>
              <w:t>27,033</w:t>
            </w:r>
          </w:p>
        </w:tc>
        <w:tc>
          <w:tcPr>
            <w:tcW w:w="760" w:type="dxa"/>
            <w:vAlign w:val="bottom"/>
            <w:shd w:val="clear" w:color="auto" w:fill="ACABA7"/>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ACABA7"/>
          </w:tcPr>
          <w:p>
            <w:pPr>
              <w:jc w:val="right"/>
              <w:spacing w:after="0" w:line="149" w:lineRule="exact"/>
              <w:rPr>
                <w:sz w:val="20"/>
                <w:szCs w:val="20"/>
                <w:color w:val="auto"/>
              </w:rPr>
            </w:pPr>
            <w:r>
              <w:rPr>
                <w:rFonts w:ascii="Arial" w:cs="Arial" w:eastAsia="Arial" w:hAnsi="Arial"/>
                <w:sz w:val="14"/>
                <w:szCs w:val="14"/>
                <w:color w:val="auto"/>
              </w:rPr>
              <w:t>33.82</w:t>
            </w:r>
          </w:p>
        </w:tc>
        <w:tc>
          <w:tcPr>
            <w:tcW w:w="840" w:type="dxa"/>
            <w:vAlign w:val="bottom"/>
            <w:shd w:val="clear" w:color="auto" w:fill="ACABA7"/>
          </w:tcPr>
          <w:p>
            <w:pPr>
              <w:jc w:val="right"/>
              <w:ind w:right="32"/>
              <w:spacing w:after="0" w:line="149" w:lineRule="exact"/>
              <w:rPr>
                <w:sz w:val="20"/>
                <w:szCs w:val="20"/>
                <w:color w:val="auto"/>
              </w:rPr>
            </w:pPr>
            <w:r>
              <w:rPr>
                <w:rFonts w:ascii="Arial" w:cs="Arial" w:eastAsia="Arial" w:hAnsi="Arial"/>
                <w:sz w:val="14"/>
                <w:szCs w:val="14"/>
                <w:color w:val="auto"/>
              </w:rPr>
              <w:t>190,591</w:t>
            </w:r>
          </w:p>
        </w:tc>
        <w:tc>
          <w:tcPr>
            <w:tcW w:w="0" w:type="dxa"/>
            <w:vAlign w:val="bottom"/>
          </w:tcPr>
          <w:p>
            <w:pPr>
              <w:spacing w:after="0"/>
              <w:rPr>
                <w:sz w:val="1"/>
                <w:szCs w:val="1"/>
                <w:color w:val="auto"/>
              </w:rPr>
            </w:pPr>
          </w:p>
        </w:tc>
      </w:tr>
      <w:tr>
        <w:trPr>
          <w:trHeight w:val="149"/>
        </w:trPr>
        <w:tc>
          <w:tcPr>
            <w:tcW w:w="2750" w:type="dxa"/>
            <w:vAlign w:val="bottom"/>
            <w:shd w:val="clear" w:color="auto" w:fill="ACABA7"/>
          </w:tcPr>
          <w:p>
            <w:pPr>
              <w:spacing w:after="0"/>
              <w:rPr>
                <w:sz w:val="12"/>
                <w:szCs w:val="12"/>
                <w:color w:val="auto"/>
              </w:rPr>
            </w:pPr>
          </w:p>
        </w:tc>
        <w:tc>
          <w:tcPr>
            <w:tcW w:w="510" w:type="dxa"/>
            <w:vAlign w:val="bottom"/>
            <w:shd w:val="clear" w:color="auto" w:fill="ACABA7"/>
          </w:tcPr>
          <w:p>
            <w:pPr>
              <w:jc w:val="center"/>
              <w:spacing w:after="0" w:line="149" w:lineRule="exact"/>
              <w:rPr>
                <w:sz w:val="20"/>
                <w:szCs w:val="20"/>
                <w:color w:val="auto"/>
              </w:rPr>
            </w:pPr>
            <w:r>
              <w:rPr>
                <w:rFonts w:ascii="Arial" w:cs="Arial" w:eastAsia="Arial" w:hAnsi="Arial"/>
                <w:sz w:val="14"/>
                <w:szCs w:val="14"/>
                <w:color w:val="auto"/>
                <w:w w:val="97"/>
              </w:rPr>
              <w:t>PRSU</w:t>
            </w:r>
          </w:p>
        </w:tc>
        <w:tc>
          <w:tcPr>
            <w:tcW w:w="800" w:type="dxa"/>
            <w:vAlign w:val="bottom"/>
            <w:shd w:val="clear" w:color="auto" w:fill="ACABA7"/>
          </w:tcPr>
          <w:p>
            <w:pPr>
              <w:jc w:val="center"/>
              <w:spacing w:after="0" w:line="149" w:lineRule="exact"/>
              <w:rPr>
                <w:sz w:val="20"/>
                <w:szCs w:val="20"/>
                <w:color w:val="auto"/>
              </w:rPr>
            </w:pPr>
            <w:r>
              <w:rPr>
                <w:rFonts w:ascii="Arial" w:cs="Arial" w:eastAsia="Arial" w:hAnsi="Arial"/>
                <w:sz w:val="14"/>
                <w:szCs w:val="14"/>
                <w:color w:val="auto"/>
                <w:w w:val="95"/>
              </w:rPr>
              <w:t>3/4/2016</w:t>
            </w:r>
          </w:p>
        </w:tc>
        <w:tc>
          <w:tcPr>
            <w:tcW w:w="700" w:type="dxa"/>
            <w:vAlign w:val="bottom"/>
            <w:shd w:val="clear" w:color="auto" w:fill="ACABA7"/>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ACABA7"/>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ACABA7"/>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ACABA7"/>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ACABA7"/>
          </w:tcPr>
          <w:p>
            <w:pPr>
              <w:jc w:val="right"/>
              <w:ind w:right="12"/>
              <w:spacing w:after="0" w:line="149" w:lineRule="exact"/>
              <w:rPr>
                <w:sz w:val="20"/>
                <w:szCs w:val="20"/>
                <w:color w:val="auto"/>
              </w:rPr>
            </w:pPr>
            <w:r>
              <w:rPr>
                <w:rFonts w:ascii="Arial" w:cs="Arial" w:eastAsia="Arial" w:hAnsi="Arial"/>
                <w:sz w:val="14"/>
                <w:szCs w:val="14"/>
                <w:color w:val="auto"/>
              </w:rPr>
              <w:t>5,901</w:t>
            </w:r>
          </w:p>
        </w:tc>
        <w:tc>
          <w:tcPr>
            <w:tcW w:w="720" w:type="dxa"/>
            <w:vAlign w:val="bottom"/>
            <w:gridSpan w:val="2"/>
            <w:shd w:val="clear" w:color="auto" w:fill="ACABA7"/>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760" w:type="dxa"/>
            <w:vAlign w:val="bottom"/>
            <w:shd w:val="clear" w:color="auto" w:fill="ACABA7"/>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shd w:val="clear" w:color="auto" w:fill="ACABA7"/>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ACABA7"/>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shd w:val="clear" w:color="auto" w:fill="ACABA7"/>
          </w:tcPr>
          <w:p>
            <w:pPr>
              <w:jc w:val="right"/>
              <w:ind w:right="32"/>
              <w:spacing w:after="0" w:line="149" w:lineRule="exact"/>
              <w:rPr>
                <w:sz w:val="20"/>
                <w:szCs w:val="20"/>
                <w:color w:val="auto"/>
              </w:rPr>
            </w:pPr>
            <w:r>
              <w:rPr>
                <w:rFonts w:ascii="Arial" w:cs="Arial" w:eastAsia="Arial" w:hAnsi="Arial"/>
                <w:sz w:val="14"/>
                <w:szCs w:val="14"/>
                <w:color w:val="auto"/>
              </w:rPr>
              <w:t>270,030</w:t>
            </w:r>
          </w:p>
        </w:tc>
        <w:tc>
          <w:tcPr>
            <w:tcW w:w="0" w:type="dxa"/>
            <w:vAlign w:val="bottom"/>
          </w:tcPr>
          <w:p>
            <w:pPr>
              <w:spacing w:after="0"/>
              <w:rPr>
                <w:sz w:val="1"/>
                <w:szCs w:val="1"/>
                <w:color w:val="auto"/>
              </w:rPr>
            </w:pPr>
          </w:p>
        </w:tc>
      </w:tr>
      <w:tr>
        <w:trPr>
          <w:trHeight w:val="149"/>
        </w:trPr>
        <w:tc>
          <w:tcPr>
            <w:tcW w:w="2750" w:type="dxa"/>
            <w:vAlign w:val="bottom"/>
            <w:shd w:val="clear" w:color="auto" w:fill="ACABA7"/>
          </w:tcPr>
          <w:p>
            <w:pPr>
              <w:spacing w:after="0"/>
              <w:rPr>
                <w:sz w:val="12"/>
                <w:szCs w:val="12"/>
                <w:color w:val="auto"/>
              </w:rPr>
            </w:pPr>
          </w:p>
        </w:tc>
        <w:tc>
          <w:tcPr>
            <w:tcW w:w="510" w:type="dxa"/>
            <w:vAlign w:val="bottom"/>
            <w:shd w:val="clear" w:color="auto" w:fill="ACABA7"/>
          </w:tcPr>
          <w:p>
            <w:pPr>
              <w:jc w:val="center"/>
              <w:spacing w:after="0" w:line="149" w:lineRule="exact"/>
              <w:rPr>
                <w:sz w:val="20"/>
                <w:szCs w:val="20"/>
                <w:color w:val="auto"/>
              </w:rPr>
            </w:pPr>
            <w:r>
              <w:rPr>
                <w:rFonts w:ascii="Arial" w:cs="Arial" w:eastAsia="Arial" w:hAnsi="Arial"/>
                <w:sz w:val="14"/>
                <w:szCs w:val="14"/>
                <w:color w:val="auto"/>
                <w:w w:val="92"/>
              </w:rPr>
              <w:t>PSA</w:t>
            </w:r>
          </w:p>
        </w:tc>
        <w:tc>
          <w:tcPr>
            <w:tcW w:w="800" w:type="dxa"/>
            <w:vAlign w:val="bottom"/>
            <w:shd w:val="clear" w:color="auto" w:fill="ACABA7"/>
          </w:tcPr>
          <w:p>
            <w:pPr>
              <w:jc w:val="center"/>
              <w:spacing w:after="0" w:line="149" w:lineRule="exact"/>
              <w:rPr>
                <w:sz w:val="20"/>
                <w:szCs w:val="20"/>
                <w:color w:val="auto"/>
              </w:rPr>
            </w:pPr>
            <w:r>
              <w:rPr>
                <w:rFonts w:ascii="Arial" w:cs="Arial" w:eastAsia="Arial" w:hAnsi="Arial"/>
                <w:sz w:val="14"/>
                <w:szCs w:val="14"/>
                <w:color w:val="auto"/>
                <w:w w:val="96"/>
              </w:rPr>
              <w:t>2/18/2016</w:t>
            </w:r>
          </w:p>
        </w:tc>
        <w:tc>
          <w:tcPr>
            <w:tcW w:w="700" w:type="dxa"/>
            <w:vAlign w:val="bottom"/>
            <w:shd w:val="clear" w:color="auto" w:fill="ACABA7"/>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ACABA7"/>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ACABA7"/>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ACABA7"/>
          </w:tcPr>
          <w:p>
            <w:pPr>
              <w:jc w:val="right"/>
              <w:spacing w:after="0" w:line="149" w:lineRule="exact"/>
              <w:rPr>
                <w:sz w:val="20"/>
                <w:szCs w:val="20"/>
                <w:color w:val="auto"/>
              </w:rPr>
            </w:pPr>
            <w:r>
              <w:rPr>
                <w:rFonts w:ascii="Arial" w:cs="Arial" w:eastAsia="Arial" w:hAnsi="Arial"/>
                <w:sz w:val="14"/>
                <w:szCs w:val="14"/>
                <w:color w:val="auto"/>
              </w:rPr>
              <w:t>2,036</w:t>
            </w:r>
          </w:p>
        </w:tc>
        <w:tc>
          <w:tcPr>
            <w:tcW w:w="640" w:type="dxa"/>
            <w:vAlign w:val="bottom"/>
            <w:shd w:val="clear" w:color="auto" w:fill="ACABA7"/>
          </w:tcPr>
          <w:p>
            <w:pPr>
              <w:jc w:val="right"/>
              <w:ind w:right="12"/>
              <w:spacing w:after="0" w:line="149" w:lineRule="exact"/>
              <w:rPr>
                <w:sz w:val="20"/>
                <w:szCs w:val="20"/>
                <w:color w:val="auto"/>
              </w:rPr>
            </w:pPr>
            <w:r>
              <w:rPr>
                <w:rFonts w:ascii="Arial" w:cs="Arial" w:eastAsia="Arial" w:hAnsi="Arial"/>
                <w:sz w:val="14"/>
                <w:szCs w:val="14"/>
                <w:color w:val="auto"/>
              </w:rPr>
              <w:t>4,071</w:t>
            </w:r>
          </w:p>
        </w:tc>
        <w:tc>
          <w:tcPr>
            <w:tcW w:w="720" w:type="dxa"/>
            <w:vAlign w:val="bottom"/>
            <w:gridSpan w:val="2"/>
            <w:shd w:val="clear" w:color="auto" w:fill="ACABA7"/>
          </w:tcPr>
          <w:p>
            <w:pPr>
              <w:jc w:val="right"/>
              <w:ind w:right="80"/>
              <w:spacing w:after="0" w:line="149" w:lineRule="exact"/>
              <w:rPr>
                <w:sz w:val="20"/>
                <w:szCs w:val="20"/>
                <w:color w:val="auto"/>
              </w:rPr>
            </w:pPr>
            <w:r>
              <w:rPr>
                <w:rFonts w:ascii="Arial" w:cs="Arial" w:eastAsia="Arial" w:hAnsi="Arial"/>
                <w:sz w:val="14"/>
                <w:szCs w:val="14"/>
                <w:color w:val="auto"/>
              </w:rPr>
              <w:t>6,107</w:t>
            </w:r>
          </w:p>
        </w:tc>
        <w:tc>
          <w:tcPr>
            <w:tcW w:w="760" w:type="dxa"/>
            <w:vAlign w:val="bottom"/>
            <w:shd w:val="clear" w:color="auto" w:fill="ACABA7"/>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shd w:val="clear" w:color="auto" w:fill="ACABA7"/>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ACABA7"/>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shd w:val="clear" w:color="auto" w:fill="ACABA7"/>
          </w:tcPr>
          <w:p>
            <w:pPr>
              <w:jc w:val="right"/>
              <w:ind w:right="32"/>
              <w:spacing w:after="0" w:line="149" w:lineRule="exact"/>
              <w:rPr>
                <w:sz w:val="20"/>
                <w:szCs w:val="20"/>
                <w:color w:val="auto"/>
              </w:rPr>
            </w:pPr>
            <w:r>
              <w:rPr>
                <w:rFonts w:ascii="Arial" w:cs="Arial" w:eastAsia="Arial" w:hAnsi="Arial"/>
                <w:sz w:val="14"/>
                <w:szCs w:val="14"/>
                <w:color w:val="auto"/>
              </w:rPr>
              <w:t>180,182</w:t>
            </w:r>
          </w:p>
        </w:tc>
        <w:tc>
          <w:tcPr>
            <w:tcW w:w="0" w:type="dxa"/>
            <w:vAlign w:val="bottom"/>
          </w:tcPr>
          <w:p>
            <w:pPr>
              <w:spacing w:after="0"/>
              <w:rPr>
                <w:sz w:val="1"/>
                <w:szCs w:val="1"/>
                <w:color w:val="auto"/>
              </w:rPr>
            </w:pPr>
          </w:p>
        </w:tc>
      </w:tr>
      <w:tr>
        <w:trPr>
          <w:trHeight w:val="149"/>
        </w:trPr>
        <w:tc>
          <w:tcPr>
            <w:tcW w:w="2750" w:type="dxa"/>
            <w:vAlign w:val="bottom"/>
            <w:shd w:val="clear" w:color="auto" w:fill="ACABA7"/>
          </w:tcPr>
          <w:p>
            <w:pPr>
              <w:spacing w:after="0"/>
              <w:rPr>
                <w:sz w:val="12"/>
                <w:szCs w:val="12"/>
                <w:color w:val="auto"/>
              </w:rPr>
            </w:pPr>
          </w:p>
        </w:tc>
        <w:tc>
          <w:tcPr>
            <w:tcW w:w="510" w:type="dxa"/>
            <w:vAlign w:val="bottom"/>
            <w:shd w:val="clear" w:color="auto" w:fill="ACABA7"/>
          </w:tcPr>
          <w:p>
            <w:pPr>
              <w:jc w:val="center"/>
              <w:spacing w:after="0" w:line="149" w:lineRule="exact"/>
              <w:rPr>
                <w:sz w:val="20"/>
                <w:szCs w:val="20"/>
                <w:color w:val="auto"/>
              </w:rPr>
            </w:pPr>
            <w:r>
              <w:rPr>
                <w:rFonts w:ascii="Arial" w:cs="Arial" w:eastAsia="Arial" w:hAnsi="Arial"/>
                <w:sz w:val="14"/>
                <w:szCs w:val="14"/>
                <w:color w:val="auto"/>
                <w:w w:val="92"/>
              </w:rPr>
              <w:t>PSA</w:t>
            </w:r>
          </w:p>
        </w:tc>
        <w:tc>
          <w:tcPr>
            <w:tcW w:w="800" w:type="dxa"/>
            <w:vAlign w:val="bottom"/>
            <w:shd w:val="clear" w:color="auto" w:fill="ACABA7"/>
          </w:tcPr>
          <w:p>
            <w:pPr>
              <w:jc w:val="center"/>
              <w:spacing w:after="0" w:line="149" w:lineRule="exact"/>
              <w:rPr>
                <w:sz w:val="20"/>
                <w:szCs w:val="20"/>
                <w:color w:val="auto"/>
              </w:rPr>
            </w:pPr>
            <w:r>
              <w:rPr>
                <w:rFonts w:ascii="Arial" w:cs="Arial" w:eastAsia="Arial" w:hAnsi="Arial"/>
                <w:sz w:val="14"/>
                <w:szCs w:val="14"/>
                <w:color w:val="auto"/>
                <w:w w:val="95"/>
              </w:rPr>
              <w:t>3/4/2016</w:t>
            </w:r>
          </w:p>
        </w:tc>
        <w:tc>
          <w:tcPr>
            <w:tcW w:w="700" w:type="dxa"/>
            <w:vAlign w:val="bottom"/>
            <w:shd w:val="clear" w:color="auto" w:fill="ACABA7"/>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ACABA7"/>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ACABA7"/>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ACABA7"/>
          </w:tcPr>
          <w:p>
            <w:pPr>
              <w:jc w:val="right"/>
              <w:spacing w:after="0" w:line="149" w:lineRule="exact"/>
              <w:rPr>
                <w:sz w:val="20"/>
                <w:szCs w:val="20"/>
                <w:color w:val="auto"/>
              </w:rPr>
            </w:pPr>
            <w:r>
              <w:rPr>
                <w:rFonts w:ascii="Arial" w:cs="Arial" w:eastAsia="Arial" w:hAnsi="Arial"/>
                <w:sz w:val="14"/>
                <w:szCs w:val="14"/>
                <w:color w:val="auto"/>
              </w:rPr>
              <w:t>4,917</w:t>
            </w:r>
          </w:p>
        </w:tc>
        <w:tc>
          <w:tcPr>
            <w:tcW w:w="640" w:type="dxa"/>
            <w:vAlign w:val="bottom"/>
            <w:shd w:val="clear" w:color="auto" w:fill="ACABA7"/>
          </w:tcPr>
          <w:p>
            <w:pPr>
              <w:jc w:val="right"/>
              <w:ind w:right="12"/>
              <w:spacing w:after="0" w:line="149" w:lineRule="exact"/>
              <w:rPr>
                <w:sz w:val="20"/>
                <w:szCs w:val="20"/>
                <w:color w:val="auto"/>
              </w:rPr>
            </w:pPr>
            <w:r>
              <w:rPr>
                <w:rFonts w:ascii="Arial" w:cs="Arial" w:eastAsia="Arial" w:hAnsi="Arial"/>
                <w:sz w:val="14"/>
                <w:szCs w:val="14"/>
                <w:color w:val="auto"/>
              </w:rPr>
              <w:t>9,834</w:t>
            </w:r>
          </w:p>
        </w:tc>
        <w:tc>
          <w:tcPr>
            <w:tcW w:w="640" w:type="dxa"/>
            <w:vAlign w:val="bottom"/>
            <w:shd w:val="clear" w:color="auto" w:fill="ACABA7"/>
          </w:tcPr>
          <w:p>
            <w:pPr>
              <w:jc w:val="right"/>
              <w:spacing w:after="0" w:line="149" w:lineRule="exact"/>
              <w:rPr>
                <w:sz w:val="20"/>
                <w:szCs w:val="20"/>
                <w:color w:val="auto"/>
              </w:rPr>
            </w:pPr>
            <w:r>
              <w:rPr>
                <w:rFonts w:ascii="Arial" w:cs="Arial" w:eastAsia="Arial" w:hAnsi="Arial"/>
                <w:sz w:val="14"/>
                <w:szCs w:val="14"/>
                <w:color w:val="auto"/>
              </w:rPr>
              <w:t>14,751</w:t>
            </w:r>
          </w:p>
        </w:tc>
        <w:tc>
          <w:tcPr>
            <w:tcW w:w="80" w:type="dxa"/>
            <w:vAlign w:val="bottom"/>
            <w:shd w:val="clear" w:color="auto" w:fill="ACABA7"/>
          </w:tcPr>
          <w:p>
            <w:pPr>
              <w:spacing w:after="0"/>
              <w:rPr>
                <w:sz w:val="12"/>
                <w:szCs w:val="12"/>
                <w:color w:val="auto"/>
              </w:rPr>
            </w:pPr>
          </w:p>
        </w:tc>
        <w:tc>
          <w:tcPr>
            <w:tcW w:w="760" w:type="dxa"/>
            <w:vAlign w:val="bottom"/>
            <w:shd w:val="clear" w:color="auto" w:fill="ACABA7"/>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shd w:val="clear" w:color="auto" w:fill="ACABA7"/>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ACABA7"/>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shd w:val="clear" w:color="auto" w:fill="ACABA7"/>
          </w:tcPr>
          <w:p>
            <w:pPr>
              <w:jc w:val="right"/>
              <w:ind w:right="32"/>
              <w:spacing w:after="0" w:line="149" w:lineRule="exact"/>
              <w:rPr>
                <w:sz w:val="20"/>
                <w:szCs w:val="20"/>
                <w:color w:val="auto"/>
              </w:rPr>
            </w:pPr>
            <w:r>
              <w:rPr>
                <w:rFonts w:ascii="Arial" w:cs="Arial" w:eastAsia="Arial" w:hAnsi="Arial"/>
                <w:sz w:val="14"/>
                <w:szCs w:val="14"/>
                <w:color w:val="auto"/>
              </w:rPr>
              <w:t>450,042</w:t>
            </w:r>
          </w:p>
        </w:tc>
        <w:tc>
          <w:tcPr>
            <w:tcW w:w="0" w:type="dxa"/>
            <w:vAlign w:val="bottom"/>
          </w:tcPr>
          <w:p>
            <w:pPr>
              <w:spacing w:after="0"/>
              <w:rPr>
                <w:sz w:val="1"/>
                <w:szCs w:val="1"/>
                <w:color w:val="auto"/>
              </w:rPr>
            </w:pPr>
          </w:p>
        </w:tc>
      </w:tr>
      <w:tr>
        <w:trPr>
          <w:trHeight w:val="148"/>
        </w:trPr>
        <w:tc>
          <w:tcPr>
            <w:tcW w:w="2750" w:type="dxa"/>
            <w:vAlign w:val="bottom"/>
          </w:tcPr>
          <w:p>
            <w:pPr>
              <w:ind w:left="80"/>
              <w:spacing w:after="0" w:line="148" w:lineRule="exact"/>
              <w:rPr>
                <w:sz w:val="20"/>
                <w:szCs w:val="20"/>
                <w:color w:val="auto"/>
              </w:rPr>
            </w:pPr>
            <w:r>
              <w:rPr>
                <w:rFonts w:ascii="Arial" w:cs="Arial" w:eastAsia="Arial" w:hAnsi="Arial"/>
                <w:sz w:val="14"/>
                <w:szCs w:val="14"/>
                <w:color w:val="auto"/>
              </w:rPr>
              <w:t>Mr. Leiter</w:t>
            </w:r>
          </w:p>
        </w:tc>
        <w:tc>
          <w:tcPr>
            <w:tcW w:w="510" w:type="dxa"/>
            <w:vAlign w:val="bottom"/>
          </w:tcPr>
          <w:p>
            <w:pPr>
              <w:jc w:val="center"/>
              <w:spacing w:after="0" w:line="148" w:lineRule="exact"/>
              <w:rPr>
                <w:sz w:val="20"/>
                <w:szCs w:val="20"/>
                <w:color w:val="auto"/>
              </w:rPr>
            </w:pPr>
            <w:r>
              <w:rPr>
                <w:rFonts w:ascii="Arial" w:cs="Arial" w:eastAsia="Arial" w:hAnsi="Arial"/>
                <w:sz w:val="14"/>
                <w:szCs w:val="14"/>
                <w:color w:val="auto"/>
                <w:w w:val="97"/>
              </w:rPr>
              <w:t>Cash</w:t>
            </w:r>
          </w:p>
        </w:tc>
        <w:tc>
          <w:tcPr>
            <w:tcW w:w="800" w:type="dxa"/>
            <w:vAlign w:val="bottom"/>
          </w:tcPr>
          <w:p>
            <w:pPr>
              <w:jc w:val="center"/>
              <w:spacing w:after="0" w:line="148" w:lineRule="exact"/>
              <w:rPr>
                <w:sz w:val="20"/>
                <w:szCs w:val="20"/>
                <w:color w:val="auto"/>
              </w:rPr>
            </w:pPr>
            <w:r>
              <w:rPr>
                <w:rFonts w:ascii="Arial" w:cs="Arial" w:eastAsia="Arial" w:hAnsi="Arial"/>
                <w:sz w:val="14"/>
                <w:szCs w:val="14"/>
                <w:color w:val="auto"/>
                <w:w w:val="96"/>
              </w:rPr>
              <w:t>2/18/2016</w:t>
            </w:r>
          </w:p>
        </w:tc>
        <w:tc>
          <w:tcPr>
            <w:tcW w:w="700" w:type="dxa"/>
            <w:vAlign w:val="bottom"/>
          </w:tcPr>
          <w:p>
            <w:pPr>
              <w:jc w:val="right"/>
              <w:ind w:right="32"/>
              <w:spacing w:after="0" w:line="148" w:lineRule="exact"/>
              <w:rPr>
                <w:sz w:val="20"/>
                <w:szCs w:val="20"/>
                <w:color w:val="auto"/>
              </w:rPr>
            </w:pPr>
            <w:r>
              <w:rPr>
                <w:rFonts w:ascii="Arial" w:cs="Arial" w:eastAsia="Arial" w:hAnsi="Arial"/>
                <w:sz w:val="14"/>
                <w:szCs w:val="14"/>
                <w:color w:val="auto"/>
              </w:rPr>
              <w:t>226,800</w:t>
            </w:r>
          </w:p>
        </w:tc>
        <w:tc>
          <w:tcPr>
            <w:tcW w:w="780" w:type="dxa"/>
            <w:vAlign w:val="bottom"/>
          </w:tcPr>
          <w:p>
            <w:pPr>
              <w:jc w:val="right"/>
              <w:ind w:right="12"/>
              <w:spacing w:after="0" w:line="148" w:lineRule="exact"/>
              <w:rPr>
                <w:sz w:val="20"/>
                <w:szCs w:val="20"/>
                <w:color w:val="auto"/>
              </w:rPr>
            </w:pPr>
            <w:r>
              <w:rPr>
                <w:rFonts w:ascii="Arial" w:cs="Arial" w:eastAsia="Arial" w:hAnsi="Arial"/>
                <w:sz w:val="14"/>
                <w:szCs w:val="14"/>
                <w:color w:val="auto"/>
              </w:rPr>
              <w:t>420,000</w:t>
            </w:r>
          </w:p>
        </w:tc>
        <w:tc>
          <w:tcPr>
            <w:tcW w:w="820" w:type="dxa"/>
            <w:vAlign w:val="bottom"/>
            <w:gridSpan w:val="2"/>
          </w:tcPr>
          <w:p>
            <w:pPr>
              <w:jc w:val="right"/>
              <w:ind w:right="120"/>
              <w:spacing w:after="0" w:line="148" w:lineRule="exact"/>
              <w:rPr>
                <w:sz w:val="20"/>
                <w:szCs w:val="20"/>
                <w:color w:val="auto"/>
              </w:rPr>
            </w:pPr>
            <w:r>
              <w:rPr>
                <w:rFonts w:ascii="Arial" w:cs="Arial" w:eastAsia="Arial" w:hAnsi="Arial"/>
                <w:sz w:val="14"/>
                <w:szCs w:val="14"/>
                <w:color w:val="auto"/>
              </w:rPr>
              <w:t>661,500</w:t>
            </w:r>
          </w:p>
        </w:tc>
        <w:tc>
          <w:tcPr>
            <w:tcW w:w="660" w:type="dxa"/>
            <w:vAlign w:val="bottom"/>
          </w:tcPr>
          <w:p>
            <w:pPr>
              <w:jc w:val="right"/>
              <w:spacing w:after="0" w:line="148" w:lineRule="exact"/>
              <w:rPr>
                <w:sz w:val="20"/>
                <w:szCs w:val="20"/>
                <w:color w:val="auto"/>
              </w:rPr>
            </w:pPr>
            <w:r>
              <w:rPr>
                <w:rFonts w:ascii="Arial" w:cs="Arial" w:eastAsia="Arial" w:hAnsi="Arial"/>
                <w:sz w:val="14"/>
                <w:szCs w:val="14"/>
                <w:color w:val="auto"/>
              </w:rPr>
              <w:t>—</w:t>
            </w:r>
          </w:p>
        </w:tc>
        <w:tc>
          <w:tcPr>
            <w:tcW w:w="640" w:type="dxa"/>
            <w:vAlign w:val="bottom"/>
          </w:tcPr>
          <w:p>
            <w:pPr>
              <w:jc w:val="right"/>
              <w:ind w:right="12"/>
              <w:spacing w:after="0" w:line="148"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80"/>
              <w:spacing w:after="0" w:line="148" w:lineRule="exact"/>
              <w:rPr>
                <w:sz w:val="20"/>
                <w:szCs w:val="20"/>
                <w:color w:val="auto"/>
              </w:rPr>
            </w:pPr>
            <w:r>
              <w:rPr>
                <w:rFonts w:ascii="Arial" w:cs="Arial" w:eastAsia="Arial" w:hAnsi="Arial"/>
                <w:sz w:val="14"/>
                <w:szCs w:val="14"/>
                <w:color w:val="auto"/>
              </w:rPr>
              <w:t>—</w:t>
            </w:r>
          </w:p>
        </w:tc>
        <w:tc>
          <w:tcPr>
            <w:tcW w:w="760" w:type="dxa"/>
            <w:vAlign w:val="bottom"/>
          </w:tcPr>
          <w:p>
            <w:pPr>
              <w:jc w:val="right"/>
              <w:spacing w:after="0" w:line="148" w:lineRule="exact"/>
              <w:rPr>
                <w:sz w:val="20"/>
                <w:szCs w:val="20"/>
                <w:color w:val="auto"/>
              </w:rPr>
            </w:pPr>
            <w:r>
              <w:rPr>
                <w:rFonts w:ascii="Arial" w:cs="Arial" w:eastAsia="Arial" w:hAnsi="Arial"/>
                <w:sz w:val="14"/>
                <w:szCs w:val="14"/>
                <w:color w:val="auto"/>
              </w:rPr>
              <w:t>—</w:t>
            </w:r>
          </w:p>
        </w:tc>
        <w:tc>
          <w:tcPr>
            <w:tcW w:w="760" w:type="dxa"/>
            <w:vAlign w:val="bottom"/>
          </w:tcPr>
          <w:p>
            <w:pPr>
              <w:jc w:val="right"/>
              <w:ind w:right="12"/>
              <w:spacing w:after="0" w:line="148"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8" w:lineRule="exact"/>
              <w:rPr>
                <w:sz w:val="20"/>
                <w:szCs w:val="20"/>
                <w:color w:val="auto"/>
              </w:rPr>
            </w:pPr>
            <w:r>
              <w:rPr>
                <w:rFonts w:ascii="Arial" w:cs="Arial" w:eastAsia="Arial" w:hAnsi="Arial"/>
                <w:sz w:val="14"/>
                <w:szCs w:val="14"/>
                <w:color w:val="auto"/>
              </w:rPr>
              <w:t>—</w:t>
            </w:r>
          </w:p>
        </w:tc>
        <w:tc>
          <w:tcPr>
            <w:tcW w:w="840" w:type="dxa"/>
            <w:vAlign w:val="bottom"/>
          </w:tcPr>
          <w:p>
            <w:pPr>
              <w:jc w:val="right"/>
              <w:ind w:right="32"/>
              <w:spacing w:after="0" w:line="14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750" w:type="dxa"/>
            <w:vAlign w:val="bottom"/>
          </w:tcPr>
          <w:p>
            <w:pPr>
              <w:spacing w:after="0"/>
              <w:rPr>
                <w:sz w:val="12"/>
                <w:szCs w:val="12"/>
                <w:color w:val="auto"/>
              </w:rPr>
            </w:pPr>
          </w:p>
        </w:tc>
        <w:tc>
          <w:tcPr>
            <w:tcW w:w="510" w:type="dxa"/>
            <w:vAlign w:val="bottom"/>
          </w:tcPr>
          <w:p>
            <w:pPr>
              <w:jc w:val="center"/>
              <w:spacing w:after="0" w:line="149" w:lineRule="exact"/>
              <w:rPr>
                <w:sz w:val="20"/>
                <w:szCs w:val="20"/>
                <w:color w:val="auto"/>
              </w:rPr>
            </w:pPr>
            <w:r>
              <w:rPr>
                <w:rFonts w:ascii="Arial" w:cs="Arial" w:eastAsia="Arial" w:hAnsi="Arial"/>
                <w:sz w:val="14"/>
                <w:szCs w:val="14"/>
                <w:color w:val="auto"/>
                <w:w w:val="95"/>
              </w:rPr>
              <w:t>Options</w:t>
            </w:r>
          </w:p>
        </w:tc>
        <w:tc>
          <w:tcPr>
            <w:tcW w:w="800" w:type="dxa"/>
            <w:vAlign w:val="bottom"/>
          </w:tcPr>
          <w:p>
            <w:pPr>
              <w:jc w:val="center"/>
              <w:spacing w:after="0" w:line="149" w:lineRule="exact"/>
              <w:rPr>
                <w:sz w:val="20"/>
                <w:szCs w:val="20"/>
                <w:color w:val="auto"/>
              </w:rPr>
            </w:pPr>
            <w:r>
              <w:rPr>
                <w:rFonts w:ascii="Arial" w:cs="Arial" w:eastAsia="Arial" w:hAnsi="Arial"/>
                <w:sz w:val="14"/>
                <w:szCs w:val="14"/>
                <w:color w:val="auto"/>
                <w:w w:val="95"/>
              </w:rPr>
              <w:t>3/4/2016</w:t>
            </w:r>
          </w:p>
        </w:tc>
        <w:tc>
          <w:tcPr>
            <w:tcW w:w="7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27,033</w:t>
            </w:r>
          </w:p>
        </w:tc>
        <w:tc>
          <w:tcPr>
            <w:tcW w:w="76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33.82</w:t>
            </w:r>
          </w:p>
        </w:tc>
        <w:tc>
          <w:tcPr>
            <w:tcW w:w="8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190,591</w:t>
            </w:r>
          </w:p>
        </w:tc>
        <w:tc>
          <w:tcPr>
            <w:tcW w:w="0" w:type="dxa"/>
            <w:vAlign w:val="bottom"/>
          </w:tcPr>
          <w:p>
            <w:pPr>
              <w:spacing w:after="0"/>
              <w:rPr>
                <w:sz w:val="1"/>
                <w:szCs w:val="1"/>
                <w:color w:val="auto"/>
              </w:rPr>
            </w:pPr>
          </w:p>
        </w:tc>
      </w:tr>
      <w:tr>
        <w:trPr>
          <w:trHeight w:val="149"/>
        </w:trPr>
        <w:tc>
          <w:tcPr>
            <w:tcW w:w="2750" w:type="dxa"/>
            <w:vAlign w:val="bottom"/>
          </w:tcPr>
          <w:p>
            <w:pPr>
              <w:spacing w:after="0"/>
              <w:rPr>
                <w:sz w:val="12"/>
                <w:szCs w:val="12"/>
                <w:color w:val="auto"/>
              </w:rPr>
            </w:pPr>
          </w:p>
        </w:tc>
        <w:tc>
          <w:tcPr>
            <w:tcW w:w="510" w:type="dxa"/>
            <w:vAlign w:val="bottom"/>
          </w:tcPr>
          <w:p>
            <w:pPr>
              <w:jc w:val="center"/>
              <w:spacing w:after="0" w:line="149" w:lineRule="exact"/>
              <w:rPr>
                <w:sz w:val="20"/>
                <w:szCs w:val="20"/>
                <w:color w:val="auto"/>
              </w:rPr>
            </w:pPr>
            <w:r>
              <w:rPr>
                <w:rFonts w:ascii="Arial" w:cs="Arial" w:eastAsia="Arial" w:hAnsi="Arial"/>
                <w:sz w:val="14"/>
                <w:szCs w:val="14"/>
                <w:color w:val="auto"/>
                <w:w w:val="97"/>
              </w:rPr>
              <w:t>PRSU</w:t>
            </w:r>
          </w:p>
        </w:tc>
        <w:tc>
          <w:tcPr>
            <w:tcW w:w="800" w:type="dxa"/>
            <w:vAlign w:val="bottom"/>
          </w:tcPr>
          <w:p>
            <w:pPr>
              <w:jc w:val="center"/>
              <w:spacing w:after="0" w:line="149" w:lineRule="exact"/>
              <w:rPr>
                <w:sz w:val="20"/>
                <w:szCs w:val="20"/>
                <w:color w:val="auto"/>
              </w:rPr>
            </w:pPr>
            <w:r>
              <w:rPr>
                <w:rFonts w:ascii="Arial" w:cs="Arial" w:eastAsia="Arial" w:hAnsi="Arial"/>
                <w:sz w:val="14"/>
                <w:szCs w:val="14"/>
                <w:color w:val="auto"/>
                <w:w w:val="95"/>
              </w:rPr>
              <w:t>3/4/2016</w:t>
            </w:r>
          </w:p>
        </w:tc>
        <w:tc>
          <w:tcPr>
            <w:tcW w:w="7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5,901</w:t>
            </w: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270,030</w:t>
            </w:r>
          </w:p>
        </w:tc>
        <w:tc>
          <w:tcPr>
            <w:tcW w:w="0" w:type="dxa"/>
            <w:vAlign w:val="bottom"/>
          </w:tcPr>
          <w:p>
            <w:pPr>
              <w:spacing w:after="0"/>
              <w:rPr>
                <w:sz w:val="1"/>
                <w:szCs w:val="1"/>
                <w:color w:val="auto"/>
              </w:rPr>
            </w:pPr>
          </w:p>
        </w:tc>
      </w:tr>
      <w:tr>
        <w:trPr>
          <w:trHeight w:val="149"/>
        </w:trPr>
        <w:tc>
          <w:tcPr>
            <w:tcW w:w="2750" w:type="dxa"/>
            <w:vAlign w:val="bottom"/>
          </w:tcPr>
          <w:p>
            <w:pPr>
              <w:spacing w:after="0"/>
              <w:rPr>
                <w:sz w:val="12"/>
                <w:szCs w:val="12"/>
                <w:color w:val="auto"/>
              </w:rPr>
            </w:pPr>
          </w:p>
        </w:tc>
        <w:tc>
          <w:tcPr>
            <w:tcW w:w="510" w:type="dxa"/>
            <w:vAlign w:val="bottom"/>
          </w:tcPr>
          <w:p>
            <w:pPr>
              <w:jc w:val="center"/>
              <w:spacing w:after="0" w:line="149" w:lineRule="exact"/>
              <w:rPr>
                <w:sz w:val="20"/>
                <w:szCs w:val="20"/>
                <w:color w:val="auto"/>
              </w:rPr>
            </w:pPr>
            <w:r>
              <w:rPr>
                <w:rFonts w:ascii="Arial" w:cs="Arial" w:eastAsia="Arial" w:hAnsi="Arial"/>
                <w:sz w:val="14"/>
                <w:szCs w:val="14"/>
                <w:color w:val="auto"/>
                <w:w w:val="92"/>
              </w:rPr>
              <w:t>PSA</w:t>
            </w:r>
          </w:p>
        </w:tc>
        <w:tc>
          <w:tcPr>
            <w:tcW w:w="800" w:type="dxa"/>
            <w:vAlign w:val="bottom"/>
          </w:tcPr>
          <w:p>
            <w:pPr>
              <w:jc w:val="center"/>
              <w:spacing w:after="0" w:line="149" w:lineRule="exact"/>
              <w:rPr>
                <w:sz w:val="20"/>
                <w:szCs w:val="20"/>
                <w:color w:val="auto"/>
              </w:rPr>
            </w:pPr>
            <w:r>
              <w:rPr>
                <w:rFonts w:ascii="Arial" w:cs="Arial" w:eastAsia="Arial" w:hAnsi="Arial"/>
                <w:sz w:val="14"/>
                <w:szCs w:val="14"/>
                <w:color w:val="auto"/>
                <w:w w:val="95"/>
              </w:rPr>
              <w:t>3/4/2016</w:t>
            </w:r>
          </w:p>
        </w:tc>
        <w:tc>
          <w:tcPr>
            <w:tcW w:w="7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4,917</w:t>
            </w:r>
          </w:p>
        </w:tc>
        <w:tc>
          <w:tcPr>
            <w:tcW w:w="6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9,834</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14,751</w:t>
            </w:r>
          </w:p>
        </w:tc>
        <w:tc>
          <w:tcPr>
            <w:tcW w:w="8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450,042</w:t>
            </w:r>
          </w:p>
        </w:tc>
        <w:tc>
          <w:tcPr>
            <w:tcW w:w="0" w:type="dxa"/>
            <w:vAlign w:val="bottom"/>
          </w:tcPr>
          <w:p>
            <w:pPr>
              <w:spacing w:after="0"/>
              <w:rPr>
                <w:sz w:val="1"/>
                <w:szCs w:val="1"/>
                <w:color w:val="auto"/>
              </w:rPr>
            </w:pPr>
          </w:p>
        </w:tc>
      </w:tr>
      <w:tr>
        <w:trPr>
          <w:trHeight w:val="148"/>
        </w:trPr>
        <w:tc>
          <w:tcPr>
            <w:tcW w:w="2750" w:type="dxa"/>
            <w:vAlign w:val="bottom"/>
            <w:shd w:val="clear" w:color="auto" w:fill="ACABA7"/>
          </w:tcPr>
          <w:p>
            <w:pPr>
              <w:ind w:left="80"/>
              <w:spacing w:after="0" w:line="148" w:lineRule="exact"/>
              <w:rPr>
                <w:sz w:val="20"/>
                <w:szCs w:val="20"/>
                <w:color w:val="auto"/>
              </w:rPr>
            </w:pPr>
            <w:r>
              <w:rPr>
                <w:rFonts w:ascii="Arial" w:cs="Arial" w:eastAsia="Arial" w:hAnsi="Arial"/>
                <w:sz w:val="14"/>
                <w:szCs w:val="14"/>
                <w:color w:val="auto"/>
              </w:rPr>
              <w:t>Ms. Allen</w:t>
            </w:r>
          </w:p>
        </w:tc>
        <w:tc>
          <w:tcPr>
            <w:tcW w:w="510" w:type="dxa"/>
            <w:vAlign w:val="bottom"/>
            <w:shd w:val="clear" w:color="auto" w:fill="ACABA7"/>
          </w:tcPr>
          <w:p>
            <w:pPr>
              <w:jc w:val="center"/>
              <w:spacing w:after="0" w:line="148" w:lineRule="exact"/>
              <w:rPr>
                <w:sz w:val="20"/>
                <w:szCs w:val="20"/>
                <w:color w:val="auto"/>
              </w:rPr>
            </w:pPr>
            <w:r>
              <w:rPr>
                <w:rFonts w:ascii="Arial" w:cs="Arial" w:eastAsia="Arial" w:hAnsi="Arial"/>
                <w:sz w:val="14"/>
                <w:szCs w:val="14"/>
                <w:color w:val="auto"/>
                <w:w w:val="97"/>
              </w:rPr>
              <w:t>Cash</w:t>
            </w:r>
          </w:p>
        </w:tc>
        <w:tc>
          <w:tcPr>
            <w:tcW w:w="800" w:type="dxa"/>
            <w:vAlign w:val="bottom"/>
            <w:shd w:val="clear" w:color="auto" w:fill="ACABA7"/>
          </w:tcPr>
          <w:p>
            <w:pPr>
              <w:jc w:val="center"/>
              <w:spacing w:after="0" w:line="148" w:lineRule="exact"/>
              <w:rPr>
                <w:sz w:val="20"/>
                <w:szCs w:val="20"/>
                <w:color w:val="auto"/>
              </w:rPr>
            </w:pPr>
            <w:r>
              <w:rPr>
                <w:rFonts w:ascii="Arial" w:cs="Arial" w:eastAsia="Arial" w:hAnsi="Arial"/>
                <w:sz w:val="14"/>
                <w:szCs w:val="14"/>
                <w:color w:val="auto"/>
                <w:w w:val="96"/>
              </w:rPr>
              <w:t>2/18/2016</w:t>
            </w:r>
          </w:p>
        </w:tc>
        <w:tc>
          <w:tcPr>
            <w:tcW w:w="700" w:type="dxa"/>
            <w:vAlign w:val="bottom"/>
            <w:shd w:val="clear" w:color="auto" w:fill="ACABA7"/>
          </w:tcPr>
          <w:p>
            <w:pPr>
              <w:jc w:val="right"/>
              <w:ind w:right="32"/>
              <w:spacing w:after="0" w:line="148" w:lineRule="exact"/>
              <w:rPr>
                <w:sz w:val="20"/>
                <w:szCs w:val="20"/>
                <w:color w:val="auto"/>
              </w:rPr>
            </w:pPr>
            <w:r>
              <w:rPr>
                <w:rFonts w:ascii="Arial" w:cs="Arial" w:eastAsia="Arial" w:hAnsi="Arial"/>
                <w:sz w:val="14"/>
                <w:szCs w:val="14"/>
                <w:color w:val="auto"/>
              </w:rPr>
              <w:t>127,980</w:t>
            </w:r>
          </w:p>
        </w:tc>
        <w:tc>
          <w:tcPr>
            <w:tcW w:w="780" w:type="dxa"/>
            <w:vAlign w:val="bottom"/>
            <w:shd w:val="clear" w:color="auto" w:fill="ACABA7"/>
          </w:tcPr>
          <w:p>
            <w:pPr>
              <w:jc w:val="right"/>
              <w:ind w:right="12"/>
              <w:spacing w:after="0" w:line="148" w:lineRule="exact"/>
              <w:rPr>
                <w:sz w:val="20"/>
                <w:szCs w:val="20"/>
                <w:color w:val="auto"/>
              </w:rPr>
            </w:pPr>
            <w:r>
              <w:rPr>
                <w:rFonts w:ascii="Arial" w:cs="Arial" w:eastAsia="Arial" w:hAnsi="Arial"/>
                <w:sz w:val="14"/>
                <w:szCs w:val="14"/>
                <w:color w:val="auto"/>
              </w:rPr>
              <w:t>237,000</w:t>
            </w:r>
          </w:p>
        </w:tc>
        <w:tc>
          <w:tcPr>
            <w:tcW w:w="820" w:type="dxa"/>
            <w:vAlign w:val="bottom"/>
            <w:gridSpan w:val="2"/>
            <w:shd w:val="clear" w:color="auto" w:fill="ACABA7"/>
          </w:tcPr>
          <w:p>
            <w:pPr>
              <w:jc w:val="right"/>
              <w:ind w:right="120"/>
              <w:spacing w:after="0" w:line="148" w:lineRule="exact"/>
              <w:rPr>
                <w:sz w:val="20"/>
                <w:szCs w:val="20"/>
                <w:color w:val="auto"/>
              </w:rPr>
            </w:pPr>
            <w:r>
              <w:rPr>
                <w:rFonts w:ascii="Arial" w:cs="Arial" w:eastAsia="Arial" w:hAnsi="Arial"/>
                <w:sz w:val="14"/>
                <w:szCs w:val="14"/>
                <w:color w:val="auto"/>
              </w:rPr>
              <w:t>373,275</w:t>
            </w:r>
          </w:p>
        </w:tc>
        <w:tc>
          <w:tcPr>
            <w:tcW w:w="660" w:type="dxa"/>
            <w:vAlign w:val="bottom"/>
            <w:shd w:val="clear" w:color="auto" w:fill="ACABA7"/>
          </w:tcPr>
          <w:p>
            <w:pPr>
              <w:jc w:val="right"/>
              <w:spacing w:after="0" w:line="148" w:lineRule="exact"/>
              <w:rPr>
                <w:sz w:val="20"/>
                <w:szCs w:val="20"/>
                <w:color w:val="auto"/>
              </w:rPr>
            </w:pPr>
            <w:r>
              <w:rPr>
                <w:rFonts w:ascii="Arial" w:cs="Arial" w:eastAsia="Arial" w:hAnsi="Arial"/>
                <w:sz w:val="14"/>
                <w:szCs w:val="14"/>
                <w:color w:val="auto"/>
              </w:rPr>
              <w:t>—</w:t>
            </w:r>
          </w:p>
        </w:tc>
        <w:tc>
          <w:tcPr>
            <w:tcW w:w="640" w:type="dxa"/>
            <w:vAlign w:val="bottom"/>
            <w:shd w:val="clear" w:color="auto" w:fill="ACABA7"/>
          </w:tcPr>
          <w:p>
            <w:pPr>
              <w:jc w:val="right"/>
              <w:ind w:right="12"/>
              <w:spacing w:after="0" w:line="148"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ACABA7"/>
          </w:tcPr>
          <w:p>
            <w:pPr>
              <w:jc w:val="right"/>
              <w:ind w:right="80"/>
              <w:spacing w:after="0" w:line="148" w:lineRule="exact"/>
              <w:rPr>
                <w:sz w:val="20"/>
                <w:szCs w:val="20"/>
                <w:color w:val="auto"/>
              </w:rPr>
            </w:pPr>
            <w:r>
              <w:rPr>
                <w:rFonts w:ascii="Arial" w:cs="Arial" w:eastAsia="Arial" w:hAnsi="Arial"/>
                <w:sz w:val="14"/>
                <w:szCs w:val="14"/>
                <w:color w:val="auto"/>
              </w:rPr>
              <w:t>—</w:t>
            </w:r>
          </w:p>
        </w:tc>
        <w:tc>
          <w:tcPr>
            <w:tcW w:w="760" w:type="dxa"/>
            <w:vAlign w:val="bottom"/>
            <w:shd w:val="clear" w:color="auto" w:fill="ACABA7"/>
          </w:tcPr>
          <w:p>
            <w:pPr>
              <w:jc w:val="right"/>
              <w:spacing w:after="0" w:line="148" w:lineRule="exact"/>
              <w:rPr>
                <w:sz w:val="20"/>
                <w:szCs w:val="20"/>
                <w:color w:val="auto"/>
              </w:rPr>
            </w:pPr>
            <w:r>
              <w:rPr>
                <w:rFonts w:ascii="Arial" w:cs="Arial" w:eastAsia="Arial" w:hAnsi="Arial"/>
                <w:sz w:val="14"/>
                <w:szCs w:val="14"/>
                <w:color w:val="auto"/>
              </w:rPr>
              <w:t>—</w:t>
            </w:r>
          </w:p>
        </w:tc>
        <w:tc>
          <w:tcPr>
            <w:tcW w:w="760" w:type="dxa"/>
            <w:vAlign w:val="bottom"/>
            <w:shd w:val="clear" w:color="auto" w:fill="ACABA7"/>
          </w:tcPr>
          <w:p>
            <w:pPr>
              <w:jc w:val="right"/>
              <w:ind w:right="12"/>
              <w:spacing w:after="0" w:line="148" w:lineRule="exact"/>
              <w:rPr>
                <w:sz w:val="20"/>
                <w:szCs w:val="20"/>
                <w:color w:val="auto"/>
              </w:rPr>
            </w:pPr>
            <w:r>
              <w:rPr>
                <w:rFonts w:ascii="Arial" w:cs="Arial" w:eastAsia="Arial" w:hAnsi="Arial"/>
                <w:sz w:val="14"/>
                <w:szCs w:val="14"/>
                <w:color w:val="auto"/>
              </w:rPr>
              <w:t>—</w:t>
            </w:r>
          </w:p>
        </w:tc>
        <w:tc>
          <w:tcPr>
            <w:tcW w:w="680" w:type="dxa"/>
            <w:vAlign w:val="bottom"/>
            <w:shd w:val="clear" w:color="auto" w:fill="ACABA7"/>
          </w:tcPr>
          <w:p>
            <w:pPr>
              <w:jc w:val="right"/>
              <w:spacing w:after="0" w:line="148" w:lineRule="exact"/>
              <w:rPr>
                <w:sz w:val="20"/>
                <w:szCs w:val="20"/>
                <w:color w:val="auto"/>
              </w:rPr>
            </w:pPr>
            <w:r>
              <w:rPr>
                <w:rFonts w:ascii="Arial" w:cs="Arial" w:eastAsia="Arial" w:hAnsi="Arial"/>
                <w:sz w:val="14"/>
                <w:szCs w:val="14"/>
                <w:color w:val="auto"/>
              </w:rPr>
              <w:t>—</w:t>
            </w:r>
          </w:p>
        </w:tc>
        <w:tc>
          <w:tcPr>
            <w:tcW w:w="840" w:type="dxa"/>
            <w:vAlign w:val="bottom"/>
            <w:shd w:val="clear" w:color="auto" w:fill="ACABA7"/>
          </w:tcPr>
          <w:p>
            <w:pPr>
              <w:jc w:val="right"/>
              <w:ind w:right="32"/>
              <w:spacing w:after="0" w:line="14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750" w:type="dxa"/>
            <w:vAlign w:val="bottom"/>
            <w:shd w:val="clear" w:color="auto" w:fill="ACABA7"/>
          </w:tcPr>
          <w:p>
            <w:pPr>
              <w:spacing w:after="0"/>
              <w:rPr>
                <w:sz w:val="12"/>
                <w:szCs w:val="12"/>
                <w:color w:val="auto"/>
              </w:rPr>
            </w:pPr>
          </w:p>
        </w:tc>
        <w:tc>
          <w:tcPr>
            <w:tcW w:w="510" w:type="dxa"/>
            <w:vAlign w:val="bottom"/>
            <w:shd w:val="clear" w:color="auto" w:fill="ACABA7"/>
          </w:tcPr>
          <w:p>
            <w:pPr>
              <w:jc w:val="center"/>
              <w:spacing w:after="0" w:line="149" w:lineRule="exact"/>
              <w:rPr>
                <w:sz w:val="20"/>
                <w:szCs w:val="20"/>
                <w:color w:val="auto"/>
              </w:rPr>
            </w:pPr>
            <w:r>
              <w:rPr>
                <w:rFonts w:ascii="Arial" w:cs="Arial" w:eastAsia="Arial" w:hAnsi="Arial"/>
                <w:sz w:val="14"/>
                <w:szCs w:val="14"/>
                <w:color w:val="auto"/>
                <w:w w:val="95"/>
              </w:rPr>
              <w:t>Options</w:t>
            </w:r>
          </w:p>
        </w:tc>
        <w:tc>
          <w:tcPr>
            <w:tcW w:w="800" w:type="dxa"/>
            <w:vAlign w:val="bottom"/>
            <w:shd w:val="clear" w:color="auto" w:fill="ACABA7"/>
          </w:tcPr>
          <w:p>
            <w:pPr>
              <w:jc w:val="center"/>
              <w:spacing w:after="0" w:line="149" w:lineRule="exact"/>
              <w:rPr>
                <w:sz w:val="20"/>
                <w:szCs w:val="20"/>
                <w:color w:val="auto"/>
              </w:rPr>
            </w:pPr>
            <w:r>
              <w:rPr>
                <w:rFonts w:ascii="Arial" w:cs="Arial" w:eastAsia="Arial" w:hAnsi="Arial"/>
                <w:sz w:val="14"/>
                <w:szCs w:val="14"/>
                <w:color w:val="auto"/>
                <w:w w:val="95"/>
              </w:rPr>
              <w:t>3/4/2016</w:t>
            </w:r>
          </w:p>
        </w:tc>
        <w:tc>
          <w:tcPr>
            <w:tcW w:w="700" w:type="dxa"/>
            <w:vAlign w:val="bottom"/>
            <w:shd w:val="clear" w:color="auto" w:fill="ACABA7"/>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ACABA7"/>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ACABA7"/>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ACABA7"/>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ACABA7"/>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ACABA7"/>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760" w:type="dxa"/>
            <w:vAlign w:val="bottom"/>
            <w:shd w:val="clear" w:color="auto" w:fill="ACABA7"/>
          </w:tcPr>
          <w:p>
            <w:pPr>
              <w:jc w:val="right"/>
              <w:spacing w:after="0" w:line="149" w:lineRule="exact"/>
              <w:rPr>
                <w:sz w:val="20"/>
                <w:szCs w:val="20"/>
                <w:color w:val="auto"/>
              </w:rPr>
            </w:pPr>
            <w:r>
              <w:rPr>
                <w:rFonts w:ascii="Arial" w:cs="Arial" w:eastAsia="Arial" w:hAnsi="Arial"/>
                <w:sz w:val="14"/>
                <w:szCs w:val="14"/>
                <w:color w:val="auto"/>
              </w:rPr>
              <w:t>16,520</w:t>
            </w:r>
          </w:p>
        </w:tc>
        <w:tc>
          <w:tcPr>
            <w:tcW w:w="760" w:type="dxa"/>
            <w:vAlign w:val="bottom"/>
            <w:shd w:val="clear" w:color="auto" w:fill="ACABA7"/>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ACABA7"/>
          </w:tcPr>
          <w:p>
            <w:pPr>
              <w:jc w:val="right"/>
              <w:spacing w:after="0" w:line="149" w:lineRule="exact"/>
              <w:rPr>
                <w:sz w:val="20"/>
                <w:szCs w:val="20"/>
                <w:color w:val="auto"/>
              </w:rPr>
            </w:pPr>
            <w:r>
              <w:rPr>
                <w:rFonts w:ascii="Arial" w:cs="Arial" w:eastAsia="Arial" w:hAnsi="Arial"/>
                <w:sz w:val="14"/>
                <w:szCs w:val="14"/>
                <w:color w:val="auto"/>
              </w:rPr>
              <w:t>33.82</w:t>
            </w:r>
          </w:p>
        </w:tc>
        <w:tc>
          <w:tcPr>
            <w:tcW w:w="840" w:type="dxa"/>
            <w:vAlign w:val="bottom"/>
            <w:shd w:val="clear" w:color="auto" w:fill="ACABA7"/>
          </w:tcPr>
          <w:p>
            <w:pPr>
              <w:jc w:val="right"/>
              <w:ind w:right="32"/>
              <w:spacing w:after="0" w:line="149" w:lineRule="exact"/>
              <w:rPr>
                <w:sz w:val="20"/>
                <w:szCs w:val="20"/>
                <w:color w:val="auto"/>
              </w:rPr>
            </w:pPr>
            <w:r>
              <w:rPr>
                <w:rFonts w:ascii="Arial" w:cs="Arial" w:eastAsia="Arial" w:hAnsi="Arial"/>
                <w:sz w:val="14"/>
                <w:szCs w:val="14"/>
                <w:color w:val="auto"/>
              </w:rPr>
              <w:t>116,471</w:t>
            </w:r>
          </w:p>
        </w:tc>
        <w:tc>
          <w:tcPr>
            <w:tcW w:w="0" w:type="dxa"/>
            <w:vAlign w:val="bottom"/>
          </w:tcPr>
          <w:p>
            <w:pPr>
              <w:spacing w:after="0"/>
              <w:rPr>
                <w:sz w:val="1"/>
                <w:szCs w:val="1"/>
                <w:color w:val="auto"/>
              </w:rPr>
            </w:pPr>
          </w:p>
        </w:tc>
      </w:tr>
      <w:tr>
        <w:trPr>
          <w:trHeight w:val="149"/>
        </w:trPr>
        <w:tc>
          <w:tcPr>
            <w:tcW w:w="2750" w:type="dxa"/>
            <w:vAlign w:val="bottom"/>
            <w:shd w:val="clear" w:color="auto" w:fill="ACABA7"/>
          </w:tcPr>
          <w:p>
            <w:pPr>
              <w:spacing w:after="0"/>
              <w:rPr>
                <w:sz w:val="12"/>
                <w:szCs w:val="12"/>
                <w:color w:val="auto"/>
              </w:rPr>
            </w:pPr>
          </w:p>
        </w:tc>
        <w:tc>
          <w:tcPr>
            <w:tcW w:w="510" w:type="dxa"/>
            <w:vAlign w:val="bottom"/>
            <w:shd w:val="clear" w:color="auto" w:fill="ACABA7"/>
          </w:tcPr>
          <w:p>
            <w:pPr>
              <w:jc w:val="center"/>
              <w:spacing w:after="0" w:line="149" w:lineRule="exact"/>
              <w:rPr>
                <w:sz w:val="20"/>
                <w:szCs w:val="20"/>
                <w:color w:val="auto"/>
              </w:rPr>
            </w:pPr>
            <w:r>
              <w:rPr>
                <w:rFonts w:ascii="Arial" w:cs="Arial" w:eastAsia="Arial" w:hAnsi="Arial"/>
                <w:sz w:val="14"/>
                <w:szCs w:val="14"/>
                <w:color w:val="auto"/>
                <w:w w:val="97"/>
              </w:rPr>
              <w:t>PRSU</w:t>
            </w:r>
          </w:p>
        </w:tc>
        <w:tc>
          <w:tcPr>
            <w:tcW w:w="800" w:type="dxa"/>
            <w:vAlign w:val="bottom"/>
            <w:shd w:val="clear" w:color="auto" w:fill="ACABA7"/>
          </w:tcPr>
          <w:p>
            <w:pPr>
              <w:jc w:val="center"/>
              <w:spacing w:after="0" w:line="149" w:lineRule="exact"/>
              <w:rPr>
                <w:sz w:val="20"/>
                <w:szCs w:val="20"/>
                <w:color w:val="auto"/>
              </w:rPr>
            </w:pPr>
            <w:r>
              <w:rPr>
                <w:rFonts w:ascii="Arial" w:cs="Arial" w:eastAsia="Arial" w:hAnsi="Arial"/>
                <w:sz w:val="14"/>
                <w:szCs w:val="14"/>
                <w:color w:val="auto"/>
                <w:w w:val="95"/>
              </w:rPr>
              <w:t>3/4/2016</w:t>
            </w:r>
          </w:p>
        </w:tc>
        <w:tc>
          <w:tcPr>
            <w:tcW w:w="700" w:type="dxa"/>
            <w:vAlign w:val="bottom"/>
            <w:shd w:val="clear" w:color="auto" w:fill="ACABA7"/>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ACABA7"/>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ACABA7"/>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ACABA7"/>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ACABA7"/>
          </w:tcPr>
          <w:p>
            <w:pPr>
              <w:jc w:val="right"/>
              <w:ind w:right="12"/>
              <w:spacing w:after="0" w:line="149" w:lineRule="exact"/>
              <w:rPr>
                <w:sz w:val="20"/>
                <w:szCs w:val="20"/>
                <w:color w:val="auto"/>
              </w:rPr>
            </w:pPr>
            <w:r>
              <w:rPr>
                <w:rFonts w:ascii="Arial" w:cs="Arial" w:eastAsia="Arial" w:hAnsi="Arial"/>
                <w:sz w:val="14"/>
                <w:szCs w:val="14"/>
                <w:color w:val="auto"/>
              </w:rPr>
              <w:t>3,606</w:t>
            </w:r>
          </w:p>
        </w:tc>
        <w:tc>
          <w:tcPr>
            <w:tcW w:w="720" w:type="dxa"/>
            <w:vAlign w:val="bottom"/>
            <w:gridSpan w:val="2"/>
            <w:shd w:val="clear" w:color="auto" w:fill="ACABA7"/>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760" w:type="dxa"/>
            <w:vAlign w:val="bottom"/>
            <w:shd w:val="clear" w:color="auto" w:fill="ACABA7"/>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shd w:val="clear" w:color="auto" w:fill="ACABA7"/>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ACABA7"/>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shd w:val="clear" w:color="auto" w:fill="ACABA7"/>
          </w:tcPr>
          <w:p>
            <w:pPr>
              <w:jc w:val="right"/>
              <w:ind w:right="32"/>
              <w:spacing w:after="0" w:line="149" w:lineRule="exact"/>
              <w:rPr>
                <w:sz w:val="20"/>
                <w:szCs w:val="20"/>
                <w:color w:val="auto"/>
              </w:rPr>
            </w:pPr>
            <w:r>
              <w:rPr>
                <w:rFonts w:ascii="Arial" w:cs="Arial" w:eastAsia="Arial" w:hAnsi="Arial"/>
                <w:sz w:val="14"/>
                <w:szCs w:val="14"/>
                <w:color w:val="auto"/>
              </w:rPr>
              <w:t>165,011</w:t>
            </w:r>
          </w:p>
        </w:tc>
        <w:tc>
          <w:tcPr>
            <w:tcW w:w="0" w:type="dxa"/>
            <w:vAlign w:val="bottom"/>
          </w:tcPr>
          <w:p>
            <w:pPr>
              <w:spacing w:after="0"/>
              <w:rPr>
                <w:sz w:val="1"/>
                <w:szCs w:val="1"/>
                <w:color w:val="auto"/>
              </w:rPr>
            </w:pPr>
          </w:p>
        </w:tc>
      </w:tr>
      <w:tr>
        <w:trPr>
          <w:trHeight w:val="149"/>
        </w:trPr>
        <w:tc>
          <w:tcPr>
            <w:tcW w:w="2750" w:type="dxa"/>
            <w:vAlign w:val="bottom"/>
            <w:shd w:val="clear" w:color="auto" w:fill="ACABA7"/>
          </w:tcPr>
          <w:p>
            <w:pPr>
              <w:spacing w:after="0"/>
              <w:rPr>
                <w:sz w:val="12"/>
                <w:szCs w:val="12"/>
                <w:color w:val="auto"/>
              </w:rPr>
            </w:pPr>
          </w:p>
        </w:tc>
        <w:tc>
          <w:tcPr>
            <w:tcW w:w="510" w:type="dxa"/>
            <w:vAlign w:val="bottom"/>
            <w:shd w:val="clear" w:color="auto" w:fill="ACABA7"/>
          </w:tcPr>
          <w:p>
            <w:pPr>
              <w:jc w:val="center"/>
              <w:spacing w:after="0" w:line="149" w:lineRule="exact"/>
              <w:rPr>
                <w:sz w:val="20"/>
                <w:szCs w:val="20"/>
                <w:color w:val="auto"/>
              </w:rPr>
            </w:pPr>
            <w:r>
              <w:rPr>
                <w:rFonts w:ascii="Arial" w:cs="Arial" w:eastAsia="Arial" w:hAnsi="Arial"/>
                <w:sz w:val="14"/>
                <w:szCs w:val="14"/>
                <w:color w:val="auto"/>
                <w:w w:val="92"/>
              </w:rPr>
              <w:t>PSA</w:t>
            </w:r>
          </w:p>
        </w:tc>
        <w:tc>
          <w:tcPr>
            <w:tcW w:w="800" w:type="dxa"/>
            <w:vAlign w:val="bottom"/>
            <w:shd w:val="clear" w:color="auto" w:fill="ACABA7"/>
          </w:tcPr>
          <w:p>
            <w:pPr>
              <w:jc w:val="center"/>
              <w:spacing w:after="0" w:line="149" w:lineRule="exact"/>
              <w:rPr>
                <w:sz w:val="20"/>
                <w:szCs w:val="20"/>
                <w:color w:val="auto"/>
              </w:rPr>
            </w:pPr>
            <w:r>
              <w:rPr>
                <w:rFonts w:ascii="Arial" w:cs="Arial" w:eastAsia="Arial" w:hAnsi="Arial"/>
                <w:sz w:val="14"/>
                <w:szCs w:val="14"/>
                <w:color w:val="auto"/>
                <w:w w:val="96"/>
              </w:rPr>
              <w:t>2/18/2016</w:t>
            </w:r>
          </w:p>
        </w:tc>
        <w:tc>
          <w:tcPr>
            <w:tcW w:w="700" w:type="dxa"/>
            <w:vAlign w:val="bottom"/>
            <w:shd w:val="clear" w:color="auto" w:fill="ACABA7"/>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ACABA7"/>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ACABA7"/>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ACABA7"/>
          </w:tcPr>
          <w:p>
            <w:pPr>
              <w:jc w:val="right"/>
              <w:spacing w:after="0" w:line="149" w:lineRule="exact"/>
              <w:rPr>
                <w:sz w:val="20"/>
                <w:szCs w:val="20"/>
                <w:color w:val="auto"/>
              </w:rPr>
            </w:pPr>
            <w:r>
              <w:rPr>
                <w:rFonts w:ascii="Arial" w:cs="Arial" w:eastAsia="Arial" w:hAnsi="Arial"/>
                <w:sz w:val="14"/>
                <w:szCs w:val="14"/>
                <w:color w:val="auto"/>
              </w:rPr>
              <w:t>1,188</w:t>
            </w:r>
          </w:p>
        </w:tc>
        <w:tc>
          <w:tcPr>
            <w:tcW w:w="640" w:type="dxa"/>
            <w:vAlign w:val="bottom"/>
            <w:shd w:val="clear" w:color="auto" w:fill="ACABA7"/>
          </w:tcPr>
          <w:p>
            <w:pPr>
              <w:jc w:val="right"/>
              <w:ind w:right="12"/>
              <w:spacing w:after="0" w:line="149" w:lineRule="exact"/>
              <w:rPr>
                <w:sz w:val="20"/>
                <w:szCs w:val="20"/>
                <w:color w:val="auto"/>
              </w:rPr>
            </w:pPr>
            <w:r>
              <w:rPr>
                <w:rFonts w:ascii="Arial" w:cs="Arial" w:eastAsia="Arial" w:hAnsi="Arial"/>
                <w:sz w:val="14"/>
                <w:szCs w:val="14"/>
                <w:color w:val="auto"/>
              </w:rPr>
              <w:t>2,375</w:t>
            </w:r>
          </w:p>
        </w:tc>
        <w:tc>
          <w:tcPr>
            <w:tcW w:w="720" w:type="dxa"/>
            <w:vAlign w:val="bottom"/>
            <w:gridSpan w:val="2"/>
            <w:shd w:val="clear" w:color="auto" w:fill="ACABA7"/>
          </w:tcPr>
          <w:p>
            <w:pPr>
              <w:jc w:val="right"/>
              <w:ind w:right="80"/>
              <w:spacing w:after="0" w:line="149" w:lineRule="exact"/>
              <w:rPr>
                <w:sz w:val="20"/>
                <w:szCs w:val="20"/>
                <w:color w:val="auto"/>
              </w:rPr>
            </w:pPr>
            <w:r>
              <w:rPr>
                <w:rFonts w:ascii="Arial" w:cs="Arial" w:eastAsia="Arial" w:hAnsi="Arial"/>
                <w:sz w:val="14"/>
                <w:szCs w:val="14"/>
                <w:color w:val="auto"/>
              </w:rPr>
              <w:t>3,563</w:t>
            </w:r>
          </w:p>
        </w:tc>
        <w:tc>
          <w:tcPr>
            <w:tcW w:w="760" w:type="dxa"/>
            <w:vAlign w:val="bottom"/>
            <w:shd w:val="clear" w:color="auto" w:fill="ACABA7"/>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shd w:val="clear" w:color="auto" w:fill="ACABA7"/>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ACABA7"/>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shd w:val="clear" w:color="auto" w:fill="ACABA7"/>
          </w:tcPr>
          <w:p>
            <w:pPr>
              <w:jc w:val="right"/>
              <w:ind w:right="32"/>
              <w:spacing w:after="0" w:line="149" w:lineRule="exact"/>
              <w:rPr>
                <w:sz w:val="20"/>
                <w:szCs w:val="20"/>
                <w:color w:val="auto"/>
              </w:rPr>
            </w:pPr>
            <w:r>
              <w:rPr>
                <w:rFonts w:ascii="Arial" w:cs="Arial" w:eastAsia="Arial" w:hAnsi="Arial"/>
                <w:sz w:val="14"/>
                <w:szCs w:val="14"/>
                <w:color w:val="auto"/>
              </w:rPr>
              <w:t>105,118</w:t>
            </w:r>
          </w:p>
        </w:tc>
        <w:tc>
          <w:tcPr>
            <w:tcW w:w="0" w:type="dxa"/>
            <w:vAlign w:val="bottom"/>
          </w:tcPr>
          <w:p>
            <w:pPr>
              <w:spacing w:after="0"/>
              <w:rPr>
                <w:sz w:val="1"/>
                <w:szCs w:val="1"/>
                <w:color w:val="auto"/>
              </w:rPr>
            </w:pPr>
          </w:p>
        </w:tc>
      </w:tr>
      <w:tr>
        <w:trPr>
          <w:trHeight w:val="149"/>
        </w:trPr>
        <w:tc>
          <w:tcPr>
            <w:tcW w:w="2750" w:type="dxa"/>
            <w:vAlign w:val="bottom"/>
            <w:shd w:val="clear" w:color="auto" w:fill="ACABA7"/>
          </w:tcPr>
          <w:p>
            <w:pPr>
              <w:spacing w:after="0"/>
              <w:rPr>
                <w:sz w:val="12"/>
                <w:szCs w:val="12"/>
                <w:color w:val="auto"/>
              </w:rPr>
            </w:pPr>
          </w:p>
        </w:tc>
        <w:tc>
          <w:tcPr>
            <w:tcW w:w="510" w:type="dxa"/>
            <w:vAlign w:val="bottom"/>
            <w:shd w:val="clear" w:color="auto" w:fill="ACABA7"/>
          </w:tcPr>
          <w:p>
            <w:pPr>
              <w:jc w:val="center"/>
              <w:spacing w:after="0" w:line="149" w:lineRule="exact"/>
              <w:rPr>
                <w:sz w:val="20"/>
                <w:szCs w:val="20"/>
                <w:color w:val="auto"/>
              </w:rPr>
            </w:pPr>
            <w:r>
              <w:rPr>
                <w:rFonts w:ascii="Arial" w:cs="Arial" w:eastAsia="Arial" w:hAnsi="Arial"/>
                <w:sz w:val="14"/>
                <w:szCs w:val="14"/>
                <w:color w:val="auto"/>
                <w:w w:val="92"/>
              </w:rPr>
              <w:t>PSA</w:t>
            </w:r>
          </w:p>
        </w:tc>
        <w:tc>
          <w:tcPr>
            <w:tcW w:w="800" w:type="dxa"/>
            <w:vAlign w:val="bottom"/>
            <w:shd w:val="clear" w:color="auto" w:fill="ACABA7"/>
          </w:tcPr>
          <w:p>
            <w:pPr>
              <w:jc w:val="center"/>
              <w:spacing w:after="0" w:line="149" w:lineRule="exact"/>
              <w:rPr>
                <w:sz w:val="20"/>
                <w:szCs w:val="20"/>
                <w:color w:val="auto"/>
              </w:rPr>
            </w:pPr>
            <w:r>
              <w:rPr>
                <w:rFonts w:ascii="Arial" w:cs="Arial" w:eastAsia="Arial" w:hAnsi="Arial"/>
                <w:sz w:val="14"/>
                <w:szCs w:val="14"/>
                <w:color w:val="auto"/>
                <w:w w:val="95"/>
              </w:rPr>
              <w:t>3/4/2016</w:t>
            </w:r>
          </w:p>
        </w:tc>
        <w:tc>
          <w:tcPr>
            <w:tcW w:w="700" w:type="dxa"/>
            <w:vAlign w:val="bottom"/>
            <w:shd w:val="clear" w:color="auto" w:fill="ACABA7"/>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ACABA7"/>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ACABA7"/>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ACABA7"/>
          </w:tcPr>
          <w:p>
            <w:pPr>
              <w:jc w:val="right"/>
              <w:spacing w:after="0" w:line="149" w:lineRule="exact"/>
              <w:rPr>
                <w:sz w:val="20"/>
                <w:szCs w:val="20"/>
                <w:color w:val="auto"/>
              </w:rPr>
            </w:pPr>
            <w:r>
              <w:rPr>
                <w:rFonts w:ascii="Arial" w:cs="Arial" w:eastAsia="Arial" w:hAnsi="Arial"/>
                <w:sz w:val="14"/>
                <w:szCs w:val="14"/>
                <w:color w:val="auto"/>
              </w:rPr>
              <w:t>3,005</w:t>
            </w:r>
          </w:p>
        </w:tc>
        <w:tc>
          <w:tcPr>
            <w:tcW w:w="640" w:type="dxa"/>
            <w:vAlign w:val="bottom"/>
            <w:shd w:val="clear" w:color="auto" w:fill="ACABA7"/>
          </w:tcPr>
          <w:p>
            <w:pPr>
              <w:jc w:val="right"/>
              <w:ind w:right="12"/>
              <w:spacing w:after="0" w:line="149" w:lineRule="exact"/>
              <w:rPr>
                <w:sz w:val="20"/>
                <w:szCs w:val="20"/>
                <w:color w:val="auto"/>
              </w:rPr>
            </w:pPr>
            <w:r>
              <w:rPr>
                <w:rFonts w:ascii="Arial" w:cs="Arial" w:eastAsia="Arial" w:hAnsi="Arial"/>
                <w:sz w:val="14"/>
                <w:szCs w:val="14"/>
                <w:color w:val="auto"/>
              </w:rPr>
              <w:t>6,010</w:t>
            </w:r>
          </w:p>
        </w:tc>
        <w:tc>
          <w:tcPr>
            <w:tcW w:w="720" w:type="dxa"/>
            <w:vAlign w:val="bottom"/>
            <w:gridSpan w:val="2"/>
            <w:shd w:val="clear" w:color="auto" w:fill="ACABA7"/>
          </w:tcPr>
          <w:p>
            <w:pPr>
              <w:jc w:val="right"/>
              <w:ind w:right="80"/>
              <w:spacing w:after="0" w:line="149" w:lineRule="exact"/>
              <w:rPr>
                <w:sz w:val="20"/>
                <w:szCs w:val="20"/>
                <w:color w:val="auto"/>
              </w:rPr>
            </w:pPr>
            <w:r>
              <w:rPr>
                <w:rFonts w:ascii="Arial" w:cs="Arial" w:eastAsia="Arial" w:hAnsi="Arial"/>
                <w:sz w:val="14"/>
                <w:szCs w:val="14"/>
                <w:color w:val="auto"/>
              </w:rPr>
              <w:t>9,015</w:t>
            </w:r>
          </w:p>
        </w:tc>
        <w:tc>
          <w:tcPr>
            <w:tcW w:w="760" w:type="dxa"/>
            <w:vAlign w:val="bottom"/>
            <w:shd w:val="clear" w:color="auto" w:fill="ACABA7"/>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shd w:val="clear" w:color="auto" w:fill="ACABA7"/>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ACABA7"/>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shd w:val="clear" w:color="auto" w:fill="ACABA7"/>
          </w:tcPr>
          <w:p>
            <w:pPr>
              <w:jc w:val="right"/>
              <w:ind w:right="32"/>
              <w:spacing w:after="0" w:line="149" w:lineRule="exact"/>
              <w:rPr>
                <w:sz w:val="20"/>
                <w:szCs w:val="20"/>
                <w:color w:val="auto"/>
              </w:rPr>
            </w:pPr>
            <w:r>
              <w:rPr>
                <w:rFonts w:ascii="Arial" w:cs="Arial" w:eastAsia="Arial" w:hAnsi="Arial"/>
                <w:sz w:val="14"/>
                <w:szCs w:val="14"/>
                <w:color w:val="auto"/>
              </w:rPr>
              <w:t>275,041</w:t>
            </w:r>
          </w:p>
        </w:tc>
        <w:tc>
          <w:tcPr>
            <w:tcW w:w="0" w:type="dxa"/>
            <w:vAlign w:val="bottom"/>
          </w:tcPr>
          <w:p>
            <w:pPr>
              <w:spacing w:after="0"/>
              <w:rPr>
                <w:sz w:val="1"/>
                <w:szCs w:val="1"/>
                <w:color w:val="auto"/>
              </w:rPr>
            </w:pPr>
          </w:p>
        </w:tc>
      </w:tr>
    </w:tbl>
    <w:p>
      <w:pPr>
        <w:spacing w:after="0" w:line="242" w:lineRule="exact"/>
        <w:rPr>
          <w:sz w:val="20"/>
          <w:szCs w:val="20"/>
          <w:color w:val="auto"/>
        </w:rPr>
      </w:pPr>
    </w:p>
    <w:p>
      <w:pPr>
        <w:ind w:left="460" w:right="160" w:hanging="452"/>
        <w:spacing w:after="0"/>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As described in our Compensation Discussion &amp; Analysis, cash incentive awards paid to our named executive officers for performance during Fiscal 2016 were based on achievement of pre-established goals. The actual payouts for the Fiscal 2016 performance period are provided in the “Summary Compensation Table” in the column headed “Non-equity incentive plan compensation.”</w:t>
      </w:r>
    </w:p>
    <w:p>
      <w:pPr>
        <w:spacing w:after="0" w:line="108" w:lineRule="exact"/>
        <w:rPr>
          <w:rFonts w:ascii="Arial" w:cs="Arial" w:eastAsia="Arial" w:hAnsi="Arial"/>
          <w:sz w:val="18"/>
          <w:szCs w:val="18"/>
          <w:color w:val="auto"/>
        </w:rPr>
      </w:pPr>
    </w:p>
    <w:p>
      <w:pPr>
        <w:ind w:left="460" w:right="80" w:hanging="452"/>
        <w:spacing w:after="0" w:line="253" w:lineRule="auto"/>
        <w:tabs>
          <w:tab w:leader="none" w:pos="460"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PRSUs in these columns represent restricted stock units which are subject to a performance goal and vesting requirements as follows: 25% of the PRSUs vests on the first, second, third and fourth anniversaries of grant date. The PSAs in these columns represent the threshold, target and maximum number of shares issuable under three year performance share awards, subject to the Compensation Committee’s discretion to decrease the number of shares that are ultimately issued at the end of the three year performance period. The grant date fair value for the performance share awards granted on February 18, 2016 for the third year performance period (related to awards granted in fiscal 2015 but for which metrics were set in fiscal 2016) related to adjusted operating income based on the probable outcome of the performance condition as of the grant date and the grant date fair value for the performance</w:t>
      </w:r>
    </w:p>
    <w:p>
      <w:pPr>
        <w:spacing w:after="0" w:line="107" w:lineRule="exact"/>
        <w:rPr>
          <w:sz w:val="20"/>
          <w:szCs w:val="20"/>
          <w:color w:val="auto"/>
        </w:rPr>
      </w:pPr>
    </w:p>
    <w:p>
      <w:pPr>
        <w:ind w:left="9140"/>
        <w:spacing w:after="0"/>
        <w:tabs>
          <w:tab w:leader="none" w:pos="11000" w:val="left"/>
          <w:tab w:leader="none" w:pos="11220" w:val="left"/>
        </w:tabs>
        <w:rPr>
          <w:sz w:val="20"/>
          <w:szCs w:val="20"/>
          <w:color w:val="auto"/>
        </w:rPr>
      </w:pPr>
      <w:r>
        <w:rPr>
          <w:rFonts w:ascii="Arial" w:cs="Arial" w:eastAsia="Arial" w:hAnsi="Arial"/>
          <w:sz w:val="16"/>
          <w:szCs w:val="16"/>
          <w:b w:val="1"/>
          <w:bCs w:val="1"/>
          <w:color w:val="483E65"/>
        </w:rPr>
        <w:t>2017 Proxy Statement</w:t>
        <w:tab/>
        <w:t>|</w:t>
        <w:tab/>
        <w:t>41</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8" w:lineRule="exact"/>
        <w:rPr>
          <w:sz w:val="20"/>
          <w:szCs w:val="20"/>
          <w:color w:val="auto"/>
        </w:rPr>
      </w:pPr>
    </w:p>
    <w:p>
      <w:pPr>
        <w:spacing w:after="0"/>
        <w:rPr>
          <w:sz w:val="20"/>
          <w:szCs w:val="20"/>
          <w:color w:val="auto"/>
        </w:rPr>
      </w:pPr>
      <w:r>
        <w:rPr>
          <w:rFonts w:ascii="Arial" w:cs="Arial" w:eastAsia="Arial" w:hAnsi="Arial"/>
          <w:sz w:val="32"/>
          <w:szCs w:val="32"/>
          <w:color w:val="483E65"/>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149860</wp:posOffset>
            </wp:positionV>
            <wp:extent cx="724662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460" w:right="40"/>
        <w:spacing w:after="0" w:line="246" w:lineRule="auto"/>
        <w:rPr>
          <w:sz w:val="20"/>
          <w:szCs w:val="20"/>
          <w:color w:val="auto"/>
        </w:rPr>
      </w:pPr>
      <w:r>
        <w:rPr>
          <w:rFonts w:ascii="Arial" w:cs="Arial" w:eastAsia="Arial" w:hAnsi="Arial"/>
          <w:sz w:val="18"/>
          <w:szCs w:val="18"/>
          <w:color w:val="auto"/>
        </w:rPr>
        <w:t>share awards granted on March 3, 2016 for the three year performance period related to adjusted operating income and total stockholder return are provided the “Summary Compensation Table” in the column headed “Stock awards.”</w:t>
      </w:r>
    </w:p>
    <w:p>
      <w:pPr>
        <w:spacing w:after="0" w:line="102" w:lineRule="exact"/>
        <w:rPr>
          <w:sz w:val="20"/>
          <w:szCs w:val="20"/>
          <w:color w:val="auto"/>
        </w:rPr>
      </w:pPr>
    </w:p>
    <w:p>
      <w:pPr>
        <w:ind w:left="460" w:right="40" w:hanging="452"/>
        <w:spacing w:after="0"/>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Amounts in this column represent the number of shares of our common stock underlying options issued in Fiscal 2016. All options vest 25% on the first, second, third and fourth anniversaries of grant date except those issued to Mr. Reardon which will vest in full on the third anniversary of the grant date provided continuous employment. Amounts are adjusted to reflect the special dividend.</w:t>
      </w:r>
    </w:p>
    <w:p>
      <w:pPr>
        <w:spacing w:after="0" w:line="108" w:lineRule="exact"/>
        <w:rPr>
          <w:rFonts w:ascii="Arial" w:cs="Arial" w:eastAsia="Arial" w:hAnsi="Arial"/>
          <w:sz w:val="18"/>
          <w:szCs w:val="18"/>
          <w:color w:val="auto"/>
        </w:rPr>
      </w:pPr>
    </w:p>
    <w:p>
      <w:pPr>
        <w:ind w:left="460" w:hanging="452"/>
        <w:spacing w:after="0"/>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Amounts in this column were time-based restricted stock units made as follows to Mr. Reardon: (a) converted units issued as a result of the merger and will vest in full on January 28, 2019 and (2) units issued as a retention award which will vest in full on the third anniversary of the grant date.</w:t>
      </w:r>
    </w:p>
    <w:p>
      <w:pPr>
        <w:spacing w:after="0" w:line="108" w:lineRule="exact"/>
        <w:rPr>
          <w:rFonts w:ascii="Arial" w:cs="Arial" w:eastAsia="Arial" w:hAnsi="Arial"/>
          <w:sz w:val="18"/>
          <w:szCs w:val="18"/>
          <w:color w:val="auto"/>
        </w:rPr>
      </w:pPr>
    </w:p>
    <w:p>
      <w:pPr>
        <w:ind w:left="460" w:right="300" w:hanging="452"/>
        <w:spacing w:after="0" w:line="246" w:lineRule="auto"/>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2006 Equity Incentive Plan defines “fair market value” as the closing sales price of our common stock on the NYSE on the trading day before the grant date which is the exercise price. Amounts are adjusted to reflect the special dividend.</w:t>
      </w:r>
    </w:p>
    <w:p>
      <w:pPr>
        <w:spacing w:after="0" w:line="102" w:lineRule="exact"/>
        <w:rPr>
          <w:rFonts w:ascii="Arial" w:cs="Arial" w:eastAsia="Arial" w:hAnsi="Arial"/>
          <w:sz w:val="18"/>
          <w:szCs w:val="18"/>
          <w:color w:val="auto"/>
        </w:rPr>
      </w:pPr>
    </w:p>
    <w:p>
      <w:pPr>
        <w:ind w:left="460" w:right="40" w:hanging="452"/>
        <w:spacing w:after="0" w:line="246" w:lineRule="auto"/>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Amounts represent the grant date fair value determined in accordance with FASB ASC Topic 718. These amounts do not reflect the value that may actually be realized by the recipient and do not reflect changes in our stock price after the date of grant.</w:t>
      </w:r>
    </w:p>
    <w:p>
      <w:pPr>
        <w:spacing w:after="0" w:line="112" w:lineRule="exact"/>
        <w:rPr>
          <w:sz w:val="20"/>
          <w:szCs w:val="20"/>
          <w:color w:val="auto"/>
        </w:rPr>
      </w:pPr>
    </w:p>
    <w:p>
      <w:pPr>
        <w:spacing w:after="0"/>
        <w:tabs>
          <w:tab w:leader="none" w:pos="340" w:val="left"/>
          <w:tab w:leader="none" w:pos="580" w:val="left"/>
        </w:tabs>
        <w:rPr>
          <w:sz w:val="20"/>
          <w:szCs w:val="20"/>
          <w:color w:val="auto"/>
        </w:rPr>
      </w:pPr>
      <w:r>
        <w:rPr>
          <w:rFonts w:ascii="Arial" w:cs="Arial" w:eastAsia="Arial" w:hAnsi="Arial"/>
          <w:sz w:val="16"/>
          <w:szCs w:val="16"/>
          <w:b w:val="1"/>
          <w:bCs w:val="1"/>
          <w:color w:val="483E65"/>
        </w:rPr>
        <w:t>42</w:t>
        <w:tab/>
        <w:t>|</w:t>
        <w:tab/>
        <w:t>2017 Proxy Statement</w:t>
      </w:r>
    </w:p>
    <w:p>
      <w:pPr>
        <w:sectPr>
          <w:pgSz w:w="11900" w:h="16838" w:orient="portrait"/>
          <w:cols w:equalWidth="0" w:num="1">
            <w:col w:w="11400"/>
          </w:cols>
          <w:pgMar w:left="240" w:top="459" w:right="2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8" w:lineRule="exact"/>
        <w:rPr>
          <w:sz w:val="20"/>
          <w:szCs w:val="20"/>
          <w:color w:val="auto"/>
        </w:rPr>
      </w:pPr>
    </w:p>
    <w:p>
      <w:pPr>
        <w:spacing w:after="0"/>
        <w:rPr>
          <w:sz w:val="20"/>
          <w:szCs w:val="20"/>
          <w:color w:val="auto"/>
        </w:rPr>
      </w:pPr>
      <w:r>
        <w:rPr>
          <w:rFonts w:ascii="Arial" w:cs="Arial" w:eastAsia="Arial" w:hAnsi="Arial"/>
          <w:sz w:val="32"/>
          <w:szCs w:val="32"/>
          <w:color w:val="483E65"/>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149860</wp:posOffset>
            </wp:positionV>
            <wp:extent cx="724662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483E65"/>
        </w:rPr>
        <w:t>Outstanding Equity Awards at Fiscal Year-End</w:t>
      </w:r>
    </w:p>
    <w:p>
      <w:pPr>
        <w:spacing w:after="0" w:line="234" w:lineRule="exact"/>
        <w:rPr>
          <w:sz w:val="20"/>
          <w:szCs w:val="20"/>
          <w:color w:val="auto"/>
        </w:rPr>
      </w:pPr>
    </w:p>
    <w:p>
      <w:pPr>
        <w:ind w:right="80"/>
        <w:spacing w:after="0"/>
        <w:rPr>
          <w:sz w:val="20"/>
          <w:szCs w:val="20"/>
          <w:color w:val="auto"/>
        </w:rPr>
      </w:pPr>
      <w:r>
        <w:rPr>
          <w:rFonts w:ascii="Arial" w:cs="Arial" w:eastAsia="Arial" w:hAnsi="Arial"/>
          <w:sz w:val="18"/>
          <w:szCs w:val="18"/>
          <w:color w:val="auto"/>
        </w:rPr>
        <w:t>The following table sets forth information regarding outstanding option, restricted stock unit, performance restricted stock unit and performance share awards issued pursuant to our 2006 Equity Incentive Plan that were held by our named executive officers at the end of Fiscal 2016, including awards previously deferred under our Key Executive Stock Deferral Plan.</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7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940" w:type="dxa"/>
            <w:vAlign w:val="bottom"/>
            <w:gridSpan w:val="2"/>
          </w:tcPr>
          <w:p>
            <w:pPr>
              <w:jc w:val="right"/>
              <w:ind w:right="512"/>
              <w:spacing w:after="0"/>
              <w:rPr>
                <w:sz w:val="20"/>
                <w:szCs w:val="20"/>
                <w:color w:val="auto"/>
              </w:rPr>
            </w:pPr>
            <w:r>
              <w:rPr>
                <w:rFonts w:ascii="Arial" w:cs="Arial" w:eastAsia="Arial" w:hAnsi="Arial"/>
                <w:sz w:val="14"/>
                <w:szCs w:val="14"/>
                <w:color w:val="483E65"/>
              </w:rPr>
              <w:t>Option Awards</w:t>
            </w:r>
            <w:r>
              <w:rPr>
                <w:rFonts w:ascii="Arial" w:cs="Arial" w:eastAsia="Arial" w:hAnsi="Arial"/>
                <w:sz w:val="11"/>
                <w:szCs w:val="11"/>
                <w:color w:val="483E65"/>
              </w:rPr>
              <w:t>(1)</w:t>
            </w: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483E65"/>
              </w:rPr>
              <w:t>Stock Awards</w:t>
            </w:r>
          </w:p>
        </w:tc>
        <w:tc>
          <w:tcPr>
            <w:tcW w:w="9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41"/>
        </w:trPr>
        <w:tc>
          <w:tcPr>
            <w:tcW w:w="17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120" w:type="dxa"/>
            <w:vAlign w:val="bottom"/>
            <w:tcBorders>
              <w:bottom w:val="single" w:sz="8" w:color="483E65"/>
            </w:tcBorders>
          </w:tcPr>
          <w:p>
            <w:pPr>
              <w:spacing w:after="0"/>
              <w:rPr>
                <w:sz w:val="3"/>
                <w:szCs w:val="3"/>
                <w:color w:val="auto"/>
              </w:rPr>
            </w:pPr>
          </w:p>
        </w:tc>
        <w:tc>
          <w:tcPr>
            <w:tcW w:w="1240" w:type="dxa"/>
            <w:vAlign w:val="bottom"/>
            <w:tcBorders>
              <w:bottom w:val="single" w:sz="8" w:color="483E65"/>
            </w:tcBorders>
          </w:tcPr>
          <w:p>
            <w:pPr>
              <w:spacing w:after="0"/>
              <w:rPr>
                <w:sz w:val="3"/>
                <w:szCs w:val="3"/>
                <w:color w:val="auto"/>
              </w:rPr>
            </w:pPr>
          </w:p>
        </w:tc>
        <w:tc>
          <w:tcPr>
            <w:tcW w:w="700" w:type="dxa"/>
            <w:vAlign w:val="bottom"/>
            <w:tcBorders>
              <w:bottom w:val="single" w:sz="8" w:color="483E65"/>
            </w:tcBorders>
          </w:tcPr>
          <w:p>
            <w:pPr>
              <w:spacing w:after="0"/>
              <w:rPr>
                <w:sz w:val="3"/>
                <w:szCs w:val="3"/>
                <w:color w:val="auto"/>
              </w:rPr>
            </w:pPr>
          </w:p>
        </w:tc>
        <w:tc>
          <w:tcPr>
            <w:tcW w:w="820" w:type="dxa"/>
            <w:vAlign w:val="bottom"/>
            <w:tcBorders>
              <w:bottom w:val="single" w:sz="8" w:color="483E65"/>
            </w:tcBorders>
          </w:tcPr>
          <w:p>
            <w:pPr>
              <w:spacing w:after="0"/>
              <w:rPr>
                <w:sz w:val="3"/>
                <w:szCs w:val="3"/>
                <w:color w:val="auto"/>
              </w:rPr>
            </w:pPr>
          </w:p>
        </w:tc>
        <w:tc>
          <w:tcPr>
            <w:tcW w:w="180" w:type="dxa"/>
            <w:vAlign w:val="bottom"/>
          </w:tcPr>
          <w:p>
            <w:pPr>
              <w:spacing w:after="0"/>
              <w:rPr>
                <w:sz w:val="3"/>
                <w:szCs w:val="3"/>
                <w:color w:val="auto"/>
              </w:rPr>
            </w:pPr>
          </w:p>
        </w:tc>
        <w:tc>
          <w:tcPr>
            <w:tcW w:w="940" w:type="dxa"/>
            <w:vAlign w:val="bottom"/>
            <w:tcBorders>
              <w:bottom w:val="single" w:sz="8" w:color="483E65"/>
            </w:tcBorders>
          </w:tcPr>
          <w:p>
            <w:pPr>
              <w:spacing w:after="0"/>
              <w:rPr>
                <w:sz w:val="3"/>
                <w:szCs w:val="3"/>
                <w:color w:val="auto"/>
              </w:rPr>
            </w:pPr>
          </w:p>
        </w:tc>
        <w:tc>
          <w:tcPr>
            <w:tcW w:w="940" w:type="dxa"/>
            <w:vAlign w:val="bottom"/>
            <w:tcBorders>
              <w:bottom w:val="single" w:sz="8" w:color="483E65"/>
            </w:tcBorders>
          </w:tcPr>
          <w:p>
            <w:pPr>
              <w:spacing w:after="0"/>
              <w:rPr>
                <w:sz w:val="3"/>
                <w:szCs w:val="3"/>
                <w:color w:val="auto"/>
              </w:rPr>
            </w:pPr>
          </w:p>
        </w:tc>
        <w:tc>
          <w:tcPr>
            <w:tcW w:w="940" w:type="dxa"/>
            <w:vAlign w:val="bottom"/>
            <w:tcBorders>
              <w:bottom w:val="single" w:sz="8" w:color="483E65"/>
            </w:tcBorders>
          </w:tcPr>
          <w:p>
            <w:pPr>
              <w:spacing w:after="0"/>
              <w:rPr>
                <w:sz w:val="3"/>
                <w:szCs w:val="3"/>
                <w:color w:val="auto"/>
              </w:rPr>
            </w:pPr>
          </w:p>
        </w:tc>
        <w:tc>
          <w:tcPr>
            <w:tcW w:w="920" w:type="dxa"/>
            <w:vAlign w:val="bottom"/>
            <w:tcBorders>
              <w:bottom w:val="single" w:sz="8" w:color="483E65"/>
            </w:tcBorders>
          </w:tcPr>
          <w:p>
            <w:pPr>
              <w:spacing w:after="0"/>
              <w:rPr>
                <w:sz w:val="3"/>
                <w:szCs w:val="3"/>
                <w:color w:val="auto"/>
              </w:rPr>
            </w:pPr>
          </w:p>
        </w:tc>
        <w:tc>
          <w:tcPr>
            <w:tcW w:w="960" w:type="dxa"/>
            <w:vAlign w:val="bottom"/>
            <w:tcBorders>
              <w:bottom w:val="single" w:sz="8" w:color="483E65"/>
            </w:tcBorders>
          </w:tcPr>
          <w:p>
            <w:pPr>
              <w:spacing w:after="0"/>
              <w:rPr>
                <w:sz w:val="3"/>
                <w:szCs w:val="3"/>
                <w:color w:val="auto"/>
              </w:rPr>
            </w:pPr>
          </w:p>
        </w:tc>
      </w:tr>
      <w:tr>
        <w:trPr>
          <w:trHeight w:val="141"/>
        </w:trPr>
        <w:tc>
          <w:tcPr>
            <w:tcW w:w="17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60" w:type="dxa"/>
            <w:vAlign w:val="bottom"/>
          </w:tcPr>
          <w:p>
            <w:pPr>
              <w:jc w:val="center"/>
              <w:spacing w:after="0" w:line="141" w:lineRule="exact"/>
              <w:rPr>
                <w:sz w:val="20"/>
                <w:szCs w:val="20"/>
                <w:color w:val="auto"/>
              </w:rPr>
            </w:pPr>
            <w:r>
              <w:rPr>
                <w:rFonts w:ascii="Arial" w:cs="Arial" w:eastAsia="Arial" w:hAnsi="Arial"/>
                <w:sz w:val="14"/>
                <w:szCs w:val="14"/>
                <w:color w:val="483E65"/>
                <w:w w:val="97"/>
              </w:rPr>
              <w:t>Equity</w:t>
            </w:r>
          </w:p>
        </w:tc>
      </w:tr>
      <w:tr>
        <w:trPr>
          <w:trHeight w:val="149"/>
        </w:trPr>
        <w:tc>
          <w:tcPr>
            <w:tcW w:w="17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color w:val="483E65"/>
                <w:w w:val="97"/>
              </w:rPr>
              <w:t>Equity</w:t>
            </w:r>
          </w:p>
        </w:tc>
        <w:tc>
          <w:tcPr>
            <w:tcW w:w="960" w:type="dxa"/>
            <w:vAlign w:val="bottom"/>
          </w:tcPr>
          <w:p>
            <w:pPr>
              <w:jc w:val="center"/>
              <w:spacing w:after="0" w:line="149" w:lineRule="exact"/>
              <w:rPr>
                <w:sz w:val="20"/>
                <w:szCs w:val="20"/>
                <w:color w:val="auto"/>
              </w:rPr>
            </w:pPr>
            <w:r>
              <w:rPr>
                <w:rFonts w:ascii="Arial" w:cs="Arial" w:eastAsia="Arial" w:hAnsi="Arial"/>
                <w:sz w:val="14"/>
                <w:szCs w:val="14"/>
                <w:color w:val="483E65"/>
                <w:w w:val="95"/>
              </w:rPr>
              <w:t>incentive plan</w:t>
            </w:r>
          </w:p>
        </w:tc>
      </w:tr>
      <w:tr>
        <w:trPr>
          <w:trHeight w:val="149"/>
        </w:trPr>
        <w:tc>
          <w:tcPr>
            <w:tcW w:w="17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color w:val="483E65"/>
                <w:w w:val="95"/>
              </w:rPr>
              <w:t>incentive plan</w:t>
            </w:r>
          </w:p>
        </w:tc>
        <w:tc>
          <w:tcPr>
            <w:tcW w:w="960" w:type="dxa"/>
            <w:vAlign w:val="bottom"/>
          </w:tcPr>
          <w:p>
            <w:pPr>
              <w:jc w:val="center"/>
              <w:spacing w:after="0" w:line="149" w:lineRule="exact"/>
              <w:rPr>
                <w:sz w:val="20"/>
                <w:szCs w:val="20"/>
                <w:color w:val="auto"/>
              </w:rPr>
            </w:pPr>
            <w:r>
              <w:rPr>
                <w:rFonts w:ascii="Arial" w:cs="Arial" w:eastAsia="Arial" w:hAnsi="Arial"/>
                <w:sz w:val="14"/>
                <w:szCs w:val="14"/>
                <w:color w:val="483E65"/>
                <w:w w:val="97"/>
              </w:rPr>
              <w:t>awards;</w:t>
            </w:r>
          </w:p>
        </w:tc>
      </w:tr>
      <w:tr>
        <w:trPr>
          <w:trHeight w:val="149"/>
        </w:trPr>
        <w:tc>
          <w:tcPr>
            <w:tcW w:w="17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Arial" w:cs="Arial" w:eastAsia="Arial" w:hAnsi="Arial"/>
                <w:sz w:val="14"/>
                <w:szCs w:val="14"/>
                <w:color w:val="483E65"/>
                <w:w w:val="98"/>
              </w:rPr>
              <w:t>Market</w:t>
            </w:r>
          </w:p>
        </w:tc>
        <w:tc>
          <w:tcPr>
            <w:tcW w:w="920" w:type="dxa"/>
            <w:vAlign w:val="bottom"/>
          </w:tcPr>
          <w:p>
            <w:pPr>
              <w:jc w:val="center"/>
              <w:spacing w:after="0" w:line="149" w:lineRule="exact"/>
              <w:rPr>
                <w:sz w:val="20"/>
                <w:szCs w:val="20"/>
                <w:color w:val="auto"/>
              </w:rPr>
            </w:pPr>
            <w:r>
              <w:rPr>
                <w:rFonts w:ascii="Arial" w:cs="Arial" w:eastAsia="Arial" w:hAnsi="Arial"/>
                <w:sz w:val="14"/>
                <w:szCs w:val="14"/>
                <w:color w:val="483E65"/>
                <w:w w:val="93"/>
              </w:rPr>
              <w:t>awards;</w:t>
            </w:r>
          </w:p>
        </w:tc>
        <w:tc>
          <w:tcPr>
            <w:tcW w:w="960" w:type="dxa"/>
            <w:vAlign w:val="bottom"/>
          </w:tcPr>
          <w:p>
            <w:pPr>
              <w:jc w:val="center"/>
              <w:spacing w:after="0" w:line="149" w:lineRule="exact"/>
              <w:rPr>
                <w:sz w:val="20"/>
                <w:szCs w:val="20"/>
                <w:color w:val="auto"/>
              </w:rPr>
            </w:pPr>
            <w:r>
              <w:rPr>
                <w:rFonts w:ascii="Arial" w:cs="Arial" w:eastAsia="Arial" w:hAnsi="Arial"/>
                <w:sz w:val="14"/>
                <w:szCs w:val="14"/>
                <w:color w:val="483E65"/>
                <w:w w:val="98"/>
              </w:rPr>
              <w:t>market or</w:t>
            </w:r>
          </w:p>
        </w:tc>
      </w:tr>
      <w:tr>
        <w:trPr>
          <w:trHeight w:val="149"/>
        </w:trPr>
        <w:tc>
          <w:tcPr>
            <w:tcW w:w="17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color w:val="483E65"/>
                <w:w w:val="97"/>
              </w:rPr>
              <w:t>Number of</w:t>
            </w:r>
          </w:p>
        </w:tc>
        <w:tc>
          <w:tcPr>
            <w:tcW w:w="1240" w:type="dxa"/>
            <w:vAlign w:val="bottom"/>
          </w:tcPr>
          <w:p>
            <w:pPr>
              <w:jc w:val="center"/>
              <w:spacing w:after="0" w:line="149" w:lineRule="exact"/>
              <w:rPr>
                <w:sz w:val="20"/>
                <w:szCs w:val="20"/>
                <w:color w:val="auto"/>
              </w:rPr>
            </w:pPr>
            <w:r>
              <w:rPr>
                <w:rFonts w:ascii="Arial" w:cs="Arial" w:eastAsia="Arial" w:hAnsi="Arial"/>
                <w:sz w:val="14"/>
                <w:szCs w:val="14"/>
                <w:color w:val="483E65"/>
                <w:w w:val="97"/>
              </w:rPr>
              <w:t>Number of</w:t>
            </w:r>
          </w:p>
        </w:tc>
        <w:tc>
          <w:tcPr>
            <w:tcW w:w="7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Arial" w:cs="Arial" w:eastAsia="Arial" w:hAnsi="Arial"/>
                <w:sz w:val="14"/>
                <w:szCs w:val="14"/>
                <w:color w:val="483E65"/>
                <w:w w:val="93"/>
              </w:rPr>
              <w:t>value of</w:t>
            </w:r>
          </w:p>
        </w:tc>
        <w:tc>
          <w:tcPr>
            <w:tcW w:w="920" w:type="dxa"/>
            <w:vAlign w:val="bottom"/>
          </w:tcPr>
          <w:p>
            <w:pPr>
              <w:jc w:val="center"/>
              <w:spacing w:after="0" w:line="149" w:lineRule="exact"/>
              <w:rPr>
                <w:sz w:val="20"/>
                <w:szCs w:val="20"/>
                <w:color w:val="auto"/>
              </w:rPr>
            </w:pPr>
            <w:r>
              <w:rPr>
                <w:rFonts w:ascii="Arial" w:cs="Arial" w:eastAsia="Arial" w:hAnsi="Arial"/>
                <w:sz w:val="14"/>
                <w:szCs w:val="14"/>
                <w:color w:val="483E65"/>
                <w:w w:val="98"/>
              </w:rPr>
              <w:t>number of</w:t>
            </w:r>
          </w:p>
        </w:tc>
        <w:tc>
          <w:tcPr>
            <w:tcW w:w="960" w:type="dxa"/>
            <w:vAlign w:val="bottom"/>
          </w:tcPr>
          <w:p>
            <w:pPr>
              <w:jc w:val="center"/>
              <w:spacing w:after="0" w:line="149" w:lineRule="exact"/>
              <w:rPr>
                <w:sz w:val="20"/>
                <w:szCs w:val="20"/>
                <w:color w:val="auto"/>
              </w:rPr>
            </w:pPr>
            <w:r>
              <w:rPr>
                <w:rFonts w:ascii="Arial" w:cs="Arial" w:eastAsia="Arial" w:hAnsi="Arial"/>
                <w:sz w:val="14"/>
                <w:szCs w:val="14"/>
                <w:color w:val="483E65"/>
                <w:w w:val="95"/>
              </w:rPr>
              <w:t>payout value</w:t>
            </w:r>
          </w:p>
        </w:tc>
      </w:tr>
      <w:tr>
        <w:trPr>
          <w:trHeight w:val="149"/>
        </w:trPr>
        <w:tc>
          <w:tcPr>
            <w:tcW w:w="17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color w:val="483E65"/>
                <w:w w:val="94"/>
              </w:rPr>
              <w:t>securities</w:t>
            </w:r>
          </w:p>
        </w:tc>
        <w:tc>
          <w:tcPr>
            <w:tcW w:w="1240" w:type="dxa"/>
            <w:vAlign w:val="bottom"/>
          </w:tcPr>
          <w:p>
            <w:pPr>
              <w:jc w:val="center"/>
              <w:spacing w:after="0" w:line="149" w:lineRule="exact"/>
              <w:rPr>
                <w:sz w:val="20"/>
                <w:szCs w:val="20"/>
                <w:color w:val="auto"/>
              </w:rPr>
            </w:pPr>
            <w:r>
              <w:rPr>
                <w:rFonts w:ascii="Arial" w:cs="Arial" w:eastAsia="Arial" w:hAnsi="Arial"/>
                <w:sz w:val="14"/>
                <w:szCs w:val="14"/>
                <w:color w:val="483E65"/>
                <w:w w:val="94"/>
              </w:rPr>
              <w:t>securities</w:t>
            </w:r>
          </w:p>
        </w:tc>
        <w:tc>
          <w:tcPr>
            <w:tcW w:w="7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Arial" w:cs="Arial" w:eastAsia="Arial" w:hAnsi="Arial"/>
                <w:sz w:val="14"/>
                <w:szCs w:val="14"/>
                <w:color w:val="483E65"/>
                <w:w w:val="94"/>
              </w:rPr>
              <w:t>Number of</w:t>
            </w:r>
          </w:p>
        </w:tc>
        <w:tc>
          <w:tcPr>
            <w:tcW w:w="940" w:type="dxa"/>
            <w:vAlign w:val="bottom"/>
          </w:tcPr>
          <w:p>
            <w:pPr>
              <w:jc w:val="center"/>
              <w:spacing w:after="0" w:line="149" w:lineRule="exact"/>
              <w:rPr>
                <w:sz w:val="20"/>
                <w:szCs w:val="20"/>
                <w:color w:val="auto"/>
              </w:rPr>
            </w:pPr>
            <w:r>
              <w:rPr>
                <w:rFonts w:ascii="Arial" w:cs="Arial" w:eastAsia="Arial" w:hAnsi="Arial"/>
                <w:sz w:val="14"/>
                <w:szCs w:val="14"/>
                <w:color w:val="483E65"/>
                <w:w w:val="93"/>
              </w:rPr>
              <w:t>shares of</w:t>
            </w:r>
          </w:p>
        </w:tc>
        <w:tc>
          <w:tcPr>
            <w:tcW w:w="920" w:type="dxa"/>
            <w:vAlign w:val="bottom"/>
          </w:tcPr>
          <w:p>
            <w:pPr>
              <w:jc w:val="center"/>
              <w:spacing w:after="0" w:line="149" w:lineRule="exact"/>
              <w:rPr>
                <w:sz w:val="20"/>
                <w:szCs w:val="20"/>
                <w:color w:val="auto"/>
              </w:rPr>
            </w:pPr>
            <w:r>
              <w:rPr>
                <w:rFonts w:ascii="Arial" w:cs="Arial" w:eastAsia="Arial" w:hAnsi="Arial"/>
                <w:sz w:val="14"/>
                <w:szCs w:val="14"/>
                <w:color w:val="483E65"/>
                <w:w w:val="97"/>
              </w:rPr>
              <w:t>unearned</w:t>
            </w:r>
          </w:p>
        </w:tc>
        <w:tc>
          <w:tcPr>
            <w:tcW w:w="960" w:type="dxa"/>
            <w:vAlign w:val="bottom"/>
          </w:tcPr>
          <w:p>
            <w:pPr>
              <w:jc w:val="center"/>
              <w:spacing w:after="0" w:line="149" w:lineRule="exact"/>
              <w:rPr>
                <w:sz w:val="20"/>
                <w:szCs w:val="20"/>
                <w:color w:val="auto"/>
              </w:rPr>
            </w:pPr>
            <w:r>
              <w:rPr>
                <w:rFonts w:ascii="Arial" w:cs="Arial" w:eastAsia="Arial" w:hAnsi="Arial"/>
                <w:sz w:val="14"/>
                <w:szCs w:val="14"/>
                <w:color w:val="483E65"/>
                <w:w w:val="96"/>
              </w:rPr>
              <w:t>of unearned</w:t>
            </w:r>
          </w:p>
        </w:tc>
      </w:tr>
      <w:tr>
        <w:trPr>
          <w:trHeight w:val="149"/>
        </w:trPr>
        <w:tc>
          <w:tcPr>
            <w:tcW w:w="17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color w:val="483E65"/>
                <w:w w:val="95"/>
              </w:rPr>
              <w:t>underlying</w:t>
            </w:r>
          </w:p>
        </w:tc>
        <w:tc>
          <w:tcPr>
            <w:tcW w:w="1240" w:type="dxa"/>
            <w:vAlign w:val="bottom"/>
          </w:tcPr>
          <w:p>
            <w:pPr>
              <w:jc w:val="center"/>
              <w:spacing w:after="0" w:line="149" w:lineRule="exact"/>
              <w:rPr>
                <w:sz w:val="20"/>
                <w:szCs w:val="20"/>
                <w:color w:val="auto"/>
              </w:rPr>
            </w:pPr>
            <w:r>
              <w:rPr>
                <w:rFonts w:ascii="Arial" w:cs="Arial" w:eastAsia="Arial" w:hAnsi="Arial"/>
                <w:sz w:val="14"/>
                <w:szCs w:val="14"/>
                <w:color w:val="483E65"/>
                <w:w w:val="95"/>
              </w:rPr>
              <w:t>underlying</w:t>
            </w:r>
          </w:p>
        </w:tc>
        <w:tc>
          <w:tcPr>
            <w:tcW w:w="7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Arial" w:cs="Arial" w:eastAsia="Arial" w:hAnsi="Arial"/>
                <w:sz w:val="14"/>
                <w:szCs w:val="14"/>
                <w:color w:val="483E65"/>
                <w:w w:val="93"/>
              </w:rPr>
              <w:t>shares of</w:t>
            </w:r>
          </w:p>
        </w:tc>
        <w:tc>
          <w:tcPr>
            <w:tcW w:w="940" w:type="dxa"/>
            <w:vAlign w:val="bottom"/>
          </w:tcPr>
          <w:p>
            <w:pPr>
              <w:jc w:val="center"/>
              <w:spacing w:after="0" w:line="149" w:lineRule="exact"/>
              <w:rPr>
                <w:sz w:val="20"/>
                <w:szCs w:val="20"/>
                <w:color w:val="auto"/>
              </w:rPr>
            </w:pPr>
            <w:r>
              <w:rPr>
                <w:rFonts w:ascii="Arial" w:cs="Arial" w:eastAsia="Arial" w:hAnsi="Arial"/>
                <w:sz w:val="14"/>
                <w:szCs w:val="14"/>
                <w:color w:val="483E65"/>
                <w:w w:val="93"/>
              </w:rPr>
              <w:t>stock or</w:t>
            </w:r>
          </w:p>
        </w:tc>
        <w:tc>
          <w:tcPr>
            <w:tcW w:w="920" w:type="dxa"/>
            <w:vAlign w:val="bottom"/>
          </w:tcPr>
          <w:p>
            <w:pPr>
              <w:jc w:val="center"/>
              <w:spacing w:after="0" w:line="149" w:lineRule="exact"/>
              <w:rPr>
                <w:sz w:val="20"/>
                <w:szCs w:val="20"/>
                <w:color w:val="auto"/>
              </w:rPr>
            </w:pPr>
            <w:r>
              <w:rPr>
                <w:rFonts w:ascii="Arial" w:cs="Arial" w:eastAsia="Arial" w:hAnsi="Arial"/>
                <w:sz w:val="14"/>
                <w:szCs w:val="14"/>
                <w:color w:val="483E65"/>
                <w:w w:val="98"/>
              </w:rPr>
              <w:t>shares, units,</w:t>
            </w:r>
          </w:p>
        </w:tc>
        <w:tc>
          <w:tcPr>
            <w:tcW w:w="960" w:type="dxa"/>
            <w:vAlign w:val="bottom"/>
          </w:tcPr>
          <w:p>
            <w:pPr>
              <w:jc w:val="center"/>
              <w:spacing w:after="0" w:line="149" w:lineRule="exact"/>
              <w:rPr>
                <w:sz w:val="20"/>
                <w:szCs w:val="20"/>
                <w:color w:val="auto"/>
              </w:rPr>
            </w:pPr>
            <w:r>
              <w:rPr>
                <w:rFonts w:ascii="Arial" w:cs="Arial" w:eastAsia="Arial" w:hAnsi="Arial"/>
                <w:sz w:val="14"/>
                <w:szCs w:val="14"/>
                <w:color w:val="483E65"/>
                <w:w w:val="95"/>
              </w:rPr>
              <w:t>shares, units</w:t>
            </w:r>
          </w:p>
        </w:tc>
      </w:tr>
      <w:tr>
        <w:trPr>
          <w:trHeight w:val="149"/>
        </w:trPr>
        <w:tc>
          <w:tcPr>
            <w:tcW w:w="17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color w:val="483E65"/>
                <w:w w:val="95"/>
              </w:rPr>
              <w:t>unexercised</w:t>
            </w:r>
          </w:p>
        </w:tc>
        <w:tc>
          <w:tcPr>
            <w:tcW w:w="1240" w:type="dxa"/>
            <w:vAlign w:val="bottom"/>
          </w:tcPr>
          <w:p>
            <w:pPr>
              <w:jc w:val="center"/>
              <w:spacing w:after="0" w:line="149" w:lineRule="exact"/>
              <w:rPr>
                <w:sz w:val="20"/>
                <w:szCs w:val="20"/>
                <w:color w:val="auto"/>
              </w:rPr>
            </w:pPr>
            <w:r>
              <w:rPr>
                <w:rFonts w:ascii="Arial" w:cs="Arial" w:eastAsia="Arial" w:hAnsi="Arial"/>
                <w:sz w:val="14"/>
                <w:szCs w:val="14"/>
                <w:color w:val="483E65"/>
                <w:w w:val="95"/>
              </w:rPr>
              <w:t>unexercised</w:t>
            </w:r>
          </w:p>
        </w:tc>
        <w:tc>
          <w:tcPr>
            <w:tcW w:w="700" w:type="dxa"/>
            <w:vAlign w:val="bottom"/>
          </w:tcPr>
          <w:p>
            <w:pPr>
              <w:jc w:val="center"/>
              <w:spacing w:after="0" w:line="149" w:lineRule="exact"/>
              <w:rPr>
                <w:sz w:val="20"/>
                <w:szCs w:val="20"/>
                <w:color w:val="auto"/>
              </w:rPr>
            </w:pPr>
            <w:r>
              <w:rPr>
                <w:rFonts w:ascii="Arial" w:cs="Arial" w:eastAsia="Arial" w:hAnsi="Arial"/>
                <w:sz w:val="14"/>
                <w:szCs w:val="14"/>
                <w:color w:val="483E65"/>
                <w:w w:val="96"/>
              </w:rPr>
              <w:t>Option</w:t>
            </w:r>
          </w:p>
        </w:tc>
        <w:tc>
          <w:tcPr>
            <w:tcW w:w="100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483E65"/>
                <w:w w:val="96"/>
              </w:rPr>
              <w:t>Option</w:t>
            </w:r>
          </w:p>
        </w:tc>
        <w:tc>
          <w:tcPr>
            <w:tcW w:w="94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Arial" w:cs="Arial" w:eastAsia="Arial" w:hAnsi="Arial"/>
                <w:sz w:val="14"/>
                <w:szCs w:val="14"/>
                <w:color w:val="483E65"/>
                <w:w w:val="94"/>
              </w:rPr>
              <w:t>stock or units</w:t>
            </w:r>
          </w:p>
        </w:tc>
        <w:tc>
          <w:tcPr>
            <w:tcW w:w="940" w:type="dxa"/>
            <w:vAlign w:val="bottom"/>
          </w:tcPr>
          <w:p>
            <w:pPr>
              <w:jc w:val="center"/>
              <w:spacing w:after="0" w:line="149" w:lineRule="exact"/>
              <w:rPr>
                <w:sz w:val="20"/>
                <w:szCs w:val="20"/>
                <w:color w:val="auto"/>
              </w:rPr>
            </w:pPr>
            <w:r>
              <w:rPr>
                <w:rFonts w:ascii="Arial" w:cs="Arial" w:eastAsia="Arial" w:hAnsi="Arial"/>
                <w:sz w:val="14"/>
                <w:szCs w:val="14"/>
                <w:color w:val="483E65"/>
                <w:w w:val="94"/>
              </w:rPr>
              <w:t>units that</w:t>
            </w:r>
          </w:p>
        </w:tc>
        <w:tc>
          <w:tcPr>
            <w:tcW w:w="920" w:type="dxa"/>
            <w:vAlign w:val="bottom"/>
          </w:tcPr>
          <w:p>
            <w:pPr>
              <w:jc w:val="center"/>
              <w:spacing w:after="0" w:line="149" w:lineRule="exact"/>
              <w:rPr>
                <w:sz w:val="20"/>
                <w:szCs w:val="20"/>
                <w:color w:val="auto"/>
              </w:rPr>
            </w:pPr>
            <w:r>
              <w:rPr>
                <w:rFonts w:ascii="Arial" w:cs="Arial" w:eastAsia="Arial" w:hAnsi="Arial"/>
                <w:sz w:val="14"/>
                <w:szCs w:val="14"/>
                <w:color w:val="483E65"/>
                <w:w w:val="94"/>
              </w:rPr>
              <w:t>or other rights</w:t>
            </w:r>
          </w:p>
        </w:tc>
        <w:tc>
          <w:tcPr>
            <w:tcW w:w="960" w:type="dxa"/>
            <w:vAlign w:val="bottom"/>
          </w:tcPr>
          <w:p>
            <w:pPr>
              <w:jc w:val="center"/>
              <w:spacing w:after="0" w:line="149" w:lineRule="exact"/>
              <w:rPr>
                <w:sz w:val="20"/>
                <w:szCs w:val="20"/>
                <w:color w:val="auto"/>
              </w:rPr>
            </w:pPr>
            <w:r>
              <w:rPr>
                <w:rFonts w:ascii="Arial" w:cs="Arial" w:eastAsia="Arial" w:hAnsi="Arial"/>
                <w:sz w:val="14"/>
                <w:szCs w:val="14"/>
                <w:color w:val="483E65"/>
                <w:w w:val="97"/>
              </w:rPr>
              <w:t>or other rights</w:t>
            </w:r>
          </w:p>
        </w:tc>
      </w:tr>
      <w:tr>
        <w:trPr>
          <w:trHeight w:val="149"/>
        </w:trPr>
        <w:tc>
          <w:tcPr>
            <w:tcW w:w="1780" w:type="dxa"/>
            <w:vAlign w:val="bottom"/>
          </w:tcPr>
          <w:p>
            <w:pPr>
              <w:spacing w:after="0"/>
              <w:rPr>
                <w:sz w:val="12"/>
                <w:szCs w:val="12"/>
                <w:color w:val="auto"/>
              </w:rPr>
            </w:pPr>
          </w:p>
        </w:tc>
        <w:tc>
          <w:tcPr>
            <w:tcW w:w="880" w:type="dxa"/>
            <w:vAlign w:val="bottom"/>
          </w:tcPr>
          <w:p>
            <w:pPr>
              <w:jc w:val="right"/>
              <w:ind w:right="172"/>
              <w:spacing w:after="0" w:line="149" w:lineRule="exact"/>
              <w:rPr>
                <w:sz w:val="20"/>
                <w:szCs w:val="20"/>
                <w:color w:val="auto"/>
              </w:rPr>
            </w:pPr>
            <w:r>
              <w:rPr>
                <w:rFonts w:ascii="Arial" w:cs="Arial" w:eastAsia="Arial" w:hAnsi="Arial"/>
                <w:sz w:val="14"/>
                <w:szCs w:val="14"/>
                <w:color w:val="483E65"/>
              </w:rPr>
              <w:t>Grant</w:t>
            </w:r>
          </w:p>
        </w:tc>
        <w:tc>
          <w:tcPr>
            <w:tcW w:w="1120" w:type="dxa"/>
            <w:vAlign w:val="bottom"/>
          </w:tcPr>
          <w:p>
            <w:pPr>
              <w:jc w:val="center"/>
              <w:spacing w:after="0" w:line="149" w:lineRule="exact"/>
              <w:rPr>
                <w:sz w:val="20"/>
                <w:szCs w:val="20"/>
                <w:color w:val="auto"/>
              </w:rPr>
            </w:pPr>
            <w:r>
              <w:rPr>
                <w:rFonts w:ascii="Arial" w:cs="Arial" w:eastAsia="Arial" w:hAnsi="Arial"/>
                <w:sz w:val="14"/>
                <w:szCs w:val="14"/>
                <w:color w:val="483E65"/>
                <w:w w:val="97"/>
              </w:rPr>
              <w:t>options</w:t>
            </w:r>
          </w:p>
        </w:tc>
        <w:tc>
          <w:tcPr>
            <w:tcW w:w="1240" w:type="dxa"/>
            <w:vAlign w:val="bottom"/>
          </w:tcPr>
          <w:p>
            <w:pPr>
              <w:jc w:val="center"/>
              <w:spacing w:after="0" w:line="149" w:lineRule="exact"/>
              <w:rPr>
                <w:sz w:val="20"/>
                <w:szCs w:val="20"/>
                <w:color w:val="auto"/>
              </w:rPr>
            </w:pPr>
            <w:r>
              <w:rPr>
                <w:rFonts w:ascii="Arial" w:cs="Arial" w:eastAsia="Arial" w:hAnsi="Arial"/>
                <w:sz w:val="14"/>
                <w:szCs w:val="14"/>
                <w:color w:val="483E65"/>
                <w:w w:val="97"/>
              </w:rPr>
              <w:t>options</w:t>
            </w:r>
          </w:p>
        </w:tc>
        <w:tc>
          <w:tcPr>
            <w:tcW w:w="700" w:type="dxa"/>
            <w:vAlign w:val="bottom"/>
          </w:tcPr>
          <w:p>
            <w:pPr>
              <w:jc w:val="center"/>
              <w:spacing w:after="0" w:line="149" w:lineRule="exact"/>
              <w:rPr>
                <w:sz w:val="20"/>
                <w:szCs w:val="20"/>
                <w:color w:val="auto"/>
              </w:rPr>
            </w:pPr>
            <w:r>
              <w:rPr>
                <w:rFonts w:ascii="Arial" w:cs="Arial" w:eastAsia="Arial" w:hAnsi="Arial"/>
                <w:sz w:val="14"/>
                <w:szCs w:val="14"/>
                <w:color w:val="483E65"/>
                <w:w w:val="95"/>
              </w:rPr>
              <w:t>exercise</w:t>
            </w:r>
          </w:p>
        </w:tc>
        <w:tc>
          <w:tcPr>
            <w:tcW w:w="100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483E65"/>
                <w:w w:val="95"/>
              </w:rPr>
              <w:t>expiration</w:t>
            </w:r>
          </w:p>
        </w:tc>
        <w:tc>
          <w:tcPr>
            <w:tcW w:w="94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Arial" w:cs="Arial" w:eastAsia="Arial" w:hAnsi="Arial"/>
                <w:sz w:val="14"/>
                <w:szCs w:val="14"/>
                <w:color w:val="483E65"/>
                <w:w w:val="96"/>
              </w:rPr>
              <w:t>that have not</w:t>
            </w:r>
          </w:p>
        </w:tc>
        <w:tc>
          <w:tcPr>
            <w:tcW w:w="940" w:type="dxa"/>
            <w:vAlign w:val="bottom"/>
          </w:tcPr>
          <w:p>
            <w:pPr>
              <w:jc w:val="center"/>
              <w:spacing w:after="0" w:line="149" w:lineRule="exact"/>
              <w:rPr>
                <w:sz w:val="20"/>
                <w:szCs w:val="20"/>
                <w:color w:val="auto"/>
              </w:rPr>
            </w:pPr>
            <w:r>
              <w:rPr>
                <w:rFonts w:ascii="Arial" w:cs="Arial" w:eastAsia="Arial" w:hAnsi="Arial"/>
                <w:sz w:val="14"/>
                <w:szCs w:val="14"/>
                <w:color w:val="483E65"/>
                <w:w w:val="93"/>
              </w:rPr>
              <w:t>have not</w:t>
            </w:r>
          </w:p>
        </w:tc>
        <w:tc>
          <w:tcPr>
            <w:tcW w:w="920" w:type="dxa"/>
            <w:vAlign w:val="bottom"/>
          </w:tcPr>
          <w:p>
            <w:pPr>
              <w:jc w:val="center"/>
              <w:spacing w:after="0" w:line="149" w:lineRule="exact"/>
              <w:rPr>
                <w:sz w:val="20"/>
                <w:szCs w:val="20"/>
                <w:color w:val="auto"/>
              </w:rPr>
            </w:pPr>
            <w:r>
              <w:rPr>
                <w:rFonts w:ascii="Arial" w:cs="Arial" w:eastAsia="Arial" w:hAnsi="Arial"/>
                <w:sz w:val="14"/>
                <w:szCs w:val="14"/>
                <w:color w:val="483E65"/>
                <w:w w:val="96"/>
              </w:rPr>
              <w:t>that have not</w:t>
            </w:r>
          </w:p>
        </w:tc>
        <w:tc>
          <w:tcPr>
            <w:tcW w:w="960" w:type="dxa"/>
            <w:vAlign w:val="bottom"/>
          </w:tcPr>
          <w:p>
            <w:pPr>
              <w:jc w:val="center"/>
              <w:spacing w:after="0" w:line="149" w:lineRule="exact"/>
              <w:rPr>
                <w:sz w:val="20"/>
                <w:szCs w:val="20"/>
                <w:color w:val="auto"/>
              </w:rPr>
            </w:pPr>
            <w:r>
              <w:rPr>
                <w:rFonts w:ascii="Arial" w:cs="Arial" w:eastAsia="Arial" w:hAnsi="Arial"/>
                <w:sz w:val="14"/>
                <w:szCs w:val="14"/>
                <w:color w:val="483E65"/>
                <w:w w:val="96"/>
              </w:rPr>
              <w:t>that have not</w:t>
            </w:r>
          </w:p>
        </w:tc>
      </w:tr>
      <w:tr>
        <w:trPr>
          <w:trHeight w:val="162"/>
        </w:trPr>
        <w:tc>
          <w:tcPr>
            <w:tcW w:w="1780" w:type="dxa"/>
            <w:vAlign w:val="bottom"/>
          </w:tcPr>
          <w:p>
            <w:pPr>
              <w:ind w:left="80"/>
              <w:spacing w:after="0"/>
              <w:rPr>
                <w:sz w:val="20"/>
                <w:szCs w:val="20"/>
                <w:color w:val="auto"/>
              </w:rPr>
            </w:pPr>
            <w:r>
              <w:rPr>
                <w:rFonts w:ascii="Arial" w:cs="Arial" w:eastAsia="Arial" w:hAnsi="Arial"/>
                <w:sz w:val="14"/>
                <w:szCs w:val="14"/>
                <w:color w:val="483E65"/>
              </w:rPr>
              <w:t>Name</w:t>
            </w:r>
          </w:p>
        </w:tc>
        <w:tc>
          <w:tcPr>
            <w:tcW w:w="880" w:type="dxa"/>
            <w:vAlign w:val="bottom"/>
          </w:tcPr>
          <w:p>
            <w:pPr>
              <w:jc w:val="right"/>
              <w:ind w:right="212"/>
              <w:spacing w:after="0"/>
              <w:rPr>
                <w:sz w:val="20"/>
                <w:szCs w:val="20"/>
                <w:color w:val="auto"/>
              </w:rPr>
            </w:pPr>
            <w:r>
              <w:rPr>
                <w:rFonts w:ascii="Arial" w:cs="Arial" w:eastAsia="Arial" w:hAnsi="Arial"/>
                <w:sz w:val="14"/>
                <w:szCs w:val="14"/>
                <w:color w:val="483E65"/>
              </w:rPr>
              <w:t>date</w:t>
            </w:r>
          </w:p>
        </w:tc>
        <w:tc>
          <w:tcPr>
            <w:tcW w:w="1120" w:type="dxa"/>
            <w:vAlign w:val="bottom"/>
          </w:tcPr>
          <w:p>
            <w:pPr>
              <w:jc w:val="center"/>
              <w:spacing w:after="0"/>
              <w:rPr>
                <w:sz w:val="20"/>
                <w:szCs w:val="20"/>
                <w:color w:val="auto"/>
              </w:rPr>
            </w:pPr>
            <w:r>
              <w:rPr>
                <w:rFonts w:ascii="Arial" w:cs="Arial" w:eastAsia="Arial" w:hAnsi="Arial"/>
                <w:sz w:val="14"/>
                <w:szCs w:val="14"/>
                <w:color w:val="483E65"/>
                <w:w w:val="96"/>
              </w:rPr>
              <w:t>(exercisable)(#)</w:t>
            </w:r>
          </w:p>
        </w:tc>
        <w:tc>
          <w:tcPr>
            <w:tcW w:w="1240" w:type="dxa"/>
            <w:vAlign w:val="bottom"/>
          </w:tcPr>
          <w:p>
            <w:pPr>
              <w:jc w:val="center"/>
              <w:spacing w:after="0"/>
              <w:rPr>
                <w:sz w:val="20"/>
                <w:szCs w:val="20"/>
                <w:color w:val="auto"/>
              </w:rPr>
            </w:pPr>
            <w:r>
              <w:rPr>
                <w:rFonts w:ascii="Arial" w:cs="Arial" w:eastAsia="Arial" w:hAnsi="Arial"/>
                <w:sz w:val="14"/>
                <w:szCs w:val="14"/>
                <w:color w:val="483E65"/>
                <w:w w:val="95"/>
              </w:rPr>
              <w:t>(unexercisable)(#)</w:t>
            </w:r>
          </w:p>
        </w:tc>
        <w:tc>
          <w:tcPr>
            <w:tcW w:w="700" w:type="dxa"/>
            <w:vAlign w:val="bottom"/>
          </w:tcPr>
          <w:p>
            <w:pPr>
              <w:jc w:val="center"/>
              <w:spacing w:after="0"/>
              <w:rPr>
                <w:sz w:val="20"/>
                <w:szCs w:val="20"/>
                <w:color w:val="auto"/>
              </w:rPr>
            </w:pPr>
            <w:r>
              <w:rPr>
                <w:rFonts w:ascii="Arial" w:cs="Arial" w:eastAsia="Arial" w:hAnsi="Arial"/>
                <w:sz w:val="14"/>
                <w:szCs w:val="14"/>
                <w:color w:val="483E65"/>
                <w:w w:val="96"/>
              </w:rPr>
              <w:t>price($)</w:t>
            </w:r>
          </w:p>
        </w:tc>
        <w:tc>
          <w:tcPr>
            <w:tcW w:w="1000" w:type="dxa"/>
            <w:vAlign w:val="bottom"/>
            <w:gridSpan w:val="2"/>
          </w:tcPr>
          <w:p>
            <w:pPr>
              <w:jc w:val="center"/>
              <w:ind w:right="180"/>
              <w:spacing w:after="0"/>
              <w:rPr>
                <w:sz w:val="20"/>
                <w:szCs w:val="20"/>
                <w:color w:val="auto"/>
              </w:rPr>
            </w:pPr>
            <w:r>
              <w:rPr>
                <w:rFonts w:ascii="Arial" w:cs="Arial" w:eastAsia="Arial" w:hAnsi="Arial"/>
                <w:sz w:val="14"/>
                <w:szCs w:val="14"/>
                <w:color w:val="483E65"/>
                <w:w w:val="95"/>
              </w:rPr>
              <w:t>date</w:t>
            </w:r>
          </w:p>
        </w:tc>
        <w:tc>
          <w:tcPr>
            <w:tcW w:w="940" w:type="dxa"/>
            <w:vAlign w:val="bottom"/>
          </w:tcPr>
          <w:p>
            <w:pPr>
              <w:jc w:val="right"/>
              <w:ind w:right="72"/>
              <w:spacing w:after="0"/>
              <w:rPr>
                <w:sz w:val="20"/>
                <w:szCs w:val="20"/>
                <w:color w:val="auto"/>
              </w:rPr>
            </w:pPr>
            <w:r>
              <w:rPr>
                <w:rFonts w:ascii="Arial" w:cs="Arial" w:eastAsia="Arial" w:hAnsi="Arial"/>
                <w:sz w:val="14"/>
                <w:szCs w:val="14"/>
                <w:color w:val="483E65"/>
              </w:rPr>
              <w:t>Grant date</w:t>
            </w:r>
          </w:p>
        </w:tc>
        <w:tc>
          <w:tcPr>
            <w:tcW w:w="1880" w:type="dxa"/>
            <w:vAlign w:val="bottom"/>
            <w:gridSpan w:val="2"/>
          </w:tcPr>
          <w:p>
            <w:pPr>
              <w:jc w:val="right"/>
              <w:ind w:right="72"/>
              <w:spacing w:after="0"/>
              <w:rPr>
                <w:sz w:val="20"/>
                <w:szCs w:val="20"/>
                <w:color w:val="auto"/>
              </w:rPr>
            </w:pPr>
            <w:r>
              <w:rPr>
                <w:rFonts w:ascii="Arial" w:cs="Arial" w:eastAsia="Arial" w:hAnsi="Arial"/>
                <w:sz w:val="14"/>
                <w:szCs w:val="14"/>
                <w:color w:val="483E65"/>
              </w:rPr>
              <w:t>vested(#)</w:t>
            </w:r>
            <w:r>
              <w:rPr>
                <w:rFonts w:ascii="Arial" w:cs="Arial" w:eastAsia="Arial" w:hAnsi="Arial"/>
                <w:sz w:val="11"/>
                <w:szCs w:val="11"/>
                <w:color w:val="483E65"/>
              </w:rPr>
              <w:t>(2)</w:t>
            </w:r>
            <w:r>
              <w:rPr>
                <w:rFonts w:ascii="Arial" w:cs="Arial" w:eastAsia="Arial" w:hAnsi="Arial"/>
                <w:sz w:val="14"/>
                <w:szCs w:val="14"/>
                <w:color w:val="483E65"/>
              </w:rPr>
              <w:t xml:space="preserve">    vested($)</w:t>
            </w:r>
            <w:r>
              <w:rPr>
                <w:rFonts w:ascii="Arial" w:cs="Arial" w:eastAsia="Arial" w:hAnsi="Arial"/>
                <w:sz w:val="11"/>
                <w:szCs w:val="11"/>
                <w:color w:val="483E65"/>
              </w:rPr>
              <w:t>(3)</w:t>
            </w:r>
          </w:p>
        </w:tc>
        <w:tc>
          <w:tcPr>
            <w:tcW w:w="920" w:type="dxa"/>
            <w:vAlign w:val="bottom"/>
          </w:tcPr>
          <w:p>
            <w:pPr>
              <w:jc w:val="center"/>
              <w:spacing w:after="0"/>
              <w:rPr>
                <w:sz w:val="20"/>
                <w:szCs w:val="20"/>
                <w:color w:val="auto"/>
              </w:rPr>
            </w:pPr>
            <w:r>
              <w:rPr>
                <w:rFonts w:ascii="Arial" w:cs="Arial" w:eastAsia="Arial" w:hAnsi="Arial"/>
                <w:sz w:val="14"/>
                <w:szCs w:val="14"/>
                <w:color w:val="483E65"/>
                <w:w w:val="97"/>
              </w:rPr>
              <w:t>vested(#)</w:t>
            </w:r>
            <w:r>
              <w:rPr>
                <w:rFonts w:ascii="Arial" w:cs="Arial" w:eastAsia="Arial" w:hAnsi="Arial"/>
                <w:sz w:val="11"/>
                <w:szCs w:val="11"/>
                <w:color w:val="483E65"/>
                <w:w w:val="97"/>
              </w:rPr>
              <w:t>(4)</w:t>
            </w:r>
          </w:p>
        </w:tc>
        <w:tc>
          <w:tcPr>
            <w:tcW w:w="960" w:type="dxa"/>
            <w:vAlign w:val="bottom"/>
          </w:tcPr>
          <w:p>
            <w:pPr>
              <w:jc w:val="center"/>
              <w:spacing w:after="0"/>
              <w:rPr>
                <w:sz w:val="20"/>
                <w:szCs w:val="20"/>
                <w:color w:val="auto"/>
              </w:rPr>
            </w:pPr>
            <w:r>
              <w:rPr>
                <w:rFonts w:ascii="Arial" w:cs="Arial" w:eastAsia="Arial" w:hAnsi="Arial"/>
                <w:sz w:val="14"/>
                <w:szCs w:val="14"/>
                <w:color w:val="483E65"/>
                <w:w w:val="97"/>
              </w:rPr>
              <w:t>vested($)</w:t>
            </w:r>
            <w:r>
              <w:rPr>
                <w:rFonts w:ascii="Arial" w:cs="Arial" w:eastAsia="Arial" w:hAnsi="Arial"/>
                <w:sz w:val="11"/>
                <w:szCs w:val="11"/>
                <w:color w:val="483E65"/>
                <w:w w:val="97"/>
              </w:rPr>
              <w:t>(3)</w:t>
            </w:r>
          </w:p>
        </w:tc>
      </w:tr>
      <w:tr>
        <w:trPr>
          <w:trHeight w:val="41"/>
        </w:trPr>
        <w:tc>
          <w:tcPr>
            <w:tcW w:w="1780" w:type="dxa"/>
            <w:vAlign w:val="bottom"/>
            <w:tcBorders>
              <w:bottom w:val="single" w:sz="8" w:color="483E65"/>
            </w:tcBorders>
          </w:tcPr>
          <w:p>
            <w:pPr>
              <w:spacing w:after="0"/>
              <w:rPr>
                <w:sz w:val="3"/>
                <w:szCs w:val="3"/>
                <w:color w:val="auto"/>
              </w:rPr>
            </w:pPr>
          </w:p>
        </w:tc>
        <w:tc>
          <w:tcPr>
            <w:tcW w:w="880" w:type="dxa"/>
            <w:vAlign w:val="bottom"/>
            <w:tcBorders>
              <w:bottom w:val="single" w:sz="8" w:color="483E65"/>
            </w:tcBorders>
          </w:tcPr>
          <w:p>
            <w:pPr>
              <w:spacing w:after="0"/>
              <w:rPr>
                <w:sz w:val="3"/>
                <w:szCs w:val="3"/>
                <w:color w:val="auto"/>
              </w:rPr>
            </w:pPr>
          </w:p>
        </w:tc>
        <w:tc>
          <w:tcPr>
            <w:tcW w:w="1120" w:type="dxa"/>
            <w:vAlign w:val="bottom"/>
            <w:tcBorders>
              <w:bottom w:val="single" w:sz="8" w:color="483E65"/>
            </w:tcBorders>
          </w:tcPr>
          <w:p>
            <w:pPr>
              <w:spacing w:after="0"/>
              <w:rPr>
                <w:sz w:val="3"/>
                <w:szCs w:val="3"/>
                <w:color w:val="auto"/>
              </w:rPr>
            </w:pPr>
          </w:p>
        </w:tc>
        <w:tc>
          <w:tcPr>
            <w:tcW w:w="1240" w:type="dxa"/>
            <w:vAlign w:val="bottom"/>
            <w:tcBorders>
              <w:bottom w:val="single" w:sz="8" w:color="483E65"/>
            </w:tcBorders>
          </w:tcPr>
          <w:p>
            <w:pPr>
              <w:spacing w:after="0"/>
              <w:rPr>
                <w:sz w:val="3"/>
                <w:szCs w:val="3"/>
                <w:color w:val="auto"/>
              </w:rPr>
            </w:pPr>
          </w:p>
        </w:tc>
        <w:tc>
          <w:tcPr>
            <w:tcW w:w="700" w:type="dxa"/>
            <w:vAlign w:val="bottom"/>
            <w:tcBorders>
              <w:bottom w:val="single" w:sz="8" w:color="483E65"/>
            </w:tcBorders>
          </w:tcPr>
          <w:p>
            <w:pPr>
              <w:spacing w:after="0"/>
              <w:rPr>
                <w:sz w:val="3"/>
                <w:szCs w:val="3"/>
                <w:color w:val="auto"/>
              </w:rPr>
            </w:pPr>
          </w:p>
        </w:tc>
        <w:tc>
          <w:tcPr>
            <w:tcW w:w="820" w:type="dxa"/>
            <w:vAlign w:val="bottom"/>
            <w:tcBorders>
              <w:bottom w:val="single" w:sz="8" w:color="483E65"/>
            </w:tcBorders>
          </w:tcPr>
          <w:p>
            <w:pPr>
              <w:spacing w:after="0"/>
              <w:rPr>
                <w:sz w:val="3"/>
                <w:szCs w:val="3"/>
                <w:color w:val="auto"/>
              </w:rPr>
            </w:pPr>
          </w:p>
        </w:tc>
        <w:tc>
          <w:tcPr>
            <w:tcW w:w="180" w:type="dxa"/>
            <w:vAlign w:val="bottom"/>
          </w:tcPr>
          <w:p>
            <w:pPr>
              <w:spacing w:after="0"/>
              <w:rPr>
                <w:sz w:val="3"/>
                <w:szCs w:val="3"/>
                <w:color w:val="auto"/>
              </w:rPr>
            </w:pPr>
          </w:p>
        </w:tc>
        <w:tc>
          <w:tcPr>
            <w:tcW w:w="940" w:type="dxa"/>
            <w:vAlign w:val="bottom"/>
            <w:tcBorders>
              <w:bottom w:val="single" w:sz="8" w:color="483E65"/>
            </w:tcBorders>
          </w:tcPr>
          <w:p>
            <w:pPr>
              <w:spacing w:after="0"/>
              <w:rPr>
                <w:sz w:val="3"/>
                <w:szCs w:val="3"/>
                <w:color w:val="auto"/>
              </w:rPr>
            </w:pPr>
          </w:p>
        </w:tc>
        <w:tc>
          <w:tcPr>
            <w:tcW w:w="940" w:type="dxa"/>
            <w:vAlign w:val="bottom"/>
            <w:tcBorders>
              <w:bottom w:val="single" w:sz="8" w:color="483E65"/>
            </w:tcBorders>
          </w:tcPr>
          <w:p>
            <w:pPr>
              <w:spacing w:after="0"/>
              <w:rPr>
                <w:sz w:val="3"/>
                <w:szCs w:val="3"/>
                <w:color w:val="auto"/>
              </w:rPr>
            </w:pPr>
          </w:p>
        </w:tc>
        <w:tc>
          <w:tcPr>
            <w:tcW w:w="940" w:type="dxa"/>
            <w:vAlign w:val="bottom"/>
            <w:tcBorders>
              <w:bottom w:val="single" w:sz="8" w:color="483E65"/>
            </w:tcBorders>
          </w:tcPr>
          <w:p>
            <w:pPr>
              <w:spacing w:after="0"/>
              <w:rPr>
                <w:sz w:val="3"/>
                <w:szCs w:val="3"/>
                <w:color w:val="auto"/>
              </w:rPr>
            </w:pPr>
          </w:p>
        </w:tc>
        <w:tc>
          <w:tcPr>
            <w:tcW w:w="920" w:type="dxa"/>
            <w:vAlign w:val="bottom"/>
            <w:tcBorders>
              <w:bottom w:val="single" w:sz="8" w:color="483E65"/>
            </w:tcBorders>
          </w:tcPr>
          <w:p>
            <w:pPr>
              <w:spacing w:after="0"/>
              <w:rPr>
                <w:sz w:val="3"/>
                <w:szCs w:val="3"/>
                <w:color w:val="auto"/>
              </w:rPr>
            </w:pPr>
          </w:p>
        </w:tc>
        <w:tc>
          <w:tcPr>
            <w:tcW w:w="960" w:type="dxa"/>
            <w:vAlign w:val="bottom"/>
            <w:tcBorders>
              <w:bottom w:val="single" w:sz="8" w:color="483E65"/>
            </w:tcBorders>
          </w:tcPr>
          <w:p>
            <w:pPr>
              <w:spacing w:after="0"/>
              <w:rPr>
                <w:sz w:val="3"/>
                <w:szCs w:val="3"/>
                <w:color w:val="auto"/>
              </w:rPr>
            </w:pPr>
          </w:p>
        </w:tc>
      </w:tr>
      <w:tr>
        <w:trPr>
          <w:trHeight w:val="344"/>
        </w:trPr>
        <w:tc>
          <w:tcPr>
            <w:tcW w:w="1780" w:type="dxa"/>
            <w:vAlign w:val="bottom"/>
          </w:tcPr>
          <w:p>
            <w:pPr>
              <w:ind w:left="80"/>
              <w:spacing w:after="0"/>
              <w:rPr>
                <w:sz w:val="20"/>
                <w:szCs w:val="20"/>
                <w:color w:val="auto"/>
              </w:rPr>
            </w:pPr>
            <w:r>
              <w:rPr>
                <w:rFonts w:ascii="Arial" w:cs="Arial" w:eastAsia="Arial" w:hAnsi="Arial"/>
                <w:sz w:val="14"/>
                <w:szCs w:val="14"/>
                <w:color w:val="auto"/>
              </w:rPr>
              <w:t>Mr. Krone</w:t>
            </w:r>
          </w:p>
        </w:tc>
        <w:tc>
          <w:tcPr>
            <w:tcW w:w="880" w:type="dxa"/>
            <w:vAlign w:val="bottom"/>
          </w:tcPr>
          <w:p>
            <w:pPr>
              <w:jc w:val="right"/>
              <w:spacing w:after="0"/>
              <w:rPr>
                <w:sz w:val="20"/>
                <w:szCs w:val="20"/>
                <w:color w:val="auto"/>
              </w:rPr>
            </w:pPr>
            <w:r>
              <w:rPr>
                <w:rFonts w:ascii="Arial" w:cs="Arial" w:eastAsia="Arial" w:hAnsi="Arial"/>
                <w:sz w:val="14"/>
                <w:szCs w:val="14"/>
                <w:color w:val="auto"/>
              </w:rPr>
              <w:t>7/14/2014</w:t>
            </w:r>
          </w:p>
        </w:tc>
        <w:tc>
          <w:tcPr>
            <w:tcW w:w="1120" w:type="dxa"/>
            <w:vAlign w:val="bottom"/>
          </w:tcPr>
          <w:p>
            <w:pPr>
              <w:jc w:val="right"/>
              <w:ind w:right="12"/>
              <w:spacing w:after="0"/>
              <w:rPr>
                <w:sz w:val="20"/>
                <w:szCs w:val="20"/>
                <w:color w:val="auto"/>
              </w:rPr>
            </w:pPr>
            <w:r>
              <w:rPr>
                <w:rFonts w:ascii="Arial" w:cs="Arial" w:eastAsia="Arial" w:hAnsi="Arial"/>
                <w:sz w:val="14"/>
                <w:szCs w:val="14"/>
                <w:color w:val="auto"/>
              </w:rPr>
              <w:t>45,466</w:t>
            </w:r>
          </w:p>
        </w:tc>
        <w:tc>
          <w:tcPr>
            <w:tcW w:w="1240" w:type="dxa"/>
            <w:vAlign w:val="bottom"/>
          </w:tcPr>
          <w:p>
            <w:pPr>
              <w:jc w:val="right"/>
              <w:spacing w:after="0"/>
              <w:rPr>
                <w:sz w:val="20"/>
                <w:szCs w:val="20"/>
                <w:color w:val="auto"/>
              </w:rPr>
            </w:pPr>
            <w:r>
              <w:rPr>
                <w:rFonts w:ascii="Arial" w:cs="Arial" w:eastAsia="Arial" w:hAnsi="Arial"/>
                <w:sz w:val="14"/>
                <w:szCs w:val="14"/>
                <w:color w:val="auto"/>
              </w:rPr>
              <w:t>45,469</w:t>
            </w:r>
          </w:p>
        </w:tc>
        <w:tc>
          <w:tcPr>
            <w:tcW w:w="700" w:type="dxa"/>
            <w:vAlign w:val="bottom"/>
          </w:tcPr>
          <w:p>
            <w:pPr>
              <w:jc w:val="right"/>
              <w:ind w:right="32"/>
              <w:spacing w:after="0"/>
              <w:rPr>
                <w:sz w:val="20"/>
                <w:szCs w:val="20"/>
                <w:color w:val="auto"/>
              </w:rPr>
            </w:pPr>
            <w:r>
              <w:rPr>
                <w:rFonts w:ascii="Arial" w:cs="Arial" w:eastAsia="Arial" w:hAnsi="Arial"/>
                <w:sz w:val="14"/>
                <w:szCs w:val="14"/>
                <w:color w:val="auto"/>
              </w:rPr>
              <w:t>27.34</w:t>
            </w:r>
          </w:p>
        </w:tc>
        <w:tc>
          <w:tcPr>
            <w:tcW w:w="820" w:type="dxa"/>
            <w:vAlign w:val="bottom"/>
          </w:tcPr>
          <w:p>
            <w:pPr>
              <w:jc w:val="right"/>
              <w:spacing w:after="0"/>
              <w:rPr>
                <w:sz w:val="20"/>
                <w:szCs w:val="20"/>
                <w:color w:val="auto"/>
              </w:rPr>
            </w:pPr>
            <w:r>
              <w:rPr>
                <w:rFonts w:ascii="Arial" w:cs="Arial" w:eastAsia="Arial" w:hAnsi="Arial"/>
                <w:sz w:val="14"/>
                <w:szCs w:val="14"/>
                <w:color w:val="auto"/>
              </w:rPr>
              <w:t>7/13/2021</w:t>
            </w:r>
          </w:p>
        </w:tc>
        <w:tc>
          <w:tcPr>
            <w:tcW w:w="180" w:type="dxa"/>
            <w:vAlign w:val="bottom"/>
          </w:tcPr>
          <w:p>
            <w:pPr>
              <w:spacing w:after="0"/>
              <w:rPr>
                <w:sz w:val="24"/>
                <w:szCs w:val="24"/>
                <w:color w:val="auto"/>
              </w:rPr>
            </w:pPr>
          </w:p>
        </w:tc>
        <w:tc>
          <w:tcPr>
            <w:tcW w:w="940" w:type="dxa"/>
            <w:vAlign w:val="bottom"/>
          </w:tcPr>
          <w:p>
            <w:pPr>
              <w:jc w:val="right"/>
              <w:ind w:right="12"/>
              <w:spacing w:after="0"/>
              <w:rPr>
                <w:sz w:val="20"/>
                <w:szCs w:val="20"/>
                <w:color w:val="auto"/>
              </w:rPr>
            </w:pPr>
            <w:r>
              <w:rPr>
                <w:rFonts w:ascii="Arial" w:cs="Arial" w:eastAsia="Arial" w:hAnsi="Arial"/>
                <w:sz w:val="14"/>
                <w:szCs w:val="14"/>
                <w:color w:val="auto"/>
              </w:rPr>
              <w:t>7/14/2014</w:t>
            </w:r>
          </w:p>
        </w:tc>
        <w:tc>
          <w:tcPr>
            <w:tcW w:w="940" w:type="dxa"/>
            <w:vAlign w:val="bottom"/>
          </w:tcPr>
          <w:p>
            <w:pPr>
              <w:jc w:val="right"/>
              <w:ind w:right="12"/>
              <w:spacing w:after="0"/>
              <w:rPr>
                <w:sz w:val="20"/>
                <w:szCs w:val="20"/>
                <w:color w:val="auto"/>
              </w:rPr>
            </w:pPr>
            <w:r>
              <w:rPr>
                <w:rFonts w:ascii="Arial" w:cs="Arial" w:eastAsia="Arial" w:hAnsi="Arial"/>
                <w:sz w:val="14"/>
                <w:szCs w:val="14"/>
                <w:color w:val="auto"/>
              </w:rPr>
              <w:t>8,040</w:t>
            </w:r>
          </w:p>
        </w:tc>
        <w:tc>
          <w:tcPr>
            <w:tcW w:w="940" w:type="dxa"/>
            <w:vAlign w:val="bottom"/>
          </w:tcPr>
          <w:p>
            <w:pPr>
              <w:jc w:val="right"/>
              <w:ind w:right="72"/>
              <w:spacing w:after="0"/>
              <w:rPr>
                <w:sz w:val="20"/>
                <w:szCs w:val="20"/>
                <w:color w:val="auto"/>
              </w:rPr>
            </w:pPr>
            <w:r>
              <w:rPr>
                <w:rFonts w:ascii="Arial" w:cs="Arial" w:eastAsia="Arial" w:hAnsi="Arial"/>
                <w:sz w:val="14"/>
                <w:szCs w:val="14"/>
                <w:color w:val="auto"/>
              </w:rPr>
              <w:t>411,166</w:t>
            </w: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49"/>
        </w:trPr>
        <w:tc>
          <w:tcPr>
            <w:tcW w:w="178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4/10/2015</w:t>
            </w:r>
          </w:p>
        </w:tc>
        <w:tc>
          <w:tcPr>
            <w:tcW w:w="1120" w:type="dxa"/>
            <w:vAlign w:val="bottom"/>
          </w:tcPr>
          <w:p>
            <w:pPr>
              <w:jc w:val="right"/>
              <w:ind w:right="12"/>
              <w:spacing w:after="0" w:line="149" w:lineRule="exact"/>
              <w:rPr>
                <w:sz w:val="20"/>
                <w:szCs w:val="20"/>
                <w:color w:val="auto"/>
              </w:rPr>
            </w:pPr>
            <w:r>
              <w:rPr>
                <w:rFonts w:ascii="Arial" w:cs="Arial" w:eastAsia="Arial" w:hAnsi="Arial"/>
                <w:sz w:val="14"/>
                <w:szCs w:val="14"/>
                <w:color w:val="auto"/>
              </w:rPr>
              <w:t>34,695</w:t>
            </w:r>
          </w:p>
        </w:tc>
        <w:tc>
          <w:tcPr>
            <w:tcW w:w="1240" w:type="dxa"/>
            <w:vAlign w:val="bottom"/>
          </w:tcPr>
          <w:p>
            <w:pPr>
              <w:jc w:val="right"/>
              <w:spacing w:after="0" w:line="149" w:lineRule="exact"/>
              <w:rPr>
                <w:sz w:val="20"/>
                <w:szCs w:val="20"/>
                <w:color w:val="auto"/>
              </w:rPr>
            </w:pPr>
            <w:r>
              <w:rPr>
                <w:rFonts w:ascii="Arial" w:cs="Arial" w:eastAsia="Arial" w:hAnsi="Arial"/>
                <w:sz w:val="14"/>
                <w:szCs w:val="14"/>
                <w:color w:val="auto"/>
              </w:rPr>
              <w:t>104,089</w:t>
            </w:r>
          </w:p>
        </w:tc>
        <w:tc>
          <w:tcPr>
            <w:tcW w:w="7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31.55</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4/9/2022</w:t>
            </w:r>
          </w:p>
        </w:tc>
        <w:tc>
          <w:tcPr>
            <w:tcW w:w="180" w:type="dxa"/>
            <w:vAlign w:val="bottom"/>
          </w:tcPr>
          <w:p>
            <w:pPr>
              <w:spacing w:after="0"/>
              <w:rPr>
                <w:sz w:val="12"/>
                <w:szCs w:val="12"/>
                <w:color w:val="auto"/>
              </w:rPr>
            </w:pPr>
          </w:p>
        </w:tc>
        <w:tc>
          <w:tcPr>
            <w:tcW w:w="9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7/14/2014</w:t>
            </w:r>
          </w:p>
        </w:tc>
        <w:tc>
          <w:tcPr>
            <w:tcW w:w="9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9,764</w:t>
            </w:r>
          </w:p>
        </w:tc>
        <w:tc>
          <w:tcPr>
            <w:tcW w:w="940" w:type="dxa"/>
            <w:vAlign w:val="bottom"/>
          </w:tcPr>
          <w:p>
            <w:pPr>
              <w:jc w:val="right"/>
              <w:ind w:right="72"/>
              <w:spacing w:after="0" w:line="149" w:lineRule="exact"/>
              <w:rPr>
                <w:sz w:val="20"/>
                <w:szCs w:val="20"/>
                <w:color w:val="auto"/>
              </w:rPr>
            </w:pPr>
            <w:r>
              <w:rPr>
                <w:rFonts w:ascii="Arial" w:cs="Arial" w:eastAsia="Arial" w:hAnsi="Arial"/>
                <w:sz w:val="14"/>
                <w:szCs w:val="14"/>
                <w:color w:val="auto"/>
              </w:rPr>
              <w:t>499,331</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178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3/4/2016</w:t>
            </w:r>
          </w:p>
        </w:tc>
        <w:tc>
          <w:tcPr>
            <w:tcW w:w="112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240" w:type="dxa"/>
            <w:vAlign w:val="bottom"/>
          </w:tcPr>
          <w:p>
            <w:pPr>
              <w:jc w:val="right"/>
              <w:spacing w:after="0" w:line="149" w:lineRule="exact"/>
              <w:rPr>
                <w:sz w:val="20"/>
                <w:szCs w:val="20"/>
                <w:color w:val="auto"/>
              </w:rPr>
            </w:pPr>
            <w:r>
              <w:rPr>
                <w:rFonts w:ascii="Arial" w:cs="Arial" w:eastAsia="Arial" w:hAnsi="Arial"/>
                <w:sz w:val="14"/>
                <w:szCs w:val="14"/>
                <w:color w:val="auto"/>
              </w:rPr>
              <w:t>141,171</w:t>
            </w:r>
          </w:p>
        </w:tc>
        <w:tc>
          <w:tcPr>
            <w:tcW w:w="7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33.82</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3/3/2023</w:t>
            </w:r>
          </w:p>
        </w:tc>
        <w:tc>
          <w:tcPr>
            <w:tcW w:w="180" w:type="dxa"/>
            <w:vAlign w:val="bottom"/>
          </w:tcPr>
          <w:p>
            <w:pPr>
              <w:spacing w:after="0"/>
              <w:rPr>
                <w:sz w:val="12"/>
                <w:szCs w:val="12"/>
                <w:color w:val="auto"/>
              </w:rPr>
            </w:pPr>
          </w:p>
        </w:tc>
        <w:tc>
          <w:tcPr>
            <w:tcW w:w="9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3/23/2015</w:t>
            </w:r>
          </w:p>
        </w:tc>
        <w:tc>
          <w:tcPr>
            <w:tcW w:w="9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12,173</w:t>
            </w:r>
          </w:p>
        </w:tc>
        <w:tc>
          <w:tcPr>
            <w:tcW w:w="940" w:type="dxa"/>
            <w:vAlign w:val="bottom"/>
          </w:tcPr>
          <w:p>
            <w:pPr>
              <w:jc w:val="right"/>
              <w:ind w:right="72"/>
              <w:spacing w:after="0" w:line="149" w:lineRule="exact"/>
              <w:rPr>
                <w:sz w:val="20"/>
                <w:szCs w:val="20"/>
                <w:color w:val="auto"/>
              </w:rPr>
            </w:pPr>
            <w:r>
              <w:rPr>
                <w:rFonts w:ascii="Arial" w:cs="Arial" w:eastAsia="Arial" w:hAnsi="Arial"/>
                <w:sz w:val="14"/>
                <w:szCs w:val="14"/>
                <w:color w:val="auto"/>
              </w:rPr>
              <w:t>622,527</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178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12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2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4/10/2015</w:t>
            </w:r>
          </w:p>
        </w:tc>
        <w:tc>
          <w:tcPr>
            <w:tcW w:w="9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19,326</w:t>
            </w:r>
          </w:p>
        </w:tc>
        <w:tc>
          <w:tcPr>
            <w:tcW w:w="940" w:type="dxa"/>
            <w:vAlign w:val="bottom"/>
          </w:tcPr>
          <w:p>
            <w:pPr>
              <w:jc w:val="right"/>
              <w:ind w:right="72"/>
              <w:spacing w:after="0" w:line="149" w:lineRule="exact"/>
              <w:rPr>
                <w:sz w:val="20"/>
                <w:szCs w:val="20"/>
                <w:color w:val="auto"/>
              </w:rPr>
            </w:pPr>
            <w:r>
              <w:rPr>
                <w:rFonts w:ascii="Arial" w:cs="Arial" w:eastAsia="Arial" w:hAnsi="Arial"/>
                <w:sz w:val="14"/>
                <w:szCs w:val="14"/>
                <w:color w:val="auto"/>
              </w:rPr>
              <w:t>988,332</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178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12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2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4/10/2015</w:t>
            </w:r>
          </w:p>
        </w:tc>
        <w:tc>
          <w:tcPr>
            <w:tcW w:w="9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94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42,946</w:t>
            </w: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2,196,258</w:t>
            </w:r>
          </w:p>
        </w:tc>
      </w:tr>
      <w:tr>
        <w:trPr>
          <w:trHeight w:val="149"/>
        </w:trPr>
        <w:tc>
          <w:tcPr>
            <w:tcW w:w="178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12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2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2/18/2016</w:t>
            </w:r>
          </w:p>
        </w:tc>
        <w:tc>
          <w:tcPr>
            <w:tcW w:w="9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12,413</w:t>
            </w:r>
          </w:p>
        </w:tc>
        <w:tc>
          <w:tcPr>
            <w:tcW w:w="940" w:type="dxa"/>
            <w:vAlign w:val="bottom"/>
          </w:tcPr>
          <w:p>
            <w:pPr>
              <w:jc w:val="right"/>
              <w:ind w:right="72"/>
              <w:spacing w:after="0" w:line="149" w:lineRule="exact"/>
              <w:rPr>
                <w:sz w:val="20"/>
                <w:szCs w:val="20"/>
                <w:color w:val="auto"/>
              </w:rPr>
            </w:pPr>
            <w:r>
              <w:rPr>
                <w:rFonts w:ascii="Arial" w:cs="Arial" w:eastAsia="Arial" w:hAnsi="Arial"/>
                <w:sz w:val="14"/>
                <w:szCs w:val="14"/>
                <w:color w:val="auto"/>
              </w:rPr>
              <w:t>634,801</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178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12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2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3/4/2016</w:t>
            </w:r>
          </w:p>
        </w:tc>
        <w:tc>
          <w:tcPr>
            <w:tcW w:w="9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30,813</w:t>
            </w:r>
          </w:p>
        </w:tc>
        <w:tc>
          <w:tcPr>
            <w:tcW w:w="940" w:type="dxa"/>
            <w:vAlign w:val="bottom"/>
          </w:tcPr>
          <w:p>
            <w:pPr>
              <w:jc w:val="right"/>
              <w:ind w:right="72"/>
              <w:spacing w:after="0" w:line="149" w:lineRule="exact"/>
              <w:rPr>
                <w:sz w:val="20"/>
                <w:szCs w:val="20"/>
                <w:color w:val="auto"/>
              </w:rPr>
            </w:pPr>
            <w:r>
              <w:rPr>
                <w:rFonts w:ascii="Arial" w:cs="Arial" w:eastAsia="Arial" w:hAnsi="Arial"/>
                <w:sz w:val="14"/>
                <w:szCs w:val="14"/>
                <w:color w:val="auto"/>
              </w:rPr>
              <w:t>1,575,777</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178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12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2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3/4/2016</w:t>
            </w:r>
          </w:p>
        </w:tc>
        <w:tc>
          <w:tcPr>
            <w:tcW w:w="9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94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51,355</w:t>
            </w: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2,626,295</w:t>
            </w:r>
          </w:p>
        </w:tc>
      </w:tr>
      <w:tr>
        <w:trPr>
          <w:trHeight w:val="148"/>
        </w:trPr>
        <w:tc>
          <w:tcPr>
            <w:tcW w:w="1780" w:type="dxa"/>
            <w:vAlign w:val="bottom"/>
            <w:shd w:val="clear" w:color="auto" w:fill="ACABA7"/>
          </w:tcPr>
          <w:p>
            <w:pPr>
              <w:ind w:left="80"/>
              <w:spacing w:after="0" w:line="148" w:lineRule="exact"/>
              <w:rPr>
                <w:sz w:val="20"/>
                <w:szCs w:val="20"/>
                <w:color w:val="auto"/>
              </w:rPr>
            </w:pPr>
            <w:r>
              <w:rPr>
                <w:rFonts w:ascii="Arial" w:cs="Arial" w:eastAsia="Arial" w:hAnsi="Arial"/>
                <w:sz w:val="14"/>
                <w:szCs w:val="14"/>
                <w:color w:val="auto"/>
              </w:rPr>
              <w:t>Mr. Reagan</w:t>
            </w:r>
          </w:p>
        </w:tc>
        <w:tc>
          <w:tcPr>
            <w:tcW w:w="880" w:type="dxa"/>
            <w:vAlign w:val="bottom"/>
            <w:shd w:val="clear" w:color="auto" w:fill="ACABA7"/>
          </w:tcPr>
          <w:p>
            <w:pPr>
              <w:jc w:val="right"/>
              <w:spacing w:after="0" w:line="148" w:lineRule="exact"/>
              <w:rPr>
                <w:sz w:val="20"/>
                <w:szCs w:val="20"/>
                <w:color w:val="auto"/>
              </w:rPr>
            </w:pPr>
            <w:r>
              <w:rPr>
                <w:rFonts w:ascii="Arial" w:cs="Arial" w:eastAsia="Arial" w:hAnsi="Arial"/>
                <w:sz w:val="14"/>
                <w:szCs w:val="14"/>
                <w:color w:val="auto"/>
              </w:rPr>
              <w:t>9/11/2015</w:t>
            </w:r>
          </w:p>
        </w:tc>
        <w:tc>
          <w:tcPr>
            <w:tcW w:w="1120" w:type="dxa"/>
            <w:vAlign w:val="bottom"/>
            <w:shd w:val="clear" w:color="auto" w:fill="ACABA7"/>
          </w:tcPr>
          <w:p>
            <w:pPr>
              <w:jc w:val="right"/>
              <w:ind w:right="12"/>
              <w:spacing w:after="0" w:line="148" w:lineRule="exact"/>
              <w:rPr>
                <w:sz w:val="20"/>
                <w:szCs w:val="20"/>
                <w:color w:val="auto"/>
              </w:rPr>
            </w:pPr>
            <w:r>
              <w:rPr>
                <w:rFonts w:ascii="Arial" w:cs="Arial" w:eastAsia="Arial" w:hAnsi="Arial"/>
                <w:sz w:val="14"/>
                <w:szCs w:val="14"/>
                <w:color w:val="auto"/>
              </w:rPr>
              <w:t>14,351</w:t>
            </w:r>
          </w:p>
        </w:tc>
        <w:tc>
          <w:tcPr>
            <w:tcW w:w="1240" w:type="dxa"/>
            <w:vAlign w:val="bottom"/>
            <w:shd w:val="clear" w:color="auto" w:fill="ACABA7"/>
          </w:tcPr>
          <w:p>
            <w:pPr>
              <w:jc w:val="right"/>
              <w:spacing w:after="0" w:line="148" w:lineRule="exact"/>
              <w:rPr>
                <w:sz w:val="20"/>
                <w:szCs w:val="20"/>
                <w:color w:val="auto"/>
              </w:rPr>
            </w:pPr>
            <w:r>
              <w:rPr>
                <w:rFonts w:ascii="Arial" w:cs="Arial" w:eastAsia="Arial" w:hAnsi="Arial"/>
                <w:sz w:val="14"/>
                <w:szCs w:val="14"/>
                <w:color w:val="auto"/>
              </w:rPr>
              <w:t>43,056</w:t>
            </w:r>
          </w:p>
        </w:tc>
        <w:tc>
          <w:tcPr>
            <w:tcW w:w="700" w:type="dxa"/>
            <w:vAlign w:val="bottom"/>
            <w:shd w:val="clear" w:color="auto" w:fill="ACABA7"/>
          </w:tcPr>
          <w:p>
            <w:pPr>
              <w:jc w:val="right"/>
              <w:ind w:right="32"/>
              <w:spacing w:after="0" w:line="148" w:lineRule="exact"/>
              <w:rPr>
                <w:sz w:val="20"/>
                <w:szCs w:val="20"/>
                <w:color w:val="auto"/>
              </w:rPr>
            </w:pPr>
            <w:r>
              <w:rPr>
                <w:rFonts w:ascii="Arial" w:cs="Arial" w:eastAsia="Arial" w:hAnsi="Arial"/>
                <w:sz w:val="14"/>
                <w:szCs w:val="14"/>
                <w:color w:val="auto"/>
              </w:rPr>
              <w:t>31.26</w:t>
            </w:r>
          </w:p>
        </w:tc>
        <w:tc>
          <w:tcPr>
            <w:tcW w:w="820" w:type="dxa"/>
            <w:vAlign w:val="bottom"/>
            <w:shd w:val="clear" w:color="auto" w:fill="ACABA7"/>
          </w:tcPr>
          <w:p>
            <w:pPr>
              <w:jc w:val="right"/>
              <w:spacing w:after="0" w:line="148" w:lineRule="exact"/>
              <w:rPr>
                <w:sz w:val="20"/>
                <w:szCs w:val="20"/>
                <w:color w:val="auto"/>
              </w:rPr>
            </w:pPr>
            <w:r>
              <w:rPr>
                <w:rFonts w:ascii="Arial" w:cs="Arial" w:eastAsia="Arial" w:hAnsi="Arial"/>
                <w:sz w:val="14"/>
                <w:szCs w:val="14"/>
                <w:color w:val="auto"/>
              </w:rPr>
              <w:t>9/10/2022</w:t>
            </w:r>
          </w:p>
        </w:tc>
        <w:tc>
          <w:tcPr>
            <w:tcW w:w="180" w:type="dxa"/>
            <w:vAlign w:val="bottom"/>
            <w:shd w:val="clear" w:color="auto" w:fill="ACABA7"/>
          </w:tcPr>
          <w:p>
            <w:pPr>
              <w:spacing w:after="0"/>
              <w:rPr>
                <w:sz w:val="12"/>
                <w:szCs w:val="12"/>
                <w:color w:val="auto"/>
              </w:rPr>
            </w:pPr>
          </w:p>
        </w:tc>
        <w:tc>
          <w:tcPr>
            <w:tcW w:w="940" w:type="dxa"/>
            <w:vAlign w:val="bottom"/>
            <w:shd w:val="clear" w:color="auto" w:fill="ACABA7"/>
          </w:tcPr>
          <w:p>
            <w:pPr>
              <w:jc w:val="right"/>
              <w:ind w:right="12"/>
              <w:spacing w:after="0" w:line="148" w:lineRule="exact"/>
              <w:rPr>
                <w:sz w:val="20"/>
                <w:szCs w:val="20"/>
                <w:color w:val="auto"/>
              </w:rPr>
            </w:pPr>
            <w:r>
              <w:rPr>
                <w:rFonts w:ascii="Arial" w:cs="Arial" w:eastAsia="Arial" w:hAnsi="Arial"/>
                <w:sz w:val="14"/>
                <w:szCs w:val="14"/>
                <w:color w:val="auto"/>
              </w:rPr>
              <w:t>9/11/2015</w:t>
            </w:r>
          </w:p>
        </w:tc>
        <w:tc>
          <w:tcPr>
            <w:tcW w:w="940" w:type="dxa"/>
            <w:vAlign w:val="bottom"/>
            <w:shd w:val="clear" w:color="auto" w:fill="ACABA7"/>
          </w:tcPr>
          <w:p>
            <w:pPr>
              <w:jc w:val="right"/>
              <w:ind w:right="12"/>
              <w:spacing w:after="0" w:line="148" w:lineRule="exact"/>
              <w:rPr>
                <w:sz w:val="20"/>
                <w:szCs w:val="20"/>
                <w:color w:val="auto"/>
              </w:rPr>
            </w:pPr>
            <w:r>
              <w:rPr>
                <w:rFonts w:ascii="Arial" w:cs="Arial" w:eastAsia="Arial" w:hAnsi="Arial"/>
                <w:sz w:val="14"/>
                <w:szCs w:val="14"/>
                <w:color w:val="auto"/>
              </w:rPr>
              <w:t>7,448</w:t>
            </w:r>
          </w:p>
        </w:tc>
        <w:tc>
          <w:tcPr>
            <w:tcW w:w="940" w:type="dxa"/>
            <w:vAlign w:val="bottom"/>
            <w:shd w:val="clear" w:color="auto" w:fill="ACABA7"/>
          </w:tcPr>
          <w:p>
            <w:pPr>
              <w:jc w:val="right"/>
              <w:ind w:right="72"/>
              <w:spacing w:after="0" w:line="148" w:lineRule="exact"/>
              <w:rPr>
                <w:sz w:val="20"/>
                <w:szCs w:val="20"/>
                <w:color w:val="auto"/>
              </w:rPr>
            </w:pPr>
            <w:r>
              <w:rPr>
                <w:rFonts w:ascii="Arial" w:cs="Arial" w:eastAsia="Arial" w:hAnsi="Arial"/>
                <w:sz w:val="14"/>
                <w:szCs w:val="14"/>
                <w:color w:val="auto"/>
              </w:rPr>
              <w:t>380,891</w:t>
            </w:r>
          </w:p>
        </w:tc>
        <w:tc>
          <w:tcPr>
            <w:tcW w:w="920" w:type="dxa"/>
            <w:vAlign w:val="bottom"/>
            <w:shd w:val="clear" w:color="auto" w:fill="ACABA7"/>
          </w:tcPr>
          <w:p>
            <w:pPr>
              <w:jc w:val="right"/>
              <w:spacing w:after="0" w:line="148" w:lineRule="exact"/>
              <w:rPr>
                <w:sz w:val="20"/>
                <w:szCs w:val="20"/>
                <w:color w:val="auto"/>
              </w:rPr>
            </w:pPr>
            <w:r>
              <w:rPr>
                <w:rFonts w:ascii="Arial" w:cs="Arial" w:eastAsia="Arial" w:hAnsi="Arial"/>
                <w:sz w:val="14"/>
                <w:szCs w:val="14"/>
                <w:color w:val="auto"/>
              </w:rPr>
              <w:t>—</w:t>
            </w:r>
          </w:p>
        </w:tc>
        <w:tc>
          <w:tcPr>
            <w:tcW w:w="960" w:type="dxa"/>
            <w:vAlign w:val="bottom"/>
            <w:shd w:val="clear" w:color="auto" w:fill="ACABA7"/>
          </w:tcPr>
          <w:p>
            <w:pPr>
              <w:jc w:val="right"/>
              <w:spacing w:after="0" w:line="148" w:lineRule="exact"/>
              <w:rPr>
                <w:sz w:val="20"/>
                <w:szCs w:val="20"/>
                <w:color w:val="auto"/>
              </w:rPr>
            </w:pPr>
            <w:r>
              <w:rPr>
                <w:rFonts w:ascii="Arial" w:cs="Arial" w:eastAsia="Arial" w:hAnsi="Arial"/>
                <w:sz w:val="14"/>
                <w:szCs w:val="14"/>
                <w:color w:val="auto"/>
              </w:rPr>
              <w:t>—</w:t>
            </w:r>
          </w:p>
        </w:tc>
      </w:tr>
      <w:tr>
        <w:trPr>
          <w:trHeight w:val="149"/>
        </w:trPr>
        <w:tc>
          <w:tcPr>
            <w:tcW w:w="1780" w:type="dxa"/>
            <w:vAlign w:val="bottom"/>
            <w:shd w:val="clear" w:color="auto" w:fill="ACABA7"/>
          </w:tcPr>
          <w:p>
            <w:pPr>
              <w:spacing w:after="0"/>
              <w:rPr>
                <w:sz w:val="12"/>
                <w:szCs w:val="12"/>
                <w:color w:val="auto"/>
              </w:rPr>
            </w:pPr>
          </w:p>
        </w:tc>
        <w:tc>
          <w:tcPr>
            <w:tcW w:w="880" w:type="dxa"/>
            <w:vAlign w:val="bottom"/>
            <w:shd w:val="clear" w:color="auto" w:fill="ACABA7"/>
          </w:tcPr>
          <w:p>
            <w:pPr>
              <w:jc w:val="right"/>
              <w:spacing w:after="0" w:line="149" w:lineRule="exact"/>
              <w:rPr>
                <w:sz w:val="20"/>
                <w:szCs w:val="20"/>
                <w:color w:val="auto"/>
              </w:rPr>
            </w:pPr>
            <w:r>
              <w:rPr>
                <w:rFonts w:ascii="Arial" w:cs="Arial" w:eastAsia="Arial" w:hAnsi="Arial"/>
                <w:sz w:val="14"/>
                <w:szCs w:val="14"/>
                <w:color w:val="auto"/>
              </w:rPr>
              <w:t>3/4/2016</w:t>
            </w:r>
          </w:p>
        </w:tc>
        <w:tc>
          <w:tcPr>
            <w:tcW w:w="1120" w:type="dxa"/>
            <w:vAlign w:val="bottom"/>
            <w:shd w:val="clear" w:color="auto" w:fill="ACABA7"/>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240" w:type="dxa"/>
            <w:vAlign w:val="bottom"/>
            <w:shd w:val="clear" w:color="auto" w:fill="ACABA7"/>
          </w:tcPr>
          <w:p>
            <w:pPr>
              <w:jc w:val="right"/>
              <w:spacing w:after="0" w:line="149" w:lineRule="exact"/>
              <w:rPr>
                <w:sz w:val="20"/>
                <w:szCs w:val="20"/>
                <w:color w:val="auto"/>
              </w:rPr>
            </w:pPr>
            <w:r>
              <w:rPr>
                <w:rFonts w:ascii="Arial" w:cs="Arial" w:eastAsia="Arial" w:hAnsi="Arial"/>
                <w:sz w:val="14"/>
                <w:szCs w:val="14"/>
                <w:color w:val="auto"/>
              </w:rPr>
              <w:t>36,044</w:t>
            </w:r>
          </w:p>
        </w:tc>
        <w:tc>
          <w:tcPr>
            <w:tcW w:w="700" w:type="dxa"/>
            <w:vAlign w:val="bottom"/>
            <w:shd w:val="clear" w:color="auto" w:fill="ACABA7"/>
          </w:tcPr>
          <w:p>
            <w:pPr>
              <w:jc w:val="right"/>
              <w:ind w:right="32"/>
              <w:spacing w:after="0" w:line="149" w:lineRule="exact"/>
              <w:rPr>
                <w:sz w:val="20"/>
                <w:szCs w:val="20"/>
                <w:color w:val="auto"/>
              </w:rPr>
            </w:pPr>
            <w:r>
              <w:rPr>
                <w:rFonts w:ascii="Arial" w:cs="Arial" w:eastAsia="Arial" w:hAnsi="Arial"/>
                <w:sz w:val="14"/>
                <w:szCs w:val="14"/>
                <w:color w:val="auto"/>
              </w:rPr>
              <w:t>33.82</w:t>
            </w:r>
          </w:p>
        </w:tc>
        <w:tc>
          <w:tcPr>
            <w:tcW w:w="820" w:type="dxa"/>
            <w:vAlign w:val="bottom"/>
            <w:shd w:val="clear" w:color="auto" w:fill="ACABA7"/>
          </w:tcPr>
          <w:p>
            <w:pPr>
              <w:jc w:val="right"/>
              <w:spacing w:after="0" w:line="149" w:lineRule="exact"/>
              <w:rPr>
                <w:sz w:val="20"/>
                <w:szCs w:val="20"/>
                <w:color w:val="auto"/>
              </w:rPr>
            </w:pPr>
            <w:r>
              <w:rPr>
                <w:rFonts w:ascii="Arial" w:cs="Arial" w:eastAsia="Arial" w:hAnsi="Arial"/>
                <w:sz w:val="14"/>
                <w:szCs w:val="14"/>
                <w:color w:val="auto"/>
              </w:rPr>
              <w:t>3/3/2023</w:t>
            </w:r>
          </w:p>
        </w:tc>
        <w:tc>
          <w:tcPr>
            <w:tcW w:w="180" w:type="dxa"/>
            <w:vAlign w:val="bottom"/>
            <w:shd w:val="clear" w:color="auto" w:fill="ACABA7"/>
          </w:tcPr>
          <w:p>
            <w:pPr>
              <w:spacing w:after="0"/>
              <w:rPr>
                <w:sz w:val="12"/>
                <w:szCs w:val="12"/>
                <w:color w:val="auto"/>
              </w:rPr>
            </w:pPr>
          </w:p>
        </w:tc>
        <w:tc>
          <w:tcPr>
            <w:tcW w:w="940" w:type="dxa"/>
            <w:vAlign w:val="bottom"/>
            <w:shd w:val="clear" w:color="auto" w:fill="ACABA7"/>
          </w:tcPr>
          <w:p>
            <w:pPr>
              <w:jc w:val="right"/>
              <w:ind w:right="12"/>
              <w:spacing w:after="0" w:line="149" w:lineRule="exact"/>
              <w:rPr>
                <w:sz w:val="20"/>
                <w:szCs w:val="20"/>
                <w:color w:val="auto"/>
              </w:rPr>
            </w:pPr>
            <w:r>
              <w:rPr>
                <w:rFonts w:ascii="Arial" w:cs="Arial" w:eastAsia="Arial" w:hAnsi="Arial"/>
                <w:sz w:val="14"/>
                <w:szCs w:val="14"/>
                <w:color w:val="auto"/>
              </w:rPr>
              <w:t>9/11/2015</w:t>
            </w:r>
          </w:p>
        </w:tc>
        <w:tc>
          <w:tcPr>
            <w:tcW w:w="940" w:type="dxa"/>
            <w:vAlign w:val="bottom"/>
            <w:shd w:val="clear" w:color="auto" w:fill="ACABA7"/>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940" w:type="dxa"/>
            <w:vAlign w:val="bottom"/>
            <w:shd w:val="clear" w:color="auto" w:fill="ACABA7"/>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920" w:type="dxa"/>
            <w:vAlign w:val="bottom"/>
            <w:shd w:val="clear" w:color="auto" w:fill="ACABA7"/>
          </w:tcPr>
          <w:p>
            <w:pPr>
              <w:jc w:val="right"/>
              <w:spacing w:after="0" w:line="149" w:lineRule="exact"/>
              <w:rPr>
                <w:sz w:val="20"/>
                <w:szCs w:val="20"/>
                <w:color w:val="auto"/>
              </w:rPr>
            </w:pPr>
            <w:r>
              <w:rPr>
                <w:rFonts w:ascii="Arial" w:cs="Arial" w:eastAsia="Arial" w:hAnsi="Arial"/>
                <w:sz w:val="14"/>
                <w:szCs w:val="14"/>
                <w:color w:val="auto"/>
              </w:rPr>
              <w:t>16,549</w:t>
            </w:r>
          </w:p>
        </w:tc>
        <w:tc>
          <w:tcPr>
            <w:tcW w:w="960" w:type="dxa"/>
            <w:vAlign w:val="bottom"/>
            <w:shd w:val="clear" w:color="auto" w:fill="ACABA7"/>
          </w:tcPr>
          <w:p>
            <w:pPr>
              <w:jc w:val="right"/>
              <w:spacing w:after="0" w:line="149" w:lineRule="exact"/>
              <w:rPr>
                <w:sz w:val="20"/>
                <w:szCs w:val="20"/>
                <w:color w:val="auto"/>
              </w:rPr>
            </w:pPr>
            <w:r>
              <w:rPr>
                <w:rFonts w:ascii="Arial" w:cs="Arial" w:eastAsia="Arial" w:hAnsi="Arial"/>
                <w:sz w:val="14"/>
                <w:szCs w:val="14"/>
                <w:color w:val="auto"/>
              </w:rPr>
              <w:t>846,316</w:t>
            </w:r>
          </w:p>
        </w:tc>
      </w:tr>
      <w:tr>
        <w:trPr>
          <w:trHeight w:val="149"/>
        </w:trPr>
        <w:tc>
          <w:tcPr>
            <w:tcW w:w="1780" w:type="dxa"/>
            <w:vAlign w:val="bottom"/>
            <w:shd w:val="clear" w:color="auto" w:fill="ACABA7"/>
          </w:tcPr>
          <w:p>
            <w:pPr>
              <w:spacing w:after="0"/>
              <w:rPr>
                <w:sz w:val="12"/>
                <w:szCs w:val="12"/>
                <w:color w:val="auto"/>
              </w:rPr>
            </w:pPr>
          </w:p>
        </w:tc>
        <w:tc>
          <w:tcPr>
            <w:tcW w:w="880" w:type="dxa"/>
            <w:vAlign w:val="bottom"/>
            <w:shd w:val="clear" w:color="auto" w:fill="ACABA7"/>
          </w:tcPr>
          <w:p>
            <w:pPr>
              <w:jc w:val="right"/>
              <w:spacing w:after="0" w:line="149" w:lineRule="exact"/>
              <w:rPr>
                <w:sz w:val="20"/>
                <w:szCs w:val="20"/>
                <w:color w:val="auto"/>
              </w:rPr>
            </w:pPr>
            <w:r>
              <w:rPr>
                <w:rFonts w:ascii="Arial" w:cs="Arial" w:eastAsia="Arial" w:hAnsi="Arial"/>
                <w:sz w:val="14"/>
                <w:szCs w:val="14"/>
                <w:color w:val="auto"/>
              </w:rPr>
              <w:t>—</w:t>
            </w:r>
          </w:p>
        </w:tc>
        <w:tc>
          <w:tcPr>
            <w:tcW w:w="1120" w:type="dxa"/>
            <w:vAlign w:val="bottom"/>
            <w:shd w:val="clear" w:color="auto" w:fill="ACABA7"/>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240" w:type="dxa"/>
            <w:vAlign w:val="bottom"/>
            <w:shd w:val="clear" w:color="auto" w:fill="ACABA7"/>
          </w:tcPr>
          <w:p>
            <w:pPr>
              <w:jc w:val="right"/>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ACABA7"/>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ACABA7"/>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40" w:type="dxa"/>
            <w:vAlign w:val="bottom"/>
            <w:shd w:val="clear" w:color="auto" w:fill="ACABA7"/>
          </w:tcPr>
          <w:p>
            <w:pPr>
              <w:jc w:val="right"/>
              <w:ind w:right="12"/>
              <w:spacing w:after="0" w:line="149" w:lineRule="exact"/>
              <w:rPr>
                <w:sz w:val="20"/>
                <w:szCs w:val="20"/>
                <w:color w:val="auto"/>
              </w:rPr>
            </w:pPr>
            <w:r>
              <w:rPr>
                <w:rFonts w:ascii="Arial" w:cs="Arial" w:eastAsia="Arial" w:hAnsi="Arial"/>
                <w:sz w:val="14"/>
                <w:szCs w:val="14"/>
                <w:color w:val="auto"/>
              </w:rPr>
              <w:t>3/4/2016</w:t>
            </w:r>
          </w:p>
        </w:tc>
        <w:tc>
          <w:tcPr>
            <w:tcW w:w="940" w:type="dxa"/>
            <w:vAlign w:val="bottom"/>
            <w:shd w:val="clear" w:color="auto" w:fill="ACABA7"/>
          </w:tcPr>
          <w:p>
            <w:pPr>
              <w:jc w:val="right"/>
              <w:ind w:right="12"/>
              <w:spacing w:after="0" w:line="149" w:lineRule="exact"/>
              <w:rPr>
                <w:sz w:val="20"/>
                <w:szCs w:val="20"/>
                <w:color w:val="auto"/>
              </w:rPr>
            </w:pPr>
            <w:r>
              <w:rPr>
                <w:rFonts w:ascii="Arial" w:cs="Arial" w:eastAsia="Arial" w:hAnsi="Arial"/>
                <w:sz w:val="14"/>
                <w:szCs w:val="14"/>
                <w:color w:val="auto"/>
              </w:rPr>
              <w:t>7,868</w:t>
            </w:r>
          </w:p>
        </w:tc>
        <w:tc>
          <w:tcPr>
            <w:tcW w:w="940" w:type="dxa"/>
            <w:vAlign w:val="bottom"/>
            <w:shd w:val="clear" w:color="auto" w:fill="ACABA7"/>
          </w:tcPr>
          <w:p>
            <w:pPr>
              <w:jc w:val="right"/>
              <w:ind w:right="72"/>
              <w:spacing w:after="0" w:line="149" w:lineRule="exact"/>
              <w:rPr>
                <w:sz w:val="20"/>
                <w:szCs w:val="20"/>
                <w:color w:val="auto"/>
              </w:rPr>
            </w:pPr>
            <w:r>
              <w:rPr>
                <w:rFonts w:ascii="Arial" w:cs="Arial" w:eastAsia="Arial" w:hAnsi="Arial"/>
                <w:sz w:val="14"/>
                <w:szCs w:val="14"/>
                <w:color w:val="auto"/>
              </w:rPr>
              <w:t>402,370</w:t>
            </w:r>
          </w:p>
        </w:tc>
        <w:tc>
          <w:tcPr>
            <w:tcW w:w="920" w:type="dxa"/>
            <w:vAlign w:val="bottom"/>
            <w:shd w:val="clear" w:color="auto" w:fill="ACABA7"/>
          </w:tcPr>
          <w:p>
            <w:pPr>
              <w:jc w:val="right"/>
              <w:spacing w:after="0" w:line="149" w:lineRule="exact"/>
              <w:rPr>
                <w:sz w:val="20"/>
                <w:szCs w:val="20"/>
                <w:color w:val="auto"/>
              </w:rPr>
            </w:pPr>
            <w:r>
              <w:rPr>
                <w:rFonts w:ascii="Arial" w:cs="Arial" w:eastAsia="Arial" w:hAnsi="Arial"/>
                <w:sz w:val="14"/>
                <w:szCs w:val="14"/>
                <w:color w:val="auto"/>
              </w:rPr>
              <w:t>—</w:t>
            </w:r>
          </w:p>
        </w:tc>
        <w:tc>
          <w:tcPr>
            <w:tcW w:w="960" w:type="dxa"/>
            <w:vAlign w:val="bottom"/>
            <w:shd w:val="clear" w:color="auto" w:fill="ACABA7"/>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1780" w:type="dxa"/>
            <w:vAlign w:val="bottom"/>
            <w:shd w:val="clear" w:color="auto" w:fill="ACABA7"/>
          </w:tcPr>
          <w:p>
            <w:pPr>
              <w:spacing w:after="0"/>
              <w:rPr>
                <w:sz w:val="12"/>
                <w:szCs w:val="12"/>
                <w:color w:val="auto"/>
              </w:rPr>
            </w:pPr>
          </w:p>
        </w:tc>
        <w:tc>
          <w:tcPr>
            <w:tcW w:w="880" w:type="dxa"/>
            <w:vAlign w:val="bottom"/>
            <w:shd w:val="clear" w:color="auto" w:fill="ACABA7"/>
          </w:tcPr>
          <w:p>
            <w:pPr>
              <w:jc w:val="right"/>
              <w:spacing w:after="0" w:line="149" w:lineRule="exact"/>
              <w:rPr>
                <w:sz w:val="20"/>
                <w:szCs w:val="20"/>
                <w:color w:val="auto"/>
              </w:rPr>
            </w:pPr>
            <w:r>
              <w:rPr>
                <w:rFonts w:ascii="Arial" w:cs="Arial" w:eastAsia="Arial" w:hAnsi="Arial"/>
                <w:sz w:val="14"/>
                <w:szCs w:val="14"/>
                <w:color w:val="auto"/>
              </w:rPr>
              <w:t>—</w:t>
            </w:r>
          </w:p>
        </w:tc>
        <w:tc>
          <w:tcPr>
            <w:tcW w:w="1120" w:type="dxa"/>
            <w:vAlign w:val="bottom"/>
            <w:shd w:val="clear" w:color="auto" w:fill="ACABA7"/>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240" w:type="dxa"/>
            <w:vAlign w:val="bottom"/>
            <w:shd w:val="clear" w:color="auto" w:fill="ACABA7"/>
          </w:tcPr>
          <w:p>
            <w:pPr>
              <w:jc w:val="right"/>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ACABA7"/>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ACABA7"/>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40" w:type="dxa"/>
            <w:vAlign w:val="bottom"/>
            <w:shd w:val="clear" w:color="auto" w:fill="ACABA7"/>
          </w:tcPr>
          <w:p>
            <w:pPr>
              <w:jc w:val="right"/>
              <w:ind w:right="12"/>
              <w:spacing w:after="0" w:line="149" w:lineRule="exact"/>
              <w:rPr>
                <w:sz w:val="20"/>
                <w:szCs w:val="20"/>
                <w:color w:val="auto"/>
              </w:rPr>
            </w:pPr>
            <w:r>
              <w:rPr>
                <w:rFonts w:ascii="Arial" w:cs="Arial" w:eastAsia="Arial" w:hAnsi="Arial"/>
                <w:sz w:val="14"/>
                <w:szCs w:val="14"/>
                <w:color w:val="auto"/>
              </w:rPr>
              <w:t>3/4/2016</w:t>
            </w:r>
          </w:p>
        </w:tc>
        <w:tc>
          <w:tcPr>
            <w:tcW w:w="940" w:type="dxa"/>
            <w:vAlign w:val="bottom"/>
            <w:shd w:val="clear" w:color="auto" w:fill="ACABA7"/>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940" w:type="dxa"/>
            <w:vAlign w:val="bottom"/>
            <w:shd w:val="clear" w:color="auto" w:fill="ACABA7"/>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920" w:type="dxa"/>
            <w:vAlign w:val="bottom"/>
            <w:shd w:val="clear" w:color="auto" w:fill="ACABA7"/>
          </w:tcPr>
          <w:p>
            <w:pPr>
              <w:jc w:val="right"/>
              <w:spacing w:after="0" w:line="149" w:lineRule="exact"/>
              <w:rPr>
                <w:sz w:val="20"/>
                <w:szCs w:val="20"/>
                <w:color w:val="auto"/>
              </w:rPr>
            </w:pPr>
            <w:r>
              <w:rPr>
                <w:rFonts w:ascii="Arial" w:cs="Arial" w:eastAsia="Arial" w:hAnsi="Arial"/>
                <w:sz w:val="14"/>
                <w:szCs w:val="14"/>
                <w:color w:val="auto"/>
              </w:rPr>
              <w:t>13,112</w:t>
            </w:r>
          </w:p>
        </w:tc>
        <w:tc>
          <w:tcPr>
            <w:tcW w:w="960" w:type="dxa"/>
            <w:vAlign w:val="bottom"/>
            <w:shd w:val="clear" w:color="auto" w:fill="ACABA7"/>
          </w:tcPr>
          <w:p>
            <w:pPr>
              <w:jc w:val="right"/>
              <w:spacing w:after="0" w:line="149" w:lineRule="exact"/>
              <w:rPr>
                <w:sz w:val="20"/>
                <w:szCs w:val="20"/>
                <w:color w:val="auto"/>
              </w:rPr>
            </w:pPr>
            <w:r>
              <w:rPr>
                <w:rFonts w:ascii="Arial" w:cs="Arial" w:eastAsia="Arial" w:hAnsi="Arial"/>
                <w:sz w:val="14"/>
                <w:szCs w:val="14"/>
                <w:color w:val="auto"/>
              </w:rPr>
              <w:t>670,548</w:t>
            </w:r>
          </w:p>
        </w:tc>
      </w:tr>
      <w:tr>
        <w:trPr>
          <w:trHeight w:val="148"/>
        </w:trPr>
        <w:tc>
          <w:tcPr>
            <w:tcW w:w="1780" w:type="dxa"/>
            <w:vAlign w:val="bottom"/>
          </w:tcPr>
          <w:p>
            <w:pPr>
              <w:ind w:left="80"/>
              <w:spacing w:after="0" w:line="148" w:lineRule="exact"/>
              <w:rPr>
                <w:sz w:val="20"/>
                <w:szCs w:val="20"/>
                <w:color w:val="auto"/>
              </w:rPr>
            </w:pPr>
            <w:r>
              <w:rPr>
                <w:rFonts w:ascii="Arial" w:cs="Arial" w:eastAsia="Arial" w:hAnsi="Arial"/>
                <w:sz w:val="14"/>
                <w:szCs w:val="14"/>
                <w:color w:val="auto"/>
              </w:rPr>
              <w:t>Mr. Reardon</w:t>
            </w:r>
          </w:p>
        </w:tc>
        <w:tc>
          <w:tcPr>
            <w:tcW w:w="880" w:type="dxa"/>
            <w:vAlign w:val="bottom"/>
          </w:tcPr>
          <w:p>
            <w:pPr>
              <w:jc w:val="right"/>
              <w:spacing w:after="0" w:line="148" w:lineRule="exact"/>
              <w:rPr>
                <w:sz w:val="20"/>
                <w:szCs w:val="20"/>
                <w:color w:val="auto"/>
              </w:rPr>
            </w:pPr>
            <w:r>
              <w:rPr>
                <w:rFonts w:ascii="Arial" w:cs="Arial" w:eastAsia="Arial" w:hAnsi="Arial"/>
                <w:sz w:val="14"/>
                <w:szCs w:val="14"/>
                <w:color w:val="auto"/>
              </w:rPr>
              <w:t>8/26/2016</w:t>
            </w:r>
          </w:p>
        </w:tc>
        <w:tc>
          <w:tcPr>
            <w:tcW w:w="1120" w:type="dxa"/>
            <w:vAlign w:val="bottom"/>
          </w:tcPr>
          <w:p>
            <w:pPr>
              <w:jc w:val="right"/>
              <w:ind w:right="12"/>
              <w:spacing w:after="0" w:line="148" w:lineRule="exact"/>
              <w:rPr>
                <w:sz w:val="20"/>
                <w:szCs w:val="20"/>
                <w:color w:val="auto"/>
              </w:rPr>
            </w:pPr>
            <w:r>
              <w:rPr>
                <w:rFonts w:ascii="Arial" w:cs="Arial" w:eastAsia="Arial" w:hAnsi="Arial"/>
                <w:sz w:val="14"/>
                <w:szCs w:val="14"/>
                <w:color w:val="auto"/>
              </w:rPr>
              <w:t>23,785</w:t>
            </w:r>
          </w:p>
        </w:tc>
        <w:tc>
          <w:tcPr>
            <w:tcW w:w="1240" w:type="dxa"/>
            <w:vAlign w:val="bottom"/>
          </w:tcPr>
          <w:p>
            <w:pPr>
              <w:jc w:val="right"/>
              <w:spacing w:after="0" w:line="148" w:lineRule="exact"/>
              <w:rPr>
                <w:sz w:val="20"/>
                <w:szCs w:val="20"/>
                <w:color w:val="auto"/>
              </w:rPr>
            </w:pPr>
            <w:r>
              <w:rPr>
                <w:rFonts w:ascii="Arial" w:cs="Arial" w:eastAsia="Arial" w:hAnsi="Arial"/>
                <w:sz w:val="14"/>
                <w:szCs w:val="14"/>
                <w:color w:val="auto"/>
              </w:rPr>
              <w:t>—</w:t>
            </w:r>
          </w:p>
        </w:tc>
        <w:tc>
          <w:tcPr>
            <w:tcW w:w="700" w:type="dxa"/>
            <w:vAlign w:val="bottom"/>
          </w:tcPr>
          <w:p>
            <w:pPr>
              <w:jc w:val="right"/>
              <w:ind w:right="32"/>
              <w:spacing w:after="0" w:line="148" w:lineRule="exact"/>
              <w:rPr>
                <w:sz w:val="20"/>
                <w:szCs w:val="20"/>
                <w:color w:val="auto"/>
              </w:rPr>
            </w:pPr>
            <w:r>
              <w:rPr>
                <w:rFonts w:ascii="Arial" w:cs="Arial" w:eastAsia="Arial" w:hAnsi="Arial"/>
                <w:sz w:val="14"/>
                <w:szCs w:val="14"/>
                <w:color w:val="auto"/>
              </w:rPr>
              <w:t>39.70</w:t>
            </w:r>
          </w:p>
        </w:tc>
        <w:tc>
          <w:tcPr>
            <w:tcW w:w="820" w:type="dxa"/>
            <w:vAlign w:val="bottom"/>
          </w:tcPr>
          <w:p>
            <w:pPr>
              <w:jc w:val="right"/>
              <w:spacing w:after="0" w:line="148" w:lineRule="exact"/>
              <w:rPr>
                <w:sz w:val="20"/>
                <w:szCs w:val="20"/>
                <w:color w:val="auto"/>
              </w:rPr>
            </w:pPr>
            <w:r>
              <w:rPr>
                <w:rFonts w:ascii="Arial" w:cs="Arial" w:eastAsia="Arial" w:hAnsi="Arial"/>
                <w:sz w:val="14"/>
                <w:szCs w:val="14"/>
                <w:color w:val="auto"/>
              </w:rPr>
              <w:t>8/25/23</w:t>
            </w:r>
          </w:p>
        </w:tc>
        <w:tc>
          <w:tcPr>
            <w:tcW w:w="180" w:type="dxa"/>
            <w:vAlign w:val="bottom"/>
          </w:tcPr>
          <w:p>
            <w:pPr>
              <w:spacing w:after="0"/>
              <w:rPr>
                <w:sz w:val="12"/>
                <w:szCs w:val="12"/>
                <w:color w:val="auto"/>
              </w:rPr>
            </w:pPr>
          </w:p>
        </w:tc>
        <w:tc>
          <w:tcPr>
            <w:tcW w:w="940" w:type="dxa"/>
            <w:vAlign w:val="bottom"/>
          </w:tcPr>
          <w:p>
            <w:pPr>
              <w:jc w:val="right"/>
              <w:ind w:right="12"/>
              <w:spacing w:after="0" w:line="148" w:lineRule="exact"/>
              <w:rPr>
                <w:sz w:val="20"/>
                <w:szCs w:val="20"/>
                <w:color w:val="auto"/>
              </w:rPr>
            </w:pPr>
            <w:r>
              <w:rPr>
                <w:rFonts w:ascii="Arial" w:cs="Arial" w:eastAsia="Arial" w:hAnsi="Arial"/>
                <w:sz w:val="14"/>
                <w:szCs w:val="14"/>
                <w:color w:val="auto"/>
              </w:rPr>
              <w:t>8/16/2016</w:t>
            </w:r>
          </w:p>
        </w:tc>
        <w:tc>
          <w:tcPr>
            <w:tcW w:w="940" w:type="dxa"/>
            <w:vAlign w:val="bottom"/>
          </w:tcPr>
          <w:p>
            <w:pPr>
              <w:jc w:val="right"/>
              <w:ind w:right="12"/>
              <w:spacing w:after="0" w:line="148" w:lineRule="exact"/>
              <w:rPr>
                <w:sz w:val="20"/>
                <w:szCs w:val="20"/>
                <w:color w:val="auto"/>
              </w:rPr>
            </w:pPr>
            <w:r>
              <w:rPr>
                <w:rFonts w:ascii="Arial" w:cs="Arial" w:eastAsia="Arial" w:hAnsi="Arial"/>
                <w:sz w:val="14"/>
                <w:szCs w:val="14"/>
                <w:color w:val="auto"/>
              </w:rPr>
              <w:t>33,808</w:t>
            </w:r>
          </w:p>
        </w:tc>
        <w:tc>
          <w:tcPr>
            <w:tcW w:w="940" w:type="dxa"/>
            <w:vAlign w:val="bottom"/>
          </w:tcPr>
          <w:p>
            <w:pPr>
              <w:jc w:val="right"/>
              <w:ind w:right="72"/>
              <w:spacing w:after="0" w:line="148" w:lineRule="exact"/>
              <w:rPr>
                <w:sz w:val="20"/>
                <w:szCs w:val="20"/>
                <w:color w:val="auto"/>
              </w:rPr>
            </w:pPr>
            <w:r>
              <w:rPr>
                <w:rFonts w:ascii="Arial" w:cs="Arial" w:eastAsia="Arial" w:hAnsi="Arial"/>
                <w:sz w:val="14"/>
                <w:szCs w:val="14"/>
                <w:color w:val="auto"/>
              </w:rPr>
              <w:t>1,728,941</w:t>
            </w:r>
          </w:p>
        </w:tc>
        <w:tc>
          <w:tcPr>
            <w:tcW w:w="920" w:type="dxa"/>
            <w:vAlign w:val="bottom"/>
          </w:tcPr>
          <w:p>
            <w:pPr>
              <w:jc w:val="right"/>
              <w:spacing w:after="0" w:line="148" w:lineRule="exact"/>
              <w:rPr>
                <w:sz w:val="20"/>
                <w:szCs w:val="20"/>
                <w:color w:val="auto"/>
              </w:rPr>
            </w:pPr>
            <w:r>
              <w:rPr>
                <w:rFonts w:ascii="Arial" w:cs="Arial" w:eastAsia="Arial" w:hAnsi="Arial"/>
                <w:sz w:val="14"/>
                <w:szCs w:val="14"/>
                <w:color w:val="auto"/>
              </w:rPr>
              <w:t>—</w:t>
            </w:r>
          </w:p>
        </w:tc>
        <w:tc>
          <w:tcPr>
            <w:tcW w:w="960" w:type="dxa"/>
            <w:vAlign w:val="bottom"/>
          </w:tcPr>
          <w:p>
            <w:pPr>
              <w:jc w:val="right"/>
              <w:spacing w:after="0" w:line="148" w:lineRule="exact"/>
              <w:rPr>
                <w:sz w:val="20"/>
                <w:szCs w:val="20"/>
                <w:color w:val="auto"/>
              </w:rPr>
            </w:pPr>
            <w:r>
              <w:rPr>
                <w:rFonts w:ascii="Arial" w:cs="Arial" w:eastAsia="Arial" w:hAnsi="Arial"/>
                <w:sz w:val="14"/>
                <w:szCs w:val="14"/>
                <w:color w:val="auto"/>
              </w:rPr>
              <w:t>—</w:t>
            </w:r>
          </w:p>
        </w:tc>
      </w:tr>
      <w:tr>
        <w:trPr>
          <w:trHeight w:val="149"/>
        </w:trPr>
        <w:tc>
          <w:tcPr>
            <w:tcW w:w="178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12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2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8/26/2016</w:t>
            </w:r>
          </w:p>
        </w:tc>
        <w:tc>
          <w:tcPr>
            <w:tcW w:w="9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6,298</w:t>
            </w:r>
          </w:p>
        </w:tc>
        <w:tc>
          <w:tcPr>
            <w:tcW w:w="940" w:type="dxa"/>
            <w:vAlign w:val="bottom"/>
          </w:tcPr>
          <w:p>
            <w:pPr>
              <w:jc w:val="right"/>
              <w:ind w:right="72"/>
              <w:spacing w:after="0" w:line="149" w:lineRule="exact"/>
              <w:rPr>
                <w:sz w:val="20"/>
                <w:szCs w:val="20"/>
                <w:color w:val="auto"/>
              </w:rPr>
            </w:pPr>
            <w:r>
              <w:rPr>
                <w:rFonts w:ascii="Arial" w:cs="Arial" w:eastAsia="Arial" w:hAnsi="Arial"/>
                <w:sz w:val="14"/>
                <w:szCs w:val="14"/>
                <w:color w:val="auto"/>
              </w:rPr>
              <w:t>322,080</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8"/>
        </w:trPr>
        <w:tc>
          <w:tcPr>
            <w:tcW w:w="1780" w:type="dxa"/>
            <w:vAlign w:val="bottom"/>
            <w:shd w:val="clear" w:color="auto" w:fill="ACABA7"/>
          </w:tcPr>
          <w:p>
            <w:pPr>
              <w:ind w:left="80"/>
              <w:spacing w:after="0" w:line="148" w:lineRule="exact"/>
              <w:rPr>
                <w:sz w:val="20"/>
                <w:szCs w:val="20"/>
                <w:color w:val="auto"/>
              </w:rPr>
            </w:pPr>
            <w:r>
              <w:rPr>
                <w:rFonts w:ascii="Arial" w:cs="Arial" w:eastAsia="Arial" w:hAnsi="Arial"/>
                <w:sz w:val="14"/>
                <w:szCs w:val="14"/>
                <w:color w:val="auto"/>
              </w:rPr>
              <w:t>Mr. Maffeo</w:t>
            </w:r>
          </w:p>
        </w:tc>
        <w:tc>
          <w:tcPr>
            <w:tcW w:w="880" w:type="dxa"/>
            <w:vAlign w:val="bottom"/>
            <w:shd w:val="clear" w:color="auto" w:fill="ACABA7"/>
          </w:tcPr>
          <w:p>
            <w:pPr>
              <w:jc w:val="right"/>
              <w:spacing w:after="0" w:line="148" w:lineRule="exact"/>
              <w:rPr>
                <w:sz w:val="20"/>
                <w:szCs w:val="20"/>
                <w:color w:val="auto"/>
              </w:rPr>
            </w:pPr>
            <w:r>
              <w:rPr>
                <w:rFonts w:ascii="Arial" w:cs="Arial" w:eastAsia="Arial" w:hAnsi="Arial"/>
                <w:sz w:val="14"/>
                <w:szCs w:val="14"/>
                <w:color w:val="auto"/>
              </w:rPr>
              <w:t>4/1/2011</w:t>
            </w:r>
          </w:p>
        </w:tc>
        <w:tc>
          <w:tcPr>
            <w:tcW w:w="1120" w:type="dxa"/>
            <w:vAlign w:val="bottom"/>
            <w:shd w:val="clear" w:color="auto" w:fill="ACABA7"/>
          </w:tcPr>
          <w:p>
            <w:pPr>
              <w:jc w:val="right"/>
              <w:ind w:right="12"/>
              <w:spacing w:after="0" w:line="148" w:lineRule="exact"/>
              <w:rPr>
                <w:sz w:val="20"/>
                <w:szCs w:val="20"/>
                <w:color w:val="auto"/>
              </w:rPr>
            </w:pPr>
            <w:r>
              <w:rPr>
                <w:rFonts w:ascii="Arial" w:cs="Arial" w:eastAsia="Arial" w:hAnsi="Arial"/>
                <w:sz w:val="14"/>
                <w:szCs w:val="14"/>
                <w:color w:val="auto"/>
              </w:rPr>
              <w:t>66,289</w:t>
            </w:r>
          </w:p>
        </w:tc>
        <w:tc>
          <w:tcPr>
            <w:tcW w:w="1240" w:type="dxa"/>
            <w:vAlign w:val="bottom"/>
            <w:shd w:val="clear" w:color="auto" w:fill="ACABA7"/>
          </w:tcPr>
          <w:p>
            <w:pPr>
              <w:jc w:val="right"/>
              <w:spacing w:after="0" w:line="148" w:lineRule="exact"/>
              <w:rPr>
                <w:sz w:val="20"/>
                <w:szCs w:val="20"/>
                <w:color w:val="auto"/>
              </w:rPr>
            </w:pPr>
            <w:r>
              <w:rPr>
                <w:rFonts w:ascii="Arial" w:cs="Arial" w:eastAsia="Arial" w:hAnsi="Arial"/>
                <w:sz w:val="14"/>
                <w:szCs w:val="14"/>
                <w:color w:val="auto"/>
              </w:rPr>
              <w:t>—</w:t>
            </w:r>
          </w:p>
        </w:tc>
        <w:tc>
          <w:tcPr>
            <w:tcW w:w="700" w:type="dxa"/>
            <w:vAlign w:val="bottom"/>
            <w:shd w:val="clear" w:color="auto" w:fill="ACABA7"/>
          </w:tcPr>
          <w:p>
            <w:pPr>
              <w:jc w:val="right"/>
              <w:ind w:right="32"/>
              <w:spacing w:after="0" w:line="148" w:lineRule="exact"/>
              <w:rPr>
                <w:sz w:val="20"/>
                <w:szCs w:val="20"/>
                <w:color w:val="auto"/>
              </w:rPr>
            </w:pPr>
            <w:r>
              <w:rPr>
                <w:rFonts w:ascii="Arial" w:cs="Arial" w:eastAsia="Arial" w:hAnsi="Arial"/>
                <w:sz w:val="14"/>
                <w:szCs w:val="14"/>
                <w:color w:val="auto"/>
              </w:rPr>
              <w:t>32.15</w:t>
            </w:r>
          </w:p>
        </w:tc>
        <w:tc>
          <w:tcPr>
            <w:tcW w:w="820" w:type="dxa"/>
            <w:vAlign w:val="bottom"/>
            <w:shd w:val="clear" w:color="auto" w:fill="ACABA7"/>
          </w:tcPr>
          <w:p>
            <w:pPr>
              <w:jc w:val="right"/>
              <w:spacing w:after="0" w:line="148" w:lineRule="exact"/>
              <w:rPr>
                <w:sz w:val="20"/>
                <w:szCs w:val="20"/>
                <w:color w:val="auto"/>
              </w:rPr>
            </w:pPr>
            <w:r>
              <w:rPr>
                <w:rFonts w:ascii="Arial" w:cs="Arial" w:eastAsia="Arial" w:hAnsi="Arial"/>
                <w:sz w:val="14"/>
                <w:szCs w:val="14"/>
                <w:color w:val="auto"/>
              </w:rPr>
              <w:t>3/31/2018</w:t>
            </w:r>
          </w:p>
        </w:tc>
        <w:tc>
          <w:tcPr>
            <w:tcW w:w="180" w:type="dxa"/>
            <w:vAlign w:val="bottom"/>
            <w:shd w:val="clear" w:color="auto" w:fill="ACABA7"/>
          </w:tcPr>
          <w:p>
            <w:pPr>
              <w:spacing w:after="0"/>
              <w:rPr>
                <w:sz w:val="12"/>
                <w:szCs w:val="12"/>
                <w:color w:val="auto"/>
              </w:rPr>
            </w:pPr>
          </w:p>
        </w:tc>
        <w:tc>
          <w:tcPr>
            <w:tcW w:w="940" w:type="dxa"/>
            <w:vAlign w:val="bottom"/>
            <w:shd w:val="clear" w:color="auto" w:fill="ACABA7"/>
          </w:tcPr>
          <w:p>
            <w:pPr>
              <w:jc w:val="right"/>
              <w:ind w:right="12"/>
              <w:spacing w:after="0" w:line="148" w:lineRule="exact"/>
              <w:rPr>
                <w:sz w:val="20"/>
                <w:szCs w:val="20"/>
                <w:color w:val="auto"/>
              </w:rPr>
            </w:pPr>
            <w:r>
              <w:rPr>
                <w:rFonts w:ascii="Arial" w:cs="Arial" w:eastAsia="Arial" w:hAnsi="Arial"/>
                <w:sz w:val="14"/>
                <w:szCs w:val="14"/>
                <w:color w:val="auto"/>
              </w:rPr>
              <w:t>4/5/2013</w:t>
            </w:r>
          </w:p>
        </w:tc>
        <w:tc>
          <w:tcPr>
            <w:tcW w:w="940" w:type="dxa"/>
            <w:vAlign w:val="bottom"/>
            <w:shd w:val="clear" w:color="auto" w:fill="ACABA7"/>
          </w:tcPr>
          <w:p>
            <w:pPr>
              <w:jc w:val="right"/>
              <w:ind w:right="12"/>
              <w:spacing w:after="0" w:line="148" w:lineRule="exact"/>
              <w:rPr>
                <w:sz w:val="20"/>
                <w:szCs w:val="20"/>
                <w:color w:val="auto"/>
              </w:rPr>
            </w:pPr>
            <w:r>
              <w:rPr>
                <w:rFonts w:ascii="Arial" w:cs="Arial" w:eastAsia="Arial" w:hAnsi="Arial"/>
                <w:sz w:val="14"/>
                <w:szCs w:val="14"/>
                <w:color w:val="auto"/>
              </w:rPr>
              <w:t>3,618</w:t>
            </w:r>
          </w:p>
        </w:tc>
        <w:tc>
          <w:tcPr>
            <w:tcW w:w="940" w:type="dxa"/>
            <w:vAlign w:val="bottom"/>
            <w:shd w:val="clear" w:color="auto" w:fill="ACABA7"/>
          </w:tcPr>
          <w:p>
            <w:pPr>
              <w:jc w:val="right"/>
              <w:ind w:right="72"/>
              <w:spacing w:after="0" w:line="148" w:lineRule="exact"/>
              <w:rPr>
                <w:sz w:val="20"/>
                <w:szCs w:val="20"/>
                <w:color w:val="auto"/>
              </w:rPr>
            </w:pPr>
            <w:r>
              <w:rPr>
                <w:rFonts w:ascii="Arial" w:cs="Arial" w:eastAsia="Arial" w:hAnsi="Arial"/>
                <w:sz w:val="14"/>
                <w:szCs w:val="14"/>
                <w:color w:val="auto"/>
              </w:rPr>
              <w:t>300,418</w:t>
            </w:r>
          </w:p>
        </w:tc>
        <w:tc>
          <w:tcPr>
            <w:tcW w:w="920" w:type="dxa"/>
            <w:vAlign w:val="bottom"/>
            <w:shd w:val="clear" w:color="auto" w:fill="ACABA7"/>
          </w:tcPr>
          <w:p>
            <w:pPr>
              <w:jc w:val="right"/>
              <w:spacing w:after="0" w:line="148" w:lineRule="exact"/>
              <w:rPr>
                <w:sz w:val="20"/>
                <w:szCs w:val="20"/>
                <w:color w:val="auto"/>
              </w:rPr>
            </w:pPr>
            <w:r>
              <w:rPr>
                <w:rFonts w:ascii="Arial" w:cs="Arial" w:eastAsia="Arial" w:hAnsi="Arial"/>
                <w:sz w:val="14"/>
                <w:szCs w:val="14"/>
                <w:color w:val="auto"/>
              </w:rPr>
              <w:t>—</w:t>
            </w:r>
          </w:p>
        </w:tc>
        <w:tc>
          <w:tcPr>
            <w:tcW w:w="960" w:type="dxa"/>
            <w:vAlign w:val="bottom"/>
            <w:shd w:val="clear" w:color="auto" w:fill="ACABA7"/>
          </w:tcPr>
          <w:p>
            <w:pPr>
              <w:jc w:val="right"/>
              <w:spacing w:after="0" w:line="148" w:lineRule="exact"/>
              <w:rPr>
                <w:sz w:val="20"/>
                <w:szCs w:val="20"/>
                <w:color w:val="auto"/>
              </w:rPr>
            </w:pPr>
            <w:r>
              <w:rPr>
                <w:rFonts w:ascii="Arial" w:cs="Arial" w:eastAsia="Arial" w:hAnsi="Arial"/>
                <w:sz w:val="14"/>
                <w:szCs w:val="14"/>
                <w:color w:val="auto"/>
              </w:rPr>
              <w:t>—</w:t>
            </w:r>
          </w:p>
        </w:tc>
      </w:tr>
      <w:tr>
        <w:trPr>
          <w:trHeight w:val="149"/>
        </w:trPr>
        <w:tc>
          <w:tcPr>
            <w:tcW w:w="1780" w:type="dxa"/>
            <w:vAlign w:val="bottom"/>
            <w:shd w:val="clear" w:color="auto" w:fill="ACABA7"/>
          </w:tcPr>
          <w:p>
            <w:pPr>
              <w:spacing w:after="0"/>
              <w:rPr>
                <w:sz w:val="12"/>
                <w:szCs w:val="12"/>
                <w:color w:val="auto"/>
              </w:rPr>
            </w:pPr>
          </w:p>
        </w:tc>
        <w:tc>
          <w:tcPr>
            <w:tcW w:w="880" w:type="dxa"/>
            <w:vAlign w:val="bottom"/>
            <w:shd w:val="clear" w:color="auto" w:fill="ACABA7"/>
          </w:tcPr>
          <w:p>
            <w:pPr>
              <w:jc w:val="right"/>
              <w:spacing w:after="0" w:line="149" w:lineRule="exact"/>
              <w:rPr>
                <w:sz w:val="20"/>
                <w:szCs w:val="20"/>
                <w:color w:val="auto"/>
              </w:rPr>
            </w:pPr>
            <w:r>
              <w:rPr>
                <w:rFonts w:ascii="Arial" w:cs="Arial" w:eastAsia="Arial" w:hAnsi="Arial"/>
                <w:sz w:val="14"/>
                <w:szCs w:val="14"/>
                <w:color w:val="auto"/>
              </w:rPr>
              <w:t>3/30/2012</w:t>
            </w:r>
          </w:p>
        </w:tc>
        <w:tc>
          <w:tcPr>
            <w:tcW w:w="1120" w:type="dxa"/>
            <w:vAlign w:val="bottom"/>
            <w:shd w:val="clear" w:color="auto" w:fill="ACABA7"/>
          </w:tcPr>
          <w:p>
            <w:pPr>
              <w:jc w:val="right"/>
              <w:ind w:right="12"/>
              <w:spacing w:after="0" w:line="149" w:lineRule="exact"/>
              <w:rPr>
                <w:sz w:val="20"/>
                <w:szCs w:val="20"/>
                <w:color w:val="auto"/>
              </w:rPr>
            </w:pPr>
            <w:r>
              <w:rPr>
                <w:rFonts w:ascii="Arial" w:cs="Arial" w:eastAsia="Arial" w:hAnsi="Arial"/>
                <w:sz w:val="14"/>
                <w:szCs w:val="14"/>
                <w:color w:val="auto"/>
              </w:rPr>
              <w:t>72,298</w:t>
            </w:r>
          </w:p>
        </w:tc>
        <w:tc>
          <w:tcPr>
            <w:tcW w:w="1240" w:type="dxa"/>
            <w:vAlign w:val="bottom"/>
            <w:shd w:val="clear" w:color="auto" w:fill="ACABA7"/>
          </w:tcPr>
          <w:p>
            <w:pPr>
              <w:jc w:val="right"/>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ACABA7"/>
          </w:tcPr>
          <w:p>
            <w:pPr>
              <w:jc w:val="right"/>
              <w:ind w:right="32"/>
              <w:spacing w:after="0" w:line="149" w:lineRule="exact"/>
              <w:rPr>
                <w:sz w:val="20"/>
                <w:szCs w:val="20"/>
                <w:color w:val="auto"/>
              </w:rPr>
            </w:pPr>
            <w:r>
              <w:rPr>
                <w:rFonts w:ascii="Arial" w:cs="Arial" w:eastAsia="Arial" w:hAnsi="Arial"/>
                <w:sz w:val="14"/>
                <w:szCs w:val="14"/>
                <w:color w:val="auto"/>
              </w:rPr>
              <w:t>25.10</w:t>
            </w:r>
          </w:p>
        </w:tc>
        <w:tc>
          <w:tcPr>
            <w:tcW w:w="820" w:type="dxa"/>
            <w:vAlign w:val="bottom"/>
            <w:shd w:val="clear" w:color="auto" w:fill="ACABA7"/>
          </w:tcPr>
          <w:p>
            <w:pPr>
              <w:jc w:val="right"/>
              <w:spacing w:after="0" w:line="149" w:lineRule="exact"/>
              <w:rPr>
                <w:sz w:val="20"/>
                <w:szCs w:val="20"/>
                <w:color w:val="auto"/>
              </w:rPr>
            </w:pPr>
            <w:r>
              <w:rPr>
                <w:rFonts w:ascii="Arial" w:cs="Arial" w:eastAsia="Arial" w:hAnsi="Arial"/>
                <w:sz w:val="14"/>
                <w:szCs w:val="14"/>
                <w:color w:val="auto"/>
              </w:rPr>
              <w:t>3/29/2019</w:t>
            </w:r>
          </w:p>
        </w:tc>
        <w:tc>
          <w:tcPr>
            <w:tcW w:w="180" w:type="dxa"/>
            <w:vAlign w:val="bottom"/>
            <w:shd w:val="clear" w:color="auto" w:fill="ACABA7"/>
          </w:tcPr>
          <w:p>
            <w:pPr>
              <w:spacing w:after="0"/>
              <w:rPr>
                <w:sz w:val="12"/>
                <w:szCs w:val="12"/>
                <w:color w:val="auto"/>
              </w:rPr>
            </w:pPr>
          </w:p>
        </w:tc>
        <w:tc>
          <w:tcPr>
            <w:tcW w:w="940" w:type="dxa"/>
            <w:vAlign w:val="bottom"/>
            <w:shd w:val="clear" w:color="auto" w:fill="ACABA7"/>
          </w:tcPr>
          <w:p>
            <w:pPr>
              <w:jc w:val="right"/>
              <w:ind w:right="12"/>
              <w:spacing w:after="0" w:line="149" w:lineRule="exact"/>
              <w:rPr>
                <w:sz w:val="20"/>
                <w:szCs w:val="20"/>
                <w:color w:val="auto"/>
              </w:rPr>
            </w:pPr>
            <w:r>
              <w:rPr>
                <w:rFonts w:ascii="Arial" w:cs="Arial" w:eastAsia="Arial" w:hAnsi="Arial"/>
                <w:sz w:val="14"/>
                <w:szCs w:val="14"/>
                <w:color w:val="auto"/>
              </w:rPr>
              <w:t>4/4/2014</w:t>
            </w:r>
          </w:p>
        </w:tc>
        <w:tc>
          <w:tcPr>
            <w:tcW w:w="940" w:type="dxa"/>
            <w:vAlign w:val="bottom"/>
            <w:shd w:val="clear" w:color="auto" w:fill="ACABA7"/>
          </w:tcPr>
          <w:p>
            <w:pPr>
              <w:jc w:val="right"/>
              <w:ind w:right="12"/>
              <w:spacing w:after="0" w:line="149" w:lineRule="exact"/>
              <w:rPr>
                <w:sz w:val="20"/>
                <w:szCs w:val="20"/>
                <w:color w:val="auto"/>
              </w:rPr>
            </w:pPr>
            <w:r>
              <w:rPr>
                <w:rFonts w:ascii="Arial" w:cs="Arial" w:eastAsia="Arial" w:hAnsi="Arial"/>
                <w:sz w:val="14"/>
                <w:szCs w:val="14"/>
                <w:color w:val="auto"/>
              </w:rPr>
              <w:t>3,054</w:t>
            </w:r>
          </w:p>
        </w:tc>
        <w:tc>
          <w:tcPr>
            <w:tcW w:w="940" w:type="dxa"/>
            <w:vAlign w:val="bottom"/>
            <w:shd w:val="clear" w:color="auto" w:fill="ACABA7"/>
          </w:tcPr>
          <w:p>
            <w:pPr>
              <w:jc w:val="right"/>
              <w:ind w:right="72"/>
              <w:spacing w:after="0" w:line="149" w:lineRule="exact"/>
              <w:rPr>
                <w:sz w:val="20"/>
                <w:szCs w:val="20"/>
                <w:color w:val="auto"/>
              </w:rPr>
            </w:pPr>
            <w:r>
              <w:rPr>
                <w:rFonts w:ascii="Arial" w:cs="Arial" w:eastAsia="Arial" w:hAnsi="Arial"/>
                <w:sz w:val="14"/>
                <w:szCs w:val="14"/>
                <w:color w:val="auto"/>
              </w:rPr>
              <w:t>156,182</w:t>
            </w:r>
          </w:p>
        </w:tc>
        <w:tc>
          <w:tcPr>
            <w:tcW w:w="920" w:type="dxa"/>
            <w:vAlign w:val="bottom"/>
            <w:shd w:val="clear" w:color="auto" w:fill="ACABA7"/>
          </w:tcPr>
          <w:p>
            <w:pPr>
              <w:jc w:val="right"/>
              <w:spacing w:after="0" w:line="149" w:lineRule="exact"/>
              <w:rPr>
                <w:sz w:val="20"/>
                <w:szCs w:val="20"/>
                <w:color w:val="auto"/>
              </w:rPr>
            </w:pPr>
            <w:r>
              <w:rPr>
                <w:rFonts w:ascii="Arial" w:cs="Arial" w:eastAsia="Arial" w:hAnsi="Arial"/>
                <w:sz w:val="14"/>
                <w:szCs w:val="14"/>
                <w:color w:val="auto"/>
              </w:rPr>
              <w:t>—</w:t>
            </w:r>
          </w:p>
        </w:tc>
        <w:tc>
          <w:tcPr>
            <w:tcW w:w="960" w:type="dxa"/>
            <w:vAlign w:val="bottom"/>
            <w:shd w:val="clear" w:color="auto" w:fill="ACABA7"/>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1780" w:type="dxa"/>
            <w:vAlign w:val="bottom"/>
            <w:shd w:val="clear" w:color="auto" w:fill="ACABA7"/>
          </w:tcPr>
          <w:p>
            <w:pPr>
              <w:spacing w:after="0"/>
              <w:rPr>
                <w:sz w:val="12"/>
                <w:szCs w:val="12"/>
                <w:color w:val="auto"/>
              </w:rPr>
            </w:pPr>
          </w:p>
        </w:tc>
        <w:tc>
          <w:tcPr>
            <w:tcW w:w="880" w:type="dxa"/>
            <w:vAlign w:val="bottom"/>
            <w:shd w:val="clear" w:color="auto" w:fill="ACABA7"/>
          </w:tcPr>
          <w:p>
            <w:pPr>
              <w:jc w:val="right"/>
              <w:spacing w:after="0" w:line="149" w:lineRule="exact"/>
              <w:rPr>
                <w:sz w:val="20"/>
                <w:szCs w:val="20"/>
                <w:color w:val="auto"/>
              </w:rPr>
            </w:pPr>
            <w:r>
              <w:rPr>
                <w:rFonts w:ascii="Arial" w:cs="Arial" w:eastAsia="Arial" w:hAnsi="Arial"/>
                <w:sz w:val="14"/>
                <w:szCs w:val="14"/>
                <w:color w:val="auto"/>
              </w:rPr>
              <w:t>4/5/2013</w:t>
            </w:r>
          </w:p>
        </w:tc>
        <w:tc>
          <w:tcPr>
            <w:tcW w:w="1120" w:type="dxa"/>
            <w:vAlign w:val="bottom"/>
            <w:shd w:val="clear" w:color="auto" w:fill="ACABA7"/>
          </w:tcPr>
          <w:p>
            <w:pPr>
              <w:jc w:val="right"/>
              <w:ind w:right="12"/>
              <w:spacing w:after="0" w:line="149" w:lineRule="exact"/>
              <w:rPr>
                <w:sz w:val="20"/>
                <w:szCs w:val="20"/>
                <w:color w:val="auto"/>
              </w:rPr>
            </w:pPr>
            <w:r>
              <w:rPr>
                <w:rFonts w:ascii="Arial" w:cs="Arial" w:eastAsia="Arial" w:hAnsi="Arial"/>
                <w:sz w:val="14"/>
                <w:szCs w:val="14"/>
                <w:color w:val="auto"/>
              </w:rPr>
              <w:t>39,040</w:t>
            </w:r>
          </w:p>
        </w:tc>
        <w:tc>
          <w:tcPr>
            <w:tcW w:w="1240" w:type="dxa"/>
            <w:vAlign w:val="bottom"/>
            <w:shd w:val="clear" w:color="auto" w:fill="ACABA7"/>
          </w:tcPr>
          <w:p>
            <w:pPr>
              <w:jc w:val="right"/>
              <w:spacing w:after="0" w:line="149" w:lineRule="exact"/>
              <w:rPr>
                <w:sz w:val="20"/>
                <w:szCs w:val="20"/>
                <w:color w:val="auto"/>
              </w:rPr>
            </w:pPr>
            <w:r>
              <w:rPr>
                <w:rFonts w:ascii="Arial" w:cs="Arial" w:eastAsia="Arial" w:hAnsi="Arial"/>
                <w:sz w:val="14"/>
                <w:szCs w:val="14"/>
                <w:color w:val="auto"/>
              </w:rPr>
              <w:t>26,028</w:t>
            </w:r>
          </w:p>
        </w:tc>
        <w:tc>
          <w:tcPr>
            <w:tcW w:w="700" w:type="dxa"/>
            <w:vAlign w:val="bottom"/>
            <w:shd w:val="clear" w:color="auto" w:fill="ACABA7"/>
          </w:tcPr>
          <w:p>
            <w:pPr>
              <w:jc w:val="right"/>
              <w:ind w:right="32"/>
              <w:spacing w:after="0" w:line="149" w:lineRule="exact"/>
              <w:rPr>
                <w:sz w:val="20"/>
                <w:szCs w:val="20"/>
                <w:color w:val="auto"/>
              </w:rPr>
            </w:pPr>
            <w:r>
              <w:rPr>
                <w:rFonts w:ascii="Arial" w:cs="Arial" w:eastAsia="Arial" w:hAnsi="Arial"/>
                <w:sz w:val="14"/>
                <w:szCs w:val="14"/>
                <w:color w:val="auto"/>
              </w:rPr>
              <w:t>25.74</w:t>
            </w:r>
          </w:p>
        </w:tc>
        <w:tc>
          <w:tcPr>
            <w:tcW w:w="820" w:type="dxa"/>
            <w:vAlign w:val="bottom"/>
            <w:shd w:val="clear" w:color="auto" w:fill="ACABA7"/>
          </w:tcPr>
          <w:p>
            <w:pPr>
              <w:jc w:val="right"/>
              <w:spacing w:after="0" w:line="149" w:lineRule="exact"/>
              <w:rPr>
                <w:sz w:val="20"/>
                <w:szCs w:val="20"/>
                <w:color w:val="auto"/>
              </w:rPr>
            </w:pPr>
            <w:r>
              <w:rPr>
                <w:rFonts w:ascii="Arial" w:cs="Arial" w:eastAsia="Arial" w:hAnsi="Arial"/>
                <w:sz w:val="14"/>
                <w:szCs w:val="14"/>
                <w:color w:val="auto"/>
              </w:rPr>
              <w:t>4/4/2020</w:t>
            </w:r>
          </w:p>
        </w:tc>
        <w:tc>
          <w:tcPr>
            <w:tcW w:w="180" w:type="dxa"/>
            <w:vAlign w:val="bottom"/>
            <w:shd w:val="clear" w:color="auto" w:fill="ACABA7"/>
          </w:tcPr>
          <w:p>
            <w:pPr>
              <w:spacing w:after="0"/>
              <w:rPr>
                <w:sz w:val="12"/>
                <w:szCs w:val="12"/>
                <w:color w:val="auto"/>
              </w:rPr>
            </w:pPr>
          </w:p>
        </w:tc>
        <w:tc>
          <w:tcPr>
            <w:tcW w:w="940" w:type="dxa"/>
            <w:vAlign w:val="bottom"/>
            <w:shd w:val="clear" w:color="auto" w:fill="ACABA7"/>
          </w:tcPr>
          <w:p>
            <w:pPr>
              <w:jc w:val="right"/>
              <w:ind w:right="12"/>
              <w:spacing w:after="0" w:line="149" w:lineRule="exact"/>
              <w:rPr>
                <w:sz w:val="20"/>
                <w:szCs w:val="20"/>
                <w:color w:val="auto"/>
              </w:rPr>
            </w:pPr>
            <w:r>
              <w:rPr>
                <w:rFonts w:ascii="Arial" w:cs="Arial" w:eastAsia="Arial" w:hAnsi="Arial"/>
                <w:sz w:val="14"/>
                <w:szCs w:val="14"/>
                <w:color w:val="auto"/>
              </w:rPr>
              <w:t>4/4/2014</w:t>
            </w:r>
          </w:p>
        </w:tc>
        <w:tc>
          <w:tcPr>
            <w:tcW w:w="940" w:type="dxa"/>
            <w:vAlign w:val="bottom"/>
            <w:shd w:val="clear" w:color="auto" w:fill="ACABA7"/>
          </w:tcPr>
          <w:p>
            <w:pPr>
              <w:jc w:val="right"/>
              <w:ind w:right="12"/>
              <w:spacing w:after="0" w:line="149" w:lineRule="exact"/>
              <w:rPr>
                <w:sz w:val="20"/>
                <w:szCs w:val="20"/>
                <w:color w:val="auto"/>
              </w:rPr>
            </w:pPr>
            <w:r>
              <w:rPr>
                <w:rFonts w:ascii="Arial" w:cs="Arial" w:eastAsia="Arial" w:hAnsi="Arial"/>
                <w:sz w:val="14"/>
                <w:szCs w:val="14"/>
                <w:color w:val="auto"/>
              </w:rPr>
              <w:t>3,640</w:t>
            </w:r>
          </w:p>
        </w:tc>
        <w:tc>
          <w:tcPr>
            <w:tcW w:w="940" w:type="dxa"/>
            <w:vAlign w:val="bottom"/>
            <w:shd w:val="clear" w:color="auto" w:fill="ACABA7"/>
          </w:tcPr>
          <w:p>
            <w:pPr>
              <w:jc w:val="right"/>
              <w:ind w:right="72"/>
              <w:spacing w:after="0" w:line="149" w:lineRule="exact"/>
              <w:rPr>
                <w:sz w:val="20"/>
                <w:szCs w:val="20"/>
                <w:color w:val="auto"/>
              </w:rPr>
            </w:pPr>
            <w:r>
              <w:rPr>
                <w:rFonts w:ascii="Arial" w:cs="Arial" w:eastAsia="Arial" w:hAnsi="Arial"/>
                <w:sz w:val="14"/>
                <w:szCs w:val="14"/>
                <w:color w:val="auto"/>
              </w:rPr>
              <w:t>186,150</w:t>
            </w:r>
          </w:p>
        </w:tc>
        <w:tc>
          <w:tcPr>
            <w:tcW w:w="920" w:type="dxa"/>
            <w:vAlign w:val="bottom"/>
            <w:shd w:val="clear" w:color="auto" w:fill="ACABA7"/>
          </w:tcPr>
          <w:p>
            <w:pPr>
              <w:jc w:val="right"/>
              <w:spacing w:after="0" w:line="149" w:lineRule="exact"/>
              <w:rPr>
                <w:sz w:val="20"/>
                <w:szCs w:val="20"/>
                <w:color w:val="auto"/>
              </w:rPr>
            </w:pPr>
            <w:r>
              <w:rPr>
                <w:rFonts w:ascii="Arial" w:cs="Arial" w:eastAsia="Arial" w:hAnsi="Arial"/>
                <w:sz w:val="14"/>
                <w:szCs w:val="14"/>
                <w:color w:val="auto"/>
              </w:rPr>
              <w:t>—</w:t>
            </w:r>
          </w:p>
        </w:tc>
        <w:tc>
          <w:tcPr>
            <w:tcW w:w="960" w:type="dxa"/>
            <w:vAlign w:val="bottom"/>
            <w:shd w:val="clear" w:color="auto" w:fill="ACABA7"/>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1780" w:type="dxa"/>
            <w:vAlign w:val="bottom"/>
            <w:shd w:val="clear" w:color="auto" w:fill="ACABA7"/>
          </w:tcPr>
          <w:p>
            <w:pPr>
              <w:spacing w:after="0"/>
              <w:rPr>
                <w:sz w:val="12"/>
                <w:szCs w:val="12"/>
                <w:color w:val="auto"/>
              </w:rPr>
            </w:pPr>
          </w:p>
        </w:tc>
        <w:tc>
          <w:tcPr>
            <w:tcW w:w="880" w:type="dxa"/>
            <w:vAlign w:val="bottom"/>
            <w:shd w:val="clear" w:color="auto" w:fill="ACABA7"/>
          </w:tcPr>
          <w:p>
            <w:pPr>
              <w:jc w:val="right"/>
              <w:spacing w:after="0" w:line="149" w:lineRule="exact"/>
              <w:rPr>
                <w:sz w:val="20"/>
                <w:szCs w:val="20"/>
                <w:color w:val="auto"/>
              </w:rPr>
            </w:pPr>
            <w:r>
              <w:rPr>
                <w:rFonts w:ascii="Arial" w:cs="Arial" w:eastAsia="Arial" w:hAnsi="Arial"/>
                <w:sz w:val="14"/>
                <w:szCs w:val="14"/>
                <w:color w:val="auto"/>
              </w:rPr>
              <w:t>10/4/2013</w:t>
            </w:r>
          </w:p>
        </w:tc>
        <w:tc>
          <w:tcPr>
            <w:tcW w:w="1120" w:type="dxa"/>
            <w:vAlign w:val="bottom"/>
            <w:shd w:val="clear" w:color="auto" w:fill="ACABA7"/>
          </w:tcPr>
          <w:p>
            <w:pPr>
              <w:jc w:val="right"/>
              <w:ind w:right="12"/>
              <w:spacing w:after="0" w:line="149" w:lineRule="exact"/>
              <w:rPr>
                <w:sz w:val="20"/>
                <w:szCs w:val="20"/>
                <w:color w:val="auto"/>
              </w:rPr>
            </w:pPr>
            <w:r>
              <w:rPr>
                <w:rFonts w:ascii="Arial" w:cs="Arial" w:eastAsia="Arial" w:hAnsi="Arial"/>
                <w:sz w:val="14"/>
                <w:szCs w:val="14"/>
                <w:color w:val="auto"/>
              </w:rPr>
              <w:t>12,419</w:t>
            </w:r>
          </w:p>
        </w:tc>
        <w:tc>
          <w:tcPr>
            <w:tcW w:w="1240" w:type="dxa"/>
            <w:vAlign w:val="bottom"/>
            <w:shd w:val="clear" w:color="auto" w:fill="ACABA7"/>
          </w:tcPr>
          <w:p>
            <w:pPr>
              <w:jc w:val="right"/>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ACABA7"/>
          </w:tcPr>
          <w:p>
            <w:pPr>
              <w:jc w:val="right"/>
              <w:ind w:right="32"/>
              <w:spacing w:after="0" w:line="149" w:lineRule="exact"/>
              <w:rPr>
                <w:sz w:val="20"/>
                <w:szCs w:val="20"/>
                <w:color w:val="auto"/>
              </w:rPr>
            </w:pPr>
            <w:r>
              <w:rPr>
                <w:rFonts w:ascii="Arial" w:cs="Arial" w:eastAsia="Arial" w:hAnsi="Arial"/>
                <w:sz w:val="14"/>
                <w:szCs w:val="14"/>
                <w:color w:val="auto"/>
              </w:rPr>
              <w:t>33.97</w:t>
            </w:r>
          </w:p>
        </w:tc>
        <w:tc>
          <w:tcPr>
            <w:tcW w:w="820" w:type="dxa"/>
            <w:vAlign w:val="bottom"/>
            <w:shd w:val="clear" w:color="auto" w:fill="ACABA7"/>
          </w:tcPr>
          <w:p>
            <w:pPr>
              <w:jc w:val="right"/>
              <w:spacing w:after="0" w:line="149" w:lineRule="exact"/>
              <w:rPr>
                <w:sz w:val="20"/>
                <w:szCs w:val="20"/>
                <w:color w:val="auto"/>
              </w:rPr>
            </w:pPr>
            <w:r>
              <w:rPr>
                <w:rFonts w:ascii="Arial" w:cs="Arial" w:eastAsia="Arial" w:hAnsi="Arial"/>
                <w:sz w:val="14"/>
                <w:szCs w:val="14"/>
                <w:color w:val="auto"/>
              </w:rPr>
              <w:t>10/3/2020</w:t>
            </w:r>
          </w:p>
        </w:tc>
        <w:tc>
          <w:tcPr>
            <w:tcW w:w="180" w:type="dxa"/>
            <w:vAlign w:val="bottom"/>
            <w:shd w:val="clear" w:color="auto" w:fill="ACABA7"/>
          </w:tcPr>
          <w:p>
            <w:pPr>
              <w:spacing w:after="0"/>
              <w:rPr>
                <w:sz w:val="12"/>
                <w:szCs w:val="12"/>
                <w:color w:val="auto"/>
              </w:rPr>
            </w:pPr>
          </w:p>
        </w:tc>
        <w:tc>
          <w:tcPr>
            <w:tcW w:w="940" w:type="dxa"/>
            <w:vAlign w:val="bottom"/>
            <w:shd w:val="clear" w:color="auto" w:fill="ACABA7"/>
          </w:tcPr>
          <w:p>
            <w:pPr>
              <w:jc w:val="right"/>
              <w:ind w:right="12"/>
              <w:spacing w:after="0" w:line="149" w:lineRule="exact"/>
              <w:rPr>
                <w:sz w:val="20"/>
                <w:szCs w:val="20"/>
                <w:color w:val="auto"/>
              </w:rPr>
            </w:pPr>
            <w:r>
              <w:rPr>
                <w:rFonts w:ascii="Arial" w:cs="Arial" w:eastAsia="Arial" w:hAnsi="Arial"/>
                <w:sz w:val="14"/>
                <w:szCs w:val="14"/>
                <w:color w:val="auto"/>
              </w:rPr>
              <w:t>3/23/2015</w:t>
            </w:r>
          </w:p>
        </w:tc>
        <w:tc>
          <w:tcPr>
            <w:tcW w:w="940" w:type="dxa"/>
            <w:vAlign w:val="bottom"/>
            <w:shd w:val="clear" w:color="auto" w:fill="ACABA7"/>
          </w:tcPr>
          <w:p>
            <w:pPr>
              <w:jc w:val="right"/>
              <w:ind w:right="12"/>
              <w:spacing w:after="0" w:line="149" w:lineRule="exact"/>
              <w:rPr>
                <w:sz w:val="20"/>
                <w:szCs w:val="20"/>
                <w:color w:val="auto"/>
              </w:rPr>
            </w:pPr>
            <w:r>
              <w:rPr>
                <w:rFonts w:ascii="Arial" w:cs="Arial" w:eastAsia="Arial" w:hAnsi="Arial"/>
                <w:sz w:val="14"/>
                <w:szCs w:val="14"/>
                <w:color w:val="auto"/>
              </w:rPr>
              <w:t>4,539</w:t>
            </w:r>
          </w:p>
        </w:tc>
        <w:tc>
          <w:tcPr>
            <w:tcW w:w="940" w:type="dxa"/>
            <w:vAlign w:val="bottom"/>
            <w:shd w:val="clear" w:color="auto" w:fill="ACABA7"/>
          </w:tcPr>
          <w:p>
            <w:pPr>
              <w:jc w:val="right"/>
              <w:ind w:right="72"/>
              <w:spacing w:after="0" w:line="149" w:lineRule="exact"/>
              <w:rPr>
                <w:sz w:val="20"/>
                <w:szCs w:val="20"/>
                <w:color w:val="auto"/>
              </w:rPr>
            </w:pPr>
            <w:r>
              <w:rPr>
                <w:rFonts w:ascii="Arial" w:cs="Arial" w:eastAsia="Arial" w:hAnsi="Arial"/>
                <w:sz w:val="14"/>
                <w:szCs w:val="14"/>
                <w:color w:val="auto"/>
              </w:rPr>
              <w:t>232,124</w:t>
            </w:r>
          </w:p>
        </w:tc>
        <w:tc>
          <w:tcPr>
            <w:tcW w:w="920" w:type="dxa"/>
            <w:vAlign w:val="bottom"/>
            <w:shd w:val="clear" w:color="auto" w:fill="ACABA7"/>
          </w:tcPr>
          <w:p>
            <w:pPr>
              <w:jc w:val="right"/>
              <w:spacing w:after="0" w:line="149" w:lineRule="exact"/>
              <w:rPr>
                <w:sz w:val="20"/>
                <w:szCs w:val="20"/>
                <w:color w:val="auto"/>
              </w:rPr>
            </w:pPr>
            <w:r>
              <w:rPr>
                <w:rFonts w:ascii="Arial" w:cs="Arial" w:eastAsia="Arial" w:hAnsi="Arial"/>
                <w:sz w:val="14"/>
                <w:szCs w:val="14"/>
                <w:color w:val="auto"/>
              </w:rPr>
              <w:t>—</w:t>
            </w:r>
          </w:p>
        </w:tc>
        <w:tc>
          <w:tcPr>
            <w:tcW w:w="960" w:type="dxa"/>
            <w:vAlign w:val="bottom"/>
            <w:shd w:val="clear" w:color="auto" w:fill="ACABA7"/>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1780" w:type="dxa"/>
            <w:vAlign w:val="bottom"/>
            <w:shd w:val="clear" w:color="auto" w:fill="ACABA7"/>
          </w:tcPr>
          <w:p>
            <w:pPr>
              <w:spacing w:after="0"/>
              <w:rPr>
                <w:sz w:val="12"/>
                <w:szCs w:val="12"/>
                <w:color w:val="auto"/>
              </w:rPr>
            </w:pPr>
          </w:p>
        </w:tc>
        <w:tc>
          <w:tcPr>
            <w:tcW w:w="880" w:type="dxa"/>
            <w:vAlign w:val="bottom"/>
            <w:shd w:val="clear" w:color="auto" w:fill="ACABA7"/>
          </w:tcPr>
          <w:p>
            <w:pPr>
              <w:jc w:val="right"/>
              <w:spacing w:after="0" w:line="149" w:lineRule="exact"/>
              <w:rPr>
                <w:sz w:val="20"/>
                <w:szCs w:val="20"/>
                <w:color w:val="auto"/>
              </w:rPr>
            </w:pPr>
            <w:r>
              <w:rPr>
                <w:rFonts w:ascii="Arial" w:cs="Arial" w:eastAsia="Arial" w:hAnsi="Arial"/>
                <w:sz w:val="14"/>
                <w:szCs w:val="14"/>
                <w:color w:val="auto"/>
              </w:rPr>
              <w:t>4/4/2014</w:t>
            </w:r>
          </w:p>
        </w:tc>
        <w:tc>
          <w:tcPr>
            <w:tcW w:w="1120" w:type="dxa"/>
            <w:vAlign w:val="bottom"/>
            <w:shd w:val="clear" w:color="auto" w:fill="ACABA7"/>
          </w:tcPr>
          <w:p>
            <w:pPr>
              <w:jc w:val="right"/>
              <w:ind w:right="12"/>
              <w:spacing w:after="0" w:line="149" w:lineRule="exact"/>
              <w:rPr>
                <w:sz w:val="20"/>
                <w:szCs w:val="20"/>
                <w:color w:val="auto"/>
              </w:rPr>
            </w:pPr>
            <w:r>
              <w:rPr>
                <w:rFonts w:ascii="Arial" w:cs="Arial" w:eastAsia="Arial" w:hAnsi="Arial"/>
                <w:sz w:val="14"/>
                <w:szCs w:val="14"/>
                <w:color w:val="auto"/>
              </w:rPr>
              <w:t>16,524</w:t>
            </w:r>
          </w:p>
        </w:tc>
        <w:tc>
          <w:tcPr>
            <w:tcW w:w="1240" w:type="dxa"/>
            <w:vAlign w:val="bottom"/>
            <w:shd w:val="clear" w:color="auto" w:fill="ACABA7"/>
          </w:tcPr>
          <w:p>
            <w:pPr>
              <w:jc w:val="right"/>
              <w:spacing w:after="0" w:line="149" w:lineRule="exact"/>
              <w:rPr>
                <w:sz w:val="20"/>
                <w:szCs w:val="20"/>
                <w:color w:val="auto"/>
              </w:rPr>
            </w:pPr>
            <w:r>
              <w:rPr>
                <w:rFonts w:ascii="Arial" w:cs="Arial" w:eastAsia="Arial" w:hAnsi="Arial"/>
                <w:sz w:val="14"/>
                <w:szCs w:val="14"/>
                <w:color w:val="auto"/>
              </w:rPr>
              <w:t>16,525</w:t>
            </w:r>
          </w:p>
        </w:tc>
        <w:tc>
          <w:tcPr>
            <w:tcW w:w="700" w:type="dxa"/>
            <w:vAlign w:val="bottom"/>
            <w:shd w:val="clear" w:color="auto" w:fill="ACABA7"/>
          </w:tcPr>
          <w:p>
            <w:pPr>
              <w:jc w:val="right"/>
              <w:ind w:right="32"/>
              <w:spacing w:after="0" w:line="149" w:lineRule="exact"/>
              <w:rPr>
                <w:sz w:val="20"/>
                <w:szCs w:val="20"/>
                <w:color w:val="auto"/>
              </w:rPr>
            </w:pPr>
            <w:r>
              <w:rPr>
                <w:rFonts w:ascii="Arial" w:cs="Arial" w:eastAsia="Arial" w:hAnsi="Arial"/>
                <w:sz w:val="14"/>
                <w:szCs w:val="14"/>
                <w:color w:val="auto"/>
              </w:rPr>
              <w:t>27.23</w:t>
            </w:r>
          </w:p>
        </w:tc>
        <w:tc>
          <w:tcPr>
            <w:tcW w:w="820" w:type="dxa"/>
            <w:vAlign w:val="bottom"/>
            <w:shd w:val="clear" w:color="auto" w:fill="ACABA7"/>
          </w:tcPr>
          <w:p>
            <w:pPr>
              <w:jc w:val="right"/>
              <w:spacing w:after="0" w:line="149" w:lineRule="exact"/>
              <w:rPr>
                <w:sz w:val="20"/>
                <w:szCs w:val="20"/>
                <w:color w:val="auto"/>
              </w:rPr>
            </w:pPr>
            <w:r>
              <w:rPr>
                <w:rFonts w:ascii="Arial" w:cs="Arial" w:eastAsia="Arial" w:hAnsi="Arial"/>
                <w:sz w:val="14"/>
                <w:szCs w:val="14"/>
                <w:color w:val="auto"/>
              </w:rPr>
              <w:t>4/3/2021</w:t>
            </w:r>
          </w:p>
        </w:tc>
        <w:tc>
          <w:tcPr>
            <w:tcW w:w="180" w:type="dxa"/>
            <w:vAlign w:val="bottom"/>
            <w:shd w:val="clear" w:color="auto" w:fill="ACABA7"/>
          </w:tcPr>
          <w:p>
            <w:pPr>
              <w:spacing w:after="0"/>
              <w:rPr>
                <w:sz w:val="12"/>
                <w:szCs w:val="12"/>
                <w:color w:val="auto"/>
              </w:rPr>
            </w:pPr>
          </w:p>
        </w:tc>
        <w:tc>
          <w:tcPr>
            <w:tcW w:w="940" w:type="dxa"/>
            <w:vAlign w:val="bottom"/>
            <w:shd w:val="clear" w:color="auto" w:fill="ACABA7"/>
          </w:tcPr>
          <w:p>
            <w:pPr>
              <w:jc w:val="right"/>
              <w:ind w:right="12"/>
              <w:spacing w:after="0" w:line="149" w:lineRule="exact"/>
              <w:rPr>
                <w:sz w:val="20"/>
                <w:szCs w:val="20"/>
                <w:color w:val="auto"/>
              </w:rPr>
            </w:pPr>
            <w:r>
              <w:rPr>
                <w:rFonts w:ascii="Arial" w:cs="Arial" w:eastAsia="Arial" w:hAnsi="Arial"/>
                <w:sz w:val="14"/>
                <w:szCs w:val="14"/>
                <w:color w:val="auto"/>
              </w:rPr>
              <w:t>4/10/2015</w:t>
            </w:r>
          </w:p>
        </w:tc>
        <w:tc>
          <w:tcPr>
            <w:tcW w:w="940" w:type="dxa"/>
            <w:vAlign w:val="bottom"/>
            <w:shd w:val="clear" w:color="auto" w:fill="ACABA7"/>
          </w:tcPr>
          <w:p>
            <w:pPr>
              <w:jc w:val="right"/>
              <w:ind w:right="12"/>
              <w:spacing w:after="0" w:line="149" w:lineRule="exact"/>
              <w:rPr>
                <w:sz w:val="20"/>
                <w:szCs w:val="20"/>
                <w:color w:val="auto"/>
              </w:rPr>
            </w:pPr>
            <w:r>
              <w:rPr>
                <w:rFonts w:ascii="Arial" w:cs="Arial" w:eastAsia="Arial" w:hAnsi="Arial"/>
                <w:sz w:val="14"/>
                <w:szCs w:val="14"/>
                <w:color w:val="auto"/>
              </w:rPr>
              <w:t>4,349</w:t>
            </w:r>
          </w:p>
        </w:tc>
        <w:tc>
          <w:tcPr>
            <w:tcW w:w="940" w:type="dxa"/>
            <w:vAlign w:val="bottom"/>
            <w:shd w:val="clear" w:color="auto" w:fill="ACABA7"/>
          </w:tcPr>
          <w:p>
            <w:pPr>
              <w:jc w:val="right"/>
              <w:ind w:right="72"/>
              <w:spacing w:after="0" w:line="149" w:lineRule="exact"/>
              <w:rPr>
                <w:sz w:val="20"/>
                <w:szCs w:val="20"/>
                <w:color w:val="auto"/>
              </w:rPr>
            </w:pPr>
            <w:r>
              <w:rPr>
                <w:rFonts w:ascii="Arial" w:cs="Arial" w:eastAsia="Arial" w:hAnsi="Arial"/>
                <w:sz w:val="14"/>
                <w:szCs w:val="14"/>
                <w:color w:val="auto"/>
              </w:rPr>
              <w:t>222,408</w:t>
            </w:r>
          </w:p>
        </w:tc>
        <w:tc>
          <w:tcPr>
            <w:tcW w:w="920" w:type="dxa"/>
            <w:vAlign w:val="bottom"/>
            <w:shd w:val="clear" w:color="auto" w:fill="ACABA7"/>
          </w:tcPr>
          <w:p>
            <w:pPr>
              <w:jc w:val="right"/>
              <w:spacing w:after="0" w:line="149" w:lineRule="exact"/>
              <w:rPr>
                <w:sz w:val="20"/>
                <w:szCs w:val="20"/>
                <w:color w:val="auto"/>
              </w:rPr>
            </w:pPr>
            <w:r>
              <w:rPr>
                <w:rFonts w:ascii="Arial" w:cs="Arial" w:eastAsia="Arial" w:hAnsi="Arial"/>
                <w:sz w:val="14"/>
                <w:szCs w:val="14"/>
                <w:color w:val="auto"/>
              </w:rPr>
              <w:t>—</w:t>
            </w:r>
          </w:p>
        </w:tc>
        <w:tc>
          <w:tcPr>
            <w:tcW w:w="960" w:type="dxa"/>
            <w:vAlign w:val="bottom"/>
            <w:shd w:val="clear" w:color="auto" w:fill="ACABA7"/>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1780" w:type="dxa"/>
            <w:vAlign w:val="bottom"/>
            <w:shd w:val="clear" w:color="auto" w:fill="ACABA7"/>
          </w:tcPr>
          <w:p>
            <w:pPr>
              <w:spacing w:after="0"/>
              <w:rPr>
                <w:sz w:val="12"/>
                <w:szCs w:val="12"/>
                <w:color w:val="auto"/>
              </w:rPr>
            </w:pPr>
          </w:p>
        </w:tc>
        <w:tc>
          <w:tcPr>
            <w:tcW w:w="880" w:type="dxa"/>
            <w:vAlign w:val="bottom"/>
            <w:shd w:val="clear" w:color="auto" w:fill="ACABA7"/>
          </w:tcPr>
          <w:p>
            <w:pPr>
              <w:jc w:val="right"/>
              <w:spacing w:after="0" w:line="149" w:lineRule="exact"/>
              <w:rPr>
                <w:sz w:val="20"/>
                <w:szCs w:val="20"/>
                <w:color w:val="auto"/>
              </w:rPr>
            </w:pPr>
            <w:r>
              <w:rPr>
                <w:rFonts w:ascii="Arial" w:cs="Arial" w:eastAsia="Arial" w:hAnsi="Arial"/>
                <w:sz w:val="14"/>
                <w:szCs w:val="14"/>
                <w:color w:val="auto"/>
              </w:rPr>
              <w:t>4/10/2015</w:t>
            </w:r>
          </w:p>
        </w:tc>
        <w:tc>
          <w:tcPr>
            <w:tcW w:w="1120" w:type="dxa"/>
            <w:vAlign w:val="bottom"/>
            <w:shd w:val="clear" w:color="auto" w:fill="ACABA7"/>
          </w:tcPr>
          <w:p>
            <w:pPr>
              <w:jc w:val="right"/>
              <w:ind w:right="12"/>
              <w:spacing w:after="0" w:line="149" w:lineRule="exact"/>
              <w:rPr>
                <w:sz w:val="20"/>
                <w:szCs w:val="20"/>
                <w:color w:val="auto"/>
              </w:rPr>
            </w:pPr>
            <w:r>
              <w:rPr>
                <w:rFonts w:ascii="Arial" w:cs="Arial" w:eastAsia="Arial" w:hAnsi="Arial"/>
                <w:sz w:val="14"/>
                <w:szCs w:val="14"/>
                <w:color w:val="auto"/>
              </w:rPr>
              <w:t>7,806</w:t>
            </w:r>
          </w:p>
        </w:tc>
        <w:tc>
          <w:tcPr>
            <w:tcW w:w="1240" w:type="dxa"/>
            <w:vAlign w:val="bottom"/>
            <w:shd w:val="clear" w:color="auto" w:fill="ACABA7"/>
          </w:tcPr>
          <w:p>
            <w:pPr>
              <w:jc w:val="right"/>
              <w:spacing w:after="0" w:line="149" w:lineRule="exact"/>
              <w:rPr>
                <w:sz w:val="20"/>
                <w:szCs w:val="20"/>
                <w:color w:val="auto"/>
              </w:rPr>
            </w:pPr>
            <w:r>
              <w:rPr>
                <w:rFonts w:ascii="Arial" w:cs="Arial" w:eastAsia="Arial" w:hAnsi="Arial"/>
                <w:sz w:val="14"/>
                <w:szCs w:val="14"/>
                <w:color w:val="auto"/>
              </w:rPr>
              <w:t>23,420</w:t>
            </w:r>
          </w:p>
        </w:tc>
        <w:tc>
          <w:tcPr>
            <w:tcW w:w="700" w:type="dxa"/>
            <w:vAlign w:val="bottom"/>
            <w:shd w:val="clear" w:color="auto" w:fill="ACABA7"/>
          </w:tcPr>
          <w:p>
            <w:pPr>
              <w:jc w:val="right"/>
              <w:ind w:right="32"/>
              <w:spacing w:after="0" w:line="149" w:lineRule="exact"/>
              <w:rPr>
                <w:sz w:val="20"/>
                <w:szCs w:val="20"/>
                <w:color w:val="auto"/>
              </w:rPr>
            </w:pPr>
            <w:r>
              <w:rPr>
                <w:rFonts w:ascii="Arial" w:cs="Arial" w:eastAsia="Arial" w:hAnsi="Arial"/>
                <w:sz w:val="14"/>
                <w:szCs w:val="14"/>
                <w:color w:val="auto"/>
              </w:rPr>
              <w:t>31.55</w:t>
            </w:r>
          </w:p>
        </w:tc>
        <w:tc>
          <w:tcPr>
            <w:tcW w:w="820" w:type="dxa"/>
            <w:vAlign w:val="bottom"/>
            <w:shd w:val="clear" w:color="auto" w:fill="ACABA7"/>
          </w:tcPr>
          <w:p>
            <w:pPr>
              <w:jc w:val="right"/>
              <w:spacing w:after="0" w:line="149" w:lineRule="exact"/>
              <w:rPr>
                <w:sz w:val="20"/>
                <w:szCs w:val="20"/>
                <w:color w:val="auto"/>
              </w:rPr>
            </w:pPr>
            <w:r>
              <w:rPr>
                <w:rFonts w:ascii="Arial" w:cs="Arial" w:eastAsia="Arial" w:hAnsi="Arial"/>
                <w:sz w:val="14"/>
                <w:szCs w:val="14"/>
                <w:color w:val="auto"/>
              </w:rPr>
              <w:t>4/9/2022</w:t>
            </w:r>
          </w:p>
        </w:tc>
        <w:tc>
          <w:tcPr>
            <w:tcW w:w="180" w:type="dxa"/>
            <w:vAlign w:val="bottom"/>
            <w:shd w:val="clear" w:color="auto" w:fill="ACABA7"/>
          </w:tcPr>
          <w:p>
            <w:pPr>
              <w:spacing w:after="0"/>
              <w:rPr>
                <w:sz w:val="12"/>
                <w:szCs w:val="12"/>
                <w:color w:val="auto"/>
              </w:rPr>
            </w:pPr>
          </w:p>
        </w:tc>
        <w:tc>
          <w:tcPr>
            <w:tcW w:w="940" w:type="dxa"/>
            <w:vAlign w:val="bottom"/>
            <w:shd w:val="clear" w:color="auto" w:fill="ACABA7"/>
          </w:tcPr>
          <w:p>
            <w:pPr>
              <w:jc w:val="right"/>
              <w:ind w:right="12"/>
              <w:spacing w:after="0" w:line="149" w:lineRule="exact"/>
              <w:rPr>
                <w:sz w:val="20"/>
                <w:szCs w:val="20"/>
                <w:color w:val="auto"/>
              </w:rPr>
            </w:pPr>
            <w:r>
              <w:rPr>
                <w:rFonts w:ascii="Arial" w:cs="Arial" w:eastAsia="Arial" w:hAnsi="Arial"/>
                <w:sz w:val="14"/>
                <w:szCs w:val="14"/>
                <w:color w:val="auto"/>
              </w:rPr>
              <w:t>4/10/2015</w:t>
            </w:r>
          </w:p>
        </w:tc>
        <w:tc>
          <w:tcPr>
            <w:tcW w:w="940" w:type="dxa"/>
            <w:vAlign w:val="bottom"/>
            <w:shd w:val="clear" w:color="auto" w:fill="ACABA7"/>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940" w:type="dxa"/>
            <w:vAlign w:val="bottom"/>
            <w:shd w:val="clear" w:color="auto" w:fill="ACABA7"/>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920" w:type="dxa"/>
            <w:vAlign w:val="bottom"/>
            <w:shd w:val="clear" w:color="auto" w:fill="ACABA7"/>
          </w:tcPr>
          <w:p>
            <w:pPr>
              <w:jc w:val="right"/>
              <w:spacing w:after="0" w:line="149" w:lineRule="exact"/>
              <w:rPr>
                <w:sz w:val="20"/>
                <w:szCs w:val="20"/>
                <w:color w:val="auto"/>
              </w:rPr>
            </w:pPr>
            <w:r>
              <w:rPr>
                <w:rFonts w:ascii="Arial" w:cs="Arial" w:eastAsia="Arial" w:hAnsi="Arial"/>
                <w:sz w:val="14"/>
                <w:szCs w:val="14"/>
                <w:color w:val="auto"/>
              </w:rPr>
              <w:t>9,663</w:t>
            </w:r>
          </w:p>
        </w:tc>
        <w:tc>
          <w:tcPr>
            <w:tcW w:w="960" w:type="dxa"/>
            <w:vAlign w:val="bottom"/>
            <w:shd w:val="clear" w:color="auto" w:fill="ACABA7"/>
          </w:tcPr>
          <w:p>
            <w:pPr>
              <w:jc w:val="right"/>
              <w:spacing w:after="0" w:line="149" w:lineRule="exact"/>
              <w:rPr>
                <w:sz w:val="20"/>
                <w:szCs w:val="20"/>
                <w:color w:val="auto"/>
              </w:rPr>
            </w:pPr>
            <w:r>
              <w:rPr>
                <w:rFonts w:ascii="Arial" w:cs="Arial" w:eastAsia="Arial" w:hAnsi="Arial"/>
                <w:sz w:val="14"/>
                <w:szCs w:val="14"/>
                <w:color w:val="auto"/>
              </w:rPr>
              <w:t>494,166</w:t>
            </w:r>
          </w:p>
        </w:tc>
      </w:tr>
      <w:tr>
        <w:trPr>
          <w:trHeight w:val="149"/>
        </w:trPr>
        <w:tc>
          <w:tcPr>
            <w:tcW w:w="1780" w:type="dxa"/>
            <w:vAlign w:val="bottom"/>
            <w:shd w:val="clear" w:color="auto" w:fill="ACABA7"/>
          </w:tcPr>
          <w:p>
            <w:pPr>
              <w:spacing w:after="0"/>
              <w:rPr>
                <w:sz w:val="12"/>
                <w:szCs w:val="12"/>
                <w:color w:val="auto"/>
              </w:rPr>
            </w:pPr>
          </w:p>
        </w:tc>
        <w:tc>
          <w:tcPr>
            <w:tcW w:w="880" w:type="dxa"/>
            <w:vAlign w:val="bottom"/>
            <w:shd w:val="clear" w:color="auto" w:fill="ACABA7"/>
          </w:tcPr>
          <w:p>
            <w:pPr>
              <w:jc w:val="right"/>
              <w:spacing w:after="0" w:line="149" w:lineRule="exact"/>
              <w:rPr>
                <w:sz w:val="20"/>
                <w:szCs w:val="20"/>
                <w:color w:val="auto"/>
              </w:rPr>
            </w:pPr>
            <w:r>
              <w:rPr>
                <w:rFonts w:ascii="Arial" w:cs="Arial" w:eastAsia="Arial" w:hAnsi="Arial"/>
                <w:sz w:val="14"/>
                <w:szCs w:val="14"/>
                <w:color w:val="auto"/>
              </w:rPr>
              <w:t>3/4/2016</w:t>
            </w:r>
          </w:p>
        </w:tc>
        <w:tc>
          <w:tcPr>
            <w:tcW w:w="1120" w:type="dxa"/>
            <w:vAlign w:val="bottom"/>
            <w:shd w:val="clear" w:color="auto" w:fill="ACABA7"/>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240" w:type="dxa"/>
            <w:vAlign w:val="bottom"/>
            <w:shd w:val="clear" w:color="auto" w:fill="ACABA7"/>
          </w:tcPr>
          <w:p>
            <w:pPr>
              <w:jc w:val="right"/>
              <w:spacing w:after="0" w:line="149" w:lineRule="exact"/>
              <w:rPr>
                <w:sz w:val="20"/>
                <w:szCs w:val="20"/>
                <w:color w:val="auto"/>
              </w:rPr>
            </w:pPr>
            <w:r>
              <w:rPr>
                <w:rFonts w:ascii="Arial" w:cs="Arial" w:eastAsia="Arial" w:hAnsi="Arial"/>
                <w:sz w:val="14"/>
                <w:szCs w:val="14"/>
                <w:color w:val="auto"/>
              </w:rPr>
              <w:t>27,033</w:t>
            </w:r>
          </w:p>
        </w:tc>
        <w:tc>
          <w:tcPr>
            <w:tcW w:w="700" w:type="dxa"/>
            <w:vAlign w:val="bottom"/>
            <w:shd w:val="clear" w:color="auto" w:fill="ACABA7"/>
          </w:tcPr>
          <w:p>
            <w:pPr>
              <w:jc w:val="right"/>
              <w:ind w:right="32"/>
              <w:spacing w:after="0" w:line="149" w:lineRule="exact"/>
              <w:rPr>
                <w:sz w:val="20"/>
                <w:szCs w:val="20"/>
                <w:color w:val="auto"/>
              </w:rPr>
            </w:pPr>
            <w:r>
              <w:rPr>
                <w:rFonts w:ascii="Arial" w:cs="Arial" w:eastAsia="Arial" w:hAnsi="Arial"/>
                <w:sz w:val="14"/>
                <w:szCs w:val="14"/>
                <w:color w:val="auto"/>
              </w:rPr>
              <w:t>33.82</w:t>
            </w:r>
          </w:p>
        </w:tc>
        <w:tc>
          <w:tcPr>
            <w:tcW w:w="820" w:type="dxa"/>
            <w:vAlign w:val="bottom"/>
            <w:shd w:val="clear" w:color="auto" w:fill="ACABA7"/>
          </w:tcPr>
          <w:p>
            <w:pPr>
              <w:jc w:val="right"/>
              <w:spacing w:after="0" w:line="149" w:lineRule="exact"/>
              <w:rPr>
                <w:sz w:val="20"/>
                <w:szCs w:val="20"/>
                <w:color w:val="auto"/>
              </w:rPr>
            </w:pPr>
            <w:r>
              <w:rPr>
                <w:rFonts w:ascii="Arial" w:cs="Arial" w:eastAsia="Arial" w:hAnsi="Arial"/>
                <w:sz w:val="14"/>
                <w:szCs w:val="14"/>
                <w:color w:val="auto"/>
              </w:rPr>
              <w:t>3/3/2023</w:t>
            </w:r>
          </w:p>
        </w:tc>
        <w:tc>
          <w:tcPr>
            <w:tcW w:w="180" w:type="dxa"/>
            <w:vAlign w:val="bottom"/>
            <w:shd w:val="clear" w:color="auto" w:fill="ACABA7"/>
          </w:tcPr>
          <w:p>
            <w:pPr>
              <w:spacing w:after="0"/>
              <w:rPr>
                <w:sz w:val="12"/>
                <w:szCs w:val="12"/>
                <w:color w:val="auto"/>
              </w:rPr>
            </w:pPr>
          </w:p>
        </w:tc>
        <w:tc>
          <w:tcPr>
            <w:tcW w:w="940" w:type="dxa"/>
            <w:vAlign w:val="bottom"/>
            <w:shd w:val="clear" w:color="auto" w:fill="ACABA7"/>
          </w:tcPr>
          <w:p>
            <w:pPr>
              <w:jc w:val="right"/>
              <w:ind w:right="12"/>
              <w:spacing w:after="0" w:line="149" w:lineRule="exact"/>
              <w:rPr>
                <w:sz w:val="20"/>
                <w:szCs w:val="20"/>
                <w:color w:val="auto"/>
              </w:rPr>
            </w:pPr>
            <w:r>
              <w:rPr>
                <w:rFonts w:ascii="Arial" w:cs="Arial" w:eastAsia="Arial" w:hAnsi="Arial"/>
                <w:sz w:val="14"/>
                <w:szCs w:val="14"/>
                <w:color w:val="auto"/>
              </w:rPr>
              <w:t>2/18/2016</w:t>
            </w:r>
          </w:p>
        </w:tc>
        <w:tc>
          <w:tcPr>
            <w:tcW w:w="940" w:type="dxa"/>
            <w:vAlign w:val="bottom"/>
            <w:shd w:val="clear" w:color="auto" w:fill="ACABA7"/>
          </w:tcPr>
          <w:p>
            <w:pPr>
              <w:jc w:val="right"/>
              <w:ind w:right="12"/>
              <w:spacing w:after="0" w:line="149" w:lineRule="exact"/>
              <w:rPr>
                <w:sz w:val="20"/>
                <w:szCs w:val="20"/>
                <w:color w:val="auto"/>
              </w:rPr>
            </w:pPr>
            <w:r>
              <w:rPr>
                <w:rFonts w:ascii="Arial" w:cs="Arial" w:eastAsia="Arial" w:hAnsi="Arial"/>
                <w:sz w:val="14"/>
                <w:szCs w:val="14"/>
                <w:color w:val="auto"/>
              </w:rPr>
              <w:t>4,628</w:t>
            </w:r>
          </w:p>
        </w:tc>
        <w:tc>
          <w:tcPr>
            <w:tcW w:w="940" w:type="dxa"/>
            <w:vAlign w:val="bottom"/>
            <w:shd w:val="clear" w:color="auto" w:fill="ACABA7"/>
          </w:tcPr>
          <w:p>
            <w:pPr>
              <w:jc w:val="right"/>
              <w:ind w:right="72"/>
              <w:spacing w:after="0" w:line="149" w:lineRule="exact"/>
              <w:rPr>
                <w:sz w:val="20"/>
                <w:szCs w:val="20"/>
                <w:color w:val="auto"/>
              </w:rPr>
            </w:pPr>
            <w:r>
              <w:rPr>
                <w:rFonts w:ascii="Arial" w:cs="Arial" w:eastAsia="Arial" w:hAnsi="Arial"/>
                <w:sz w:val="14"/>
                <w:szCs w:val="14"/>
                <w:color w:val="auto"/>
              </w:rPr>
              <w:t>236,676</w:t>
            </w:r>
          </w:p>
        </w:tc>
        <w:tc>
          <w:tcPr>
            <w:tcW w:w="920" w:type="dxa"/>
            <w:vAlign w:val="bottom"/>
            <w:shd w:val="clear" w:color="auto" w:fill="ACABA7"/>
          </w:tcPr>
          <w:p>
            <w:pPr>
              <w:jc w:val="right"/>
              <w:spacing w:after="0" w:line="149" w:lineRule="exact"/>
              <w:rPr>
                <w:sz w:val="20"/>
                <w:szCs w:val="20"/>
                <w:color w:val="auto"/>
              </w:rPr>
            </w:pPr>
            <w:r>
              <w:rPr>
                <w:rFonts w:ascii="Arial" w:cs="Arial" w:eastAsia="Arial" w:hAnsi="Arial"/>
                <w:sz w:val="14"/>
                <w:szCs w:val="14"/>
                <w:color w:val="auto"/>
              </w:rPr>
              <w:t>—</w:t>
            </w:r>
          </w:p>
        </w:tc>
        <w:tc>
          <w:tcPr>
            <w:tcW w:w="960" w:type="dxa"/>
            <w:vAlign w:val="bottom"/>
            <w:shd w:val="clear" w:color="auto" w:fill="ACABA7"/>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1780" w:type="dxa"/>
            <w:vAlign w:val="bottom"/>
            <w:shd w:val="clear" w:color="auto" w:fill="ACABA7"/>
          </w:tcPr>
          <w:p>
            <w:pPr>
              <w:spacing w:after="0"/>
              <w:rPr>
                <w:sz w:val="12"/>
                <w:szCs w:val="12"/>
                <w:color w:val="auto"/>
              </w:rPr>
            </w:pPr>
          </w:p>
        </w:tc>
        <w:tc>
          <w:tcPr>
            <w:tcW w:w="880" w:type="dxa"/>
            <w:vAlign w:val="bottom"/>
            <w:shd w:val="clear" w:color="auto" w:fill="ACABA7"/>
          </w:tcPr>
          <w:p>
            <w:pPr>
              <w:jc w:val="right"/>
              <w:spacing w:after="0" w:line="149" w:lineRule="exact"/>
              <w:rPr>
                <w:sz w:val="20"/>
                <w:szCs w:val="20"/>
                <w:color w:val="auto"/>
              </w:rPr>
            </w:pPr>
            <w:r>
              <w:rPr>
                <w:rFonts w:ascii="Arial" w:cs="Arial" w:eastAsia="Arial" w:hAnsi="Arial"/>
                <w:sz w:val="14"/>
                <w:szCs w:val="14"/>
                <w:color w:val="auto"/>
              </w:rPr>
              <w:t>—</w:t>
            </w:r>
          </w:p>
        </w:tc>
        <w:tc>
          <w:tcPr>
            <w:tcW w:w="1120" w:type="dxa"/>
            <w:vAlign w:val="bottom"/>
            <w:shd w:val="clear" w:color="auto" w:fill="ACABA7"/>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240" w:type="dxa"/>
            <w:vAlign w:val="bottom"/>
            <w:shd w:val="clear" w:color="auto" w:fill="ACABA7"/>
          </w:tcPr>
          <w:p>
            <w:pPr>
              <w:jc w:val="right"/>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ACABA7"/>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ACABA7"/>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40" w:type="dxa"/>
            <w:vAlign w:val="bottom"/>
            <w:shd w:val="clear" w:color="auto" w:fill="ACABA7"/>
          </w:tcPr>
          <w:p>
            <w:pPr>
              <w:jc w:val="right"/>
              <w:ind w:right="12"/>
              <w:spacing w:after="0" w:line="149" w:lineRule="exact"/>
              <w:rPr>
                <w:sz w:val="20"/>
                <w:szCs w:val="20"/>
                <w:color w:val="auto"/>
              </w:rPr>
            </w:pPr>
            <w:r>
              <w:rPr>
                <w:rFonts w:ascii="Arial" w:cs="Arial" w:eastAsia="Arial" w:hAnsi="Arial"/>
                <w:sz w:val="14"/>
                <w:szCs w:val="14"/>
                <w:color w:val="auto"/>
              </w:rPr>
              <w:t>3/4/2016</w:t>
            </w:r>
          </w:p>
        </w:tc>
        <w:tc>
          <w:tcPr>
            <w:tcW w:w="940" w:type="dxa"/>
            <w:vAlign w:val="bottom"/>
            <w:shd w:val="clear" w:color="auto" w:fill="ACABA7"/>
          </w:tcPr>
          <w:p>
            <w:pPr>
              <w:jc w:val="right"/>
              <w:ind w:right="12"/>
              <w:spacing w:after="0" w:line="149" w:lineRule="exact"/>
              <w:rPr>
                <w:sz w:val="20"/>
                <w:szCs w:val="20"/>
                <w:color w:val="auto"/>
              </w:rPr>
            </w:pPr>
            <w:r>
              <w:rPr>
                <w:rFonts w:ascii="Arial" w:cs="Arial" w:eastAsia="Arial" w:hAnsi="Arial"/>
                <w:sz w:val="14"/>
                <w:szCs w:val="14"/>
                <w:color w:val="auto"/>
              </w:rPr>
              <w:t>5,901</w:t>
            </w:r>
          </w:p>
        </w:tc>
        <w:tc>
          <w:tcPr>
            <w:tcW w:w="940" w:type="dxa"/>
            <w:vAlign w:val="bottom"/>
            <w:shd w:val="clear" w:color="auto" w:fill="ACABA7"/>
          </w:tcPr>
          <w:p>
            <w:pPr>
              <w:jc w:val="right"/>
              <w:ind w:right="72"/>
              <w:spacing w:after="0" w:line="149" w:lineRule="exact"/>
              <w:rPr>
                <w:sz w:val="20"/>
                <w:szCs w:val="20"/>
                <w:color w:val="auto"/>
              </w:rPr>
            </w:pPr>
            <w:r>
              <w:rPr>
                <w:rFonts w:ascii="Arial" w:cs="Arial" w:eastAsia="Arial" w:hAnsi="Arial"/>
                <w:sz w:val="14"/>
                <w:szCs w:val="14"/>
                <w:color w:val="auto"/>
              </w:rPr>
              <w:t>301,777</w:t>
            </w:r>
          </w:p>
        </w:tc>
        <w:tc>
          <w:tcPr>
            <w:tcW w:w="920" w:type="dxa"/>
            <w:vAlign w:val="bottom"/>
            <w:shd w:val="clear" w:color="auto" w:fill="ACABA7"/>
          </w:tcPr>
          <w:p>
            <w:pPr>
              <w:jc w:val="right"/>
              <w:spacing w:after="0" w:line="149" w:lineRule="exact"/>
              <w:rPr>
                <w:sz w:val="20"/>
                <w:szCs w:val="20"/>
                <w:color w:val="auto"/>
              </w:rPr>
            </w:pPr>
            <w:r>
              <w:rPr>
                <w:rFonts w:ascii="Arial" w:cs="Arial" w:eastAsia="Arial" w:hAnsi="Arial"/>
                <w:sz w:val="14"/>
                <w:szCs w:val="14"/>
                <w:color w:val="auto"/>
              </w:rPr>
              <w:t>—</w:t>
            </w:r>
          </w:p>
        </w:tc>
        <w:tc>
          <w:tcPr>
            <w:tcW w:w="960" w:type="dxa"/>
            <w:vAlign w:val="bottom"/>
            <w:shd w:val="clear" w:color="auto" w:fill="ACABA7"/>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1780" w:type="dxa"/>
            <w:vAlign w:val="bottom"/>
            <w:shd w:val="clear" w:color="auto" w:fill="ACABA7"/>
          </w:tcPr>
          <w:p>
            <w:pPr>
              <w:spacing w:after="0"/>
              <w:rPr>
                <w:sz w:val="12"/>
                <w:szCs w:val="12"/>
                <w:color w:val="auto"/>
              </w:rPr>
            </w:pPr>
          </w:p>
        </w:tc>
        <w:tc>
          <w:tcPr>
            <w:tcW w:w="880" w:type="dxa"/>
            <w:vAlign w:val="bottom"/>
            <w:shd w:val="clear" w:color="auto" w:fill="ACABA7"/>
          </w:tcPr>
          <w:p>
            <w:pPr>
              <w:jc w:val="right"/>
              <w:spacing w:after="0" w:line="149" w:lineRule="exact"/>
              <w:rPr>
                <w:sz w:val="20"/>
                <w:szCs w:val="20"/>
                <w:color w:val="auto"/>
              </w:rPr>
            </w:pPr>
            <w:r>
              <w:rPr>
                <w:rFonts w:ascii="Arial" w:cs="Arial" w:eastAsia="Arial" w:hAnsi="Arial"/>
                <w:sz w:val="14"/>
                <w:szCs w:val="14"/>
                <w:color w:val="auto"/>
              </w:rPr>
              <w:t>—</w:t>
            </w:r>
          </w:p>
        </w:tc>
        <w:tc>
          <w:tcPr>
            <w:tcW w:w="1120" w:type="dxa"/>
            <w:vAlign w:val="bottom"/>
            <w:shd w:val="clear" w:color="auto" w:fill="ACABA7"/>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240" w:type="dxa"/>
            <w:vAlign w:val="bottom"/>
            <w:shd w:val="clear" w:color="auto" w:fill="ACABA7"/>
          </w:tcPr>
          <w:p>
            <w:pPr>
              <w:jc w:val="right"/>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ACABA7"/>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ACABA7"/>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40" w:type="dxa"/>
            <w:vAlign w:val="bottom"/>
            <w:shd w:val="clear" w:color="auto" w:fill="ACABA7"/>
          </w:tcPr>
          <w:p>
            <w:pPr>
              <w:jc w:val="right"/>
              <w:ind w:right="12"/>
              <w:spacing w:after="0" w:line="149" w:lineRule="exact"/>
              <w:rPr>
                <w:sz w:val="20"/>
                <w:szCs w:val="20"/>
                <w:color w:val="auto"/>
              </w:rPr>
            </w:pPr>
            <w:r>
              <w:rPr>
                <w:rFonts w:ascii="Arial" w:cs="Arial" w:eastAsia="Arial" w:hAnsi="Arial"/>
                <w:sz w:val="14"/>
                <w:szCs w:val="14"/>
                <w:color w:val="auto"/>
              </w:rPr>
              <w:t>3/4/2016</w:t>
            </w:r>
          </w:p>
        </w:tc>
        <w:tc>
          <w:tcPr>
            <w:tcW w:w="940" w:type="dxa"/>
            <w:vAlign w:val="bottom"/>
            <w:shd w:val="clear" w:color="auto" w:fill="ACABA7"/>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940" w:type="dxa"/>
            <w:vAlign w:val="bottom"/>
            <w:shd w:val="clear" w:color="auto" w:fill="ACABA7"/>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920" w:type="dxa"/>
            <w:vAlign w:val="bottom"/>
            <w:shd w:val="clear" w:color="auto" w:fill="ACABA7"/>
          </w:tcPr>
          <w:p>
            <w:pPr>
              <w:jc w:val="right"/>
              <w:spacing w:after="0" w:line="149" w:lineRule="exact"/>
              <w:rPr>
                <w:sz w:val="20"/>
                <w:szCs w:val="20"/>
                <w:color w:val="auto"/>
              </w:rPr>
            </w:pPr>
            <w:r>
              <w:rPr>
                <w:rFonts w:ascii="Arial" w:cs="Arial" w:eastAsia="Arial" w:hAnsi="Arial"/>
                <w:sz w:val="14"/>
                <w:szCs w:val="14"/>
                <w:color w:val="auto"/>
              </w:rPr>
              <w:t>9,834</w:t>
            </w:r>
          </w:p>
        </w:tc>
        <w:tc>
          <w:tcPr>
            <w:tcW w:w="960" w:type="dxa"/>
            <w:vAlign w:val="bottom"/>
            <w:shd w:val="clear" w:color="auto" w:fill="ACABA7"/>
          </w:tcPr>
          <w:p>
            <w:pPr>
              <w:jc w:val="right"/>
              <w:spacing w:after="0" w:line="149" w:lineRule="exact"/>
              <w:rPr>
                <w:sz w:val="20"/>
                <w:szCs w:val="20"/>
                <w:color w:val="auto"/>
              </w:rPr>
            </w:pPr>
            <w:r>
              <w:rPr>
                <w:rFonts w:ascii="Arial" w:cs="Arial" w:eastAsia="Arial" w:hAnsi="Arial"/>
                <w:sz w:val="14"/>
                <w:szCs w:val="14"/>
                <w:color w:val="auto"/>
              </w:rPr>
              <w:t>502,911</w:t>
            </w:r>
          </w:p>
        </w:tc>
      </w:tr>
      <w:tr>
        <w:trPr>
          <w:trHeight w:val="148"/>
        </w:trPr>
        <w:tc>
          <w:tcPr>
            <w:tcW w:w="1780" w:type="dxa"/>
            <w:vAlign w:val="bottom"/>
          </w:tcPr>
          <w:p>
            <w:pPr>
              <w:ind w:left="80"/>
              <w:spacing w:after="0" w:line="148" w:lineRule="exact"/>
              <w:rPr>
                <w:sz w:val="20"/>
                <w:szCs w:val="20"/>
                <w:color w:val="auto"/>
              </w:rPr>
            </w:pPr>
            <w:r>
              <w:rPr>
                <w:rFonts w:ascii="Arial" w:cs="Arial" w:eastAsia="Arial" w:hAnsi="Arial"/>
                <w:sz w:val="14"/>
                <w:szCs w:val="14"/>
                <w:color w:val="auto"/>
              </w:rPr>
              <w:t>Mr. Leiter</w:t>
            </w:r>
          </w:p>
        </w:tc>
        <w:tc>
          <w:tcPr>
            <w:tcW w:w="880" w:type="dxa"/>
            <w:vAlign w:val="bottom"/>
          </w:tcPr>
          <w:p>
            <w:pPr>
              <w:jc w:val="right"/>
              <w:spacing w:after="0" w:line="148" w:lineRule="exact"/>
              <w:rPr>
                <w:sz w:val="20"/>
                <w:szCs w:val="20"/>
                <w:color w:val="auto"/>
              </w:rPr>
            </w:pPr>
            <w:r>
              <w:rPr>
                <w:rFonts w:ascii="Arial" w:cs="Arial" w:eastAsia="Arial" w:hAnsi="Arial"/>
                <w:sz w:val="14"/>
                <w:szCs w:val="14"/>
                <w:color w:val="auto"/>
              </w:rPr>
              <w:t>12/12/2014</w:t>
            </w:r>
          </w:p>
        </w:tc>
        <w:tc>
          <w:tcPr>
            <w:tcW w:w="1120" w:type="dxa"/>
            <w:vAlign w:val="bottom"/>
          </w:tcPr>
          <w:p>
            <w:pPr>
              <w:jc w:val="right"/>
              <w:ind w:right="12"/>
              <w:spacing w:after="0" w:line="148" w:lineRule="exact"/>
              <w:rPr>
                <w:sz w:val="20"/>
                <w:szCs w:val="20"/>
                <w:color w:val="auto"/>
              </w:rPr>
            </w:pPr>
            <w:r>
              <w:rPr>
                <w:rFonts w:ascii="Arial" w:cs="Arial" w:eastAsia="Arial" w:hAnsi="Arial"/>
                <w:sz w:val="14"/>
                <w:szCs w:val="14"/>
                <w:color w:val="auto"/>
              </w:rPr>
              <w:t>13,531</w:t>
            </w:r>
          </w:p>
        </w:tc>
        <w:tc>
          <w:tcPr>
            <w:tcW w:w="1240" w:type="dxa"/>
            <w:vAlign w:val="bottom"/>
          </w:tcPr>
          <w:p>
            <w:pPr>
              <w:jc w:val="right"/>
              <w:spacing w:after="0" w:line="148" w:lineRule="exact"/>
              <w:rPr>
                <w:sz w:val="20"/>
                <w:szCs w:val="20"/>
                <w:color w:val="auto"/>
              </w:rPr>
            </w:pPr>
            <w:r>
              <w:rPr>
                <w:rFonts w:ascii="Arial" w:cs="Arial" w:eastAsia="Arial" w:hAnsi="Arial"/>
                <w:sz w:val="14"/>
                <w:szCs w:val="14"/>
                <w:color w:val="auto"/>
              </w:rPr>
              <w:t>13,531</w:t>
            </w:r>
          </w:p>
        </w:tc>
        <w:tc>
          <w:tcPr>
            <w:tcW w:w="700" w:type="dxa"/>
            <w:vAlign w:val="bottom"/>
          </w:tcPr>
          <w:p>
            <w:pPr>
              <w:jc w:val="right"/>
              <w:ind w:right="32"/>
              <w:spacing w:after="0" w:line="148" w:lineRule="exact"/>
              <w:rPr>
                <w:sz w:val="20"/>
                <w:szCs w:val="20"/>
                <w:color w:val="auto"/>
              </w:rPr>
            </w:pPr>
            <w:r>
              <w:rPr>
                <w:rFonts w:ascii="Arial" w:cs="Arial" w:eastAsia="Arial" w:hAnsi="Arial"/>
                <w:sz w:val="14"/>
                <w:szCs w:val="14"/>
                <w:color w:val="auto"/>
              </w:rPr>
              <w:t>31.76</w:t>
            </w:r>
          </w:p>
        </w:tc>
        <w:tc>
          <w:tcPr>
            <w:tcW w:w="820" w:type="dxa"/>
            <w:vAlign w:val="bottom"/>
          </w:tcPr>
          <w:p>
            <w:pPr>
              <w:jc w:val="right"/>
              <w:spacing w:after="0" w:line="148" w:lineRule="exact"/>
              <w:rPr>
                <w:sz w:val="20"/>
                <w:szCs w:val="20"/>
                <w:color w:val="auto"/>
              </w:rPr>
            </w:pPr>
            <w:r>
              <w:rPr>
                <w:rFonts w:ascii="Arial" w:cs="Arial" w:eastAsia="Arial" w:hAnsi="Arial"/>
                <w:sz w:val="14"/>
                <w:szCs w:val="14"/>
                <w:color w:val="auto"/>
              </w:rPr>
              <w:t>12/11/2021</w:t>
            </w:r>
          </w:p>
        </w:tc>
        <w:tc>
          <w:tcPr>
            <w:tcW w:w="180" w:type="dxa"/>
            <w:vAlign w:val="bottom"/>
          </w:tcPr>
          <w:p>
            <w:pPr>
              <w:spacing w:after="0"/>
              <w:rPr>
                <w:sz w:val="12"/>
                <w:szCs w:val="12"/>
                <w:color w:val="auto"/>
              </w:rPr>
            </w:pPr>
          </w:p>
        </w:tc>
        <w:tc>
          <w:tcPr>
            <w:tcW w:w="940" w:type="dxa"/>
            <w:vAlign w:val="bottom"/>
          </w:tcPr>
          <w:p>
            <w:pPr>
              <w:jc w:val="right"/>
              <w:ind w:right="12"/>
              <w:spacing w:after="0" w:line="148" w:lineRule="exact"/>
              <w:rPr>
                <w:sz w:val="20"/>
                <w:szCs w:val="20"/>
                <w:color w:val="auto"/>
              </w:rPr>
            </w:pPr>
            <w:r>
              <w:rPr>
                <w:rFonts w:ascii="Arial" w:cs="Arial" w:eastAsia="Arial" w:hAnsi="Arial"/>
                <w:sz w:val="14"/>
                <w:szCs w:val="14"/>
                <w:color w:val="auto"/>
              </w:rPr>
              <w:t>12/12/2014</w:t>
            </w:r>
          </w:p>
        </w:tc>
        <w:tc>
          <w:tcPr>
            <w:tcW w:w="940" w:type="dxa"/>
            <w:vAlign w:val="bottom"/>
          </w:tcPr>
          <w:p>
            <w:pPr>
              <w:jc w:val="right"/>
              <w:ind w:right="12"/>
              <w:spacing w:after="0" w:line="148" w:lineRule="exact"/>
              <w:rPr>
                <w:sz w:val="20"/>
                <w:szCs w:val="20"/>
                <w:color w:val="auto"/>
              </w:rPr>
            </w:pPr>
            <w:r>
              <w:rPr>
                <w:rFonts w:ascii="Arial" w:cs="Arial" w:eastAsia="Arial" w:hAnsi="Arial"/>
                <w:sz w:val="14"/>
                <w:szCs w:val="14"/>
                <w:color w:val="auto"/>
              </w:rPr>
              <w:t>1,455</w:t>
            </w:r>
          </w:p>
        </w:tc>
        <w:tc>
          <w:tcPr>
            <w:tcW w:w="940" w:type="dxa"/>
            <w:vAlign w:val="bottom"/>
          </w:tcPr>
          <w:p>
            <w:pPr>
              <w:jc w:val="right"/>
              <w:ind w:right="72"/>
              <w:spacing w:after="0" w:line="148" w:lineRule="exact"/>
              <w:rPr>
                <w:sz w:val="20"/>
                <w:szCs w:val="20"/>
                <w:color w:val="auto"/>
              </w:rPr>
            </w:pPr>
            <w:r>
              <w:rPr>
                <w:rFonts w:ascii="Arial" w:cs="Arial" w:eastAsia="Arial" w:hAnsi="Arial"/>
                <w:sz w:val="14"/>
                <w:szCs w:val="14"/>
                <w:color w:val="auto"/>
              </w:rPr>
              <w:t>74,409</w:t>
            </w:r>
          </w:p>
        </w:tc>
        <w:tc>
          <w:tcPr>
            <w:tcW w:w="920" w:type="dxa"/>
            <w:vAlign w:val="bottom"/>
          </w:tcPr>
          <w:p>
            <w:pPr>
              <w:jc w:val="right"/>
              <w:spacing w:after="0" w:line="148" w:lineRule="exact"/>
              <w:rPr>
                <w:sz w:val="20"/>
                <w:szCs w:val="20"/>
                <w:color w:val="auto"/>
              </w:rPr>
            </w:pPr>
            <w:r>
              <w:rPr>
                <w:rFonts w:ascii="Arial" w:cs="Arial" w:eastAsia="Arial" w:hAnsi="Arial"/>
                <w:sz w:val="14"/>
                <w:szCs w:val="14"/>
                <w:color w:val="auto"/>
              </w:rPr>
              <w:t>—</w:t>
            </w:r>
          </w:p>
        </w:tc>
        <w:tc>
          <w:tcPr>
            <w:tcW w:w="960" w:type="dxa"/>
            <w:vAlign w:val="bottom"/>
          </w:tcPr>
          <w:p>
            <w:pPr>
              <w:jc w:val="right"/>
              <w:spacing w:after="0" w:line="148" w:lineRule="exact"/>
              <w:rPr>
                <w:sz w:val="20"/>
                <w:szCs w:val="20"/>
                <w:color w:val="auto"/>
              </w:rPr>
            </w:pPr>
            <w:r>
              <w:rPr>
                <w:rFonts w:ascii="Arial" w:cs="Arial" w:eastAsia="Arial" w:hAnsi="Arial"/>
                <w:sz w:val="14"/>
                <w:szCs w:val="14"/>
                <w:color w:val="auto"/>
              </w:rPr>
              <w:t>—</w:t>
            </w:r>
          </w:p>
        </w:tc>
      </w:tr>
      <w:tr>
        <w:trPr>
          <w:trHeight w:val="149"/>
        </w:trPr>
        <w:tc>
          <w:tcPr>
            <w:tcW w:w="178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4/10/2015</w:t>
            </w:r>
          </w:p>
        </w:tc>
        <w:tc>
          <w:tcPr>
            <w:tcW w:w="1120" w:type="dxa"/>
            <w:vAlign w:val="bottom"/>
          </w:tcPr>
          <w:p>
            <w:pPr>
              <w:jc w:val="right"/>
              <w:ind w:right="12"/>
              <w:spacing w:after="0" w:line="149" w:lineRule="exact"/>
              <w:rPr>
                <w:sz w:val="20"/>
                <w:szCs w:val="20"/>
                <w:color w:val="auto"/>
              </w:rPr>
            </w:pPr>
            <w:r>
              <w:rPr>
                <w:rFonts w:ascii="Arial" w:cs="Arial" w:eastAsia="Arial" w:hAnsi="Arial"/>
                <w:sz w:val="14"/>
                <w:szCs w:val="14"/>
                <w:color w:val="auto"/>
              </w:rPr>
              <w:t>7,806</w:t>
            </w:r>
          </w:p>
        </w:tc>
        <w:tc>
          <w:tcPr>
            <w:tcW w:w="1240" w:type="dxa"/>
            <w:vAlign w:val="bottom"/>
          </w:tcPr>
          <w:p>
            <w:pPr>
              <w:jc w:val="right"/>
              <w:spacing w:after="0" w:line="149" w:lineRule="exact"/>
              <w:rPr>
                <w:sz w:val="20"/>
                <w:szCs w:val="20"/>
                <w:color w:val="auto"/>
              </w:rPr>
            </w:pPr>
            <w:r>
              <w:rPr>
                <w:rFonts w:ascii="Arial" w:cs="Arial" w:eastAsia="Arial" w:hAnsi="Arial"/>
                <w:sz w:val="14"/>
                <w:szCs w:val="14"/>
                <w:color w:val="auto"/>
              </w:rPr>
              <w:t>23,420</w:t>
            </w:r>
          </w:p>
        </w:tc>
        <w:tc>
          <w:tcPr>
            <w:tcW w:w="7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31.55</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4/9/2022</w:t>
            </w:r>
          </w:p>
        </w:tc>
        <w:tc>
          <w:tcPr>
            <w:tcW w:w="180" w:type="dxa"/>
            <w:vAlign w:val="bottom"/>
          </w:tcPr>
          <w:p>
            <w:pPr>
              <w:spacing w:after="0"/>
              <w:rPr>
                <w:sz w:val="12"/>
                <w:szCs w:val="12"/>
                <w:color w:val="auto"/>
              </w:rPr>
            </w:pPr>
          </w:p>
        </w:tc>
        <w:tc>
          <w:tcPr>
            <w:tcW w:w="9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4/10/2015</w:t>
            </w:r>
          </w:p>
        </w:tc>
        <w:tc>
          <w:tcPr>
            <w:tcW w:w="9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4,349</w:t>
            </w:r>
          </w:p>
        </w:tc>
        <w:tc>
          <w:tcPr>
            <w:tcW w:w="940" w:type="dxa"/>
            <w:vAlign w:val="bottom"/>
          </w:tcPr>
          <w:p>
            <w:pPr>
              <w:jc w:val="right"/>
              <w:ind w:right="72"/>
              <w:spacing w:after="0" w:line="149" w:lineRule="exact"/>
              <w:rPr>
                <w:sz w:val="20"/>
                <w:szCs w:val="20"/>
                <w:color w:val="auto"/>
              </w:rPr>
            </w:pPr>
            <w:r>
              <w:rPr>
                <w:rFonts w:ascii="Arial" w:cs="Arial" w:eastAsia="Arial" w:hAnsi="Arial"/>
                <w:sz w:val="14"/>
                <w:szCs w:val="14"/>
                <w:color w:val="auto"/>
              </w:rPr>
              <w:t>222,408</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178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3/4/2016</w:t>
            </w:r>
          </w:p>
        </w:tc>
        <w:tc>
          <w:tcPr>
            <w:tcW w:w="112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240" w:type="dxa"/>
            <w:vAlign w:val="bottom"/>
          </w:tcPr>
          <w:p>
            <w:pPr>
              <w:jc w:val="right"/>
              <w:spacing w:after="0" w:line="149" w:lineRule="exact"/>
              <w:rPr>
                <w:sz w:val="20"/>
                <w:szCs w:val="20"/>
                <w:color w:val="auto"/>
              </w:rPr>
            </w:pPr>
            <w:r>
              <w:rPr>
                <w:rFonts w:ascii="Arial" w:cs="Arial" w:eastAsia="Arial" w:hAnsi="Arial"/>
                <w:sz w:val="14"/>
                <w:szCs w:val="14"/>
                <w:color w:val="auto"/>
              </w:rPr>
              <w:t>27,033</w:t>
            </w:r>
          </w:p>
        </w:tc>
        <w:tc>
          <w:tcPr>
            <w:tcW w:w="7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33.82</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3/3/2023</w:t>
            </w:r>
          </w:p>
        </w:tc>
        <w:tc>
          <w:tcPr>
            <w:tcW w:w="180" w:type="dxa"/>
            <w:vAlign w:val="bottom"/>
          </w:tcPr>
          <w:p>
            <w:pPr>
              <w:spacing w:after="0"/>
              <w:rPr>
                <w:sz w:val="12"/>
                <w:szCs w:val="12"/>
                <w:color w:val="auto"/>
              </w:rPr>
            </w:pPr>
          </w:p>
        </w:tc>
        <w:tc>
          <w:tcPr>
            <w:tcW w:w="9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4/10/2015</w:t>
            </w:r>
          </w:p>
        </w:tc>
        <w:tc>
          <w:tcPr>
            <w:tcW w:w="9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94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9,663</w:t>
            </w: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494,166</w:t>
            </w:r>
          </w:p>
        </w:tc>
      </w:tr>
      <w:tr>
        <w:trPr>
          <w:trHeight w:val="149"/>
        </w:trPr>
        <w:tc>
          <w:tcPr>
            <w:tcW w:w="178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12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2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3/4/2016</w:t>
            </w:r>
          </w:p>
        </w:tc>
        <w:tc>
          <w:tcPr>
            <w:tcW w:w="9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5,901</w:t>
            </w:r>
          </w:p>
        </w:tc>
        <w:tc>
          <w:tcPr>
            <w:tcW w:w="940" w:type="dxa"/>
            <w:vAlign w:val="bottom"/>
          </w:tcPr>
          <w:p>
            <w:pPr>
              <w:jc w:val="right"/>
              <w:ind w:right="72"/>
              <w:spacing w:after="0" w:line="149" w:lineRule="exact"/>
              <w:rPr>
                <w:sz w:val="20"/>
                <w:szCs w:val="20"/>
                <w:color w:val="auto"/>
              </w:rPr>
            </w:pPr>
            <w:r>
              <w:rPr>
                <w:rFonts w:ascii="Arial" w:cs="Arial" w:eastAsia="Arial" w:hAnsi="Arial"/>
                <w:sz w:val="14"/>
                <w:szCs w:val="14"/>
                <w:color w:val="auto"/>
              </w:rPr>
              <w:t>301,777</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178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12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2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3/4/2016</w:t>
            </w:r>
          </w:p>
        </w:tc>
        <w:tc>
          <w:tcPr>
            <w:tcW w:w="9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94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9,834</w:t>
            </w: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502,911</w:t>
            </w:r>
          </w:p>
        </w:tc>
      </w:tr>
      <w:tr>
        <w:trPr>
          <w:trHeight w:val="148"/>
        </w:trPr>
        <w:tc>
          <w:tcPr>
            <w:tcW w:w="1780" w:type="dxa"/>
            <w:vAlign w:val="bottom"/>
            <w:shd w:val="clear" w:color="auto" w:fill="ACABA7"/>
          </w:tcPr>
          <w:p>
            <w:pPr>
              <w:ind w:left="80"/>
              <w:spacing w:after="0" w:line="148" w:lineRule="exact"/>
              <w:rPr>
                <w:sz w:val="20"/>
                <w:szCs w:val="20"/>
                <w:color w:val="auto"/>
              </w:rPr>
            </w:pPr>
            <w:r>
              <w:rPr>
                <w:rFonts w:ascii="Arial" w:cs="Arial" w:eastAsia="Arial" w:hAnsi="Arial"/>
                <w:sz w:val="14"/>
                <w:szCs w:val="14"/>
                <w:color w:val="auto"/>
              </w:rPr>
              <w:t>Ms. Allen</w:t>
            </w:r>
          </w:p>
        </w:tc>
        <w:tc>
          <w:tcPr>
            <w:tcW w:w="880" w:type="dxa"/>
            <w:vAlign w:val="bottom"/>
            <w:shd w:val="clear" w:color="auto" w:fill="ACABA7"/>
          </w:tcPr>
          <w:p>
            <w:pPr>
              <w:jc w:val="right"/>
              <w:spacing w:after="0" w:line="148" w:lineRule="exact"/>
              <w:rPr>
                <w:sz w:val="20"/>
                <w:szCs w:val="20"/>
                <w:color w:val="auto"/>
              </w:rPr>
            </w:pPr>
            <w:r>
              <w:rPr>
                <w:rFonts w:ascii="Arial" w:cs="Arial" w:eastAsia="Arial" w:hAnsi="Arial"/>
                <w:sz w:val="14"/>
                <w:szCs w:val="14"/>
                <w:color w:val="auto"/>
              </w:rPr>
              <w:t>—</w:t>
            </w:r>
          </w:p>
        </w:tc>
        <w:tc>
          <w:tcPr>
            <w:tcW w:w="1120" w:type="dxa"/>
            <w:vAlign w:val="bottom"/>
            <w:shd w:val="clear" w:color="auto" w:fill="ACABA7"/>
          </w:tcPr>
          <w:p>
            <w:pPr>
              <w:jc w:val="right"/>
              <w:ind w:right="12"/>
              <w:spacing w:after="0" w:line="148" w:lineRule="exact"/>
              <w:rPr>
                <w:sz w:val="20"/>
                <w:szCs w:val="20"/>
                <w:color w:val="auto"/>
              </w:rPr>
            </w:pPr>
            <w:r>
              <w:rPr>
                <w:rFonts w:ascii="Arial" w:cs="Arial" w:eastAsia="Arial" w:hAnsi="Arial"/>
                <w:sz w:val="14"/>
                <w:szCs w:val="14"/>
                <w:color w:val="auto"/>
              </w:rPr>
              <w:t>—</w:t>
            </w:r>
          </w:p>
        </w:tc>
        <w:tc>
          <w:tcPr>
            <w:tcW w:w="1240" w:type="dxa"/>
            <w:vAlign w:val="bottom"/>
            <w:shd w:val="clear" w:color="auto" w:fill="ACABA7"/>
          </w:tcPr>
          <w:p>
            <w:pPr>
              <w:jc w:val="right"/>
              <w:spacing w:after="0" w:line="148" w:lineRule="exact"/>
              <w:rPr>
                <w:sz w:val="20"/>
                <w:szCs w:val="20"/>
                <w:color w:val="auto"/>
              </w:rPr>
            </w:pPr>
            <w:r>
              <w:rPr>
                <w:rFonts w:ascii="Arial" w:cs="Arial" w:eastAsia="Arial" w:hAnsi="Arial"/>
                <w:sz w:val="14"/>
                <w:szCs w:val="14"/>
                <w:color w:val="auto"/>
              </w:rPr>
              <w:t>—</w:t>
            </w:r>
          </w:p>
        </w:tc>
        <w:tc>
          <w:tcPr>
            <w:tcW w:w="700" w:type="dxa"/>
            <w:vAlign w:val="bottom"/>
            <w:shd w:val="clear" w:color="auto" w:fill="ACABA7"/>
          </w:tcPr>
          <w:p>
            <w:pPr>
              <w:jc w:val="right"/>
              <w:ind w:right="32"/>
              <w:spacing w:after="0" w:line="148"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ACABA7"/>
          </w:tcPr>
          <w:p>
            <w:pPr>
              <w:jc w:val="right"/>
              <w:ind w:right="220"/>
              <w:spacing w:after="0" w:line="148" w:lineRule="exact"/>
              <w:rPr>
                <w:sz w:val="20"/>
                <w:szCs w:val="20"/>
                <w:color w:val="auto"/>
              </w:rPr>
            </w:pPr>
            <w:r>
              <w:rPr>
                <w:rFonts w:ascii="Arial" w:cs="Arial" w:eastAsia="Arial" w:hAnsi="Arial"/>
                <w:sz w:val="14"/>
                <w:szCs w:val="14"/>
                <w:color w:val="auto"/>
              </w:rPr>
              <w:t>—</w:t>
            </w:r>
          </w:p>
        </w:tc>
        <w:tc>
          <w:tcPr>
            <w:tcW w:w="940" w:type="dxa"/>
            <w:vAlign w:val="bottom"/>
            <w:shd w:val="clear" w:color="auto" w:fill="ACABA7"/>
          </w:tcPr>
          <w:p>
            <w:pPr>
              <w:jc w:val="right"/>
              <w:ind w:right="12"/>
              <w:spacing w:after="0" w:line="148" w:lineRule="exact"/>
              <w:rPr>
                <w:sz w:val="20"/>
                <w:szCs w:val="20"/>
                <w:color w:val="auto"/>
              </w:rPr>
            </w:pPr>
            <w:r>
              <w:rPr>
                <w:rFonts w:ascii="Arial" w:cs="Arial" w:eastAsia="Arial" w:hAnsi="Arial"/>
                <w:sz w:val="14"/>
                <w:szCs w:val="14"/>
                <w:color w:val="auto"/>
              </w:rPr>
              <w:t>4/10/2015</w:t>
            </w:r>
          </w:p>
        </w:tc>
        <w:tc>
          <w:tcPr>
            <w:tcW w:w="940" w:type="dxa"/>
            <w:vAlign w:val="bottom"/>
            <w:shd w:val="clear" w:color="auto" w:fill="ACABA7"/>
          </w:tcPr>
          <w:p>
            <w:pPr>
              <w:jc w:val="right"/>
              <w:ind w:right="12"/>
              <w:spacing w:after="0" w:line="148" w:lineRule="exact"/>
              <w:rPr>
                <w:sz w:val="20"/>
                <w:szCs w:val="20"/>
                <w:color w:val="auto"/>
              </w:rPr>
            </w:pPr>
            <w:r>
              <w:rPr>
                <w:rFonts w:ascii="Arial" w:cs="Arial" w:eastAsia="Arial" w:hAnsi="Arial"/>
                <w:sz w:val="14"/>
                <w:szCs w:val="14"/>
                <w:color w:val="auto"/>
              </w:rPr>
              <w:t>—</w:t>
            </w:r>
          </w:p>
        </w:tc>
        <w:tc>
          <w:tcPr>
            <w:tcW w:w="940" w:type="dxa"/>
            <w:vAlign w:val="bottom"/>
            <w:shd w:val="clear" w:color="auto" w:fill="ACABA7"/>
          </w:tcPr>
          <w:p>
            <w:pPr>
              <w:jc w:val="right"/>
              <w:ind w:right="72"/>
              <w:spacing w:after="0" w:line="148" w:lineRule="exact"/>
              <w:rPr>
                <w:sz w:val="20"/>
                <w:szCs w:val="20"/>
                <w:color w:val="auto"/>
              </w:rPr>
            </w:pPr>
            <w:r>
              <w:rPr>
                <w:rFonts w:ascii="Arial" w:cs="Arial" w:eastAsia="Arial" w:hAnsi="Arial"/>
                <w:sz w:val="14"/>
                <w:szCs w:val="14"/>
                <w:color w:val="auto"/>
              </w:rPr>
              <w:t>—</w:t>
            </w:r>
          </w:p>
        </w:tc>
        <w:tc>
          <w:tcPr>
            <w:tcW w:w="920" w:type="dxa"/>
            <w:vAlign w:val="bottom"/>
            <w:shd w:val="clear" w:color="auto" w:fill="ACABA7"/>
          </w:tcPr>
          <w:p>
            <w:pPr>
              <w:jc w:val="right"/>
              <w:spacing w:after="0" w:line="148" w:lineRule="exact"/>
              <w:rPr>
                <w:sz w:val="20"/>
                <w:szCs w:val="20"/>
                <w:color w:val="auto"/>
              </w:rPr>
            </w:pPr>
            <w:r>
              <w:rPr>
                <w:rFonts w:ascii="Arial" w:cs="Arial" w:eastAsia="Arial" w:hAnsi="Arial"/>
                <w:sz w:val="14"/>
                <w:szCs w:val="14"/>
                <w:color w:val="auto"/>
              </w:rPr>
              <w:t>2,989</w:t>
            </w:r>
          </w:p>
        </w:tc>
        <w:tc>
          <w:tcPr>
            <w:tcW w:w="960" w:type="dxa"/>
            <w:vAlign w:val="bottom"/>
            <w:shd w:val="clear" w:color="auto" w:fill="ACABA7"/>
          </w:tcPr>
          <w:p>
            <w:pPr>
              <w:jc w:val="right"/>
              <w:spacing w:after="0" w:line="148" w:lineRule="exact"/>
              <w:rPr>
                <w:sz w:val="20"/>
                <w:szCs w:val="20"/>
                <w:color w:val="auto"/>
              </w:rPr>
            </w:pPr>
            <w:r>
              <w:rPr>
                <w:rFonts w:ascii="Arial" w:cs="Arial" w:eastAsia="Arial" w:hAnsi="Arial"/>
                <w:sz w:val="14"/>
                <w:szCs w:val="14"/>
                <w:color w:val="auto"/>
              </w:rPr>
              <w:t>152,857</w:t>
            </w:r>
          </w:p>
        </w:tc>
      </w:tr>
      <w:tr>
        <w:trPr>
          <w:trHeight w:val="149"/>
        </w:trPr>
        <w:tc>
          <w:tcPr>
            <w:tcW w:w="1780" w:type="dxa"/>
            <w:vAlign w:val="bottom"/>
            <w:shd w:val="clear" w:color="auto" w:fill="ACABA7"/>
          </w:tcPr>
          <w:p>
            <w:pPr>
              <w:spacing w:after="0"/>
              <w:rPr>
                <w:sz w:val="12"/>
                <w:szCs w:val="12"/>
                <w:color w:val="auto"/>
              </w:rPr>
            </w:pPr>
          </w:p>
        </w:tc>
        <w:tc>
          <w:tcPr>
            <w:tcW w:w="880" w:type="dxa"/>
            <w:vAlign w:val="bottom"/>
            <w:shd w:val="clear" w:color="auto" w:fill="ACABA7"/>
          </w:tcPr>
          <w:p>
            <w:pPr>
              <w:jc w:val="right"/>
              <w:spacing w:after="0" w:line="149" w:lineRule="exact"/>
              <w:rPr>
                <w:sz w:val="20"/>
                <w:szCs w:val="20"/>
                <w:color w:val="auto"/>
              </w:rPr>
            </w:pPr>
            <w:r>
              <w:rPr>
                <w:rFonts w:ascii="Arial" w:cs="Arial" w:eastAsia="Arial" w:hAnsi="Arial"/>
                <w:sz w:val="14"/>
                <w:szCs w:val="14"/>
                <w:color w:val="auto"/>
              </w:rPr>
              <w:t>—</w:t>
            </w:r>
          </w:p>
        </w:tc>
        <w:tc>
          <w:tcPr>
            <w:tcW w:w="1120" w:type="dxa"/>
            <w:vAlign w:val="bottom"/>
            <w:shd w:val="clear" w:color="auto" w:fill="ACABA7"/>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240" w:type="dxa"/>
            <w:vAlign w:val="bottom"/>
            <w:shd w:val="clear" w:color="auto" w:fill="ACABA7"/>
          </w:tcPr>
          <w:p>
            <w:pPr>
              <w:jc w:val="right"/>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ACABA7"/>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ACABA7"/>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40" w:type="dxa"/>
            <w:vAlign w:val="bottom"/>
            <w:shd w:val="clear" w:color="auto" w:fill="ACABA7"/>
          </w:tcPr>
          <w:p>
            <w:pPr>
              <w:jc w:val="right"/>
              <w:ind w:right="12"/>
              <w:spacing w:after="0" w:line="149" w:lineRule="exact"/>
              <w:rPr>
                <w:sz w:val="20"/>
                <w:szCs w:val="20"/>
                <w:color w:val="auto"/>
              </w:rPr>
            </w:pPr>
            <w:r>
              <w:rPr>
                <w:rFonts w:ascii="Arial" w:cs="Arial" w:eastAsia="Arial" w:hAnsi="Arial"/>
                <w:sz w:val="14"/>
                <w:szCs w:val="14"/>
                <w:color w:val="auto"/>
              </w:rPr>
              <w:t>3/4/2016</w:t>
            </w:r>
          </w:p>
        </w:tc>
        <w:tc>
          <w:tcPr>
            <w:tcW w:w="940" w:type="dxa"/>
            <w:vAlign w:val="bottom"/>
            <w:shd w:val="clear" w:color="auto" w:fill="ACABA7"/>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940" w:type="dxa"/>
            <w:vAlign w:val="bottom"/>
            <w:shd w:val="clear" w:color="auto" w:fill="ACABA7"/>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920" w:type="dxa"/>
            <w:vAlign w:val="bottom"/>
            <w:shd w:val="clear" w:color="auto" w:fill="ACABA7"/>
          </w:tcPr>
          <w:p>
            <w:pPr>
              <w:jc w:val="right"/>
              <w:spacing w:after="0" w:line="149" w:lineRule="exact"/>
              <w:rPr>
                <w:sz w:val="20"/>
                <w:szCs w:val="20"/>
                <w:color w:val="auto"/>
              </w:rPr>
            </w:pPr>
            <w:r>
              <w:rPr>
                <w:rFonts w:ascii="Arial" w:cs="Arial" w:eastAsia="Arial" w:hAnsi="Arial"/>
                <w:sz w:val="14"/>
                <w:szCs w:val="14"/>
                <w:color w:val="auto"/>
              </w:rPr>
              <w:t>1,255</w:t>
            </w:r>
          </w:p>
        </w:tc>
        <w:tc>
          <w:tcPr>
            <w:tcW w:w="960" w:type="dxa"/>
            <w:vAlign w:val="bottom"/>
            <w:shd w:val="clear" w:color="auto" w:fill="ACABA7"/>
          </w:tcPr>
          <w:p>
            <w:pPr>
              <w:jc w:val="right"/>
              <w:spacing w:after="0" w:line="149" w:lineRule="exact"/>
              <w:rPr>
                <w:sz w:val="20"/>
                <w:szCs w:val="20"/>
                <w:color w:val="auto"/>
              </w:rPr>
            </w:pPr>
            <w:r>
              <w:rPr>
                <w:rFonts w:ascii="Arial" w:cs="Arial" w:eastAsia="Arial" w:hAnsi="Arial"/>
                <w:sz w:val="14"/>
                <w:szCs w:val="14"/>
                <w:color w:val="auto"/>
              </w:rPr>
              <w:t>64,181</w:t>
            </w:r>
          </w:p>
        </w:tc>
      </w:tr>
    </w:tbl>
    <w:p>
      <w:pPr>
        <w:spacing w:after="0" w:line="121" w:lineRule="exact"/>
        <w:rPr>
          <w:sz w:val="20"/>
          <w:szCs w:val="20"/>
          <w:color w:val="auto"/>
        </w:rPr>
      </w:pPr>
    </w:p>
    <w:p>
      <w:pPr>
        <w:ind w:left="460" w:right="80" w:hanging="452"/>
        <w:spacing w:after="0" w:line="238" w:lineRule="auto"/>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Information in these columns relates to options to purchase shares of common stock held by our named executive officers at the end of Fiscal 2016. Options granted prior to 2014 vest according to the following schedule: 20% of the options vest on the first, second and third anniversaries of the grant date, with the remaining 40% vesting on the fourth anniversary of the grant date. Options granted in 2014 and thereafter vest 25% on the first, second, third and fourth anniversaries of grant date, except for the options granted to Mr. Reardon in August 2016 which vest 100% on the third anniversary of the date of grant.</w:t>
      </w:r>
    </w:p>
    <w:p>
      <w:pPr>
        <w:spacing w:after="0" w:line="108" w:lineRule="exact"/>
        <w:rPr>
          <w:rFonts w:ascii="Arial" w:cs="Arial" w:eastAsia="Arial" w:hAnsi="Arial"/>
          <w:sz w:val="18"/>
          <w:szCs w:val="18"/>
          <w:color w:val="auto"/>
        </w:rPr>
      </w:pPr>
    </w:p>
    <w:p>
      <w:pPr>
        <w:ind w:left="460" w:right="440" w:hanging="452"/>
        <w:spacing w:after="0" w:line="248" w:lineRule="auto"/>
        <w:tabs>
          <w:tab w:leader="none" w:pos="460" w:val="left"/>
        </w:tabs>
        <w:numPr>
          <w:ilvl w:val="0"/>
          <w:numId w:val="46"/>
        </w:numPr>
        <w:rPr>
          <w:rFonts w:ascii="Arial" w:cs="Arial" w:eastAsia="Arial" w:hAnsi="Arial"/>
          <w:sz w:val="17"/>
          <w:szCs w:val="17"/>
          <w:color w:val="auto"/>
        </w:rPr>
      </w:pPr>
      <w:r>
        <w:rPr>
          <w:rFonts w:ascii="Arial" w:cs="Arial" w:eastAsia="Arial" w:hAnsi="Arial"/>
          <w:sz w:val="17"/>
          <w:szCs w:val="17"/>
          <w:color w:val="auto"/>
        </w:rPr>
        <w:t>Information in this column includes (a) restricted stock units held by our named executive officers at the end of Fiscal 2016, including restricted stock units subject to a performance condition which has been met and any associated stock dividend equivalents, and</w:t>
      </w:r>
    </w:p>
    <w:p>
      <w:pPr>
        <w:spacing w:after="0" w:line="1" w:lineRule="exact"/>
        <w:rPr>
          <w:rFonts w:ascii="Arial" w:cs="Arial" w:eastAsia="Arial" w:hAnsi="Arial"/>
          <w:sz w:val="17"/>
          <w:szCs w:val="17"/>
          <w:color w:val="auto"/>
        </w:rPr>
      </w:pPr>
    </w:p>
    <w:p>
      <w:pPr>
        <w:ind w:left="460" w:right="140"/>
        <w:spacing w:after="0"/>
        <w:rPr>
          <w:rFonts w:ascii="Arial" w:cs="Arial" w:eastAsia="Arial" w:hAnsi="Arial"/>
          <w:sz w:val="17"/>
          <w:szCs w:val="17"/>
          <w:color w:val="auto"/>
        </w:rPr>
      </w:pPr>
      <w:r>
        <w:rPr>
          <w:rFonts w:ascii="Arial" w:cs="Arial" w:eastAsia="Arial" w:hAnsi="Arial"/>
          <w:sz w:val="18"/>
          <w:szCs w:val="18"/>
          <w:color w:val="auto"/>
        </w:rPr>
        <w:t>(b) shares deemed earned under the first and second year performance periods for the performance share award granted in fiscal 2015. Restricted stock units granted prior to fiscal 2014 vest according to the following schedule: 20% of the award vests on the first, second and third anniversaries of the grant date, with the</w:t>
      </w:r>
    </w:p>
    <w:p>
      <w:pPr>
        <w:spacing w:after="0" w:line="118" w:lineRule="exact"/>
        <w:rPr>
          <w:sz w:val="20"/>
          <w:szCs w:val="20"/>
          <w:color w:val="auto"/>
        </w:rPr>
      </w:pPr>
    </w:p>
    <w:p>
      <w:pPr>
        <w:ind w:left="9140"/>
        <w:spacing w:after="0"/>
        <w:tabs>
          <w:tab w:leader="none" w:pos="11000" w:val="left"/>
          <w:tab w:leader="none" w:pos="11220" w:val="left"/>
        </w:tabs>
        <w:rPr>
          <w:sz w:val="20"/>
          <w:szCs w:val="20"/>
          <w:color w:val="auto"/>
        </w:rPr>
      </w:pPr>
      <w:r>
        <w:rPr>
          <w:rFonts w:ascii="Arial" w:cs="Arial" w:eastAsia="Arial" w:hAnsi="Arial"/>
          <w:sz w:val="16"/>
          <w:szCs w:val="16"/>
          <w:b w:val="1"/>
          <w:bCs w:val="1"/>
          <w:color w:val="483E65"/>
        </w:rPr>
        <w:t>2017 Proxy Statement</w:t>
        <w:tab/>
        <w:t>|</w:t>
        <w:tab/>
        <w:t>43</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8" w:lineRule="exact"/>
        <w:rPr>
          <w:sz w:val="20"/>
          <w:szCs w:val="20"/>
          <w:color w:val="auto"/>
        </w:rPr>
      </w:pPr>
    </w:p>
    <w:p>
      <w:pPr>
        <w:spacing w:after="0"/>
        <w:rPr>
          <w:sz w:val="20"/>
          <w:szCs w:val="20"/>
          <w:color w:val="auto"/>
        </w:rPr>
      </w:pPr>
      <w:r>
        <w:rPr>
          <w:rFonts w:ascii="Arial" w:cs="Arial" w:eastAsia="Arial" w:hAnsi="Arial"/>
          <w:sz w:val="32"/>
          <w:szCs w:val="32"/>
          <w:color w:val="483E65"/>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149860</wp:posOffset>
            </wp:positionV>
            <wp:extent cx="724662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18" w:lineRule="exact"/>
        <w:rPr>
          <w:sz w:val="20"/>
          <w:szCs w:val="20"/>
          <w:color w:val="auto"/>
        </w:rPr>
      </w:pPr>
    </w:p>
    <w:p>
      <w:pPr>
        <w:ind w:left="460" w:right="60"/>
        <w:spacing w:after="0" w:line="237" w:lineRule="auto"/>
        <w:rPr>
          <w:sz w:val="20"/>
          <w:szCs w:val="20"/>
          <w:color w:val="auto"/>
        </w:rPr>
      </w:pPr>
      <w:r>
        <w:rPr>
          <w:rFonts w:ascii="Arial" w:cs="Arial" w:eastAsia="Arial" w:hAnsi="Arial"/>
          <w:sz w:val="18"/>
          <w:szCs w:val="18"/>
          <w:color w:val="auto"/>
        </w:rPr>
        <w:t>remaining 40% vesting on the fourth anniversary of the grant date. Restricted stock units granted in fiscal 2014 and after vest 25% on the first, second, third and fourth anniversaries of grant date, in each case if the applicable performance condition is met, except for restricted stock units granted to Mr. Reardon which vest on January 28, 2019 for the August 16, 2016 award and 100% on the third year anniversary of the date of grant for the August 28, 2016 award. Performance share awards vest 100% at the end of the three year fiscal performance cycle to the extent earned based on achievement of the applicable performance conditions, subject to the Compensation Committee’s discretion to decrease the number of shares that are ultimately issued at the end of the three year performance period.</w:t>
      </w:r>
    </w:p>
    <w:p>
      <w:pPr>
        <w:spacing w:after="0" w:line="111" w:lineRule="exact"/>
        <w:rPr>
          <w:sz w:val="20"/>
          <w:szCs w:val="20"/>
          <w:color w:val="auto"/>
        </w:rPr>
      </w:pPr>
    </w:p>
    <w:p>
      <w:pPr>
        <w:ind w:left="460" w:hanging="452"/>
        <w:spacing w:after="0"/>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Based on $51.14, the closing sales price of our common stock on the NYSE on December 30, 2016.</w:t>
      </w:r>
    </w:p>
    <w:p>
      <w:pPr>
        <w:spacing w:after="0" w:line="117" w:lineRule="exact"/>
        <w:rPr>
          <w:rFonts w:ascii="Arial" w:cs="Arial" w:eastAsia="Arial" w:hAnsi="Arial"/>
          <w:sz w:val="18"/>
          <w:szCs w:val="18"/>
          <w:color w:val="auto"/>
        </w:rPr>
      </w:pPr>
    </w:p>
    <w:p>
      <w:pPr>
        <w:ind w:left="460" w:right="100" w:hanging="452"/>
        <w:spacing w:after="0" w:line="239" w:lineRule="auto"/>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Amounts in this column represent (a) the performance share awards issued in 2014, the target shares for the third year performance period related to adjusted operating income, (b) the performance share awards granted in 2015 and 2016, the target shares for the three year performance period related to adjusted operating income and total stockholder return, and (c) the performance restricted stock units granted in Fiscal 2016.</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483E65"/>
        </w:rPr>
        <w:t>Option Exercises and Stock Vested</w:t>
      </w:r>
    </w:p>
    <w:p>
      <w:pPr>
        <w:spacing w:after="0" w:line="234" w:lineRule="exact"/>
        <w:rPr>
          <w:sz w:val="20"/>
          <w:szCs w:val="20"/>
          <w:color w:val="auto"/>
        </w:rPr>
      </w:pPr>
    </w:p>
    <w:p>
      <w:pPr>
        <w:ind w:right="60"/>
        <w:spacing w:after="0"/>
        <w:rPr>
          <w:sz w:val="20"/>
          <w:szCs w:val="20"/>
          <w:color w:val="auto"/>
        </w:rPr>
      </w:pPr>
      <w:r>
        <w:rPr>
          <w:rFonts w:ascii="Arial" w:cs="Arial" w:eastAsia="Arial" w:hAnsi="Arial"/>
          <w:sz w:val="18"/>
          <w:szCs w:val="18"/>
          <w:color w:val="auto"/>
        </w:rPr>
        <w:t>The following table sets forth information regarding shares of common stock acquired by our named executive officers during Fiscal 2016 upon the exercise of stock options and the vesting of restricted stock awards or restricted stock units and restricted stock units issued as dividend equivalents, including awards deferred into our Key Executive Stock Deferral Plan.</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860" w:type="dxa"/>
            <w:vAlign w:val="bottom"/>
          </w:tcPr>
          <w:p>
            <w:pPr>
              <w:spacing w:after="0"/>
              <w:rPr>
                <w:sz w:val="17"/>
                <w:szCs w:val="17"/>
                <w:color w:val="auto"/>
              </w:rPr>
            </w:pPr>
          </w:p>
        </w:tc>
        <w:tc>
          <w:tcPr>
            <w:tcW w:w="4300" w:type="dxa"/>
            <w:vAlign w:val="bottom"/>
            <w:gridSpan w:val="3"/>
          </w:tcPr>
          <w:p>
            <w:pPr>
              <w:jc w:val="right"/>
              <w:ind w:right="1700"/>
              <w:spacing w:after="0"/>
              <w:rPr>
                <w:sz w:val="20"/>
                <w:szCs w:val="20"/>
                <w:color w:val="auto"/>
              </w:rPr>
            </w:pPr>
            <w:r>
              <w:rPr>
                <w:rFonts w:ascii="Arial" w:cs="Arial" w:eastAsia="Arial" w:hAnsi="Arial"/>
                <w:sz w:val="18"/>
                <w:szCs w:val="18"/>
                <w:color w:val="483E65"/>
              </w:rPr>
              <w:t>Option Awards</w:t>
            </w:r>
          </w:p>
        </w:tc>
        <w:tc>
          <w:tcPr>
            <w:tcW w:w="2660" w:type="dxa"/>
            <w:vAlign w:val="bottom"/>
          </w:tcPr>
          <w:p>
            <w:pPr>
              <w:jc w:val="right"/>
              <w:spacing w:after="0"/>
              <w:rPr>
                <w:sz w:val="20"/>
                <w:szCs w:val="20"/>
                <w:color w:val="auto"/>
              </w:rPr>
            </w:pPr>
            <w:r>
              <w:rPr>
                <w:rFonts w:ascii="Arial" w:cs="Arial" w:eastAsia="Arial" w:hAnsi="Arial"/>
                <w:sz w:val="18"/>
                <w:szCs w:val="18"/>
                <w:color w:val="483E65"/>
              </w:rPr>
              <w:t>Stock Awards</w:t>
            </w:r>
          </w:p>
        </w:tc>
        <w:tc>
          <w:tcPr>
            <w:tcW w:w="15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193"/>
        </w:trPr>
        <w:tc>
          <w:tcPr>
            <w:tcW w:w="2860" w:type="dxa"/>
            <w:vAlign w:val="bottom"/>
          </w:tcPr>
          <w:p>
            <w:pPr>
              <w:spacing w:after="0"/>
              <w:rPr>
                <w:sz w:val="16"/>
                <w:szCs w:val="16"/>
                <w:color w:val="auto"/>
              </w:rPr>
            </w:pPr>
          </w:p>
        </w:tc>
        <w:tc>
          <w:tcPr>
            <w:tcW w:w="2320" w:type="dxa"/>
            <w:vAlign w:val="bottom"/>
            <w:tcBorders>
              <w:top w:val="single" w:sz="8" w:color="483E65"/>
            </w:tcBorders>
          </w:tcPr>
          <w:p>
            <w:pPr>
              <w:jc w:val="right"/>
              <w:ind w:right="450"/>
              <w:spacing w:after="0" w:line="193" w:lineRule="exact"/>
              <w:rPr>
                <w:sz w:val="20"/>
                <w:szCs w:val="20"/>
                <w:color w:val="auto"/>
              </w:rPr>
            </w:pPr>
            <w:r>
              <w:rPr>
                <w:rFonts w:ascii="Arial" w:cs="Arial" w:eastAsia="Arial" w:hAnsi="Arial"/>
                <w:sz w:val="18"/>
                <w:szCs w:val="18"/>
                <w:color w:val="483E65"/>
              </w:rPr>
              <w:t>Number of shares</w:t>
            </w:r>
          </w:p>
        </w:tc>
        <w:tc>
          <w:tcPr>
            <w:tcW w:w="1680" w:type="dxa"/>
            <w:vAlign w:val="bottom"/>
            <w:tcBorders>
              <w:top w:val="single" w:sz="8" w:color="483E65"/>
            </w:tcBorders>
          </w:tcPr>
          <w:p>
            <w:pPr>
              <w:jc w:val="right"/>
              <w:ind w:right="30"/>
              <w:spacing w:after="0" w:line="193" w:lineRule="exact"/>
              <w:rPr>
                <w:sz w:val="20"/>
                <w:szCs w:val="20"/>
                <w:color w:val="auto"/>
              </w:rPr>
            </w:pPr>
            <w:r>
              <w:rPr>
                <w:rFonts w:ascii="Arial" w:cs="Arial" w:eastAsia="Arial" w:hAnsi="Arial"/>
                <w:sz w:val="18"/>
                <w:szCs w:val="18"/>
                <w:color w:val="483E65"/>
              </w:rPr>
              <w:t>Value realized on</w:t>
            </w:r>
          </w:p>
        </w:tc>
        <w:tc>
          <w:tcPr>
            <w:tcW w:w="300" w:type="dxa"/>
            <w:vAlign w:val="bottom"/>
          </w:tcPr>
          <w:p>
            <w:pPr>
              <w:spacing w:after="0"/>
              <w:rPr>
                <w:sz w:val="16"/>
                <w:szCs w:val="16"/>
                <w:color w:val="auto"/>
              </w:rPr>
            </w:pPr>
          </w:p>
        </w:tc>
        <w:tc>
          <w:tcPr>
            <w:tcW w:w="2660" w:type="dxa"/>
            <w:vAlign w:val="bottom"/>
            <w:tcBorders>
              <w:top w:val="single" w:sz="8" w:color="483E65"/>
            </w:tcBorders>
          </w:tcPr>
          <w:p>
            <w:pPr>
              <w:jc w:val="right"/>
              <w:ind w:right="750"/>
              <w:spacing w:after="0" w:line="193" w:lineRule="exact"/>
              <w:rPr>
                <w:sz w:val="20"/>
                <w:szCs w:val="20"/>
                <w:color w:val="auto"/>
              </w:rPr>
            </w:pPr>
            <w:r>
              <w:rPr>
                <w:rFonts w:ascii="Arial" w:cs="Arial" w:eastAsia="Arial" w:hAnsi="Arial"/>
                <w:sz w:val="18"/>
                <w:szCs w:val="18"/>
                <w:color w:val="483E65"/>
              </w:rPr>
              <w:t>Number of shares</w:t>
            </w:r>
          </w:p>
        </w:tc>
        <w:tc>
          <w:tcPr>
            <w:tcW w:w="1540" w:type="dxa"/>
            <w:vAlign w:val="bottom"/>
            <w:tcBorders>
              <w:top w:val="single" w:sz="8" w:color="483E65"/>
            </w:tcBorders>
          </w:tcPr>
          <w:p>
            <w:pPr>
              <w:jc w:val="right"/>
              <w:ind w:right="70"/>
              <w:spacing w:after="0" w:line="193" w:lineRule="exact"/>
              <w:rPr>
                <w:sz w:val="20"/>
                <w:szCs w:val="20"/>
                <w:color w:val="auto"/>
              </w:rPr>
            </w:pPr>
            <w:r>
              <w:rPr>
                <w:rFonts w:ascii="Arial" w:cs="Arial" w:eastAsia="Arial" w:hAnsi="Arial"/>
                <w:sz w:val="18"/>
                <w:szCs w:val="18"/>
                <w:color w:val="483E65"/>
                <w:w w:val="97"/>
              </w:rPr>
              <w:t>Value realized on</w:t>
            </w:r>
          </w:p>
        </w:tc>
        <w:tc>
          <w:tcPr>
            <w:tcW w:w="60" w:type="dxa"/>
            <w:vAlign w:val="bottom"/>
          </w:tcPr>
          <w:p>
            <w:pPr>
              <w:spacing w:after="0"/>
              <w:rPr>
                <w:sz w:val="16"/>
                <w:szCs w:val="16"/>
                <w:color w:val="auto"/>
              </w:rPr>
            </w:pPr>
          </w:p>
        </w:tc>
      </w:tr>
      <w:tr>
        <w:trPr>
          <w:trHeight w:val="220"/>
        </w:trPr>
        <w:tc>
          <w:tcPr>
            <w:tcW w:w="2860" w:type="dxa"/>
            <w:vAlign w:val="bottom"/>
            <w:tcBorders>
              <w:bottom w:val="single" w:sz="8" w:color="483E65"/>
            </w:tcBorders>
          </w:tcPr>
          <w:p>
            <w:pPr>
              <w:ind w:left="100"/>
              <w:spacing w:after="0"/>
              <w:rPr>
                <w:sz w:val="20"/>
                <w:szCs w:val="20"/>
                <w:color w:val="auto"/>
              </w:rPr>
            </w:pPr>
            <w:r>
              <w:rPr>
                <w:rFonts w:ascii="Arial" w:cs="Arial" w:eastAsia="Arial" w:hAnsi="Arial"/>
                <w:sz w:val="18"/>
                <w:szCs w:val="18"/>
                <w:color w:val="483E65"/>
              </w:rPr>
              <w:t>Name</w:t>
            </w:r>
          </w:p>
        </w:tc>
        <w:tc>
          <w:tcPr>
            <w:tcW w:w="2320" w:type="dxa"/>
            <w:vAlign w:val="bottom"/>
            <w:tcBorders>
              <w:bottom w:val="single" w:sz="8" w:color="483E65"/>
            </w:tcBorders>
          </w:tcPr>
          <w:p>
            <w:pPr>
              <w:jc w:val="right"/>
              <w:ind w:right="190"/>
              <w:spacing w:after="0"/>
              <w:rPr>
                <w:sz w:val="20"/>
                <w:szCs w:val="20"/>
                <w:color w:val="auto"/>
              </w:rPr>
            </w:pPr>
            <w:r>
              <w:rPr>
                <w:rFonts w:ascii="Arial" w:cs="Arial" w:eastAsia="Arial" w:hAnsi="Arial"/>
                <w:sz w:val="18"/>
                <w:szCs w:val="18"/>
                <w:color w:val="483E65"/>
              </w:rPr>
              <w:t>acquired on exercise (#)</w:t>
            </w:r>
          </w:p>
        </w:tc>
        <w:tc>
          <w:tcPr>
            <w:tcW w:w="1980" w:type="dxa"/>
            <w:vAlign w:val="bottom"/>
            <w:tcBorders>
              <w:bottom w:val="single" w:sz="8" w:color="483E65"/>
            </w:tcBorders>
            <w:gridSpan w:val="2"/>
          </w:tcPr>
          <w:p>
            <w:pPr>
              <w:jc w:val="right"/>
              <w:ind w:right="500"/>
              <w:spacing w:after="0"/>
              <w:rPr>
                <w:sz w:val="20"/>
                <w:szCs w:val="20"/>
                <w:color w:val="auto"/>
              </w:rPr>
            </w:pPr>
            <w:r>
              <w:rPr>
                <w:rFonts w:ascii="Arial" w:cs="Arial" w:eastAsia="Arial" w:hAnsi="Arial"/>
                <w:sz w:val="18"/>
                <w:szCs w:val="18"/>
                <w:color w:val="483E65"/>
              </w:rPr>
              <w:t>exercises ($)</w:t>
            </w:r>
            <w:r>
              <w:rPr>
                <w:rFonts w:ascii="Arial" w:cs="Arial" w:eastAsia="Arial" w:hAnsi="Arial"/>
                <w:sz w:val="15"/>
                <w:szCs w:val="15"/>
                <w:color w:val="483E65"/>
              </w:rPr>
              <w:t>(1)</w:t>
            </w:r>
          </w:p>
        </w:tc>
        <w:tc>
          <w:tcPr>
            <w:tcW w:w="2660" w:type="dxa"/>
            <w:vAlign w:val="bottom"/>
            <w:tcBorders>
              <w:bottom w:val="single" w:sz="8" w:color="483E65"/>
            </w:tcBorders>
          </w:tcPr>
          <w:p>
            <w:pPr>
              <w:jc w:val="right"/>
              <w:ind w:right="450"/>
              <w:spacing w:after="0"/>
              <w:rPr>
                <w:sz w:val="20"/>
                <w:szCs w:val="20"/>
                <w:color w:val="auto"/>
              </w:rPr>
            </w:pPr>
            <w:r>
              <w:rPr>
                <w:rFonts w:ascii="Arial" w:cs="Arial" w:eastAsia="Arial" w:hAnsi="Arial"/>
                <w:sz w:val="18"/>
                <w:szCs w:val="18"/>
                <w:color w:val="483E65"/>
              </w:rPr>
              <w:t xml:space="preserve">acquired on vesting(#) </w:t>
            </w:r>
            <w:r>
              <w:rPr>
                <w:rFonts w:ascii="Arial" w:cs="Arial" w:eastAsia="Arial" w:hAnsi="Arial"/>
                <w:sz w:val="15"/>
                <w:szCs w:val="15"/>
                <w:color w:val="483E65"/>
              </w:rPr>
              <w:t>(2)</w:t>
            </w:r>
          </w:p>
        </w:tc>
        <w:tc>
          <w:tcPr>
            <w:tcW w:w="1600" w:type="dxa"/>
            <w:vAlign w:val="bottom"/>
            <w:tcBorders>
              <w:bottom w:val="single" w:sz="8" w:color="483E65"/>
            </w:tcBorders>
            <w:gridSpan w:val="2"/>
          </w:tcPr>
          <w:p>
            <w:pPr>
              <w:jc w:val="right"/>
              <w:ind w:right="400"/>
              <w:spacing w:after="0"/>
              <w:rPr>
                <w:sz w:val="20"/>
                <w:szCs w:val="20"/>
                <w:color w:val="auto"/>
              </w:rPr>
            </w:pPr>
            <w:r>
              <w:rPr>
                <w:rFonts w:ascii="Arial" w:cs="Arial" w:eastAsia="Arial" w:hAnsi="Arial"/>
                <w:sz w:val="18"/>
                <w:szCs w:val="18"/>
                <w:color w:val="483E65"/>
              </w:rPr>
              <w:t xml:space="preserve">vesting ($) </w:t>
            </w:r>
            <w:r>
              <w:rPr>
                <w:rFonts w:ascii="Arial" w:cs="Arial" w:eastAsia="Arial" w:hAnsi="Arial"/>
                <w:sz w:val="15"/>
                <w:szCs w:val="15"/>
                <w:color w:val="483E65"/>
              </w:rPr>
              <w:t>(1)</w:t>
            </w:r>
          </w:p>
        </w:tc>
      </w:tr>
      <w:tr>
        <w:trPr>
          <w:trHeight w:val="196"/>
        </w:trPr>
        <w:tc>
          <w:tcPr>
            <w:tcW w:w="2860" w:type="dxa"/>
            <w:vAlign w:val="bottom"/>
          </w:tcPr>
          <w:p>
            <w:pPr>
              <w:ind w:left="100"/>
              <w:spacing w:after="0" w:line="196" w:lineRule="exact"/>
              <w:rPr>
                <w:sz w:val="20"/>
                <w:szCs w:val="20"/>
                <w:color w:val="auto"/>
              </w:rPr>
            </w:pPr>
            <w:r>
              <w:rPr>
                <w:rFonts w:ascii="Arial" w:cs="Arial" w:eastAsia="Arial" w:hAnsi="Arial"/>
                <w:sz w:val="18"/>
                <w:szCs w:val="18"/>
                <w:color w:val="auto"/>
              </w:rPr>
              <w:t>Mr. Krone</w:t>
            </w:r>
          </w:p>
        </w:tc>
        <w:tc>
          <w:tcPr>
            <w:tcW w:w="2320" w:type="dxa"/>
            <w:vAlign w:val="bottom"/>
          </w:tcPr>
          <w:p>
            <w:pPr>
              <w:jc w:val="right"/>
              <w:ind w:right="90"/>
              <w:spacing w:after="0" w:line="196" w:lineRule="exact"/>
              <w:rPr>
                <w:sz w:val="20"/>
                <w:szCs w:val="20"/>
                <w:color w:val="auto"/>
              </w:rPr>
            </w:pPr>
            <w:r>
              <w:rPr>
                <w:rFonts w:ascii="Arial" w:cs="Arial" w:eastAsia="Arial" w:hAnsi="Arial"/>
                <w:sz w:val="18"/>
                <w:szCs w:val="18"/>
                <w:color w:val="auto"/>
              </w:rPr>
              <w:t>—</w:t>
            </w:r>
          </w:p>
        </w:tc>
        <w:tc>
          <w:tcPr>
            <w:tcW w:w="1980" w:type="dxa"/>
            <w:vAlign w:val="bottom"/>
            <w:gridSpan w:val="2"/>
          </w:tcPr>
          <w:p>
            <w:pPr>
              <w:jc w:val="right"/>
              <w:ind w:right="300"/>
              <w:spacing w:after="0" w:line="196" w:lineRule="exact"/>
              <w:rPr>
                <w:sz w:val="20"/>
                <w:szCs w:val="20"/>
                <w:color w:val="auto"/>
              </w:rPr>
            </w:pPr>
            <w:r>
              <w:rPr>
                <w:rFonts w:ascii="Arial" w:cs="Arial" w:eastAsia="Arial" w:hAnsi="Arial"/>
                <w:sz w:val="18"/>
                <w:szCs w:val="18"/>
                <w:color w:val="auto"/>
              </w:rPr>
              <w:t>—</w:t>
            </w:r>
          </w:p>
        </w:tc>
        <w:tc>
          <w:tcPr>
            <w:tcW w:w="2660" w:type="dxa"/>
            <w:vAlign w:val="bottom"/>
          </w:tcPr>
          <w:p>
            <w:pPr>
              <w:jc w:val="right"/>
              <w:ind w:right="350"/>
              <w:spacing w:after="0" w:line="196" w:lineRule="exact"/>
              <w:rPr>
                <w:sz w:val="20"/>
                <w:szCs w:val="20"/>
                <w:color w:val="auto"/>
              </w:rPr>
            </w:pPr>
            <w:r>
              <w:rPr>
                <w:rFonts w:ascii="Arial" w:cs="Arial" w:eastAsia="Arial" w:hAnsi="Arial"/>
                <w:sz w:val="18"/>
                <w:szCs w:val="18"/>
                <w:color w:val="auto"/>
              </w:rPr>
              <w:t>10,462</w:t>
            </w:r>
          </w:p>
        </w:tc>
        <w:tc>
          <w:tcPr>
            <w:tcW w:w="1600" w:type="dxa"/>
            <w:vAlign w:val="bottom"/>
            <w:gridSpan w:val="2"/>
          </w:tcPr>
          <w:p>
            <w:pPr>
              <w:jc w:val="right"/>
              <w:ind w:right="60"/>
              <w:spacing w:after="0" w:line="196" w:lineRule="exact"/>
              <w:rPr>
                <w:sz w:val="20"/>
                <w:szCs w:val="20"/>
                <w:color w:val="auto"/>
              </w:rPr>
            </w:pPr>
            <w:r>
              <w:rPr>
                <w:rFonts w:ascii="Arial" w:cs="Arial" w:eastAsia="Arial" w:hAnsi="Arial"/>
                <w:sz w:val="18"/>
                <w:szCs w:val="18"/>
                <w:color w:val="auto"/>
              </w:rPr>
              <w:t>527,475</w:t>
            </w:r>
          </w:p>
        </w:tc>
      </w:tr>
      <w:tr>
        <w:trPr>
          <w:trHeight w:val="203"/>
        </w:trPr>
        <w:tc>
          <w:tcPr>
            <w:tcW w:w="2860" w:type="dxa"/>
            <w:vAlign w:val="bottom"/>
            <w:shd w:val="clear" w:color="auto" w:fill="ACABA7"/>
          </w:tcPr>
          <w:p>
            <w:pPr>
              <w:ind w:left="100"/>
              <w:spacing w:after="0" w:line="202" w:lineRule="exact"/>
              <w:rPr>
                <w:sz w:val="20"/>
                <w:szCs w:val="20"/>
                <w:color w:val="auto"/>
              </w:rPr>
            </w:pPr>
            <w:r>
              <w:rPr>
                <w:rFonts w:ascii="Arial" w:cs="Arial" w:eastAsia="Arial" w:hAnsi="Arial"/>
                <w:sz w:val="18"/>
                <w:szCs w:val="18"/>
                <w:color w:val="auto"/>
              </w:rPr>
              <w:t>Mr. Reagan</w:t>
            </w:r>
          </w:p>
        </w:tc>
        <w:tc>
          <w:tcPr>
            <w:tcW w:w="2320" w:type="dxa"/>
            <w:vAlign w:val="bottom"/>
            <w:shd w:val="clear" w:color="auto" w:fill="ACABA7"/>
          </w:tcPr>
          <w:p>
            <w:pPr>
              <w:jc w:val="right"/>
              <w:ind w:right="90"/>
              <w:spacing w:after="0" w:line="202" w:lineRule="exact"/>
              <w:rPr>
                <w:sz w:val="20"/>
                <w:szCs w:val="20"/>
                <w:color w:val="auto"/>
              </w:rPr>
            </w:pPr>
            <w:r>
              <w:rPr>
                <w:rFonts w:ascii="Arial" w:cs="Arial" w:eastAsia="Arial" w:hAnsi="Arial"/>
                <w:sz w:val="18"/>
                <w:szCs w:val="18"/>
                <w:color w:val="auto"/>
              </w:rPr>
              <w:t>—</w:t>
            </w:r>
          </w:p>
        </w:tc>
        <w:tc>
          <w:tcPr>
            <w:tcW w:w="1980" w:type="dxa"/>
            <w:vAlign w:val="bottom"/>
            <w:gridSpan w:val="2"/>
            <w:shd w:val="clear" w:color="auto" w:fill="ACABA7"/>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2660" w:type="dxa"/>
            <w:vAlign w:val="bottom"/>
            <w:shd w:val="clear" w:color="auto" w:fill="ACABA7"/>
          </w:tcPr>
          <w:p>
            <w:pPr>
              <w:jc w:val="right"/>
              <w:ind w:right="350"/>
              <w:spacing w:after="0" w:line="202" w:lineRule="exact"/>
              <w:rPr>
                <w:sz w:val="20"/>
                <w:szCs w:val="20"/>
                <w:color w:val="auto"/>
              </w:rPr>
            </w:pPr>
            <w:r>
              <w:rPr>
                <w:rFonts w:ascii="Arial" w:cs="Arial" w:eastAsia="Arial" w:hAnsi="Arial"/>
                <w:sz w:val="18"/>
                <w:szCs w:val="18"/>
                <w:color w:val="auto"/>
              </w:rPr>
              <w:t>2,482</w:t>
            </w:r>
          </w:p>
        </w:tc>
        <w:tc>
          <w:tcPr>
            <w:tcW w:w="1600" w:type="dxa"/>
            <w:vAlign w:val="bottom"/>
            <w:gridSpan w:val="2"/>
            <w:shd w:val="clear" w:color="auto" w:fill="ACABA7"/>
          </w:tcPr>
          <w:p>
            <w:pPr>
              <w:jc w:val="right"/>
              <w:ind w:right="60"/>
              <w:spacing w:after="0" w:line="202" w:lineRule="exact"/>
              <w:rPr>
                <w:sz w:val="20"/>
                <w:szCs w:val="20"/>
                <w:color w:val="auto"/>
              </w:rPr>
            </w:pPr>
            <w:r>
              <w:rPr>
                <w:rFonts w:ascii="Arial" w:cs="Arial" w:eastAsia="Arial" w:hAnsi="Arial"/>
                <w:sz w:val="18"/>
                <w:szCs w:val="18"/>
                <w:color w:val="auto"/>
              </w:rPr>
              <w:t>102,978</w:t>
            </w:r>
          </w:p>
        </w:tc>
      </w:tr>
      <w:tr>
        <w:trPr>
          <w:trHeight w:val="203"/>
        </w:trPr>
        <w:tc>
          <w:tcPr>
            <w:tcW w:w="2860" w:type="dxa"/>
            <w:vAlign w:val="bottom"/>
          </w:tcPr>
          <w:p>
            <w:pPr>
              <w:ind w:left="100"/>
              <w:spacing w:after="0" w:line="202" w:lineRule="exact"/>
              <w:rPr>
                <w:sz w:val="20"/>
                <w:szCs w:val="20"/>
                <w:color w:val="auto"/>
              </w:rPr>
            </w:pPr>
            <w:r>
              <w:rPr>
                <w:rFonts w:ascii="Arial" w:cs="Arial" w:eastAsia="Arial" w:hAnsi="Arial"/>
                <w:sz w:val="18"/>
                <w:szCs w:val="18"/>
                <w:color w:val="auto"/>
              </w:rPr>
              <w:t>Mr. Reardon</w:t>
            </w:r>
          </w:p>
        </w:tc>
        <w:tc>
          <w:tcPr>
            <w:tcW w:w="2320" w:type="dxa"/>
            <w:vAlign w:val="bottom"/>
          </w:tcPr>
          <w:p>
            <w:pPr>
              <w:jc w:val="right"/>
              <w:ind w:right="90"/>
              <w:spacing w:after="0" w:line="202" w:lineRule="exact"/>
              <w:rPr>
                <w:sz w:val="20"/>
                <w:szCs w:val="20"/>
                <w:color w:val="auto"/>
              </w:rPr>
            </w:pPr>
            <w:r>
              <w:rPr>
                <w:rFonts w:ascii="Arial" w:cs="Arial" w:eastAsia="Arial" w:hAnsi="Arial"/>
                <w:sz w:val="18"/>
                <w:szCs w:val="18"/>
                <w:color w:val="auto"/>
              </w:rPr>
              <w:t>—</w:t>
            </w:r>
          </w:p>
        </w:tc>
        <w:tc>
          <w:tcPr>
            <w:tcW w:w="198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266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3"/>
        </w:trPr>
        <w:tc>
          <w:tcPr>
            <w:tcW w:w="2860" w:type="dxa"/>
            <w:vAlign w:val="bottom"/>
            <w:shd w:val="clear" w:color="auto" w:fill="ACABA7"/>
          </w:tcPr>
          <w:p>
            <w:pPr>
              <w:ind w:left="100"/>
              <w:spacing w:after="0" w:line="202" w:lineRule="exact"/>
              <w:rPr>
                <w:sz w:val="20"/>
                <w:szCs w:val="20"/>
                <w:color w:val="auto"/>
              </w:rPr>
            </w:pPr>
            <w:r>
              <w:rPr>
                <w:rFonts w:ascii="Arial" w:cs="Arial" w:eastAsia="Arial" w:hAnsi="Arial"/>
                <w:sz w:val="18"/>
                <w:szCs w:val="18"/>
                <w:color w:val="auto"/>
              </w:rPr>
              <w:t>Mr. Maffeo</w:t>
            </w:r>
          </w:p>
        </w:tc>
        <w:tc>
          <w:tcPr>
            <w:tcW w:w="2320" w:type="dxa"/>
            <w:vAlign w:val="bottom"/>
            <w:shd w:val="clear" w:color="auto" w:fill="ACABA7"/>
          </w:tcPr>
          <w:p>
            <w:pPr>
              <w:jc w:val="right"/>
              <w:ind w:right="90"/>
              <w:spacing w:after="0" w:line="202" w:lineRule="exact"/>
              <w:rPr>
                <w:sz w:val="20"/>
                <w:szCs w:val="20"/>
                <w:color w:val="auto"/>
              </w:rPr>
            </w:pPr>
            <w:r>
              <w:rPr>
                <w:rFonts w:ascii="Arial" w:cs="Arial" w:eastAsia="Arial" w:hAnsi="Arial"/>
                <w:sz w:val="18"/>
                <w:szCs w:val="18"/>
                <w:color w:val="auto"/>
              </w:rPr>
              <w:t>—</w:t>
            </w:r>
          </w:p>
        </w:tc>
        <w:tc>
          <w:tcPr>
            <w:tcW w:w="1980" w:type="dxa"/>
            <w:vAlign w:val="bottom"/>
            <w:gridSpan w:val="2"/>
            <w:shd w:val="clear" w:color="auto" w:fill="ACABA7"/>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2660" w:type="dxa"/>
            <w:vAlign w:val="bottom"/>
            <w:shd w:val="clear" w:color="auto" w:fill="ACABA7"/>
          </w:tcPr>
          <w:p>
            <w:pPr>
              <w:jc w:val="right"/>
              <w:ind w:right="350"/>
              <w:spacing w:after="0" w:line="202" w:lineRule="exact"/>
              <w:rPr>
                <w:sz w:val="20"/>
                <w:szCs w:val="20"/>
                <w:color w:val="auto"/>
              </w:rPr>
            </w:pPr>
            <w:r>
              <w:rPr>
                <w:rFonts w:ascii="Arial" w:cs="Arial" w:eastAsia="Arial" w:hAnsi="Arial"/>
                <w:sz w:val="18"/>
                <w:szCs w:val="18"/>
                <w:color w:val="auto"/>
              </w:rPr>
              <w:t>23,390</w:t>
            </w:r>
          </w:p>
        </w:tc>
        <w:tc>
          <w:tcPr>
            <w:tcW w:w="1600" w:type="dxa"/>
            <w:vAlign w:val="bottom"/>
            <w:gridSpan w:val="2"/>
            <w:shd w:val="clear" w:color="auto" w:fill="ACABA7"/>
          </w:tcPr>
          <w:p>
            <w:pPr>
              <w:jc w:val="right"/>
              <w:ind w:right="60"/>
              <w:spacing w:after="0" w:line="202" w:lineRule="exact"/>
              <w:rPr>
                <w:sz w:val="20"/>
                <w:szCs w:val="20"/>
                <w:color w:val="auto"/>
              </w:rPr>
            </w:pPr>
            <w:r>
              <w:rPr>
                <w:rFonts w:ascii="Arial" w:cs="Arial" w:eastAsia="Arial" w:hAnsi="Arial"/>
                <w:sz w:val="18"/>
                <w:szCs w:val="18"/>
                <w:color w:val="auto"/>
              </w:rPr>
              <w:t>1,167,171</w:t>
            </w:r>
          </w:p>
        </w:tc>
      </w:tr>
      <w:tr>
        <w:trPr>
          <w:trHeight w:val="203"/>
        </w:trPr>
        <w:tc>
          <w:tcPr>
            <w:tcW w:w="2860" w:type="dxa"/>
            <w:vAlign w:val="bottom"/>
          </w:tcPr>
          <w:p>
            <w:pPr>
              <w:ind w:left="100"/>
              <w:spacing w:after="0" w:line="202" w:lineRule="exact"/>
              <w:rPr>
                <w:sz w:val="20"/>
                <w:szCs w:val="20"/>
                <w:color w:val="auto"/>
              </w:rPr>
            </w:pPr>
            <w:r>
              <w:rPr>
                <w:rFonts w:ascii="Arial" w:cs="Arial" w:eastAsia="Arial" w:hAnsi="Arial"/>
                <w:sz w:val="18"/>
                <w:szCs w:val="18"/>
                <w:color w:val="auto"/>
              </w:rPr>
              <w:t>Mr. Leiter</w:t>
            </w:r>
          </w:p>
        </w:tc>
        <w:tc>
          <w:tcPr>
            <w:tcW w:w="2320" w:type="dxa"/>
            <w:vAlign w:val="bottom"/>
          </w:tcPr>
          <w:p>
            <w:pPr>
              <w:jc w:val="right"/>
              <w:ind w:right="90"/>
              <w:spacing w:after="0" w:line="202" w:lineRule="exact"/>
              <w:rPr>
                <w:sz w:val="20"/>
                <w:szCs w:val="20"/>
                <w:color w:val="auto"/>
              </w:rPr>
            </w:pPr>
            <w:r>
              <w:rPr>
                <w:rFonts w:ascii="Arial" w:cs="Arial" w:eastAsia="Arial" w:hAnsi="Arial"/>
                <w:sz w:val="18"/>
                <w:szCs w:val="18"/>
                <w:color w:val="auto"/>
              </w:rPr>
              <w:t>—</w:t>
            </w:r>
          </w:p>
        </w:tc>
        <w:tc>
          <w:tcPr>
            <w:tcW w:w="198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266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2,176</w:t>
            </w:r>
          </w:p>
        </w:tc>
        <w:tc>
          <w:tcPr>
            <w:tcW w:w="16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111,827</w:t>
            </w:r>
          </w:p>
        </w:tc>
      </w:tr>
      <w:tr>
        <w:trPr>
          <w:trHeight w:val="203"/>
        </w:trPr>
        <w:tc>
          <w:tcPr>
            <w:tcW w:w="2860" w:type="dxa"/>
            <w:vAlign w:val="bottom"/>
            <w:shd w:val="clear" w:color="auto" w:fill="ACABA7"/>
          </w:tcPr>
          <w:p>
            <w:pPr>
              <w:ind w:left="100"/>
              <w:spacing w:after="0" w:line="202" w:lineRule="exact"/>
              <w:rPr>
                <w:sz w:val="20"/>
                <w:szCs w:val="20"/>
                <w:color w:val="auto"/>
              </w:rPr>
            </w:pPr>
            <w:r>
              <w:rPr>
                <w:rFonts w:ascii="Arial" w:cs="Arial" w:eastAsia="Arial" w:hAnsi="Arial"/>
                <w:sz w:val="18"/>
                <w:szCs w:val="18"/>
                <w:color w:val="auto"/>
              </w:rPr>
              <w:t>Ms. Allen</w:t>
            </w:r>
          </w:p>
        </w:tc>
        <w:tc>
          <w:tcPr>
            <w:tcW w:w="2320" w:type="dxa"/>
            <w:vAlign w:val="bottom"/>
            <w:shd w:val="clear" w:color="auto" w:fill="ACABA7"/>
          </w:tcPr>
          <w:p>
            <w:pPr>
              <w:jc w:val="right"/>
              <w:ind w:right="90"/>
              <w:spacing w:after="0" w:line="202" w:lineRule="exact"/>
              <w:rPr>
                <w:sz w:val="20"/>
                <w:szCs w:val="20"/>
                <w:color w:val="auto"/>
              </w:rPr>
            </w:pPr>
            <w:r>
              <w:rPr>
                <w:rFonts w:ascii="Arial" w:cs="Arial" w:eastAsia="Arial" w:hAnsi="Arial"/>
                <w:sz w:val="18"/>
                <w:szCs w:val="18"/>
                <w:color w:val="auto"/>
              </w:rPr>
              <w:t>21,258</w:t>
            </w:r>
          </w:p>
        </w:tc>
        <w:tc>
          <w:tcPr>
            <w:tcW w:w="1980" w:type="dxa"/>
            <w:vAlign w:val="bottom"/>
            <w:gridSpan w:val="2"/>
            <w:shd w:val="clear" w:color="auto" w:fill="ACABA7"/>
          </w:tcPr>
          <w:p>
            <w:pPr>
              <w:jc w:val="right"/>
              <w:ind w:right="300"/>
              <w:spacing w:after="0" w:line="202" w:lineRule="exact"/>
              <w:rPr>
                <w:sz w:val="20"/>
                <w:szCs w:val="20"/>
                <w:color w:val="auto"/>
              </w:rPr>
            </w:pPr>
            <w:r>
              <w:rPr>
                <w:rFonts w:ascii="Arial" w:cs="Arial" w:eastAsia="Arial" w:hAnsi="Arial"/>
                <w:sz w:val="18"/>
                <w:szCs w:val="18"/>
                <w:color w:val="auto"/>
              </w:rPr>
              <w:t>283,445</w:t>
            </w:r>
          </w:p>
        </w:tc>
        <w:tc>
          <w:tcPr>
            <w:tcW w:w="2660" w:type="dxa"/>
            <w:vAlign w:val="bottom"/>
            <w:shd w:val="clear" w:color="auto" w:fill="ACABA7"/>
          </w:tcPr>
          <w:p>
            <w:pPr>
              <w:jc w:val="right"/>
              <w:ind w:right="350"/>
              <w:spacing w:after="0" w:line="202" w:lineRule="exact"/>
              <w:rPr>
                <w:sz w:val="20"/>
                <w:szCs w:val="20"/>
                <w:color w:val="auto"/>
              </w:rPr>
            </w:pPr>
            <w:r>
              <w:rPr>
                <w:rFonts w:ascii="Arial" w:cs="Arial" w:eastAsia="Arial" w:hAnsi="Arial"/>
                <w:sz w:val="18"/>
                <w:szCs w:val="18"/>
                <w:color w:val="auto"/>
              </w:rPr>
              <w:t>8,624</w:t>
            </w:r>
          </w:p>
        </w:tc>
        <w:tc>
          <w:tcPr>
            <w:tcW w:w="1600" w:type="dxa"/>
            <w:vAlign w:val="bottom"/>
            <w:gridSpan w:val="2"/>
            <w:shd w:val="clear" w:color="auto" w:fill="ACABA7"/>
          </w:tcPr>
          <w:p>
            <w:pPr>
              <w:jc w:val="right"/>
              <w:ind w:right="60"/>
              <w:spacing w:after="0" w:line="202" w:lineRule="exact"/>
              <w:rPr>
                <w:sz w:val="20"/>
                <w:szCs w:val="20"/>
                <w:color w:val="auto"/>
              </w:rPr>
            </w:pPr>
            <w:r>
              <w:rPr>
                <w:rFonts w:ascii="Arial" w:cs="Arial" w:eastAsia="Arial" w:hAnsi="Arial"/>
                <w:sz w:val="18"/>
                <w:szCs w:val="18"/>
                <w:color w:val="auto"/>
              </w:rPr>
              <w:t>443,191</w:t>
            </w:r>
          </w:p>
        </w:tc>
      </w:tr>
    </w:tbl>
    <w:p>
      <w:pPr>
        <w:spacing w:after="0" w:line="121" w:lineRule="exact"/>
        <w:rPr>
          <w:sz w:val="20"/>
          <w:szCs w:val="20"/>
          <w:color w:val="auto"/>
        </w:rPr>
      </w:pPr>
    </w:p>
    <w:p>
      <w:pPr>
        <w:ind w:left="460" w:hanging="452"/>
        <w:spacing w:after="0"/>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Based on the closing price of our common stock on the day prior to exercise or vesting.</w:t>
      </w:r>
    </w:p>
    <w:p>
      <w:pPr>
        <w:spacing w:after="0" w:line="117" w:lineRule="exact"/>
        <w:rPr>
          <w:rFonts w:ascii="Arial" w:cs="Arial" w:eastAsia="Arial" w:hAnsi="Arial"/>
          <w:sz w:val="18"/>
          <w:szCs w:val="18"/>
          <w:color w:val="auto"/>
        </w:rPr>
      </w:pPr>
    </w:p>
    <w:p>
      <w:pPr>
        <w:ind w:left="460" w:right="160" w:hanging="452"/>
        <w:spacing w:after="0"/>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Includes stock units deferred into our Key Executive Stock Deferral Plan that vested during Fiscal 2016. Any stock awards that vested in the current year and deferred by our named executive officers are reflected in the table under the caption “Nonqualified Deferred Compensation” below.</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483E65"/>
        </w:rPr>
        <w:t>Nonqualified Deferred Compensation</w:t>
      </w:r>
    </w:p>
    <w:p>
      <w:pPr>
        <w:spacing w:after="0" w:line="234" w:lineRule="exact"/>
        <w:rPr>
          <w:sz w:val="20"/>
          <w:szCs w:val="20"/>
          <w:color w:val="auto"/>
        </w:rPr>
      </w:pPr>
    </w:p>
    <w:p>
      <w:pPr>
        <w:ind w:right="140"/>
        <w:spacing w:after="0" w:line="246" w:lineRule="auto"/>
        <w:rPr>
          <w:sz w:val="20"/>
          <w:szCs w:val="20"/>
          <w:color w:val="auto"/>
        </w:rPr>
      </w:pPr>
      <w:r>
        <w:rPr>
          <w:rFonts w:ascii="Arial" w:cs="Arial" w:eastAsia="Arial" w:hAnsi="Arial"/>
          <w:sz w:val="18"/>
          <w:szCs w:val="18"/>
          <w:color w:val="auto"/>
        </w:rPr>
        <w:t>We provided benefits to our named executive officers during Fiscal 2016 under the following nonqualified deferred compensation plans, which are summarized below:</w:t>
      </w:r>
    </w:p>
    <w:p>
      <w:pPr>
        <w:spacing w:after="0" w:line="179" w:lineRule="exact"/>
        <w:rPr>
          <w:sz w:val="20"/>
          <w:szCs w:val="20"/>
          <w:color w:val="auto"/>
        </w:rPr>
      </w:pPr>
    </w:p>
    <w:p>
      <w:pPr>
        <w:ind w:right="80"/>
        <w:spacing w:after="0" w:line="242" w:lineRule="auto"/>
        <w:rPr>
          <w:sz w:val="20"/>
          <w:szCs w:val="20"/>
          <w:color w:val="auto"/>
        </w:rPr>
      </w:pPr>
      <w:r>
        <w:rPr>
          <w:rFonts w:ascii="Arial" w:cs="Arial" w:eastAsia="Arial" w:hAnsi="Arial"/>
          <w:sz w:val="18"/>
          <w:szCs w:val="18"/>
          <w:i w:val="1"/>
          <w:iCs w:val="1"/>
          <w:color w:val="483E65"/>
        </w:rPr>
        <w:t xml:space="preserve">The Leidos Keystaff Deferral Plan </w:t>
      </w:r>
      <w:r>
        <w:rPr>
          <w:rFonts w:ascii="Arial" w:cs="Arial" w:eastAsia="Arial" w:hAnsi="Arial"/>
          <w:sz w:val="18"/>
          <w:szCs w:val="18"/>
          <w:color w:val="000000"/>
        </w:rPr>
        <w:t>allows eligible participants to elect to defer all or a portion of any cash granted to them under our cash</w:t>
      </w:r>
      <w:r>
        <w:rPr>
          <w:rFonts w:ascii="Arial" w:cs="Arial" w:eastAsia="Arial" w:hAnsi="Arial"/>
          <w:sz w:val="18"/>
          <w:szCs w:val="18"/>
          <w:i w:val="1"/>
          <w:iCs w:val="1"/>
          <w:color w:val="483E65"/>
        </w:rPr>
        <w:t xml:space="preserve"> </w:t>
      </w:r>
      <w:r>
        <w:rPr>
          <w:rFonts w:ascii="Arial" w:cs="Arial" w:eastAsia="Arial" w:hAnsi="Arial"/>
          <w:sz w:val="18"/>
          <w:szCs w:val="18"/>
          <w:color w:val="000000"/>
        </w:rPr>
        <w:t>incentive plan. We make no contributions to participants’ accounts under the Keystaff Deferral Plan. Participants can direct their deferrals into investment options similar to those available in the Leidos Retirement Plan other than the Leidos Stock Funds. Distributions under the Keystaff Deferral Plan are then made to participants in cash. Deferred balances under this plan will be paid upon elected specified date, retirement or separation from service.</w:t>
      </w:r>
    </w:p>
    <w:p>
      <w:pPr>
        <w:spacing w:after="0" w:line="185" w:lineRule="exact"/>
        <w:rPr>
          <w:sz w:val="20"/>
          <w:szCs w:val="20"/>
          <w:color w:val="auto"/>
        </w:rPr>
      </w:pPr>
    </w:p>
    <w:p>
      <w:pPr>
        <w:ind w:right="60"/>
        <w:spacing w:after="0"/>
        <w:rPr>
          <w:sz w:val="20"/>
          <w:szCs w:val="20"/>
          <w:color w:val="auto"/>
        </w:rPr>
      </w:pPr>
      <w:r>
        <w:rPr>
          <w:rFonts w:ascii="Arial" w:cs="Arial" w:eastAsia="Arial" w:hAnsi="Arial"/>
          <w:sz w:val="18"/>
          <w:szCs w:val="18"/>
          <w:i w:val="1"/>
          <w:iCs w:val="1"/>
          <w:color w:val="483E65"/>
        </w:rPr>
        <w:t xml:space="preserve">The Leidos Key Executive Stock Deferral Plan </w:t>
      </w:r>
      <w:r>
        <w:rPr>
          <w:rFonts w:ascii="Arial" w:cs="Arial" w:eastAsia="Arial" w:hAnsi="Arial"/>
          <w:sz w:val="18"/>
          <w:szCs w:val="18"/>
          <w:color w:val="000000"/>
        </w:rPr>
        <w:t>allows eligible participants to elect to defer all or a portion of their cash or certain equity</w:t>
      </w:r>
      <w:r>
        <w:rPr>
          <w:rFonts w:ascii="Arial" w:cs="Arial" w:eastAsia="Arial" w:hAnsi="Arial"/>
          <w:sz w:val="18"/>
          <w:szCs w:val="18"/>
          <w:i w:val="1"/>
          <w:iCs w:val="1"/>
          <w:color w:val="483E65"/>
        </w:rPr>
        <w:t xml:space="preserve"> </w:t>
      </w:r>
      <w:r>
        <w:rPr>
          <w:rFonts w:ascii="Arial" w:cs="Arial" w:eastAsia="Arial" w:hAnsi="Arial"/>
          <w:sz w:val="18"/>
          <w:szCs w:val="18"/>
          <w:color w:val="000000"/>
        </w:rPr>
        <w:t>incentive awards granted to them under our cash incentive or stock incentive plans. Participant deferrals correspond to stock units of our common stock. Participant accounts are credited with additional units corresponding to their outstanding account balance for each company dividend payable. . We make no contributions to participants’ accounts under the Key Executive Stock Deferral Plan. Distributions under the Key Executive Stock Deferral Plan are then made to participants in shares of common stock corresponding to the number of vested stock units held for the participant. Vested deferred balances under this plan will be paid upon elected specified date, retirement or separation from service.</w:t>
      </w:r>
    </w:p>
    <w:p>
      <w:pPr>
        <w:spacing w:after="0" w:line="118" w:lineRule="exact"/>
        <w:rPr>
          <w:sz w:val="20"/>
          <w:szCs w:val="20"/>
          <w:color w:val="auto"/>
        </w:rPr>
      </w:pPr>
    </w:p>
    <w:p>
      <w:pPr>
        <w:spacing w:after="0"/>
        <w:tabs>
          <w:tab w:leader="none" w:pos="340" w:val="left"/>
          <w:tab w:leader="none" w:pos="580" w:val="left"/>
        </w:tabs>
        <w:rPr>
          <w:sz w:val="20"/>
          <w:szCs w:val="20"/>
          <w:color w:val="auto"/>
        </w:rPr>
      </w:pPr>
      <w:r>
        <w:rPr>
          <w:rFonts w:ascii="Arial" w:cs="Arial" w:eastAsia="Arial" w:hAnsi="Arial"/>
          <w:sz w:val="16"/>
          <w:szCs w:val="16"/>
          <w:b w:val="1"/>
          <w:bCs w:val="1"/>
          <w:color w:val="483E65"/>
        </w:rPr>
        <w:t>44</w:t>
        <w:tab/>
        <w:t>|</w:t>
        <w:tab/>
        <w:t>2017 Proxy Statement</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8" w:lineRule="exact"/>
        <w:rPr>
          <w:sz w:val="20"/>
          <w:szCs w:val="20"/>
          <w:color w:val="auto"/>
        </w:rPr>
      </w:pPr>
    </w:p>
    <w:p>
      <w:pPr>
        <w:spacing w:after="0"/>
        <w:rPr>
          <w:sz w:val="20"/>
          <w:szCs w:val="20"/>
          <w:color w:val="auto"/>
        </w:rPr>
      </w:pPr>
      <w:r>
        <w:rPr>
          <w:rFonts w:ascii="Arial" w:cs="Arial" w:eastAsia="Arial" w:hAnsi="Arial"/>
          <w:sz w:val="32"/>
          <w:szCs w:val="32"/>
          <w:color w:val="483E65"/>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149860</wp:posOffset>
            </wp:positionV>
            <wp:extent cx="724662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400" w:lineRule="exact"/>
        <w:rPr>
          <w:sz w:val="20"/>
          <w:szCs w:val="20"/>
          <w:color w:val="auto"/>
        </w:rPr>
      </w:pPr>
    </w:p>
    <w:p>
      <w:pPr>
        <w:jc w:val="both"/>
        <w:ind w:right="60"/>
        <w:spacing w:after="0" w:line="245" w:lineRule="auto"/>
        <w:rPr>
          <w:sz w:val="20"/>
          <w:szCs w:val="20"/>
          <w:color w:val="auto"/>
        </w:rPr>
      </w:pPr>
      <w:r>
        <w:rPr>
          <w:rFonts w:ascii="Arial" w:cs="Arial" w:eastAsia="Arial" w:hAnsi="Arial"/>
          <w:sz w:val="18"/>
          <w:szCs w:val="18"/>
          <w:i w:val="1"/>
          <w:iCs w:val="1"/>
          <w:color w:val="483E65"/>
        </w:rPr>
        <w:t xml:space="preserve">The Leidos 401(k) Excess Deferral Plan (Excess Plan) </w:t>
      </w:r>
      <w:r>
        <w:rPr>
          <w:rFonts w:ascii="Arial" w:cs="Arial" w:eastAsia="Arial" w:hAnsi="Arial"/>
          <w:sz w:val="18"/>
          <w:szCs w:val="18"/>
          <w:color w:val="000000"/>
        </w:rPr>
        <w:t>is a pre-tax savings plan that, through December 30, 2016, allowed eligible participants</w:t>
      </w:r>
      <w:r>
        <w:rPr>
          <w:rFonts w:ascii="Arial" w:cs="Arial" w:eastAsia="Arial" w:hAnsi="Arial"/>
          <w:sz w:val="18"/>
          <w:szCs w:val="18"/>
          <w:i w:val="1"/>
          <w:iCs w:val="1"/>
          <w:color w:val="483E65"/>
        </w:rPr>
        <w:t xml:space="preserve"> </w:t>
      </w:r>
      <w:r>
        <w:rPr>
          <w:rFonts w:ascii="Arial" w:cs="Arial" w:eastAsia="Arial" w:hAnsi="Arial"/>
          <w:sz w:val="18"/>
          <w:szCs w:val="18"/>
          <w:color w:val="000000"/>
        </w:rPr>
        <w:t>to defer up to 20% of their eligible compensation after meeting the annual IRS contribution limit for the Leidos Retirement Plan. Bonuses were not eligible for deferral to the Excess Plan. The investment options in the Excess Plan are similar to those in the Leidos Retirement Plan but do not include the Leidos Stock Funds. Vested deferred balances under this plan will generally be paid following separation from service.</w:t>
      </w:r>
    </w:p>
    <w:p>
      <w:pPr>
        <w:spacing w:after="0" w:line="181" w:lineRule="exact"/>
        <w:rPr>
          <w:sz w:val="20"/>
          <w:szCs w:val="20"/>
          <w:color w:val="auto"/>
        </w:rPr>
      </w:pPr>
    </w:p>
    <w:p>
      <w:pPr>
        <w:spacing w:after="0" w:line="242" w:lineRule="auto"/>
        <w:rPr>
          <w:sz w:val="20"/>
          <w:szCs w:val="20"/>
          <w:color w:val="auto"/>
        </w:rPr>
      </w:pPr>
      <w:r>
        <w:rPr>
          <w:rFonts w:ascii="Arial" w:cs="Arial" w:eastAsia="Arial" w:hAnsi="Arial"/>
          <w:sz w:val="18"/>
          <w:szCs w:val="18"/>
          <w:i w:val="1"/>
          <w:iCs w:val="1"/>
          <w:color w:val="483E65"/>
        </w:rPr>
        <w:t xml:space="preserve">The Leidos Deferred Compensation Plan for Former IS&amp;GS Employees </w:t>
      </w:r>
      <w:r>
        <w:rPr>
          <w:rFonts w:ascii="Arial" w:cs="Arial" w:eastAsia="Arial" w:hAnsi="Arial"/>
          <w:sz w:val="18"/>
          <w:szCs w:val="18"/>
          <w:color w:val="000000"/>
        </w:rPr>
        <w:t>is a pre-tax savings plan that allows eligible participants to defer salary</w:t>
      </w:r>
      <w:r>
        <w:rPr>
          <w:rFonts w:ascii="Arial" w:cs="Arial" w:eastAsia="Arial" w:hAnsi="Arial"/>
          <w:sz w:val="18"/>
          <w:szCs w:val="18"/>
          <w:i w:val="1"/>
          <w:iCs w:val="1"/>
          <w:color w:val="483E65"/>
        </w:rPr>
        <w:t xml:space="preserve"> </w:t>
      </w:r>
      <w:r>
        <w:rPr>
          <w:rFonts w:ascii="Arial" w:cs="Arial" w:eastAsia="Arial" w:hAnsi="Arial"/>
          <w:sz w:val="18"/>
          <w:szCs w:val="18"/>
          <w:color w:val="000000"/>
        </w:rPr>
        <w:t>and receive certain company contributions. Salary deferrals in this plan do not start until after an eligible participant has met the annual IRS contribution limit for the Leidos Retirement Plan for Former IS&amp;GS Employees. Bonuses are not eligible for deferral to this plan. The investment options in the Deferred Compensation Plan are similar to those in the Leidos Retirement Plan but do not include the Leidos Stock Funds. Deferred balances under this plan will generally be paid following separation from service.</w:t>
      </w:r>
    </w:p>
    <w:p>
      <w:pPr>
        <w:spacing w:after="0" w:line="203" w:lineRule="exact"/>
        <w:rPr>
          <w:sz w:val="20"/>
          <w:szCs w:val="20"/>
          <w:color w:val="auto"/>
        </w:rPr>
      </w:pPr>
    </w:p>
    <w:p>
      <w:pPr>
        <w:ind w:right="680"/>
        <w:spacing w:after="0" w:line="246" w:lineRule="auto"/>
        <w:rPr>
          <w:sz w:val="20"/>
          <w:szCs w:val="20"/>
          <w:color w:val="auto"/>
        </w:rPr>
      </w:pPr>
      <w:r>
        <w:rPr>
          <w:rFonts w:ascii="Arial" w:cs="Arial" w:eastAsia="Arial" w:hAnsi="Arial"/>
          <w:sz w:val="18"/>
          <w:szCs w:val="18"/>
          <w:color w:val="auto"/>
        </w:rPr>
        <w:t>The following table sets forth information regarding deferrals under and aggregate earnings and withdrawals in Fiscal 2016 through our nonqualified deferred compensation plans in which our named executive officers participate: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32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80" w:type="dxa"/>
            <w:vAlign w:val="bottom"/>
          </w:tcPr>
          <w:p>
            <w:pPr>
              <w:jc w:val="center"/>
              <w:ind w:right="55"/>
              <w:spacing w:after="0"/>
              <w:rPr>
                <w:sz w:val="20"/>
                <w:szCs w:val="20"/>
                <w:color w:val="auto"/>
              </w:rPr>
            </w:pPr>
            <w:r>
              <w:rPr>
                <w:rFonts w:ascii="Arial" w:cs="Arial" w:eastAsia="Arial" w:hAnsi="Arial"/>
                <w:sz w:val="14"/>
                <w:szCs w:val="14"/>
                <w:color w:val="483E65"/>
              </w:rPr>
              <w:t>Aggregate</w:t>
            </w:r>
          </w:p>
        </w:tc>
      </w:tr>
      <w:tr>
        <w:trPr>
          <w:trHeight w:val="162"/>
        </w:trPr>
        <w:tc>
          <w:tcPr>
            <w:tcW w:w="132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0" w:type="dxa"/>
            <w:vAlign w:val="bottom"/>
          </w:tcPr>
          <w:p>
            <w:pPr>
              <w:jc w:val="right"/>
              <w:ind w:right="154"/>
              <w:spacing w:after="0"/>
              <w:rPr>
                <w:sz w:val="20"/>
                <w:szCs w:val="20"/>
                <w:color w:val="auto"/>
              </w:rPr>
            </w:pPr>
            <w:r>
              <w:rPr>
                <w:rFonts w:ascii="Arial" w:cs="Arial" w:eastAsia="Arial" w:hAnsi="Arial"/>
                <w:sz w:val="14"/>
                <w:szCs w:val="14"/>
                <w:color w:val="483E65"/>
              </w:rPr>
              <w:t>Aggregate</w:t>
            </w:r>
          </w:p>
        </w:tc>
        <w:tc>
          <w:tcPr>
            <w:tcW w:w="1080" w:type="dxa"/>
            <w:vAlign w:val="bottom"/>
          </w:tcPr>
          <w:p>
            <w:pPr>
              <w:jc w:val="center"/>
              <w:ind w:right="55"/>
              <w:spacing w:after="0"/>
              <w:rPr>
                <w:sz w:val="20"/>
                <w:szCs w:val="20"/>
                <w:color w:val="auto"/>
              </w:rPr>
            </w:pPr>
            <w:r>
              <w:rPr>
                <w:rFonts w:ascii="Arial" w:cs="Arial" w:eastAsia="Arial" w:hAnsi="Arial"/>
                <w:sz w:val="14"/>
                <w:szCs w:val="14"/>
                <w:color w:val="483E65"/>
              </w:rPr>
              <w:t>balance at</w:t>
            </w:r>
          </w:p>
        </w:tc>
      </w:tr>
      <w:tr>
        <w:trPr>
          <w:trHeight w:val="155"/>
        </w:trPr>
        <w:tc>
          <w:tcPr>
            <w:tcW w:w="1320" w:type="dxa"/>
            <w:vAlign w:val="bottom"/>
          </w:tcPr>
          <w:p>
            <w:pPr>
              <w:spacing w:after="0"/>
              <w:rPr>
                <w:sz w:val="13"/>
                <w:szCs w:val="13"/>
                <w:color w:val="auto"/>
              </w:rPr>
            </w:pPr>
          </w:p>
        </w:tc>
        <w:tc>
          <w:tcPr>
            <w:tcW w:w="3580" w:type="dxa"/>
            <w:vAlign w:val="bottom"/>
          </w:tcPr>
          <w:p>
            <w:pPr>
              <w:spacing w:after="0"/>
              <w:rPr>
                <w:sz w:val="13"/>
                <w:szCs w:val="13"/>
                <w:color w:val="auto"/>
              </w:rPr>
            </w:pPr>
          </w:p>
        </w:tc>
        <w:tc>
          <w:tcPr>
            <w:tcW w:w="1620" w:type="dxa"/>
            <w:vAlign w:val="bottom"/>
          </w:tcPr>
          <w:p>
            <w:pPr>
              <w:jc w:val="right"/>
              <w:ind w:right="353"/>
              <w:spacing w:after="0" w:line="155" w:lineRule="exact"/>
              <w:rPr>
                <w:sz w:val="20"/>
                <w:szCs w:val="20"/>
                <w:color w:val="auto"/>
              </w:rPr>
            </w:pPr>
            <w:r>
              <w:rPr>
                <w:rFonts w:ascii="Arial" w:cs="Arial" w:eastAsia="Arial" w:hAnsi="Arial"/>
                <w:sz w:val="14"/>
                <w:szCs w:val="14"/>
                <w:color w:val="483E65"/>
              </w:rPr>
              <w:t>Executive</w:t>
            </w:r>
          </w:p>
        </w:tc>
        <w:tc>
          <w:tcPr>
            <w:tcW w:w="1380" w:type="dxa"/>
            <w:vAlign w:val="bottom"/>
          </w:tcPr>
          <w:p>
            <w:pPr>
              <w:jc w:val="right"/>
              <w:ind w:right="273"/>
              <w:spacing w:after="0" w:line="155" w:lineRule="exact"/>
              <w:rPr>
                <w:sz w:val="20"/>
                <w:szCs w:val="20"/>
                <w:color w:val="auto"/>
              </w:rPr>
            </w:pPr>
            <w:r>
              <w:rPr>
                <w:rFonts w:ascii="Arial" w:cs="Arial" w:eastAsia="Arial" w:hAnsi="Arial"/>
                <w:sz w:val="14"/>
                <w:szCs w:val="14"/>
                <w:color w:val="483E65"/>
              </w:rPr>
              <w:t>Registrant</w:t>
            </w:r>
          </w:p>
        </w:tc>
        <w:tc>
          <w:tcPr>
            <w:tcW w:w="1240" w:type="dxa"/>
            <w:vAlign w:val="bottom"/>
          </w:tcPr>
          <w:p>
            <w:pPr>
              <w:jc w:val="right"/>
              <w:ind w:right="213"/>
              <w:spacing w:after="0" w:line="155" w:lineRule="exact"/>
              <w:rPr>
                <w:sz w:val="20"/>
                <w:szCs w:val="20"/>
                <w:color w:val="auto"/>
              </w:rPr>
            </w:pPr>
            <w:r>
              <w:rPr>
                <w:rFonts w:ascii="Arial" w:cs="Arial" w:eastAsia="Arial" w:hAnsi="Arial"/>
                <w:sz w:val="14"/>
                <w:szCs w:val="14"/>
                <w:color w:val="483E65"/>
              </w:rPr>
              <w:t>Aggregate</w:t>
            </w:r>
          </w:p>
        </w:tc>
        <w:tc>
          <w:tcPr>
            <w:tcW w:w="1200" w:type="dxa"/>
            <w:vAlign w:val="bottom"/>
          </w:tcPr>
          <w:p>
            <w:pPr>
              <w:jc w:val="right"/>
              <w:ind w:right="94"/>
              <w:spacing w:after="0" w:line="155" w:lineRule="exact"/>
              <w:rPr>
                <w:sz w:val="20"/>
                <w:szCs w:val="20"/>
                <w:color w:val="auto"/>
              </w:rPr>
            </w:pPr>
            <w:r>
              <w:rPr>
                <w:rFonts w:ascii="Arial" w:cs="Arial" w:eastAsia="Arial" w:hAnsi="Arial"/>
                <w:sz w:val="14"/>
                <w:szCs w:val="14"/>
                <w:color w:val="483E65"/>
              </w:rPr>
              <w:t>withdrawals/</w:t>
            </w:r>
          </w:p>
        </w:tc>
        <w:tc>
          <w:tcPr>
            <w:tcW w:w="1080" w:type="dxa"/>
            <w:vAlign w:val="bottom"/>
          </w:tcPr>
          <w:p>
            <w:pPr>
              <w:jc w:val="center"/>
              <w:ind w:right="55"/>
              <w:spacing w:after="0" w:line="155" w:lineRule="exact"/>
              <w:rPr>
                <w:sz w:val="20"/>
                <w:szCs w:val="20"/>
                <w:color w:val="auto"/>
              </w:rPr>
            </w:pPr>
            <w:r>
              <w:rPr>
                <w:rFonts w:ascii="Arial" w:cs="Arial" w:eastAsia="Arial" w:hAnsi="Arial"/>
                <w:sz w:val="14"/>
                <w:szCs w:val="14"/>
                <w:color w:val="483E65"/>
              </w:rPr>
              <w:t>fiscal year-</w:t>
            </w:r>
          </w:p>
        </w:tc>
      </w:tr>
      <w:tr>
        <w:trPr>
          <w:trHeight w:val="219"/>
        </w:trPr>
        <w:tc>
          <w:tcPr>
            <w:tcW w:w="1320" w:type="dxa"/>
            <w:vAlign w:val="bottom"/>
            <w:tcBorders>
              <w:bottom w:val="single" w:sz="8" w:color="483E65"/>
            </w:tcBorders>
          </w:tcPr>
          <w:p>
            <w:pPr>
              <w:ind w:left="80"/>
              <w:spacing w:after="0"/>
              <w:rPr>
                <w:sz w:val="20"/>
                <w:szCs w:val="20"/>
                <w:color w:val="auto"/>
              </w:rPr>
            </w:pPr>
            <w:r>
              <w:rPr>
                <w:rFonts w:ascii="Arial" w:cs="Arial" w:eastAsia="Arial" w:hAnsi="Arial"/>
                <w:sz w:val="14"/>
                <w:szCs w:val="14"/>
                <w:color w:val="483E65"/>
              </w:rPr>
              <w:t>Name</w:t>
            </w:r>
          </w:p>
        </w:tc>
        <w:tc>
          <w:tcPr>
            <w:tcW w:w="3580" w:type="dxa"/>
            <w:vAlign w:val="bottom"/>
            <w:tcBorders>
              <w:bottom w:val="single" w:sz="8" w:color="483E65"/>
            </w:tcBorders>
          </w:tcPr>
          <w:p>
            <w:pPr>
              <w:ind w:left="120"/>
              <w:spacing w:after="0"/>
              <w:rPr>
                <w:sz w:val="20"/>
                <w:szCs w:val="20"/>
                <w:color w:val="auto"/>
              </w:rPr>
            </w:pPr>
            <w:r>
              <w:rPr>
                <w:rFonts w:ascii="Arial" w:cs="Arial" w:eastAsia="Arial" w:hAnsi="Arial"/>
                <w:sz w:val="14"/>
                <w:szCs w:val="14"/>
                <w:color w:val="483E65"/>
              </w:rPr>
              <w:t>Plan</w:t>
            </w:r>
          </w:p>
        </w:tc>
        <w:tc>
          <w:tcPr>
            <w:tcW w:w="1620" w:type="dxa"/>
            <w:vAlign w:val="bottom"/>
            <w:tcBorders>
              <w:bottom w:val="single" w:sz="8" w:color="483E65"/>
            </w:tcBorders>
          </w:tcPr>
          <w:p>
            <w:pPr>
              <w:jc w:val="right"/>
              <w:ind w:right="73"/>
              <w:spacing w:after="0" w:line="219" w:lineRule="exact"/>
              <w:rPr>
                <w:sz w:val="20"/>
                <w:szCs w:val="20"/>
                <w:color w:val="auto"/>
              </w:rPr>
            </w:pPr>
            <w:r>
              <w:rPr>
                <w:rFonts w:ascii="Arial" w:cs="Arial" w:eastAsia="Arial" w:hAnsi="Arial"/>
                <w:sz w:val="14"/>
                <w:szCs w:val="14"/>
                <w:color w:val="483E65"/>
              </w:rPr>
              <w:t>contributions ($)</w:t>
            </w:r>
            <w:r>
              <w:rPr>
                <w:rFonts w:ascii="Arial" w:cs="Arial" w:eastAsia="Arial" w:hAnsi="Arial"/>
                <w:sz w:val="24"/>
                <w:szCs w:val="24"/>
                <w:color w:val="483E65"/>
                <w:vertAlign w:val="superscript"/>
              </w:rPr>
              <w:t>(1)</w:t>
            </w:r>
          </w:p>
        </w:tc>
        <w:tc>
          <w:tcPr>
            <w:tcW w:w="1380" w:type="dxa"/>
            <w:vAlign w:val="bottom"/>
            <w:tcBorders>
              <w:bottom w:val="single" w:sz="8" w:color="483E65"/>
            </w:tcBorders>
          </w:tcPr>
          <w:p>
            <w:pPr>
              <w:jc w:val="right"/>
              <w:ind w:right="73"/>
              <w:spacing w:after="0"/>
              <w:rPr>
                <w:sz w:val="20"/>
                <w:szCs w:val="20"/>
                <w:color w:val="auto"/>
              </w:rPr>
            </w:pPr>
            <w:r>
              <w:rPr>
                <w:rFonts w:ascii="Arial" w:cs="Arial" w:eastAsia="Arial" w:hAnsi="Arial"/>
                <w:sz w:val="14"/>
                <w:szCs w:val="14"/>
                <w:color w:val="483E65"/>
              </w:rPr>
              <w:t>Contributions ($)</w:t>
            </w:r>
          </w:p>
        </w:tc>
        <w:tc>
          <w:tcPr>
            <w:tcW w:w="1240" w:type="dxa"/>
            <w:vAlign w:val="bottom"/>
            <w:tcBorders>
              <w:bottom w:val="single" w:sz="8" w:color="483E65"/>
            </w:tcBorders>
          </w:tcPr>
          <w:p>
            <w:pPr>
              <w:jc w:val="right"/>
              <w:ind w:right="73"/>
              <w:spacing w:after="0" w:line="219" w:lineRule="exact"/>
              <w:rPr>
                <w:sz w:val="20"/>
                <w:szCs w:val="20"/>
                <w:color w:val="auto"/>
              </w:rPr>
            </w:pPr>
            <w:r>
              <w:rPr>
                <w:rFonts w:ascii="Arial" w:cs="Arial" w:eastAsia="Arial" w:hAnsi="Arial"/>
                <w:sz w:val="14"/>
                <w:szCs w:val="14"/>
                <w:color w:val="483E65"/>
              </w:rPr>
              <w:t>earnings ($)</w:t>
            </w:r>
            <w:r>
              <w:rPr>
                <w:rFonts w:ascii="Arial" w:cs="Arial" w:eastAsia="Arial" w:hAnsi="Arial"/>
                <w:sz w:val="24"/>
                <w:szCs w:val="24"/>
                <w:color w:val="483E65"/>
                <w:vertAlign w:val="superscript"/>
              </w:rPr>
              <w:t>(2)</w:t>
            </w:r>
          </w:p>
        </w:tc>
        <w:tc>
          <w:tcPr>
            <w:tcW w:w="1200" w:type="dxa"/>
            <w:vAlign w:val="bottom"/>
            <w:tcBorders>
              <w:bottom w:val="single" w:sz="8" w:color="483E65"/>
            </w:tcBorders>
          </w:tcPr>
          <w:p>
            <w:pPr>
              <w:jc w:val="right"/>
              <w:ind w:right="14"/>
              <w:spacing w:after="0"/>
              <w:rPr>
                <w:sz w:val="20"/>
                <w:szCs w:val="20"/>
                <w:color w:val="auto"/>
              </w:rPr>
            </w:pPr>
            <w:r>
              <w:rPr>
                <w:rFonts w:ascii="Arial" w:cs="Arial" w:eastAsia="Arial" w:hAnsi="Arial"/>
                <w:sz w:val="14"/>
                <w:szCs w:val="14"/>
                <w:color w:val="483E65"/>
              </w:rPr>
              <w:t>distributions($)</w:t>
            </w:r>
          </w:p>
        </w:tc>
        <w:tc>
          <w:tcPr>
            <w:tcW w:w="1080" w:type="dxa"/>
            <w:vAlign w:val="bottom"/>
            <w:tcBorders>
              <w:bottom w:val="single" w:sz="8" w:color="483E65"/>
            </w:tcBorders>
          </w:tcPr>
          <w:p>
            <w:pPr>
              <w:jc w:val="center"/>
              <w:ind w:right="55"/>
              <w:spacing w:after="0" w:line="219" w:lineRule="exact"/>
              <w:rPr>
                <w:sz w:val="20"/>
                <w:szCs w:val="20"/>
                <w:color w:val="auto"/>
              </w:rPr>
            </w:pPr>
            <w:r>
              <w:rPr>
                <w:rFonts w:ascii="Arial" w:cs="Arial" w:eastAsia="Arial" w:hAnsi="Arial"/>
                <w:sz w:val="14"/>
                <w:szCs w:val="14"/>
                <w:color w:val="483E65"/>
                <w:w w:val="96"/>
              </w:rPr>
              <w:t>end ($)</w:t>
            </w:r>
            <w:r>
              <w:rPr>
                <w:rFonts w:ascii="Arial" w:cs="Arial" w:eastAsia="Arial" w:hAnsi="Arial"/>
                <w:sz w:val="24"/>
                <w:szCs w:val="24"/>
                <w:color w:val="483E65"/>
                <w:w w:val="96"/>
                <w:vertAlign w:val="superscript"/>
              </w:rPr>
              <w:t>(3)</w:t>
            </w:r>
          </w:p>
        </w:tc>
      </w:tr>
      <w:tr>
        <w:trPr>
          <w:trHeight w:val="291"/>
        </w:trPr>
        <w:tc>
          <w:tcPr>
            <w:tcW w:w="1320" w:type="dxa"/>
            <w:vAlign w:val="bottom"/>
          </w:tcPr>
          <w:p>
            <w:pPr>
              <w:ind w:left="100"/>
              <w:spacing w:after="0"/>
              <w:rPr>
                <w:sz w:val="20"/>
                <w:szCs w:val="20"/>
                <w:color w:val="auto"/>
              </w:rPr>
            </w:pPr>
            <w:r>
              <w:rPr>
                <w:rFonts w:ascii="Arial" w:cs="Arial" w:eastAsia="Arial" w:hAnsi="Arial"/>
                <w:sz w:val="18"/>
                <w:szCs w:val="18"/>
                <w:color w:val="auto"/>
              </w:rPr>
              <w:t>Mr. Krone</w:t>
            </w:r>
          </w:p>
        </w:tc>
        <w:tc>
          <w:tcPr>
            <w:tcW w:w="3580" w:type="dxa"/>
            <w:vAlign w:val="bottom"/>
          </w:tcPr>
          <w:p>
            <w:pPr>
              <w:ind w:left="120"/>
              <w:spacing w:after="0"/>
              <w:rPr>
                <w:sz w:val="20"/>
                <w:szCs w:val="20"/>
                <w:color w:val="auto"/>
              </w:rPr>
            </w:pPr>
            <w:r>
              <w:rPr>
                <w:rFonts w:ascii="Arial" w:cs="Arial" w:eastAsia="Arial" w:hAnsi="Arial"/>
                <w:sz w:val="18"/>
                <w:szCs w:val="18"/>
                <w:color w:val="auto"/>
              </w:rPr>
              <w:t>Excess Plan</w:t>
            </w:r>
          </w:p>
        </w:tc>
        <w:tc>
          <w:tcPr>
            <w:tcW w:w="1620" w:type="dxa"/>
            <w:vAlign w:val="bottom"/>
          </w:tcPr>
          <w:p>
            <w:pPr>
              <w:jc w:val="right"/>
              <w:ind w:right="73"/>
              <w:spacing w:after="0"/>
              <w:rPr>
                <w:sz w:val="20"/>
                <w:szCs w:val="20"/>
                <w:color w:val="auto"/>
              </w:rPr>
            </w:pPr>
            <w:r>
              <w:rPr>
                <w:rFonts w:ascii="Arial" w:cs="Arial" w:eastAsia="Arial" w:hAnsi="Arial"/>
                <w:sz w:val="18"/>
                <w:szCs w:val="18"/>
                <w:color w:val="auto"/>
              </w:rPr>
              <w:t>50,528</w:t>
            </w:r>
          </w:p>
        </w:tc>
        <w:tc>
          <w:tcPr>
            <w:tcW w:w="138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73"/>
              <w:spacing w:after="0"/>
              <w:rPr>
                <w:sz w:val="20"/>
                <w:szCs w:val="20"/>
                <w:color w:val="auto"/>
              </w:rPr>
            </w:pPr>
            <w:r>
              <w:rPr>
                <w:rFonts w:ascii="Arial" w:cs="Arial" w:eastAsia="Arial" w:hAnsi="Arial"/>
                <w:sz w:val="18"/>
                <w:szCs w:val="18"/>
                <w:color w:val="auto"/>
              </w:rPr>
              <w:t>5,763</w:t>
            </w: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95"/>
              <w:spacing w:after="0"/>
              <w:rPr>
                <w:sz w:val="20"/>
                <w:szCs w:val="20"/>
                <w:color w:val="auto"/>
              </w:rPr>
            </w:pPr>
            <w:r>
              <w:rPr>
                <w:rFonts w:ascii="Arial" w:cs="Arial" w:eastAsia="Arial" w:hAnsi="Arial"/>
                <w:sz w:val="18"/>
                <w:szCs w:val="18"/>
                <w:color w:val="auto"/>
              </w:rPr>
              <w:t>98,089</w:t>
            </w:r>
          </w:p>
        </w:tc>
      </w:tr>
      <w:tr>
        <w:trPr>
          <w:trHeight w:val="202"/>
        </w:trPr>
        <w:tc>
          <w:tcPr>
            <w:tcW w:w="1320" w:type="dxa"/>
            <w:vAlign w:val="bottom"/>
            <w:shd w:val="clear" w:color="auto" w:fill="ACABA7"/>
          </w:tcPr>
          <w:p>
            <w:pPr>
              <w:ind w:left="100"/>
              <w:spacing w:after="0" w:line="201" w:lineRule="exact"/>
              <w:rPr>
                <w:sz w:val="20"/>
                <w:szCs w:val="20"/>
                <w:color w:val="auto"/>
              </w:rPr>
            </w:pPr>
            <w:r>
              <w:rPr>
                <w:rFonts w:ascii="Arial" w:cs="Arial" w:eastAsia="Arial" w:hAnsi="Arial"/>
                <w:sz w:val="18"/>
                <w:szCs w:val="18"/>
                <w:color w:val="auto"/>
              </w:rPr>
              <w:t>Mr. Reagan</w:t>
            </w:r>
          </w:p>
        </w:tc>
        <w:tc>
          <w:tcPr>
            <w:tcW w:w="3580" w:type="dxa"/>
            <w:vAlign w:val="bottom"/>
            <w:shd w:val="clear" w:color="auto" w:fill="ACABA7"/>
          </w:tcPr>
          <w:p>
            <w:pPr>
              <w:ind w:left="120"/>
              <w:spacing w:after="0" w:line="201" w:lineRule="exact"/>
              <w:rPr>
                <w:sz w:val="20"/>
                <w:szCs w:val="20"/>
                <w:color w:val="auto"/>
              </w:rPr>
            </w:pPr>
            <w:r>
              <w:rPr>
                <w:rFonts w:ascii="Arial" w:cs="Arial" w:eastAsia="Arial" w:hAnsi="Arial"/>
                <w:sz w:val="18"/>
                <w:szCs w:val="18"/>
                <w:color w:val="auto"/>
              </w:rPr>
              <w:t>Keystaff Deferral Plan</w:t>
            </w:r>
          </w:p>
        </w:tc>
        <w:tc>
          <w:tcPr>
            <w:tcW w:w="1620" w:type="dxa"/>
            <w:vAlign w:val="bottom"/>
            <w:shd w:val="clear" w:color="auto" w:fill="ACABA7"/>
          </w:tcPr>
          <w:p>
            <w:pPr>
              <w:jc w:val="right"/>
              <w:ind w:right="73"/>
              <w:spacing w:after="0" w:line="201" w:lineRule="exact"/>
              <w:rPr>
                <w:sz w:val="20"/>
                <w:szCs w:val="20"/>
                <w:color w:val="auto"/>
              </w:rPr>
            </w:pPr>
            <w:r>
              <w:rPr>
                <w:rFonts w:ascii="Arial" w:cs="Arial" w:eastAsia="Arial" w:hAnsi="Arial"/>
                <w:sz w:val="18"/>
                <w:szCs w:val="18"/>
                <w:color w:val="auto"/>
              </w:rPr>
              <w:t>160,090</w:t>
            </w:r>
          </w:p>
        </w:tc>
        <w:tc>
          <w:tcPr>
            <w:tcW w:w="1380" w:type="dxa"/>
            <w:vAlign w:val="bottom"/>
            <w:shd w:val="clear" w:color="auto" w:fill="ACABA7"/>
          </w:tcPr>
          <w:p>
            <w:pPr>
              <w:jc w:val="right"/>
              <w:ind w:right="73"/>
              <w:spacing w:after="0" w:line="201" w:lineRule="exact"/>
              <w:rPr>
                <w:sz w:val="20"/>
                <w:szCs w:val="20"/>
                <w:color w:val="auto"/>
              </w:rPr>
            </w:pPr>
            <w:r>
              <w:rPr>
                <w:rFonts w:ascii="Arial" w:cs="Arial" w:eastAsia="Arial" w:hAnsi="Arial"/>
                <w:sz w:val="18"/>
                <w:szCs w:val="18"/>
                <w:color w:val="auto"/>
              </w:rPr>
              <w:t>—</w:t>
            </w:r>
          </w:p>
        </w:tc>
        <w:tc>
          <w:tcPr>
            <w:tcW w:w="1240" w:type="dxa"/>
            <w:vAlign w:val="bottom"/>
            <w:shd w:val="clear" w:color="auto" w:fill="ACABA7"/>
          </w:tcPr>
          <w:p>
            <w:pPr>
              <w:jc w:val="right"/>
              <w:ind w:right="73"/>
              <w:spacing w:after="0" w:line="201" w:lineRule="exact"/>
              <w:rPr>
                <w:sz w:val="20"/>
                <w:szCs w:val="20"/>
                <w:color w:val="auto"/>
              </w:rPr>
            </w:pPr>
            <w:r>
              <w:rPr>
                <w:rFonts w:ascii="Arial" w:cs="Arial" w:eastAsia="Arial" w:hAnsi="Arial"/>
                <w:sz w:val="18"/>
                <w:szCs w:val="18"/>
                <w:color w:val="auto"/>
              </w:rPr>
              <w:t>23,683</w:t>
            </w:r>
          </w:p>
        </w:tc>
        <w:tc>
          <w:tcPr>
            <w:tcW w:w="1200" w:type="dxa"/>
            <w:vAlign w:val="bottom"/>
            <w:shd w:val="clear" w:color="auto" w:fill="ACABA7"/>
          </w:tcPr>
          <w:p>
            <w:pPr>
              <w:jc w:val="right"/>
              <w:ind w:right="14"/>
              <w:spacing w:after="0" w:line="201" w:lineRule="exact"/>
              <w:rPr>
                <w:sz w:val="20"/>
                <w:szCs w:val="20"/>
                <w:color w:val="auto"/>
              </w:rPr>
            </w:pPr>
            <w:r>
              <w:rPr>
                <w:rFonts w:ascii="Arial" w:cs="Arial" w:eastAsia="Arial" w:hAnsi="Arial"/>
                <w:sz w:val="18"/>
                <w:szCs w:val="18"/>
                <w:color w:val="auto"/>
              </w:rPr>
              <w:t>—</w:t>
            </w:r>
          </w:p>
        </w:tc>
        <w:tc>
          <w:tcPr>
            <w:tcW w:w="1080" w:type="dxa"/>
            <w:vAlign w:val="bottom"/>
            <w:shd w:val="clear" w:color="auto" w:fill="ACABA7"/>
          </w:tcPr>
          <w:p>
            <w:pPr>
              <w:jc w:val="right"/>
              <w:ind w:right="95"/>
              <w:spacing w:after="0" w:line="201" w:lineRule="exact"/>
              <w:rPr>
                <w:sz w:val="20"/>
                <w:szCs w:val="20"/>
                <w:color w:val="auto"/>
              </w:rPr>
            </w:pPr>
            <w:r>
              <w:rPr>
                <w:rFonts w:ascii="Arial" w:cs="Arial" w:eastAsia="Arial" w:hAnsi="Arial"/>
                <w:sz w:val="18"/>
                <w:szCs w:val="18"/>
                <w:color w:val="auto"/>
              </w:rPr>
              <w:t>247,759</w:t>
            </w:r>
          </w:p>
        </w:tc>
      </w:tr>
      <w:tr>
        <w:trPr>
          <w:trHeight w:val="203"/>
        </w:trPr>
        <w:tc>
          <w:tcPr>
            <w:tcW w:w="1320" w:type="dxa"/>
            <w:vAlign w:val="bottom"/>
            <w:shd w:val="clear" w:color="auto" w:fill="ACABA7"/>
          </w:tcPr>
          <w:p>
            <w:pPr>
              <w:spacing w:after="0"/>
              <w:rPr>
                <w:sz w:val="17"/>
                <w:szCs w:val="17"/>
                <w:color w:val="auto"/>
              </w:rPr>
            </w:pPr>
          </w:p>
        </w:tc>
        <w:tc>
          <w:tcPr>
            <w:tcW w:w="3580" w:type="dxa"/>
            <w:vAlign w:val="bottom"/>
            <w:shd w:val="clear" w:color="auto" w:fill="ACABA7"/>
          </w:tcPr>
          <w:p>
            <w:pPr>
              <w:ind w:left="120"/>
              <w:spacing w:after="0" w:line="202" w:lineRule="exact"/>
              <w:rPr>
                <w:sz w:val="20"/>
                <w:szCs w:val="20"/>
                <w:color w:val="auto"/>
              </w:rPr>
            </w:pPr>
            <w:r>
              <w:rPr>
                <w:rFonts w:ascii="Arial" w:cs="Arial" w:eastAsia="Arial" w:hAnsi="Arial"/>
                <w:sz w:val="18"/>
                <w:szCs w:val="18"/>
                <w:color w:val="auto"/>
              </w:rPr>
              <w:t>Key Executive Stock Deferral Plan</w:t>
            </w:r>
          </w:p>
        </w:tc>
        <w:tc>
          <w:tcPr>
            <w:tcW w:w="1620" w:type="dxa"/>
            <w:vAlign w:val="bottom"/>
            <w:shd w:val="clear" w:color="auto" w:fill="ACABA7"/>
          </w:tcPr>
          <w:p>
            <w:pPr>
              <w:jc w:val="right"/>
              <w:ind w:right="73"/>
              <w:spacing w:after="0" w:line="202" w:lineRule="exact"/>
              <w:rPr>
                <w:sz w:val="20"/>
                <w:szCs w:val="20"/>
                <w:color w:val="auto"/>
              </w:rPr>
            </w:pPr>
            <w:r>
              <w:rPr>
                <w:rFonts w:ascii="Arial" w:cs="Arial" w:eastAsia="Arial" w:hAnsi="Arial"/>
                <w:sz w:val="18"/>
                <w:szCs w:val="18"/>
                <w:color w:val="auto"/>
              </w:rPr>
              <w:t>227,835</w:t>
            </w:r>
          </w:p>
        </w:tc>
        <w:tc>
          <w:tcPr>
            <w:tcW w:w="1380" w:type="dxa"/>
            <w:vAlign w:val="bottom"/>
            <w:shd w:val="clear" w:color="auto" w:fill="ACABA7"/>
          </w:tcPr>
          <w:p>
            <w:pPr>
              <w:jc w:val="right"/>
              <w:ind w:right="73"/>
              <w:spacing w:after="0" w:line="202" w:lineRule="exact"/>
              <w:rPr>
                <w:sz w:val="20"/>
                <w:szCs w:val="20"/>
                <w:color w:val="auto"/>
              </w:rPr>
            </w:pPr>
            <w:r>
              <w:rPr>
                <w:rFonts w:ascii="Arial" w:cs="Arial" w:eastAsia="Arial" w:hAnsi="Arial"/>
                <w:sz w:val="18"/>
                <w:szCs w:val="18"/>
                <w:color w:val="auto"/>
              </w:rPr>
              <w:t>—</w:t>
            </w:r>
          </w:p>
        </w:tc>
        <w:tc>
          <w:tcPr>
            <w:tcW w:w="1240" w:type="dxa"/>
            <w:vAlign w:val="bottom"/>
            <w:shd w:val="clear" w:color="auto" w:fill="ACABA7"/>
          </w:tcPr>
          <w:p>
            <w:pPr>
              <w:jc w:val="right"/>
              <w:ind w:right="73"/>
              <w:spacing w:after="0" w:line="202" w:lineRule="exact"/>
              <w:rPr>
                <w:sz w:val="20"/>
                <w:szCs w:val="20"/>
                <w:color w:val="auto"/>
              </w:rPr>
            </w:pPr>
            <w:r>
              <w:rPr>
                <w:rFonts w:ascii="Arial" w:cs="Arial" w:eastAsia="Arial" w:hAnsi="Arial"/>
                <w:sz w:val="18"/>
                <w:szCs w:val="18"/>
                <w:color w:val="auto"/>
              </w:rPr>
              <w:t>154,984</w:t>
            </w:r>
          </w:p>
        </w:tc>
        <w:tc>
          <w:tcPr>
            <w:tcW w:w="1200" w:type="dxa"/>
            <w:vAlign w:val="bottom"/>
            <w:shd w:val="clear" w:color="auto" w:fill="ACABA7"/>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1080" w:type="dxa"/>
            <w:vAlign w:val="bottom"/>
            <w:shd w:val="clear" w:color="auto" w:fill="ACABA7"/>
          </w:tcPr>
          <w:p>
            <w:pPr>
              <w:jc w:val="right"/>
              <w:ind w:right="95"/>
              <w:spacing w:after="0" w:line="202" w:lineRule="exact"/>
              <w:rPr>
                <w:sz w:val="20"/>
                <w:szCs w:val="20"/>
                <w:color w:val="auto"/>
              </w:rPr>
            </w:pPr>
            <w:r>
              <w:rPr>
                <w:rFonts w:ascii="Arial" w:cs="Arial" w:eastAsia="Arial" w:hAnsi="Arial"/>
                <w:sz w:val="18"/>
                <w:szCs w:val="18"/>
                <w:color w:val="auto"/>
              </w:rPr>
              <w:t>489,754</w:t>
            </w:r>
          </w:p>
        </w:tc>
      </w:tr>
      <w:tr>
        <w:trPr>
          <w:trHeight w:val="203"/>
        </w:trPr>
        <w:tc>
          <w:tcPr>
            <w:tcW w:w="1320" w:type="dxa"/>
            <w:vAlign w:val="bottom"/>
            <w:shd w:val="clear" w:color="auto" w:fill="ACABA7"/>
          </w:tcPr>
          <w:p>
            <w:pPr>
              <w:spacing w:after="0"/>
              <w:rPr>
                <w:sz w:val="17"/>
                <w:szCs w:val="17"/>
                <w:color w:val="auto"/>
              </w:rPr>
            </w:pPr>
          </w:p>
        </w:tc>
        <w:tc>
          <w:tcPr>
            <w:tcW w:w="3580" w:type="dxa"/>
            <w:vAlign w:val="bottom"/>
            <w:shd w:val="clear" w:color="auto" w:fill="ACABA7"/>
          </w:tcPr>
          <w:p>
            <w:pPr>
              <w:ind w:left="120"/>
              <w:spacing w:after="0" w:line="203" w:lineRule="exact"/>
              <w:rPr>
                <w:sz w:val="20"/>
                <w:szCs w:val="20"/>
                <w:color w:val="auto"/>
              </w:rPr>
            </w:pPr>
            <w:r>
              <w:rPr>
                <w:rFonts w:ascii="Arial" w:cs="Arial" w:eastAsia="Arial" w:hAnsi="Arial"/>
                <w:sz w:val="18"/>
                <w:szCs w:val="18"/>
                <w:color w:val="auto"/>
              </w:rPr>
              <w:t>Excess Plan</w:t>
            </w:r>
          </w:p>
        </w:tc>
        <w:tc>
          <w:tcPr>
            <w:tcW w:w="1620" w:type="dxa"/>
            <w:vAlign w:val="bottom"/>
            <w:shd w:val="clear" w:color="auto" w:fill="ACABA7"/>
          </w:tcPr>
          <w:p>
            <w:pPr>
              <w:jc w:val="right"/>
              <w:ind w:right="73"/>
              <w:spacing w:after="0" w:line="203" w:lineRule="exact"/>
              <w:rPr>
                <w:sz w:val="20"/>
                <w:szCs w:val="20"/>
                <w:color w:val="auto"/>
              </w:rPr>
            </w:pPr>
            <w:r>
              <w:rPr>
                <w:rFonts w:ascii="Arial" w:cs="Arial" w:eastAsia="Arial" w:hAnsi="Arial"/>
                <w:sz w:val="18"/>
                <w:szCs w:val="18"/>
                <w:color w:val="auto"/>
              </w:rPr>
              <w:t>99,615</w:t>
            </w:r>
          </w:p>
        </w:tc>
        <w:tc>
          <w:tcPr>
            <w:tcW w:w="1380" w:type="dxa"/>
            <w:vAlign w:val="bottom"/>
            <w:shd w:val="clear" w:color="auto" w:fill="ACABA7"/>
          </w:tcPr>
          <w:p>
            <w:pPr>
              <w:jc w:val="right"/>
              <w:ind w:right="73"/>
              <w:spacing w:after="0" w:line="203" w:lineRule="exact"/>
              <w:rPr>
                <w:sz w:val="20"/>
                <w:szCs w:val="20"/>
                <w:color w:val="auto"/>
              </w:rPr>
            </w:pPr>
            <w:r>
              <w:rPr>
                <w:rFonts w:ascii="Arial" w:cs="Arial" w:eastAsia="Arial" w:hAnsi="Arial"/>
                <w:sz w:val="18"/>
                <w:szCs w:val="18"/>
                <w:color w:val="auto"/>
              </w:rPr>
              <w:t>—</w:t>
            </w:r>
          </w:p>
        </w:tc>
        <w:tc>
          <w:tcPr>
            <w:tcW w:w="1240" w:type="dxa"/>
            <w:vAlign w:val="bottom"/>
            <w:shd w:val="clear" w:color="auto" w:fill="ACABA7"/>
          </w:tcPr>
          <w:p>
            <w:pPr>
              <w:jc w:val="right"/>
              <w:ind w:right="73"/>
              <w:spacing w:after="0" w:line="203" w:lineRule="exact"/>
              <w:rPr>
                <w:sz w:val="20"/>
                <w:szCs w:val="20"/>
                <w:color w:val="auto"/>
              </w:rPr>
            </w:pPr>
            <w:r>
              <w:rPr>
                <w:rFonts w:ascii="Arial" w:cs="Arial" w:eastAsia="Arial" w:hAnsi="Arial"/>
                <w:sz w:val="18"/>
                <w:szCs w:val="18"/>
                <w:color w:val="auto"/>
              </w:rPr>
              <w:t>3,282</w:t>
            </w:r>
          </w:p>
        </w:tc>
        <w:tc>
          <w:tcPr>
            <w:tcW w:w="1200" w:type="dxa"/>
            <w:vAlign w:val="bottom"/>
            <w:shd w:val="clear" w:color="auto" w:fill="ACABA7"/>
          </w:tcPr>
          <w:p>
            <w:pPr>
              <w:jc w:val="right"/>
              <w:ind w:right="14"/>
              <w:spacing w:after="0" w:line="203" w:lineRule="exact"/>
              <w:rPr>
                <w:sz w:val="20"/>
                <w:szCs w:val="20"/>
                <w:color w:val="auto"/>
              </w:rPr>
            </w:pPr>
            <w:r>
              <w:rPr>
                <w:rFonts w:ascii="Arial" w:cs="Arial" w:eastAsia="Arial" w:hAnsi="Arial"/>
                <w:sz w:val="18"/>
                <w:szCs w:val="18"/>
                <w:color w:val="auto"/>
              </w:rPr>
              <w:t>—</w:t>
            </w:r>
          </w:p>
        </w:tc>
        <w:tc>
          <w:tcPr>
            <w:tcW w:w="1080" w:type="dxa"/>
            <w:vAlign w:val="bottom"/>
            <w:shd w:val="clear" w:color="auto" w:fill="ACABA7"/>
          </w:tcPr>
          <w:p>
            <w:pPr>
              <w:jc w:val="right"/>
              <w:ind w:right="95"/>
              <w:spacing w:after="0" w:line="203" w:lineRule="exact"/>
              <w:rPr>
                <w:sz w:val="20"/>
                <w:szCs w:val="20"/>
                <w:color w:val="auto"/>
              </w:rPr>
            </w:pPr>
            <w:r>
              <w:rPr>
                <w:rFonts w:ascii="Arial" w:cs="Arial" w:eastAsia="Arial" w:hAnsi="Arial"/>
                <w:sz w:val="18"/>
                <w:szCs w:val="18"/>
                <w:color w:val="auto"/>
              </w:rPr>
              <w:t>102,897</w:t>
            </w:r>
          </w:p>
        </w:tc>
      </w:tr>
      <w:tr>
        <w:trPr>
          <w:trHeight w:val="310"/>
        </w:trPr>
        <w:tc>
          <w:tcPr>
            <w:tcW w:w="1320" w:type="dxa"/>
            <w:vAlign w:val="bottom"/>
          </w:tcPr>
          <w:p>
            <w:pPr>
              <w:ind w:left="100"/>
              <w:spacing w:after="0"/>
              <w:rPr>
                <w:sz w:val="20"/>
                <w:szCs w:val="20"/>
                <w:color w:val="auto"/>
              </w:rPr>
            </w:pPr>
            <w:r>
              <w:rPr>
                <w:rFonts w:ascii="Arial" w:cs="Arial" w:eastAsia="Arial" w:hAnsi="Arial"/>
                <w:sz w:val="18"/>
                <w:szCs w:val="18"/>
                <w:color w:val="auto"/>
              </w:rPr>
              <w:t>Mr. Reardon</w:t>
            </w:r>
          </w:p>
        </w:tc>
        <w:tc>
          <w:tcPr>
            <w:tcW w:w="3580" w:type="dxa"/>
            <w:vAlign w:val="bottom"/>
          </w:tcPr>
          <w:p>
            <w:pPr>
              <w:ind w:left="120"/>
              <w:spacing w:after="0"/>
              <w:rPr>
                <w:sz w:val="20"/>
                <w:szCs w:val="20"/>
                <w:color w:val="auto"/>
              </w:rPr>
            </w:pPr>
            <w:r>
              <w:rPr>
                <w:rFonts w:ascii="Arial" w:cs="Arial" w:eastAsia="Arial" w:hAnsi="Arial"/>
                <w:sz w:val="18"/>
                <w:szCs w:val="18"/>
                <w:color w:val="auto"/>
              </w:rPr>
              <w:t>Deferred Compensation Plan</w:t>
            </w:r>
          </w:p>
        </w:tc>
        <w:tc>
          <w:tcPr>
            <w:tcW w:w="1620" w:type="dxa"/>
            <w:vAlign w:val="bottom"/>
          </w:tcPr>
          <w:p>
            <w:pPr>
              <w:jc w:val="right"/>
              <w:ind w:right="73"/>
              <w:spacing w:after="0"/>
              <w:rPr>
                <w:sz w:val="20"/>
                <w:szCs w:val="20"/>
                <w:color w:val="auto"/>
              </w:rPr>
            </w:pPr>
            <w:r>
              <w:rPr>
                <w:rFonts w:ascii="Arial" w:cs="Arial" w:eastAsia="Arial" w:hAnsi="Arial"/>
                <w:sz w:val="18"/>
                <w:szCs w:val="18"/>
                <w:color w:val="auto"/>
              </w:rPr>
              <w:t>30,731</w:t>
            </w:r>
          </w:p>
        </w:tc>
        <w:tc>
          <w:tcPr>
            <w:tcW w:w="1380" w:type="dxa"/>
            <w:vAlign w:val="bottom"/>
          </w:tcPr>
          <w:p>
            <w:pPr>
              <w:jc w:val="right"/>
              <w:ind w:right="73"/>
              <w:spacing w:after="0"/>
              <w:rPr>
                <w:sz w:val="20"/>
                <w:szCs w:val="20"/>
                <w:color w:val="auto"/>
              </w:rPr>
            </w:pPr>
            <w:r>
              <w:rPr>
                <w:rFonts w:ascii="Arial" w:cs="Arial" w:eastAsia="Arial" w:hAnsi="Arial"/>
                <w:sz w:val="18"/>
                <w:szCs w:val="18"/>
                <w:color w:val="auto"/>
              </w:rPr>
              <w:t>9,219</w:t>
            </w:r>
          </w:p>
        </w:tc>
        <w:tc>
          <w:tcPr>
            <w:tcW w:w="1240" w:type="dxa"/>
            <w:vAlign w:val="bottom"/>
          </w:tcPr>
          <w:p>
            <w:pPr>
              <w:jc w:val="right"/>
              <w:ind w:right="73"/>
              <w:spacing w:after="0"/>
              <w:rPr>
                <w:sz w:val="20"/>
                <w:szCs w:val="20"/>
                <w:color w:val="auto"/>
              </w:rPr>
            </w:pPr>
            <w:r>
              <w:rPr>
                <w:rFonts w:ascii="Arial" w:cs="Arial" w:eastAsia="Arial" w:hAnsi="Arial"/>
                <w:sz w:val="18"/>
                <w:szCs w:val="18"/>
                <w:color w:val="auto"/>
              </w:rPr>
              <w:t>526</w:t>
            </w: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95"/>
              <w:spacing w:after="0"/>
              <w:rPr>
                <w:sz w:val="20"/>
                <w:szCs w:val="20"/>
                <w:color w:val="auto"/>
              </w:rPr>
            </w:pPr>
            <w:r>
              <w:rPr>
                <w:rFonts w:ascii="Arial" w:cs="Arial" w:eastAsia="Arial" w:hAnsi="Arial"/>
                <w:sz w:val="18"/>
                <w:szCs w:val="18"/>
                <w:color w:val="auto"/>
              </w:rPr>
              <w:t>40,475</w:t>
            </w:r>
          </w:p>
        </w:tc>
      </w:tr>
      <w:tr>
        <w:trPr>
          <w:trHeight w:val="203"/>
        </w:trPr>
        <w:tc>
          <w:tcPr>
            <w:tcW w:w="1320" w:type="dxa"/>
            <w:vAlign w:val="bottom"/>
          </w:tcPr>
          <w:p>
            <w:pPr>
              <w:ind w:left="100"/>
              <w:spacing w:after="0" w:line="203" w:lineRule="exact"/>
              <w:rPr>
                <w:sz w:val="20"/>
                <w:szCs w:val="20"/>
                <w:color w:val="auto"/>
              </w:rPr>
            </w:pPr>
            <w:r>
              <w:rPr>
                <w:rFonts w:ascii="Arial" w:cs="Arial" w:eastAsia="Arial" w:hAnsi="Arial"/>
                <w:sz w:val="18"/>
                <w:szCs w:val="18"/>
                <w:color w:val="auto"/>
              </w:rPr>
              <w:t>Mr. Maffeo</w:t>
            </w:r>
          </w:p>
        </w:tc>
        <w:tc>
          <w:tcPr>
            <w:tcW w:w="3580" w:type="dxa"/>
            <w:vAlign w:val="bottom"/>
          </w:tcPr>
          <w:p>
            <w:pPr>
              <w:ind w:left="120"/>
              <w:spacing w:after="0" w:line="203" w:lineRule="exact"/>
              <w:rPr>
                <w:sz w:val="20"/>
                <w:szCs w:val="20"/>
                <w:color w:val="auto"/>
              </w:rPr>
            </w:pPr>
            <w:r>
              <w:rPr>
                <w:rFonts w:ascii="Arial" w:cs="Arial" w:eastAsia="Arial" w:hAnsi="Arial"/>
                <w:sz w:val="18"/>
                <w:szCs w:val="18"/>
                <w:color w:val="auto"/>
              </w:rPr>
              <w:t>Keystaff Deferral Plan</w:t>
            </w:r>
          </w:p>
        </w:tc>
        <w:tc>
          <w:tcPr>
            <w:tcW w:w="1620" w:type="dxa"/>
            <w:vAlign w:val="bottom"/>
          </w:tcPr>
          <w:p>
            <w:pPr>
              <w:jc w:val="right"/>
              <w:ind w:right="73"/>
              <w:spacing w:after="0" w:line="203" w:lineRule="exact"/>
              <w:rPr>
                <w:sz w:val="20"/>
                <w:szCs w:val="20"/>
                <w:color w:val="auto"/>
              </w:rPr>
            </w:pPr>
            <w:r>
              <w:rPr>
                <w:rFonts w:ascii="Arial" w:cs="Arial" w:eastAsia="Arial" w:hAnsi="Arial"/>
                <w:sz w:val="18"/>
                <w:szCs w:val="18"/>
                <w:color w:val="auto"/>
              </w:rPr>
              <w:t>268,744</w:t>
            </w:r>
          </w:p>
        </w:tc>
        <w:tc>
          <w:tcPr>
            <w:tcW w:w="1380" w:type="dxa"/>
            <w:vAlign w:val="bottom"/>
          </w:tcPr>
          <w:p>
            <w:pPr>
              <w:jc w:val="right"/>
              <w:ind w:right="73"/>
              <w:spacing w:after="0" w:line="203" w:lineRule="exact"/>
              <w:rPr>
                <w:sz w:val="20"/>
                <w:szCs w:val="20"/>
                <w:color w:val="auto"/>
              </w:rPr>
            </w:pPr>
            <w:r>
              <w:rPr>
                <w:rFonts w:ascii="Arial" w:cs="Arial" w:eastAsia="Arial" w:hAnsi="Arial"/>
                <w:sz w:val="18"/>
                <w:szCs w:val="18"/>
                <w:color w:val="auto"/>
              </w:rPr>
              <w:t>—</w:t>
            </w:r>
          </w:p>
        </w:tc>
        <w:tc>
          <w:tcPr>
            <w:tcW w:w="1240" w:type="dxa"/>
            <w:vAlign w:val="bottom"/>
          </w:tcPr>
          <w:p>
            <w:pPr>
              <w:jc w:val="right"/>
              <w:ind w:right="73"/>
              <w:spacing w:after="0" w:line="203" w:lineRule="exact"/>
              <w:rPr>
                <w:sz w:val="20"/>
                <w:szCs w:val="20"/>
                <w:color w:val="auto"/>
              </w:rPr>
            </w:pPr>
            <w:r>
              <w:rPr>
                <w:rFonts w:ascii="Arial" w:cs="Arial" w:eastAsia="Arial" w:hAnsi="Arial"/>
                <w:sz w:val="18"/>
                <w:szCs w:val="18"/>
                <w:color w:val="auto"/>
              </w:rPr>
              <w:t>25,030</w:t>
            </w:r>
          </w:p>
        </w:tc>
        <w:tc>
          <w:tcPr>
            <w:tcW w:w="1200" w:type="dxa"/>
            <w:vAlign w:val="bottom"/>
          </w:tcPr>
          <w:p>
            <w:pPr>
              <w:jc w:val="right"/>
              <w:ind w:right="14"/>
              <w:spacing w:after="0" w:line="203" w:lineRule="exact"/>
              <w:rPr>
                <w:sz w:val="20"/>
                <w:szCs w:val="20"/>
                <w:color w:val="auto"/>
              </w:rPr>
            </w:pPr>
            <w:r>
              <w:rPr>
                <w:rFonts w:ascii="Arial" w:cs="Arial" w:eastAsia="Arial" w:hAnsi="Arial"/>
                <w:sz w:val="18"/>
                <w:szCs w:val="18"/>
                <w:color w:val="auto"/>
              </w:rPr>
              <w:t>—</w:t>
            </w:r>
          </w:p>
        </w:tc>
        <w:tc>
          <w:tcPr>
            <w:tcW w:w="1080" w:type="dxa"/>
            <w:vAlign w:val="bottom"/>
          </w:tcPr>
          <w:p>
            <w:pPr>
              <w:jc w:val="right"/>
              <w:ind w:right="95"/>
              <w:spacing w:after="0" w:line="203" w:lineRule="exact"/>
              <w:rPr>
                <w:sz w:val="20"/>
                <w:szCs w:val="20"/>
                <w:color w:val="auto"/>
              </w:rPr>
            </w:pPr>
            <w:r>
              <w:rPr>
                <w:rFonts w:ascii="Arial" w:cs="Arial" w:eastAsia="Arial" w:hAnsi="Arial"/>
                <w:sz w:val="18"/>
                <w:szCs w:val="18"/>
                <w:color w:val="auto"/>
              </w:rPr>
              <w:t>1,069,645</w:t>
            </w:r>
          </w:p>
        </w:tc>
      </w:tr>
      <w:tr>
        <w:trPr>
          <w:trHeight w:val="202"/>
        </w:trPr>
        <w:tc>
          <w:tcPr>
            <w:tcW w:w="1320" w:type="dxa"/>
            <w:vAlign w:val="bottom"/>
            <w:shd w:val="clear" w:color="auto" w:fill="ACABA7"/>
          </w:tcPr>
          <w:p>
            <w:pPr>
              <w:spacing w:after="0"/>
              <w:rPr>
                <w:sz w:val="17"/>
                <w:szCs w:val="17"/>
                <w:color w:val="auto"/>
              </w:rPr>
            </w:pPr>
          </w:p>
        </w:tc>
        <w:tc>
          <w:tcPr>
            <w:tcW w:w="3580" w:type="dxa"/>
            <w:vAlign w:val="bottom"/>
            <w:shd w:val="clear" w:color="auto" w:fill="ACABA7"/>
          </w:tcPr>
          <w:p>
            <w:pPr>
              <w:ind w:left="120"/>
              <w:spacing w:after="0" w:line="201" w:lineRule="exact"/>
              <w:rPr>
                <w:sz w:val="20"/>
                <w:szCs w:val="20"/>
                <w:color w:val="auto"/>
              </w:rPr>
            </w:pPr>
            <w:r>
              <w:rPr>
                <w:rFonts w:ascii="Arial" w:cs="Arial" w:eastAsia="Arial" w:hAnsi="Arial"/>
                <w:sz w:val="18"/>
                <w:szCs w:val="18"/>
                <w:color w:val="auto"/>
              </w:rPr>
              <w:t>Key Executive Stock Deferral Plan</w:t>
            </w:r>
          </w:p>
        </w:tc>
        <w:tc>
          <w:tcPr>
            <w:tcW w:w="1620" w:type="dxa"/>
            <w:vAlign w:val="bottom"/>
            <w:shd w:val="clear" w:color="auto" w:fill="ACABA7"/>
          </w:tcPr>
          <w:p>
            <w:pPr>
              <w:jc w:val="right"/>
              <w:ind w:right="73"/>
              <w:spacing w:after="0" w:line="201" w:lineRule="exact"/>
              <w:rPr>
                <w:sz w:val="20"/>
                <w:szCs w:val="20"/>
                <w:color w:val="auto"/>
              </w:rPr>
            </w:pPr>
            <w:r>
              <w:rPr>
                <w:rFonts w:ascii="Arial" w:cs="Arial" w:eastAsia="Arial" w:hAnsi="Arial"/>
                <w:sz w:val="18"/>
                <w:szCs w:val="18"/>
                <w:color w:val="auto"/>
              </w:rPr>
              <w:t>285,057</w:t>
            </w:r>
          </w:p>
        </w:tc>
        <w:tc>
          <w:tcPr>
            <w:tcW w:w="1380" w:type="dxa"/>
            <w:vAlign w:val="bottom"/>
            <w:shd w:val="clear" w:color="auto" w:fill="ACABA7"/>
          </w:tcPr>
          <w:p>
            <w:pPr>
              <w:jc w:val="right"/>
              <w:ind w:right="73"/>
              <w:spacing w:after="0" w:line="201" w:lineRule="exact"/>
              <w:rPr>
                <w:sz w:val="20"/>
                <w:szCs w:val="20"/>
                <w:color w:val="auto"/>
              </w:rPr>
            </w:pPr>
            <w:r>
              <w:rPr>
                <w:rFonts w:ascii="Arial" w:cs="Arial" w:eastAsia="Arial" w:hAnsi="Arial"/>
                <w:sz w:val="18"/>
                <w:szCs w:val="18"/>
                <w:color w:val="auto"/>
              </w:rPr>
              <w:t>—</w:t>
            </w:r>
          </w:p>
        </w:tc>
        <w:tc>
          <w:tcPr>
            <w:tcW w:w="1240" w:type="dxa"/>
            <w:vAlign w:val="bottom"/>
            <w:shd w:val="clear" w:color="auto" w:fill="ACABA7"/>
          </w:tcPr>
          <w:p>
            <w:pPr>
              <w:jc w:val="right"/>
              <w:ind w:right="73"/>
              <w:spacing w:after="0" w:line="201" w:lineRule="exact"/>
              <w:rPr>
                <w:sz w:val="20"/>
                <w:szCs w:val="20"/>
                <w:color w:val="auto"/>
              </w:rPr>
            </w:pPr>
            <w:r>
              <w:rPr>
                <w:rFonts w:ascii="Arial" w:cs="Arial" w:eastAsia="Arial" w:hAnsi="Arial"/>
                <w:sz w:val="18"/>
                <w:szCs w:val="18"/>
                <w:color w:val="auto"/>
              </w:rPr>
              <w:t>250,199</w:t>
            </w:r>
          </w:p>
        </w:tc>
        <w:tc>
          <w:tcPr>
            <w:tcW w:w="1200" w:type="dxa"/>
            <w:vAlign w:val="bottom"/>
            <w:shd w:val="clear" w:color="auto" w:fill="ACABA7"/>
          </w:tcPr>
          <w:p>
            <w:pPr>
              <w:jc w:val="right"/>
              <w:ind w:right="14"/>
              <w:spacing w:after="0" w:line="201" w:lineRule="exact"/>
              <w:rPr>
                <w:sz w:val="20"/>
                <w:szCs w:val="20"/>
                <w:color w:val="auto"/>
              </w:rPr>
            </w:pPr>
            <w:r>
              <w:rPr>
                <w:rFonts w:ascii="Arial" w:cs="Arial" w:eastAsia="Arial" w:hAnsi="Arial"/>
                <w:sz w:val="18"/>
                <w:szCs w:val="18"/>
                <w:color w:val="auto"/>
              </w:rPr>
              <w:t>—</w:t>
            </w:r>
          </w:p>
        </w:tc>
        <w:tc>
          <w:tcPr>
            <w:tcW w:w="1080" w:type="dxa"/>
            <w:vAlign w:val="bottom"/>
            <w:shd w:val="clear" w:color="auto" w:fill="ACABA7"/>
          </w:tcPr>
          <w:p>
            <w:pPr>
              <w:jc w:val="right"/>
              <w:ind w:right="95"/>
              <w:spacing w:after="0" w:line="201" w:lineRule="exact"/>
              <w:rPr>
                <w:sz w:val="20"/>
                <w:szCs w:val="20"/>
                <w:color w:val="auto"/>
              </w:rPr>
            </w:pPr>
            <w:r>
              <w:rPr>
                <w:rFonts w:ascii="Arial" w:cs="Arial" w:eastAsia="Arial" w:hAnsi="Arial"/>
                <w:sz w:val="18"/>
                <w:szCs w:val="18"/>
                <w:color w:val="auto"/>
              </w:rPr>
              <w:t>1,155,382</w:t>
            </w:r>
          </w:p>
        </w:tc>
      </w:tr>
      <w:tr>
        <w:trPr>
          <w:trHeight w:val="203"/>
        </w:trPr>
        <w:tc>
          <w:tcPr>
            <w:tcW w:w="1320" w:type="dxa"/>
            <w:vAlign w:val="bottom"/>
            <w:shd w:val="clear" w:color="auto" w:fill="ACABA7"/>
          </w:tcPr>
          <w:p>
            <w:pPr>
              <w:spacing w:after="0"/>
              <w:rPr>
                <w:sz w:val="17"/>
                <w:szCs w:val="17"/>
                <w:color w:val="auto"/>
              </w:rPr>
            </w:pPr>
          </w:p>
        </w:tc>
        <w:tc>
          <w:tcPr>
            <w:tcW w:w="3580" w:type="dxa"/>
            <w:vAlign w:val="bottom"/>
            <w:shd w:val="clear" w:color="auto" w:fill="ACABA7"/>
          </w:tcPr>
          <w:p>
            <w:pPr>
              <w:ind w:left="120"/>
              <w:spacing w:after="0" w:line="203" w:lineRule="exact"/>
              <w:rPr>
                <w:sz w:val="20"/>
                <w:szCs w:val="20"/>
                <w:color w:val="auto"/>
              </w:rPr>
            </w:pPr>
            <w:r>
              <w:rPr>
                <w:rFonts w:ascii="Arial" w:cs="Arial" w:eastAsia="Arial" w:hAnsi="Arial"/>
                <w:sz w:val="18"/>
                <w:szCs w:val="18"/>
                <w:color w:val="auto"/>
              </w:rPr>
              <w:t>Excess Plan</w:t>
            </w:r>
          </w:p>
        </w:tc>
        <w:tc>
          <w:tcPr>
            <w:tcW w:w="1620" w:type="dxa"/>
            <w:vAlign w:val="bottom"/>
            <w:shd w:val="clear" w:color="auto" w:fill="ACABA7"/>
          </w:tcPr>
          <w:p>
            <w:pPr>
              <w:jc w:val="right"/>
              <w:ind w:right="73"/>
              <w:spacing w:after="0" w:line="203" w:lineRule="exact"/>
              <w:rPr>
                <w:sz w:val="20"/>
                <w:szCs w:val="20"/>
                <w:color w:val="auto"/>
              </w:rPr>
            </w:pPr>
            <w:r>
              <w:rPr>
                <w:rFonts w:ascii="Arial" w:cs="Arial" w:eastAsia="Arial" w:hAnsi="Arial"/>
                <w:sz w:val="18"/>
                <w:szCs w:val="18"/>
                <w:color w:val="auto"/>
              </w:rPr>
              <w:t>97,308</w:t>
            </w:r>
          </w:p>
        </w:tc>
        <w:tc>
          <w:tcPr>
            <w:tcW w:w="1380" w:type="dxa"/>
            <w:vAlign w:val="bottom"/>
            <w:shd w:val="clear" w:color="auto" w:fill="ACABA7"/>
          </w:tcPr>
          <w:p>
            <w:pPr>
              <w:jc w:val="right"/>
              <w:ind w:right="73"/>
              <w:spacing w:after="0" w:line="203" w:lineRule="exact"/>
              <w:rPr>
                <w:sz w:val="20"/>
                <w:szCs w:val="20"/>
                <w:color w:val="auto"/>
              </w:rPr>
            </w:pPr>
            <w:r>
              <w:rPr>
                <w:rFonts w:ascii="Arial" w:cs="Arial" w:eastAsia="Arial" w:hAnsi="Arial"/>
                <w:sz w:val="18"/>
                <w:szCs w:val="18"/>
                <w:color w:val="auto"/>
              </w:rPr>
              <w:t>—</w:t>
            </w:r>
          </w:p>
        </w:tc>
        <w:tc>
          <w:tcPr>
            <w:tcW w:w="1240" w:type="dxa"/>
            <w:vAlign w:val="bottom"/>
            <w:shd w:val="clear" w:color="auto" w:fill="ACABA7"/>
          </w:tcPr>
          <w:p>
            <w:pPr>
              <w:jc w:val="right"/>
              <w:ind w:right="73"/>
              <w:spacing w:after="0" w:line="203" w:lineRule="exact"/>
              <w:rPr>
                <w:sz w:val="20"/>
                <w:szCs w:val="20"/>
                <w:color w:val="auto"/>
              </w:rPr>
            </w:pPr>
            <w:r>
              <w:rPr>
                <w:rFonts w:ascii="Arial" w:cs="Arial" w:eastAsia="Arial" w:hAnsi="Arial"/>
                <w:sz w:val="18"/>
                <w:szCs w:val="18"/>
                <w:color w:val="auto"/>
              </w:rPr>
              <w:t>36,690</w:t>
            </w:r>
          </w:p>
        </w:tc>
        <w:tc>
          <w:tcPr>
            <w:tcW w:w="1200" w:type="dxa"/>
            <w:vAlign w:val="bottom"/>
            <w:shd w:val="clear" w:color="auto" w:fill="ACABA7"/>
          </w:tcPr>
          <w:p>
            <w:pPr>
              <w:jc w:val="right"/>
              <w:ind w:right="14"/>
              <w:spacing w:after="0" w:line="203" w:lineRule="exact"/>
              <w:rPr>
                <w:sz w:val="20"/>
                <w:szCs w:val="20"/>
                <w:color w:val="auto"/>
              </w:rPr>
            </w:pPr>
            <w:r>
              <w:rPr>
                <w:rFonts w:ascii="Arial" w:cs="Arial" w:eastAsia="Arial" w:hAnsi="Arial"/>
                <w:sz w:val="18"/>
                <w:szCs w:val="18"/>
                <w:color w:val="auto"/>
              </w:rPr>
              <w:t>—</w:t>
            </w:r>
          </w:p>
        </w:tc>
        <w:tc>
          <w:tcPr>
            <w:tcW w:w="1080" w:type="dxa"/>
            <w:vAlign w:val="bottom"/>
            <w:shd w:val="clear" w:color="auto" w:fill="ACABA7"/>
          </w:tcPr>
          <w:p>
            <w:pPr>
              <w:jc w:val="right"/>
              <w:ind w:right="95"/>
              <w:spacing w:after="0" w:line="203" w:lineRule="exact"/>
              <w:rPr>
                <w:sz w:val="20"/>
                <w:szCs w:val="20"/>
                <w:color w:val="auto"/>
              </w:rPr>
            </w:pPr>
            <w:r>
              <w:rPr>
                <w:rFonts w:ascii="Arial" w:cs="Arial" w:eastAsia="Arial" w:hAnsi="Arial"/>
                <w:sz w:val="18"/>
                <w:szCs w:val="18"/>
                <w:color w:val="auto"/>
              </w:rPr>
              <w:t>421,701</w:t>
            </w:r>
          </w:p>
        </w:tc>
      </w:tr>
      <w:tr>
        <w:trPr>
          <w:trHeight w:val="311"/>
        </w:trPr>
        <w:tc>
          <w:tcPr>
            <w:tcW w:w="1320" w:type="dxa"/>
            <w:vAlign w:val="bottom"/>
          </w:tcPr>
          <w:p>
            <w:pPr>
              <w:ind w:left="100"/>
              <w:spacing w:after="0"/>
              <w:rPr>
                <w:sz w:val="20"/>
                <w:szCs w:val="20"/>
                <w:color w:val="auto"/>
              </w:rPr>
            </w:pPr>
            <w:r>
              <w:rPr>
                <w:rFonts w:ascii="Arial" w:cs="Arial" w:eastAsia="Arial" w:hAnsi="Arial"/>
                <w:sz w:val="18"/>
                <w:szCs w:val="18"/>
                <w:color w:val="auto"/>
              </w:rPr>
              <w:t>Mr. Leiter</w:t>
            </w:r>
          </w:p>
        </w:tc>
        <w:tc>
          <w:tcPr>
            <w:tcW w:w="3580" w:type="dxa"/>
            <w:vAlign w:val="bottom"/>
          </w:tcPr>
          <w:p>
            <w:pPr>
              <w:ind w:left="120"/>
              <w:spacing w:after="0"/>
              <w:rPr>
                <w:sz w:val="20"/>
                <w:szCs w:val="20"/>
                <w:color w:val="auto"/>
              </w:rPr>
            </w:pPr>
            <w:r>
              <w:rPr>
                <w:rFonts w:ascii="Arial" w:cs="Arial" w:eastAsia="Arial" w:hAnsi="Arial"/>
                <w:sz w:val="18"/>
                <w:szCs w:val="18"/>
                <w:color w:val="auto"/>
              </w:rPr>
              <w:t>Not Applicable</w:t>
            </w:r>
          </w:p>
        </w:tc>
        <w:tc>
          <w:tcPr>
            <w:tcW w:w="162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95"/>
              <w:spacing w:after="0"/>
              <w:rPr>
                <w:sz w:val="20"/>
                <w:szCs w:val="20"/>
                <w:color w:val="auto"/>
              </w:rPr>
            </w:pPr>
            <w:r>
              <w:rPr>
                <w:rFonts w:ascii="Arial" w:cs="Arial" w:eastAsia="Arial" w:hAnsi="Arial"/>
                <w:sz w:val="18"/>
                <w:szCs w:val="18"/>
                <w:color w:val="auto"/>
              </w:rPr>
              <w:t>—</w:t>
            </w:r>
          </w:p>
        </w:tc>
      </w:tr>
      <w:tr>
        <w:trPr>
          <w:trHeight w:val="203"/>
        </w:trPr>
        <w:tc>
          <w:tcPr>
            <w:tcW w:w="1320" w:type="dxa"/>
            <w:vAlign w:val="bottom"/>
            <w:shd w:val="clear" w:color="auto" w:fill="ACABA7"/>
          </w:tcPr>
          <w:p>
            <w:pPr>
              <w:ind w:left="100"/>
              <w:spacing w:after="0" w:line="202" w:lineRule="exact"/>
              <w:rPr>
                <w:sz w:val="20"/>
                <w:szCs w:val="20"/>
                <w:color w:val="auto"/>
              </w:rPr>
            </w:pPr>
            <w:r>
              <w:rPr>
                <w:rFonts w:ascii="Arial" w:cs="Arial" w:eastAsia="Arial" w:hAnsi="Arial"/>
                <w:sz w:val="18"/>
                <w:szCs w:val="18"/>
                <w:color w:val="auto"/>
              </w:rPr>
              <w:t>Ms. Allen</w:t>
            </w:r>
          </w:p>
        </w:tc>
        <w:tc>
          <w:tcPr>
            <w:tcW w:w="3580" w:type="dxa"/>
            <w:vAlign w:val="bottom"/>
            <w:shd w:val="clear" w:color="auto" w:fill="ACABA7"/>
          </w:tcPr>
          <w:p>
            <w:pPr>
              <w:ind w:left="120"/>
              <w:spacing w:after="0" w:line="202" w:lineRule="exact"/>
              <w:rPr>
                <w:sz w:val="20"/>
                <w:szCs w:val="20"/>
                <w:color w:val="auto"/>
              </w:rPr>
            </w:pPr>
            <w:r>
              <w:rPr>
                <w:rFonts w:ascii="Arial" w:cs="Arial" w:eastAsia="Arial" w:hAnsi="Arial"/>
                <w:sz w:val="18"/>
                <w:szCs w:val="18"/>
                <w:color w:val="auto"/>
              </w:rPr>
              <w:t>Management Stock Compensation Plan</w:t>
            </w:r>
          </w:p>
        </w:tc>
        <w:tc>
          <w:tcPr>
            <w:tcW w:w="1620" w:type="dxa"/>
            <w:vAlign w:val="bottom"/>
            <w:shd w:val="clear" w:color="auto" w:fill="ACABA7"/>
          </w:tcPr>
          <w:p>
            <w:pPr>
              <w:jc w:val="right"/>
              <w:ind w:right="73"/>
              <w:spacing w:after="0" w:line="202" w:lineRule="exact"/>
              <w:rPr>
                <w:sz w:val="20"/>
                <w:szCs w:val="20"/>
                <w:color w:val="auto"/>
              </w:rPr>
            </w:pPr>
            <w:r>
              <w:rPr>
                <w:rFonts w:ascii="Arial" w:cs="Arial" w:eastAsia="Arial" w:hAnsi="Arial"/>
                <w:sz w:val="18"/>
                <w:szCs w:val="18"/>
                <w:color w:val="auto"/>
              </w:rPr>
              <w:t>—</w:t>
            </w:r>
          </w:p>
        </w:tc>
        <w:tc>
          <w:tcPr>
            <w:tcW w:w="1380" w:type="dxa"/>
            <w:vAlign w:val="bottom"/>
            <w:shd w:val="clear" w:color="auto" w:fill="ACABA7"/>
          </w:tcPr>
          <w:p>
            <w:pPr>
              <w:jc w:val="right"/>
              <w:ind w:right="73"/>
              <w:spacing w:after="0" w:line="202" w:lineRule="exact"/>
              <w:rPr>
                <w:sz w:val="20"/>
                <w:szCs w:val="20"/>
                <w:color w:val="auto"/>
              </w:rPr>
            </w:pPr>
            <w:r>
              <w:rPr>
                <w:rFonts w:ascii="Arial" w:cs="Arial" w:eastAsia="Arial" w:hAnsi="Arial"/>
                <w:sz w:val="18"/>
                <w:szCs w:val="18"/>
                <w:color w:val="auto"/>
              </w:rPr>
              <w:t>—</w:t>
            </w:r>
          </w:p>
        </w:tc>
        <w:tc>
          <w:tcPr>
            <w:tcW w:w="1240" w:type="dxa"/>
            <w:vAlign w:val="bottom"/>
            <w:shd w:val="clear" w:color="auto" w:fill="ACABA7"/>
          </w:tcPr>
          <w:p>
            <w:pPr>
              <w:jc w:val="right"/>
              <w:ind w:right="73"/>
              <w:spacing w:after="0" w:line="202" w:lineRule="exact"/>
              <w:rPr>
                <w:sz w:val="20"/>
                <w:szCs w:val="20"/>
                <w:color w:val="auto"/>
              </w:rPr>
            </w:pPr>
            <w:r>
              <w:rPr>
                <w:rFonts w:ascii="Arial" w:cs="Arial" w:eastAsia="Arial" w:hAnsi="Arial"/>
                <w:sz w:val="18"/>
                <w:szCs w:val="18"/>
                <w:color w:val="auto"/>
              </w:rPr>
              <w:t>17,792</w:t>
            </w:r>
          </w:p>
        </w:tc>
        <w:tc>
          <w:tcPr>
            <w:tcW w:w="1200" w:type="dxa"/>
            <w:vAlign w:val="bottom"/>
            <w:shd w:val="clear" w:color="auto" w:fill="ACABA7"/>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1080" w:type="dxa"/>
            <w:vAlign w:val="bottom"/>
            <w:shd w:val="clear" w:color="auto" w:fill="ACABA7"/>
          </w:tcPr>
          <w:p>
            <w:pPr>
              <w:jc w:val="right"/>
              <w:ind w:right="95"/>
              <w:spacing w:after="0" w:line="202" w:lineRule="exact"/>
              <w:rPr>
                <w:sz w:val="20"/>
                <w:szCs w:val="20"/>
                <w:color w:val="auto"/>
              </w:rPr>
            </w:pPr>
            <w:r>
              <w:rPr>
                <w:rFonts w:ascii="Arial" w:cs="Arial" w:eastAsia="Arial" w:hAnsi="Arial"/>
                <w:sz w:val="18"/>
                <w:szCs w:val="18"/>
                <w:color w:val="auto"/>
              </w:rPr>
              <w:t>87,291</w:t>
            </w:r>
          </w:p>
        </w:tc>
      </w:tr>
    </w:tbl>
    <w:p>
      <w:pPr>
        <w:spacing w:after="0" w:line="121" w:lineRule="exact"/>
        <w:rPr>
          <w:sz w:val="20"/>
          <w:szCs w:val="20"/>
          <w:color w:val="auto"/>
        </w:rPr>
      </w:pPr>
    </w:p>
    <w:p>
      <w:pPr>
        <w:ind w:left="460" w:right="340" w:hanging="452"/>
        <w:spacing w:after="0" w:line="246" w:lineRule="auto"/>
        <w:tabs>
          <w:tab w:leader="none" w:pos="4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Amounts in this column represent the value of cash or stock awards deferred during Fiscal 2016. These amounts are also included as compensation in the “Summary Compensation Table”.</w:t>
      </w:r>
    </w:p>
    <w:p>
      <w:pPr>
        <w:spacing w:after="0" w:line="102" w:lineRule="exact"/>
        <w:rPr>
          <w:rFonts w:ascii="Arial" w:cs="Arial" w:eastAsia="Arial" w:hAnsi="Arial"/>
          <w:sz w:val="18"/>
          <w:szCs w:val="18"/>
          <w:color w:val="auto"/>
        </w:rPr>
      </w:pPr>
    </w:p>
    <w:p>
      <w:pPr>
        <w:ind w:left="460" w:right="20" w:hanging="452"/>
        <w:spacing w:after="0" w:line="236" w:lineRule="auto"/>
        <w:tabs>
          <w:tab w:leader="none" w:pos="4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With respect to the Keystaff Deferral Plan, amounts in this column represent interest earned during Fiscal 2016 on cash previously deferred based on Moody’s Seasoned Corporate Bond Rate minus 1% (3.64% for 2016) and aggregate returns on the diverse investment options available to eligible participants based on individual participant investment elections. With respect to the Key Executive Stock Deferral Plan, amounts in this column represent the aggregate increases or decreases in the value of stock units corresponding to shares of our common stock during Fiscal 2016. The market value of the shares is based upon $51.14, the closing sales price of our common stock on the NYSE on December 30, 2016. With respect to the Excess Plan and Deferred Compensation Plan for Former IS&amp;GS Employees, amounts in this column represent aggregate returns on the diverse investment options available to eligible participants based on individual participant investment elections.</w:t>
      </w:r>
    </w:p>
    <w:p>
      <w:pPr>
        <w:spacing w:after="0" w:line="113" w:lineRule="exact"/>
        <w:rPr>
          <w:rFonts w:ascii="Arial" w:cs="Arial" w:eastAsia="Arial" w:hAnsi="Arial"/>
          <w:sz w:val="18"/>
          <w:szCs w:val="18"/>
          <w:color w:val="auto"/>
        </w:rPr>
      </w:pPr>
    </w:p>
    <w:p>
      <w:pPr>
        <w:ind w:left="460" w:right="160" w:hanging="452"/>
        <w:spacing w:after="0" w:line="248" w:lineRule="auto"/>
        <w:tabs>
          <w:tab w:leader="none" w:pos="460" w:val="left"/>
        </w:tabs>
        <w:numPr>
          <w:ilvl w:val="0"/>
          <w:numId w:val="49"/>
        </w:numPr>
        <w:rPr>
          <w:rFonts w:ascii="Arial" w:cs="Arial" w:eastAsia="Arial" w:hAnsi="Arial"/>
          <w:sz w:val="17"/>
          <w:szCs w:val="17"/>
          <w:color w:val="auto"/>
        </w:rPr>
      </w:pPr>
      <w:r>
        <w:rPr>
          <w:rFonts w:ascii="Arial" w:cs="Arial" w:eastAsia="Arial" w:hAnsi="Arial"/>
          <w:sz w:val="17"/>
          <w:szCs w:val="17"/>
          <w:color w:val="auto"/>
        </w:rPr>
        <w:t>Amounts in this column represent the value of the holder’s accounts at the end of Fiscal 2016. With respect to the Key Executive Stock Deferral Plan, the amounts represent the value of stock units corresponding to shares of common stock held by the named executive officer based on $51.14 per share, the closing sales price of our common stock on the NYSE on December 30, 2016. All amounts in this column were reported as compensation in the “Summary Compensation Table” for prior years. Our named executive officers held the following number of stock units at the end of Fiscal 2016 in the Key Executive Stock Deferral Plan as follows: (a) Mr. Reagan, 9,577 and</w:t>
      </w:r>
    </w:p>
    <w:p>
      <w:pPr>
        <w:spacing w:after="0" w:line="2" w:lineRule="exact"/>
        <w:rPr>
          <w:rFonts w:ascii="Arial" w:cs="Arial" w:eastAsia="Arial" w:hAnsi="Arial"/>
          <w:sz w:val="17"/>
          <w:szCs w:val="17"/>
          <w:color w:val="auto"/>
        </w:rPr>
      </w:pPr>
    </w:p>
    <w:p>
      <w:pPr>
        <w:ind w:left="460"/>
        <w:spacing w:after="0"/>
        <w:rPr>
          <w:rFonts w:ascii="Arial" w:cs="Arial" w:eastAsia="Arial" w:hAnsi="Arial"/>
          <w:sz w:val="17"/>
          <w:szCs w:val="17"/>
          <w:color w:val="auto"/>
        </w:rPr>
      </w:pPr>
      <w:r>
        <w:rPr>
          <w:rFonts w:ascii="Arial" w:cs="Arial" w:eastAsia="Arial" w:hAnsi="Arial"/>
          <w:sz w:val="18"/>
          <w:szCs w:val="18"/>
          <w:color w:val="auto"/>
        </w:rPr>
        <w:t>(b) Mr. Maffeo, 22,593 and in the Management Stock Compensation Plan as follows: Ms. Allen, 1,707.</w:t>
      </w:r>
    </w:p>
    <w:p>
      <w:pPr>
        <w:spacing w:after="0" w:line="127" w:lineRule="exact"/>
        <w:rPr>
          <w:sz w:val="20"/>
          <w:szCs w:val="20"/>
          <w:color w:val="auto"/>
        </w:rPr>
      </w:pPr>
    </w:p>
    <w:p>
      <w:pPr>
        <w:ind w:left="9140"/>
        <w:spacing w:after="0"/>
        <w:tabs>
          <w:tab w:leader="none" w:pos="11000" w:val="left"/>
          <w:tab w:leader="none" w:pos="11220" w:val="left"/>
        </w:tabs>
        <w:rPr>
          <w:sz w:val="20"/>
          <w:szCs w:val="20"/>
          <w:color w:val="auto"/>
        </w:rPr>
      </w:pPr>
      <w:r>
        <w:rPr>
          <w:rFonts w:ascii="Arial" w:cs="Arial" w:eastAsia="Arial" w:hAnsi="Arial"/>
          <w:sz w:val="16"/>
          <w:szCs w:val="16"/>
          <w:b w:val="1"/>
          <w:bCs w:val="1"/>
          <w:color w:val="483E65"/>
        </w:rPr>
        <w:t>2017 Proxy Statement</w:t>
        <w:tab/>
        <w:t>|</w:t>
        <w:tab/>
        <w:t>45</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8" w:lineRule="exact"/>
        <w:rPr>
          <w:sz w:val="20"/>
          <w:szCs w:val="20"/>
          <w:color w:val="auto"/>
        </w:rPr>
      </w:pPr>
    </w:p>
    <w:p>
      <w:pPr>
        <w:spacing w:after="0"/>
        <w:rPr>
          <w:sz w:val="20"/>
          <w:szCs w:val="20"/>
          <w:color w:val="auto"/>
        </w:rPr>
      </w:pPr>
      <w:r>
        <w:rPr>
          <w:rFonts w:ascii="Arial" w:cs="Arial" w:eastAsia="Arial" w:hAnsi="Arial"/>
          <w:sz w:val="32"/>
          <w:szCs w:val="32"/>
          <w:color w:val="483E65"/>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149860</wp:posOffset>
            </wp:positionV>
            <wp:extent cx="724662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483E65"/>
        </w:rPr>
        <w:t>Potential Payments upon Termination or a Change in Control</w:t>
      </w:r>
    </w:p>
    <w:p>
      <w:pPr>
        <w:spacing w:after="0" w:line="212"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483E65"/>
        </w:rPr>
        <w:t>Roger A. Krone, Chief Executive Officer</w:t>
      </w:r>
    </w:p>
    <w:p>
      <w:pPr>
        <w:spacing w:after="0" w:line="234"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Mr. Krone’s employment agreement would provide severance benefits to him if his employment is terminated by us for reasons other than for cause, or by Mr. Krone for good reason. However, if such termination is within three months prior to or within 24 months after a change in control of the company (the “change in control period”), Mr. Krone would receive a higher level of benefits. In addition, Mr. Krone would be entitled to receive certain benefits and outplacement services in the event of a qualifying termination under his employment agreement. Finally, pursuant to the terms of the equity awards Mr. Krone received under the Leidos 2006 Equity Incentive Plan (“Equity Plan”), and the special provisions in his employment agreement applicable to Mr. Krone’s July 2014 grants upon hire, if Mr. Krone is terminated by us for reasons other than for cause, by him for good reason, or by reason of his death or disability, he would be entitled to accelerated vesting, or pro-rated vesting, of his long-term incentive awards, depending on whether the termination is during a change in control period. The chart below provides the amounts that Mr. Krone would be entitled to under these various termination scenarios. With respect to the “With Change in Control” scenarios, because the Transaction was considered a change in control (“CIC”) with respect to Mr. Krone’s employment agreement, but was not a CIC as defined in the Equity Plan or our Deferred Compensation programs, we have provided amounts under two hypothetical scenarios below. The first, in the column entitled “IS&amp;GS Transaction,” provides amounts under Mr. Krone’s agreement only. The second, in the column entitled “New Change in Control,” assumes a change in control scenario where the definition of CIC in both the Equity and Deferred Compensation Plans has been triggered as well as the definition in Mr. Krone’s agreement.</w:t>
      </w:r>
    </w:p>
    <w:p>
      <w:pPr>
        <w:spacing w:after="0" w:line="289"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483E65"/>
        </w:rPr>
        <w:t>Post-employment Payments — Mr. Krone</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4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460" w:type="dxa"/>
            <w:vAlign w:val="bottom"/>
            <w:gridSpan w:val="2"/>
          </w:tcPr>
          <w:p>
            <w:pPr>
              <w:jc w:val="right"/>
              <w:ind w:right="2"/>
              <w:spacing w:after="0"/>
              <w:rPr>
                <w:sz w:val="20"/>
                <w:szCs w:val="20"/>
                <w:color w:val="auto"/>
              </w:rPr>
            </w:pPr>
            <w:r>
              <w:rPr>
                <w:rFonts w:ascii="Arial" w:cs="Arial" w:eastAsia="Arial" w:hAnsi="Arial"/>
                <w:sz w:val="14"/>
                <w:szCs w:val="14"/>
                <w:color w:val="483E65"/>
                <w:w w:val="98"/>
              </w:rPr>
              <w:t>Involuntary Termination/ Good Reason</w:t>
            </w:r>
          </w:p>
        </w:tc>
        <w:tc>
          <w:tcPr>
            <w:tcW w:w="9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41"/>
        </w:trPr>
        <w:tc>
          <w:tcPr>
            <w:tcW w:w="34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2200" w:type="dxa"/>
            <w:vAlign w:val="bottom"/>
            <w:tcBorders>
              <w:bottom w:val="single" w:sz="8" w:color="483E65"/>
            </w:tcBorders>
            <w:gridSpan w:val="2"/>
          </w:tcPr>
          <w:p>
            <w:pPr>
              <w:spacing w:after="0"/>
              <w:rPr>
                <w:sz w:val="3"/>
                <w:szCs w:val="3"/>
                <w:color w:val="auto"/>
              </w:rPr>
            </w:pPr>
          </w:p>
        </w:tc>
        <w:tc>
          <w:tcPr>
            <w:tcW w:w="2320" w:type="dxa"/>
            <w:vAlign w:val="bottom"/>
            <w:tcBorders>
              <w:bottom w:val="single" w:sz="8" w:color="483E65"/>
            </w:tcBorders>
            <w:gridSpan w:val="2"/>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156"/>
        </w:trPr>
        <w:tc>
          <w:tcPr>
            <w:tcW w:w="34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200" w:type="dxa"/>
            <w:vAlign w:val="bottom"/>
            <w:gridSpan w:val="2"/>
          </w:tcPr>
          <w:p>
            <w:pPr>
              <w:jc w:val="right"/>
              <w:ind w:right="204"/>
              <w:spacing w:after="0" w:line="156" w:lineRule="exact"/>
              <w:rPr>
                <w:sz w:val="20"/>
                <w:szCs w:val="20"/>
                <w:color w:val="auto"/>
              </w:rPr>
            </w:pPr>
            <w:r>
              <w:rPr>
                <w:rFonts w:ascii="Arial" w:cs="Arial" w:eastAsia="Arial" w:hAnsi="Arial"/>
                <w:sz w:val="14"/>
                <w:szCs w:val="14"/>
                <w:color w:val="483E65"/>
              </w:rPr>
              <w:t>Without Change in Control</w:t>
            </w:r>
          </w:p>
        </w:tc>
        <w:tc>
          <w:tcPr>
            <w:tcW w:w="2320" w:type="dxa"/>
            <w:vAlign w:val="bottom"/>
            <w:gridSpan w:val="2"/>
          </w:tcPr>
          <w:p>
            <w:pPr>
              <w:jc w:val="right"/>
              <w:ind w:right="362"/>
              <w:spacing w:after="0" w:line="156" w:lineRule="exact"/>
              <w:rPr>
                <w:sz w:val="20"/>
                <w:szCs w:val="20"/>
                <w:color w:val="auto"/>
              </w:rPr>
            </w:pPr>
            <w:r>
              <w:rPr>
                <w:rFonts w:ascii="Arial" w:cs="Arial" w:eastAsia="Arial" w:hAnsi="Arial"/>
                <w:sz w:val="14"/>
                <w:szCs w:val="14"/>
                <w:color w:val="483E65"/>
              </w:rPr>
              <w:t>With Change in Control</w:t>
            </w: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40"/>
        </w:trPr>
        <w:tc>
          <w:tcPr>
            <w:tcW w:w="34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080" w:type="dxa"/>
            <w:vAlign w:val="bottom"/>
            <w:tcBorders>
              <w:bottom w:val="single" w:sz="8" w:color="483E65"/>
            </w:tcBorders>
          </w:tcPr>
          <w:p>
            <w:pPr>
              <w:spacing w:after="0"/>
              <w:rPr>
                <w:sz w:val="3"/>
                <w:szCs w:val="3"/>
                <w:color w:val="auto"/>
              </w:rPr>
            </w:pPr>
          </w:p>
        </w:tc>
        <w:tc>
          <w:tcPr>
            <w:tcW w:w="1120" w:type="dxa"/>
            <w:vAlign w:val="bottom"/>
            <w:tcBorders>
              <w:bottom w:val="single" w:sz="8" w:color="483E65"/>
            </w:tcBorders>
          </w:tcPr>
          <w:p>
            <w:pPr>
              <w:spacing w:after="0"/>
              <w:rPr>
                <w:sz w:val="3"/>
                <w:szCs w:val="3"/>
                <w:color w:val="auto"/>
              </w:rPr>
            </w:pPr>
          </w:p>
        </w:tc>
        <w:tc>
          <w:tcPr>
            <w:tcW w:w="1340" w:type="dxa"/>
            <w:vAlign w:val="bottom"/>
            <w:tcBorders>
              <w:bottom w:val="single" w:sz="8" w:color="483E65"/>
            </w:tcBorders>
          </w:tcPr>
          <w:p>
            <w:pPr>
              <w:spacing w:after="0"/>
              <w:rPr>
                <w:sz w:val="3"/>
                <w:szCs w:val="3"/>
                <w:color w:val="auto"/>
              </w:rPr>
            </w:pPr>
          </w:p>
        </w:tc>
        <w:tc>
          <w:tcPr>
            <w:tcW w:w="980" w:type="dxa"/>
            <w:vAlign w:val="bottom"/>
            <w:tcBorders>
              <w:bottom w:val="single" w:sz="8" w:color="483E65"/>
            </w:tcBorders>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141"/>
        </w:trPr>
        <w:tc>
          <w:tcPr>
            <w:tcW w:w="34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20" w:type="dxa"/>
            <w:vAlign w:val="bottom"/>
          </w:tcPr>
          <w:p>
            <w:pPr>
              <w:jc w:val="center"/>
              <w:spacing w:after="0" w:line="141" w:lineRule="exact"/>
              <w:rPr>
                <w:sz w:val="20"/>
                <w:szCs w:val="20"/>
                <w:color w:val="auto"/>
              </w:rPr>
            </w:pPr>
            <w:r>
              <w:rPr>
                <w:rFonts w:ascii="Arial" w:cs="Arial" w:eastAsia="Arial" w:hAnsi="Arial"/>
                <w:sz w:val="14"/>
                <w:szCs w:val="14"/>
                <w:color w:val="483E65"/>
                <w:w w:val="96"/>
              </w:rPr>
              <w:t>Without</w:t>
            </w:r>
          </w:p>
        </w:tc>
        <w:tc>
          <w:tcPr>
            <w:tcW w:w="13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r>
      <w:tr>
        <w:trPr>
          <w:trHeight w:val="149"/>
        </w:trPr>
        <w:tc>
          <w:tcPr>
            <w:tcW w:w="34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color w:val="483E65"/>
                <w:w w:val="95"/>
              </w:rPr>
              <w:t>Cause/ for</w:t>
            </w:r>
          </w:p>
        </w:tc>
        <w:tc>
          <w:tcPr>
            <w:tcW w:w="134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color w:val="483E65"/>
                <w:w w:val="99"/>
              </w:rPr>
              <w:t>New</w:t>
            </w: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r>
      <w:tr>
        <w:trPr>
          <w:trHeight w:val="149"/>
        </w:trPr>
        <w:tc>
          <w:tcPr>
            <w:tcW w:w="3480" w:type="dxa"/>
            <w:vAlign w:val="bottom"/>
          </w:tcPr>
          <w:p>
            <w:pPr>
              <w:ind w:left="80"/>
              <w:spacing w:after="0" w:line="149" w:lineRule="exact"/>
              <w:rPr>
                <w:sz w:val="20"/>
                <w:szCs w:val="20"/>
                <w:color w:val="auto"/>
              </w:rPr>
            </w:pPr>
            <w:r>
              <w:rPr>
                <w:rFonts w:ascii="Arial" w:cs="Arial" w:eastAsia="Arial" w:hAnsi="Arial"/>
                <w:sz w:val="14"/>
                <w:szCs w:val="14"/>
                <w:color w:val="483E65"/>
              </w:rPr>
              <w:t>Executive Payments and Benefits</w:t>
            </w:r>
          </w:p>
        </w:tc>
        <w:tc>
          <w:tcPr>
            <w:tcW w:w="1240" w:type="dxa"/>
            <w:vAlign w:val="bottom"/>
          </w:tcPr>
          <w:p>
            <w:pPr>
              <w:jc w:val="right"/>
              <w:ind w:right="141"/>
              <w:spacing w:after="0" w:line="149" w:lineRule="exact"/>
              <w:rPr>
                <w:sz w:val="20"/>
                <w:szCs w:val="20"/>
                <w:color w:val="auto"/>
              </w:rPr>
            </w:pPr>
            <w:r>
              <w:rPr>
                <w:rFonts w:ascii="Arial" w:cs="Arial" w:eastAsia="Arial" w:hAnsi="Arial"/>
                <w:sz w:val="14"/>
                <w:szCs w:val="14"/>
                <w:color w:val="483E65"/>
              </w:rPr>
              <w:t>Voluntary</w:t>
            </w:r>
          </w:p>
        </w:tc>
        <w:tc>
          <w:tcPr>
            <w:tcW w:w="108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color w:val="483E65"/>
                <w:w w:val="93"/>
              </w:rPr>
              <w:t>Good</w:t>
            </w:r>
          </w:p>
        </w:tc>
        <w:tc>
          <w:tcPr>
            <w:tcW w:w="1340" w:type="dxa"/>
            <w:vAlign w:val="bottom"/>
          </w:tcPr>
          <w:p>
            <w:pPr>
              <w:jc w:val="right"/>
              <w:ind w:right="422"/>
              <w:spacing w:after="0" w:line="149" w:lineRule="exact"/>
              <w:rPr>
                <w:sz w:val="20"/>
                <w:szCs w:val="20"/>
                <w:color w:val="auto"/>
              </w:rPr>
            </w:pPr>
            <w:r>
              <w:rPr>
                <w:rFonts w:ascii="Arial" w:cs="Arial" w:eastAsia="Arial" w:hAnsi="Arial"/>
                <w:sz w:val="14"/>
                <w:szCs w:val="14"/>
                <w:color w:val="483E65"/>
              </w:rPr>
              <w:t>IS&amp;GS</w:t>
            </w:r>
          </w:p>
        </w:tc>
        <w:tc>
          <w:tcPr>
            <w:tcW w:w="980" w:type="dxa"/>
            <w:vAlign w:val="bottom"/>
          </w:tcPr>
          <w:p>
            <w:pPr>
              <w:jc w:val="center"/>
              <w:spacing w:after="0" w:line="149" w:lineRule="exact"/>
              <w:rPr>
                <w:sz w:val="20"/>
                <w:szCs w:val="20"/>
                <w:color w:val="auto"/>
              </w:rPr>
            </w:pPr>
            <w:r>
              <w:rPr>
                <w:rFonts w:ascii="Arial" w:cs="Arial" w:eastAsia="Arial" w:hAnsi="Arial"/>
                <w:sz w:val="14"/>
                <w:szCs w:val="14"/>
                <w:color w:val="483E65"/>
                <w:w w:val="93"/>
              </w:rPr>
              <w:t>Change in</w:t>
            </w: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r>
      <w:tr>
        <w:trPr>
          <w:trHeight w:val="162"/>
        </w:trPr>
        <w:tc>
          <w:tcPr>
            <w:tcW w:w="3480" w:type="dxa"/>
            <w:vAlign w:val="bottom"/>
          </w:tcPr>
          <w:p>
            <w:pPr>
              <w:ind w:left="80"/>
              <w:spacing w:after="0"/>
              <w:rPr>
                <w:sz w:val="20"/>
                <w:szCs w:val="20"/>
                <w:color w:val="auto"/>
              </w:rPr>
            </w:pPr>
            <w:r>
              <w:rPr>
                <w:rFonts w:ascii="Arial" w:cs="Arial" w:eastAsia="Arial" w:hAnsi="Arial"/>
                <w:sz w:val="14"/>
                <w:szCs w:val="14"/>
                <w:color w:val="483E65"/>
              </w:rPr>
              <w:t>upon Termination or Change in Control</w:t>
            </w:r>
          </w:p>
        </w:tc>
        <w:tc>
          <w:tcPr>
            <w:tcW w:w="1240" w:type="dxa"/>
            <w:vAlign w:val="bottom"/>
          </w:tcPr>
          <w:p>
            <w:pPr>
              <w:jc w:val="right"/>
              <w:spacing w:after="0"/>
              <w:rPr>
                <w:sz w:val="20"/>
                <w:szCs w:val="20"/>
                <w:color w:val="auto"/>
              </w:rPr>
            </w:pPr>
            <w:r>
              <w:rPr>
                <w:rFonts w:ascii="Arial" w:cs="Arial" w:eastAsia="Arial" w:hAnsi="Arial"/>
                <w:sz w:val="14"/>
                <w:szCs w:val="14"/>
                <w:color w:val="483E65"/>
              </w:rPr>
              <w:t>Termination ($)</w:t>
            </w:r>
          </w:p>
        </w:tc>
        <w:tc>
          <w:tcPr>
            <w:tcW w:w="1080" w:type="dxa"/>
            <w:vAlign w:val="bottom"/>
          </w:tcPr>
          <w:p>
            <w:pPr>
              <w:jc w:val="right"/>
              <w:ind w:right="1"/>
              <w:spacing w:after="0"/>
              <w:rPr>
                <w:sz w:val="20"/>
                <w:szCs w:val="20"/>
                <w:color w:val="auto"/>
              </w:rPr>
            </w:pPr>
            <w:r>
              <w:rPr>
                <w:rFonts w:ascii="Arial" w:cs="Arial" w:eastAsia="Arial" w:hAnsi="Arial"/>
                <w:sz w:val="14"/>
                <w:szCs w:val="14"/>
                <w:color w:val="483E65"/>
              </w:rPr>
              <w:t>For Cause ($)</w:t>
            </w:r>
          </w:p>
        </w:tc>
        <w:tc>
          <w:tcPr>
            <w:tcW w:w="1120" w:type="dxa"/>
            <w:vAlign w:val="bottom"/>
          </w:tcPr>
          <w:p>
            <w:pPr>
              <w:jc w:val="center"/>
              <w:spacing w:after="0"/>
              <w:rPr>
                <w:sz w:val="20"/>
                <w:szCs w:val="20"/>
                <w:color w:val="auto"/>
              </w:rPr>
            </w:pPr>
            <w:r>
              <w:rPr>
                <w:rFonts w:ascii="Arial" w:cs="Arial" w:eastAsia="Arial" w:hAnsi="Arial"/>
                <w:sz w:val="14"/>
                <w:szCs w:val="14"/>
                <w:color w:val="483E65"/>
                <w:w w:val="96"/>
              </w:rPr>
              <w:t xml:space="preserve">Reason ($) </w:t>
            </w:r>
            <w:r>
              <w:rPr>
                <w:rFonts w:ascii="Arial" w:cs="Arial" w:eastAsia="Arial" w:hAnsi="Arial"/>
                <w:sz w:val="11"/>
                <w:szCs w:val="11"/>
                <w:color w:val="483E65"/>
                <w:w w:val="96"/>
              </w:rPr>
              <w:t>(1)</w:t>
            </w:r>
          </w:p>
        </w:tc>
        <w:tc>
          <w:tcPr>
            <w:tcW w:w="1340" w:type="dxa"/>
            <w:vAlign w:val="bottom"/>
          </w:tcPr>
          <w:p>
            <w:pPr>
              <w:jc w:val="right"/>
              <w:ind w:right="102"/>
              <w:spacing w:after="0"/>
              <w:rPr>
                <w:sz w:val="20"/>
                <w:szCs w:val="20"/>
                <w:color w:val="auto"/>
              </w:rPr>
            </w:pPr>
            <w:r>
              <w:rPr>
                <w:rFonts w:ascii="Arial" w:cs="Arial" w:eastAsia="Arial" w:hAnsi="Arial"/>
                <w:sz w:val="14"/>
                <w:szCs w:val="14"/>
                <w:color w:val="483E65"/>
              </w:rPr>
              <w:t>Transaction ($)</w:t>
            </w:r>
            <w:r>
              <w:rPr>
                <w:rFonts w:ascii="Arial" w:cs="Arial" w:eastAsia="Arial" w:hAnsi="Arial"/>
                <w:sz w:val="11"/>
                <w:szCs w:val="11"/>
                <w:color w:val="483E65"/>
              </w:rPr>
              <w:t>(2)</w:t>
            </w:r>
          </w:p>
        </w:tc>
        <w:tc>
          <w:tcPr>
            <w:tcW w:w="980" w:type="dxa"/>
            <w:vAlign w:val="bottom"/>
          </w:tcPr>
          <w:p>
            <w:pPr>
              <w:jc w:val="center"/>
              <w:spacing w:after="0"/>
              <w:rPr>
                <w:sz w:val="20"/>
                <w:szCs w:val="20"/>
                <w:color w:val="auto"/>
              </w:rPr>
            </w:pPr>
            <w:r>
              <w:rPr>
                <w:rFonts w:ascii="Arial" w:cs="Arial" w:eastAsia="Arial" w:hAnsi="Arial"/>
                <w:sz w:val="14"/>
                <w:szCs w:val="14"/>
                <w:color w:val="483E65"/>
                <w:w w:val="95"/>
              </w:rPr>
              <w:t>Control ($)</w:t>
            </w:r>
            <w:r>
              <w:rPr>
                <w:rFonts w:ascii="Arial" w:cs="Arial" w:eastAsia="Arial" w:hAnsi="Arial"/>
                <w:sz w:val="11"/>
                <w:szCs w:val="11"/>
                <w:color w:val="483E65"/>
                <w:w w:val="95"/>
              </w:rPr>
              <w:t>(3)</w:t>
            </w:r>
          </w:p>
        </w:tc>
        <w:tc>
          <w:tcPr>
            <w:tcW w:w="1080" w:type="dxa"/>
            <w:vAlign w:val="bottom"/>
          </w:tcPr>
          <w:p>
            <w:pPr>
              <w:jc w:val="right"/>
              <w:ind w:right="120"/>
              <w:spacing w:after="0"/>
              <w:rPr>
                <w:sz w:val="20"/>
                <w:szCs w:val="20"/>
                <w:color w:val="auto"/>
              </w:rPr>
            </w:pPr>
            <w:r>
              <w:rPr>
                <w:rFonts w:ascii="Arial" w:cs="Arial" w:eastAsia="Arial" w:hAnsi="Arial"/>
                <w:sz w:val="14"/>
                <w:szCs w:val="14"/>
                <w:color w:val="483E65"/>
              </w:rPr>
              <w:t>Death ($)</w:t>
            </w:r>
          </w:p>
        </w:tc>
        <w:tc>
          <w:tcPr>
            <w:tcW w:w="1100" w:type="dxa"/>
            <w:vAlign w:val="bottom"/>
          </w:tcPr>
          <w:p>
            <w:pPr>
              <w:jc w:val="right"/>
              <w:ind w:right="140"/>
              <w:spacing w:after="0"/>
              <w:rPr>
                <w:sz w:val="20"/>
                <w:szCs w:val="20"/>
                <w:color w:val="auto"/>
              </w:rPr>
            </w:pPr>
            <w:r>
              <w:rPr>
                <w:rFonts w:ascii="Arial" w:cs="Arial" w:eastAsia="Arial" w:hAnsi="Arial"/>
                <w:sz w:val="14"/>
                <w:szCs w:val="14"/>
                <w:color w:val="483E65"/>
              </w:rPr>
              <w:t>Disability ($)</w:t>
            </w:r>
          </w:p>
        </w:tc>
      </w:tr>
      <w:tr>
        <w:trPr>
          <w:trHeight w:val="41"/>
        </w:trPr>
        <w:tc>
          <w:tcPr>
            <w:tcW w:w="3480" w:type="dxa"/>
            <w:vAlign w:val="bottom"/>
            <w:tcBorders>
              <w:bottom w:val="single" w:sz="8" w:color="483E65"/>
            </w:tcBorders>
          </w:tcPr>
          <w:p>
            <w:pPr>
              <w:spacing w:after="0"/>
              <w:rPr>
                <w:sz w:val="3"/>
                <w:szCs w:val="3"/>
                <w:color w:val="auto"/>
              </w:rPr>
            </w:pPr>
          </w:p>
        </w:tc>
        <w:tc>
          <w:tcPr>
            <w:tcW w:w="1240" w:type="dxa"/>
            <w:vAlign w:val="bottom"/>
            <w:tcBorders>
              <w:bottom w:val="single" w:sz="8" w:color="483E65"/>
            </w:tcBorders>
          </w:tcPr>
          <w:p>
            <w:pPr>
              <w:spacing w:after="0"/>
              <w:rPr>
                <w:sz w:val="3"/>
                <w:szCs w:val="3"/>
                <w:color w:val="auto"/>
              </w:rPr>
            </w:pPr>
          </w:p>
        </w:tc>
        <w:tc>
          <w:tcPr>
            <w:tcW w:w="1080" w:type="dxa"/>
            <w:vAlign w:val="bottom"/>
            <w:tcBorders>
              <w:bottom w:val="single" w:sz="8" w:color="483E65"/>
            </w:tcBorders>
          </w:tcPr>
          <w:p>
            <w:pPr>
              <w:spacing w:after="0"/>
              <w:rPr>
                <w:sz w:val="3"/>
                <w:szCs w:val="3"/>
                <w:color w:val="auto"/>
              </w:rPr>
            </w:pPr>
          </w:p>
        </w:tc>
        <w:tc>
          <w:tcPr>
            <w:tcW w:w="1120" w:type="dxa"/>
            <w:vAlign w:val="bottom"/>
            <w:tcBorders>
              <w:bottom w:val="single" w:sz="8" w:color="483E65"/>
            </w:tcBorders>
          </w:tcPr>
          <w:p>
            <w:pPr>
              <w:spacing w:after="0"/>
              <w:rPr>
                <w:sz w:val="3"/>
                <w:szCs w:val="3"/>
                <w:color w:val="auto"/>
              </w:rPr>
            </w:pPr>
          </w:p>
        </w:tc>
        <w:tc>
          <w:tcPr>
            <w:tcW w:w="1340" w:type="dxa"/>
            <w:vAlign w:val="bottom"/>
            <w:tcBorders>
              <w:bottom w:val="single" w:sz="8" w:color="483E65"/>
            </w:tcBorders>
          </w:tcPr>
          <w:p>
            <w:pPr>
              <w:spacing w:after="0"/>
              <w:rPr>
                <w:sz w:val="3"/>
                <w:szCs w:val="3"/>
                <w:color w:val="auto"/>
              </w:rPr>
            </w:pPr>
          </w:p>
        </w:tc>
        <w:tc>
          <w:tcPr>
            <w:tcW w:w="980" w:type="dxa"/>
            <w:vAlign w:val="bottom"/>
            <w:tcBorders>
              <w:bottom w:val="single" w:sz="8" w:color="483E65"/>
            </w:tcBorders>
          </w:tcPr>
          <w:p>
            <w:pPr>
              <w:spacing w:after="0"/>
              <w:rPr>
                <w:sz w:val="3"/>
                <w:szCs w:val="3"/>
                <w:color w:val="auto"/>
              </w:rPr>
            </w:pPr>
          </w:p>
        </w:tc>
        <w:tc>
          <w:tcPr>
            <w:tcW w:w="1080" w:type="dxa"/>
            <w:vAlign w:val="bottom"/>
            <w:tcBorders>
              <w:bottom w:val="single" w:sz="8" w:color="483E65"/>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183"/>
        </w:trPr>
        <w:tc>
          <w:tcPr>
            <w:tcW w:w="3480" w:type="dxa"/>
            <w:vAlign w:val="bottom"/>
          </w:tcPr>
          <w:p>
            <w:pPr>
              <w:ind w:left="100"/>
              <w:spacing w:after="0" w:line="183" w:lineRule="exact"/>
              <w:rPr>
                <w:sz w:val="20"/>
                <w:szCs w:val="20"/>
                <w:color w:val="auto"/>
              </w:rPr>
            </w:pPr>
            <w:r>
              <w:rPr>
                <w:rFonts w:ascii="Arial" w:cs="Arial" w:eastAsia="Arial" w:hAnsi="Arial"/>
                <w:sz w:val="16"/>
                <w:szCs w:val="16"/>
                <w:b w:val="1"/>
                <w:bCs w:val="1"/>
                <w:color w:val="auto"/>
              </w:rPr>
              <w:t>Compensation:</w:t>
            </w:r>
          </w:p>
        </w:tc>
        <w:tc>
          <w:tcPr>
            <w:tcW w:w="1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89"/>
        </w:trPr>
        <w:tc>
          <w:tcPr>
            <w:tcW w:w="3480" w:type="dxa"/>
            <w:vAlign w:val="bottom"/>
            <w:shd w:val="clear" w:color="auto" w:fill="ACABA7"/>
          </w:tcPr>
          <w:p>
            <w:pPr>
              <w:ind w:left="280"/>
              <w:spacing w:after="0" w:line="189" w:lineRule="exact"/>
              <w:rPr>
                <w:sz w:val="20"/>
                <w:szCs w:val="20"/>
                <w:color w:val="auto"/>
              </w:rPr>
            </w:pPr>
            <w:r>
              <w:rPr>
                <w:rFonts w:ascii="Arial" w:cs="Arial" w:eastAsia="Arial" w:hAnsi="Arial"/>
                <w:sz w:val="13"/>
                <w:szCs w:val="13"/>
                <w:color w:val="auto"/>
              </w:rPr>
              <w:t>Severance (Salary and Bonus)</w:t>
            </w:r>
            <w:r>
              <w:rPr>
                <w:rFonts w:ascii="Arial" w:cs="Arial" w:eastAsia="Arial" w:hAnsi="Arial"/>
                <w:sz w:val="21"/>
                <w:szCs w:val="21"/>
                <w:color w:val="auto"/>
                <w:vertAlign w:val="superscript"/>
              </w:rPr>
              <w:t>(4)</w:t>
            </w:r>
          </w:p>
        </w:tc>
        <w:tc>
          <w:tcPr>
            <w:tcW w:w="1240" w:type="dxa"/>
            <w:vAlign w:val="bottom"/>
            <w:shd w:val="clear" w:color="auto" w:fill="ACABA7"/>
          </w:tcPr>
          <w:p>
            <w:pPr>
              <w:jc w:val="right"/>
              <w:spacing w:after="0"/>
              <w:rPr>
                <w:sz w:val="20"/>
                <w:szCs w:val="20"/>
                <w:color w:val="auto"/>
              </w:rPr>
            </w:pPr>
            <w:r>
              <w:rPr>
                <w:rFonts w:ascii="Arial" w:cs="Arial" w:eastAsia="Arial" w:hAnsi="Arial"/>
                <w:sz w:val="16"/>
                <w:szCs w:val="16"/>
                <w:color w:val="auto"/>
              </w:rPr>
              <w:t>—</w:t>
            </w:r>
          </w:p>
        </w:tc>
        <w:tc>
          <w:tcPr>
            <w:tcW w:w="1080" w:type="dxa"/>
            <w:vAlign w:val="bottom"/>
            <w:shd w:val="clear" w:color="auto" w:fill="ACABA7"/>
          </w:tcPr>
          <w:p>
            <w:pPr>
              <w:jc w:val="right"/>
              <w:ind w:right="1"/>
              <w:spacing w:after="0"/>
              <w:rPr>
                <w:sz w:val="20"/>
                <w:szCs w:val="20"/>
                <w:color w:val="auto"/>
              </w:rPr>
            </w:pPr>
            <w:r>
              <w:rPr>
                <w:rFonts w:ascii="Arial" w:cs="Arial" w:eastAsia="Arial" w:hAnsi="Arial"/>
                <w:sz w:val="16"/>
                <w:szCs w:val="16"/>
                <w:color w:val="auto"/>
              </w:rPr>
              <w:t>—</w:t>
            </w:r>
          </w:p>
        </w:tc>
        <w:tc>
          <w:tcPr>
            <w:tcW w:w="1120" w:type="dxa"/>
            <w:vAlign w:val="bottom"/>
            <w:shd w:val="clear" w:color="auto" w:fill="ACABA7"/>
          </w:tcPr>
          <w:p>
            <w:pPr>
              <w:jc w:val="right"/>
              <w:ind w:right="24"/>
              <w:spacing w:after="0"/>
              <w:rPr>
                <w:sz w:val="20"/>
                <w:szCs w:val="20"/>
                <w:color w:val="auto"/>
              </w:rPr>
            </w:pPr>
            <w:r>
              <w:rPr>
                <w:rFonts w:ascii="Arial" w:cs="Arial" w:eastAsia="Arial" w:hAnsi="Arial"/>
                <w:sz w:val="16"/>
                <w:szCs w:val="16"/>
                <w:color w:val="auto"/>
              </w:rPr>
              <w:t>2,300,000</w:t>
            </w:r>
          </w:p>
        </w:tc>
        <w:tc>
          <w:tcPr>
            <w:tcW w:w="1340" w:type="dxa"/>
            <w:vAlign w:val="bottom"/>
            <w:shd w:val="clear" w:color="auto" w:fill="ACABA7"/>
          </w:tcPr>
          <w:p>
            <w:pPr>
              <w:jc w:val="right"/>
              <w:ind w:right="102"/>
              <w:spacing w:after="0"/>
              <w:rPr>
                <w:sz w:val="20"/>
                <w:szCs w:val="20"/>
                <w:color w:val="auto"/>
              </w:rPr>
            </w:pPr>
            <w:r>
              <w:rPr>
                <w:rFonts w:ascii="Arial" w:cs="Arial" w:eastAsia="Arial" w:hAnsi="Arial"/>
                <w:sz w:val="16"/>
                <w:szCs w:val="16"/>
                <w:color w:val="auto"/>
              </w:rPr>
              <w:t>5,750,000</w:t>
            </w:r>
          </w:p>
        </w:tc>
        <w:tc>
          <w:tcPr>
            <w:tcW w:w="980" w:type="dxa"/>
            <w:vAlign w:val="bottom"/>
            <w:shd w:val="clear" w:color="auto" w:fill="ACABA7"/>
          </w:tcPr>
          <w:p>
            <w:pPr>
              <w:jc w:val="right"/>
              <w:spacing w:after="0"/>
              <w:rPr>
                <w:sz w:val="20"/>
                <w:szCs w:val="20"/>
                <w:color w:val="auto"/>
              </w:rPr>
            </w:pPr>
            <w:r>
              <w:rPr>
                <w:rFonts w:ascii="Arial" w:cs="Arial" w:eastAsia="Arial" w:hAnsi="Arial"/>
                <w:sz w:val="16"/>
                <w:szCs w:val="16"/>
                <w:color w:val="auto"/>
              </w:rPr>
              <w:t>5,750,000</w:t>
            </w:r>
          </w:p>
        </w:tc>
        <w:tc>
          <w:tcPr>
            <w:tcW w:w="1080" w:type="dxa"/>
            <w:vAlign w:val="bottom"/>
            <w:shd w:val="clear" w:color="auto" w:fill="ACABA7"/>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ACABA7"/>
          </w:tcPr>
          <w:p>
            <w:pPr>
              <w:jc w:val="right"/>
              <w:ind w:right="80"/>
              <w:spacing w:after="0"/>
              <w:rPr>
                <w:sz w:val="20"/>
                <w:szCs w:val="20"/>
                <w:color w:val="auto"/>
              </w:rPr>
            </w:pPr>
            <w:r>
              <w:rPr>
                <w:rFonts w:ascii="Arial" w:cs="Arial" w:eastAsia="Arial" w:hAnsi="Arial"/>
                <w:sz w:val="16"/>
                <w:szCs w:val="16"/>
                <w:color w:val="auto"/>
              </w:rPr>
              <w:t>—</w:t>
            </w:r>
          </w:p>
        </w:tc>
      </w:tr>
      <w:tr>
        <w:trPr>
          <w:trHeight w:val="189"/>
        </w:trPr>
        <w:tc>
          <w:tcPr>
            <w:tcW w:w="3480" w:type="dxa"/>
            <w:vAlign w:val="bottom"/>
          </w:tcPr>
          <w:p>
            <w:pPr>
              <w:ind w:left="280"/>
              <w:spacing w:after="0" w:line="189" w:lineRule="exact"/>
              <w:rPr>
                <w:sz w:val="20"/>
                <w:szCs w:val="20"/>
                <w:color w:val="auto"/>
              </w:rPr>
            </w:pPr>
            <w:r>
              <w:rPr>
                <w:rFonts w:ascii="Arial" w:cs="Arial" w:eastAsia="Arial" w:hAnsi="Arial"/>
                <w:sz w:val="13"/>
                <w:szCs w:val="13"/>
                <w:color w:val="auto"/>
              </w:rPr>
              <w:t>Pro-rata Bonus</w:t>
            </w:r>
            <w:r>
              <w:rPr>
                <w:rFonts w:ascii="Arial" w:cs="Arial" w:eastAsia="Arial" w:hAnsi="Arial"/>
                <w:sz w:val="21"/>
                <w:szCs w:val="21"/>
                <w:color w:val="auto"/>
                <w:vertAlign w:val="superscript"/>
              </w:rPr>
              <w:t>(5)</w:t>
            </w: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24"/>
              <w:spacing w:after="0"/>
              <w:rPr>
                <w:sz w:val="20"/>
                <w:szCs w:val="20"/>
                <w:color w:val="auto"/>
              </w:rPr>
            </w:pPr>
            <w:r>
              <w:rPr>
                <w:rFonts w:ascii="Arial" w:cs="Arial" w:eastAsia="Arial" w:hAnsi="Arial"/>
                <w:sz w:val="16"/>
                <w:szCs w:val="16"/>
                <w:color w:val="auto"/>
              </w:rPr>
              <w:t>1,638,000</w:t>
            </w:r>
          </w:p>
        </w:tc>
        <w:tc>
          <w:tcPr>
            <w:tcW w:w="1340" w:type="dxa"/>
            <w:vAlign w:val="bottom"/>
          </w:tcPr>
          <w:p>
            <w:pPr>
              <w:jc w:val="right"/>
              <w:ind w:right="102"/>
              <w:spacing w:after="0"/>
              <w:rPr>
                <w:sz w:val="20"/>
                <w:szCs w:val="20"/>
                <w:color w:val="auto"/>
              </w:rPr>
            </w:pPr>
            <w:r>
              <w:rPr>
                <w:rFonts w:ascii="Arial" w:cs="Arial" w:eastAsia="Arial" w:hAnsi="Arial"/>
                <w:sz w:val="16"/>
                <w:szCs w:val="16"/>
                <w:color w:val="auto"/>
              </w:rPr>
              <w:t>1,638,000</w:t>
            </w:r>
          </w:p>
        </w:tc>
        <w:tc>
          <w:tcPr>
            <w:tcW w:w="980" w:type="dxa"/>
            <w:vAlign w:val="bottom"/>
          </w:tcPr>
          <w:p>
            <w:pPr>
              <w:jc w:val="right"/>
              <w:spacing w:after="0"/>
              <w:rPr>
                <w:sz w:val="20"/>
                <w:szCs w:val="20"/>
                <w:color w:val="auto"/>
              </w:rPr>
            </w:pPr>
            <w:r>
              <w:rPr>
                <w:rFonts w:ascii="Arial" w:cs="Arial" w:eastAsia="Arial" w:hAnsi="Arial"/>
                <w:sz w:val="16"/>
                <w:szCs w:val="16"/>
                <w:color w:val="auto"/>
              </w:rPr>
              <w:t>1,638,000</w:t>
            </w:r>
          </w:p>
        </w:tc>
        <w:tc>
          <w:tcPr>
            <w:tcW w:w="1080" w:type="dxa"/>
            <w:vAlign w:val="bottom"/>
          </w:tcPr>
          <w:p>
            <w:pPr>
              <w:jc w:val="right"/>
              <w:spacing w:after="0"/>
              <w:rPr>
                <w:sz w:val="20"/>
                <w:szCs w:val="20"/>
                <w:color w:val="auto"/>
              </w:rPr>
            </w:pPr>
            <w:r>
              <w:rPr>
                <w:rFonts w:ascii="Arial" w:cs="Arial" w:eastAsia="Arial" w:hAnsi="Arial"/>
                <w:sz w:val="16"/>
                <w:szCs w:val="16"/>
                <w:color w:val="auto"/>
              </w:rPr>
              <w:t>1,638,000</w:t>
            </w:r>
          </w:p>
        </w:tc>
        <w:tc>
          <w:tcPr>
            <w:tcW w:w="1100" w:type="dxa"/>
            <w:vAlign w:val="bottom"/>
          </w:tcPr>
          <w:p>
            <w:pPr>
              <w:jc w:val="right"/>
              <w:ind w:right="80"/>
              <w:spacing w:after="0"/>
              <w:rPr>
                <w:sz w:val="20"/>
                <w:szCs w:val="20"/>
                <w:color w:val="auto"/>
              </w:rPr>
            </w:pPr>
            <w:r>
              <w:rPr>
                <w:rFonts w:ascii="Arial" w:cs="Arial" w:eastAsia="Arial" w:hAnsi="Arial"/>
                <w:sz w:val="16"/>
                <w:szCs w:val="16"/>
                <w:color w:val="auto"/>
              </w:rPr>
              <w:t>1,638,000</w:t>
            </w:r>
          </w:p>
        </w:tc>
      </w:tr>
      <w:tr>
        <w:trPr>
          <w:trHeight w:val="189"/>
        </w:trPr>
        <w:tc>
          <w:tcPr>
            <w:tcW w:w="3480" w:type="dxa"/>
            <w:vAlign w:val="bottom"/>
            <w:shd w:val="clear" w:color="auto" w:fill="ACABA7"/>
          </w:tcPr>
          <w:p>
            <w:pPr>
              <w:ind w:left="100"/>
              <w:spacing w:after="0"/>
              <w:rPr>
                <w:sz w:val="20"/>
                <w:szCs w:val="20"/>
                <w:color w:val="auto"/>
              </w:rPr>
            </w:pPr>
            <w:r>
              <w:rPr>
                <w:rFonts w:ascii="Arial" w:cs="Arial" w:eastAsia="Arial" w:hAnsi="Arial"/>
                <w:sz w:val="16"/>
                <w:szCs w:val="16"/>
                <w:b w:val="1"/>
                <w:bCs w:val="1"/>
                <w:color w:val="auto"/>
              </w:rPr>
              <w:t>Long-term Incentives:</w:t>
            </w:r>
          </w:p>
        </w:tc>
        <w:tc>
          <w:tcPr>
            <w:tcW w:w="1240" w:type="dxa"/>
            <w:vAlign w:val="bottom"/>
            <w:shd w:val="clear" w:color="auto" w:fill="ACABA7"/>
          </w:tcPr>
          <w:p>
            <w:pPr>
              <w:spacing w:after="0"/>
              <w:rPr>
                <w:sz w:val="16"/>
                <w:szCs w:val="16"/>
                <w:color w:val="auto"/>
              </w:rPr>
            </w:pPr>
          </w:p>
        </w:tc>
        <w:tc>
          <w:tcPr>
            <w:tcW w:w="1080" w:type="dxa"/>
            <w:vAlign w:val="bottom"/>
            <w:shd w:val="clear" w:color="auto" w:fill="ACABA7"/>
          </w:tcPr>
          <w:p>
            <w:pPr>
              <w:spacing w:after="0"/>
              <w:rPr>
                <w:sz w:val="16"/>
                <w:szCs w:val="16"/>
                <w:color w:val="auto"/>
              </w:rPr>
            </w:pPr>
          </w:p>
        </w:tc>
        <w:tc>
          <w:tcPr>
            <w:tcW w:w="1120" w:type="dxa"/>
            <w:vAlign w:val="bottom"/>
            <w:shd w:val="clear" w:color="auto" w:fill="ACABA7"/>
          </w:tcPr>
          <w:p>
            <w:pPr>
              <w:spacing w:after="0"/>
              <w:rPr>
                <w:sz w:val="16"/>
                <w:szCs w:val="16"/>
                <w:color w:val="auto"/>
              </w:rPr>
            </w:pPr>
          </w:p>
        </w:tc>
        <w:tc>
          <w:tcPr>
            <w:tcW w:w="1340" w:type="dxa"/>
            <w:vAlign w:val="bottom"/>
            <w:shd w:val="clear" w:color="auto" w:fill="ACABA7"/>
          </w:tcPr>
          <w:p>
            <w:pPr>
              <w:spacing w:after="0"/>
              <w:rPr>
                <w:sz w:val="16"/>
                <w:szCs w:val="16"/>
                <w:color w:val="auto"/>
              </w:rPr>
            </w:pPr>
          </w:p>
        </w:tc>
        <w:tc>
          <w:tcPr>
            <w:tcW w:w="980" w:type="dxa"/>
            <w:vAlign w:val="bottom"/>
            <w:shd w:val="clear" w:color="auto" w:fill="ACABA7"/>
          </w:tcPr>
          <w:p>
            <w:pPr>
              <w:spacing w:after="0"/>
              <w:rPr>
                <w:sz w:val="16"/>
                <w:szCs w:val="16"/>
                <w:color w:val="auto"/>
              </w:rPr>
            </w:pPr>
          </w:p>
        </w:tc>
        <w:tc>
          <w:tcPr>
            <w:tcW w:w="1080" w:type="dxa"/>
            <w:vAlign w:val="bottom"/>
            <w:shd w:val="clear" w:color="auto" w:fill="ACABA7"/>
          </w:tcPr>
          <w:p>
            <w:pPr>
              <w:spacing w:after="0"/>
              <w:rPr>
                <w:sz w:val="16"/>
                <w:szCs w:val="16"/>
                <w:color w:val="auto"/>
              </w:rPr>
            </w:pPr>
          </w:p>
        </w:tc>
        <w:tc>
          <w:tcPr>
            <w:tcW w:w="1100" w:type="dxa"/>
            <w:vAlign w:val="bottom"/>
            <w:shd w:val="clear" w:color="auto" w:fill="ACABA7"/>
          </w:tcPr>
          <w:p>
            <w:pPr>
              <w:spacing w:after="0"/>
              <w:rPr>
                <w:sz w:val="16"/>
                <w:szCs w:val="16"/>
                <w:color w:val="auto"/>
              </w:rPr>
            </w:pPr>
          </w:p>
        </w:tc>
      </w:tr>
      <w:tr>
        <w:trPr>
          <w:trHeight w:val="186"/>
        </w:trPr>
        <w:tc>
          <w:tcPr>
            <w:tcW w:w="3480" w:type="dxa"/>
            <w:vAlign w:val="bottom"/>
          </w:tcPr>
          <w:p>
            <w:pPr>
              <w:ind w:left="280"/>
              <w:spacing w:after="0"/>
              <w:rPr>
                <w:sz w:val="20"/>
                <w:szCs w:val="20"/>
                <w:color w:val="auto"/>
              </w:rPr>
            </w:pPr>
            <w:r>
              <w:rPr>
                <w:rFonts w:ascii="Arial" w:cs="Arial" w:eastAsia="Arial" w:hAnsi="Arial"/>
                <w:sz w:val="16"/>
                <w:szCs w:val="16"/>
                <w:color w:val="auto"/>
              </w:rPr>
              <w:t>Performance Restricted Stock/Restricted</w:t>
            </w:r>
          </w:p>
        </w:tc>
        <w:tc>
          <w:tcPr>
            <w:tcW w:w="1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2"/>
        </w:trPr>
        <w:tc>
          <w:tcPr>
            <w:tcW w:w="3480" w:type="dxa"/>
            <w:vAlign w:val="bottom"/>
          </w:tcPr>
          <w:p>
            <w:pPr>
              <w:ind w:left="280"/>
              <w:spacing w:after="0" w:line="192" w:lineRule="exact"/>
              <w:rPr>
                <w:sz w:val="20"/>
                <w:szCs w:val="20"/>
                <w:color w:val="auto"/>
              </w:rPr>
            </w:pPr>
            <w:r>
              <w:rPr>
                <w:rFonts w:ascii="Arial" w:cs="Arial" w:eastAsia="Arial" w:hAnsi="Arial"/>
                <w:sz w:val="14"/>
                <w:szCs w:val="14"/>
                <w:color w:val="auto"/>
              </w:rPr>
              <w:t>Stock Units</w:t>
            </w:r>
            <w:r>
              <w:rPr>
                <w:rFonts w:ascii="Arial" w:cs="Arial" w:eastAsia="Arial" w:hAnsi="Arial"/>
                <w:sz w:val="22"/>
                <w:szCs w:val="22"/>
                <w:color w:val="auto"/>
                <w:vertAlign w:val="superscript"/>
              </w:rPr>
              <w:t>(6)</w:t>
            </w: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24"/>
              <w:spacing w:after="0"/>
              <w:rPr>
                <w:sz w:val="20"/>
                <w:szCs w:val="20"/>
                <w:color w:val="auto"/>
              </w:rPr>
            </w:pPr>
            <w:r>
              <w:rPr>
                <w:rFonts w:ascii="Arial" w:cs="Arial" w:eastAsia="Arial" w:hAnsi="Arial"/>
                <w:sz w:val="16"/>
                <w:szCs w:val="16"/>
                <w:color w:val="auto"/>
              </w:rPr>
              <w:t>546,559</w:t>
            </w:r>
          </w:p>
        </w:tc>
        <w:tc>
          <w:tcPr>
            <w:tcW w:w="1340" w:type="dxa"/>
            <w:vAlign w:val="bottom"/>
          </w:tcPr>
          <w:p>
            <w:pPr>
              <w:jc w:val="right"/>
              <w:ind w:right="102"/>
              <w:spacing w:after="0"/>
              <w:rPr>
                <w:sz w:val="20"/>
                <w:szCs w:val="20"/>
                <w:color w:val="auto"/>
              </w:rPr>
            </w:pPr>
            <w:r>
              <w:rPr>
                <w:rFonts w:ascii="Arial" w:cs="Arial" w:eastAsia="Arial" w:hAnsi="Arial"/>
                <w:sz w:val="16"/>
                <w:szCs w:val="16"/>
                <w:color w:val="auto"/>
              </w:rPr>
              <w:t>546,559</w:t>
            </w:r>
          </w:p>
        </w:tc>
        <w:tc>
          <w:tcPr>
            <w:tcW w:w="980" w:type="dxa"/>
            <w:vAlign w:val="bottom"/>
          </w:tcPr>
          <w:p>
            <w:pPr>
              <w:jc w:val="right"/>
              <w:spacing w:after="0"/>
              <w:rPr>
                <w:sz w:val="20"/>
                <w:szCs w:val="20"/>
                <w:color w:val="auto"/>
              </w:rPr>
            </w:pPr>
            <w:r>
              <w:rPr>
                <w:rFonts w:ascii="Arial" w:cs="Arial" w:eastAsia="Arial" w:hAnsi="Arial"/>
                <w:sz w:val="16"/>
                <w:szCs w:val="16"/>
                <w:color w:val="auto"/>
              </w:rPr>
              <w:t>3,867,434</w:t>
            </w:r>
          </w:p>
        </w:tc>
        <w:tc>
          <w:tcPr>
            <w:tcW w:w="1080" w:type="dxa"/>
            <w:vAlign w:val="bottom"/>
          </w:tcPr>
          <w:p>
            <w:pPr>
              <w:jc w:val="right"/>
              <w:spacing w:after="0"/>
              <w:rPr>
                <w:sz w:val="20"/>
                <w:szCs w:val="20"/>
                <w:color w:val="auto"/>
              </w:rPr>
            </w:pPr>
            <w:r>
              <w:rPr>
                <w:rFonts w:ascii="Arial" w:cs="Arial" w:eastAsia="Arial" w:hAnsi="Arial"/>
                <w:sz w:val="16"/>
                <w:szCs w:val="16"/>
                <w:color w:val="auto"/>
              </w:rPr>
              <w:t>3,867,434</w:t>
            </w:r>
          </w:p>
        </w:tc>
        <w:tc>
          <w:tcPr>
            <w:tcW w:w="1100" w:type="dxa"/>
            <w:vAlign w:val="bottom"/>
          </w:tcPr>
          <w:p>
            <w:pPr>
              <w:jc w:val="right"/>
              <w:ind w:right="80"/>
              <w:spacing w:after="0"/>
              <w:rPr>
                <w:sz w:val="20"/>
                <w:szCs w:val="20"/>
                <w:color w:val="auto"/>
              </w:rPr>
            </w:pPr>
            <w:r>
              <w:rPr>
                <w:rFonts w:ascii="Arial" w:cs="Arial" w:eastAsia="Arial" w:hAnsi="Arial"/>
                <w:sz w:val="16"/>
                <w:szCs w:val="16"/>
                <w:color w:val="auto"/>
              </w:rPr>
              <w:t>3,867,434</w:t>
            </w:r>
          </w:p>
        </w:tc>
      </w:tr>
      <w:tr>
        <w:trPr>
          <w:trHeight w:val="189"/>
        </w:trPr>
        <w:tc>
          <w:tcPr>
            <w:tcW w:w="3480" w:type="dxa"/>
            <w:vAlign w:val="bottom"/>
            <w:shd w:val="clear" w:color="auto" w:fill="ACABA7"/>
          </w:tcPr>
          <w:p>
            <w:pPr>
              <w:ind w:left="280"/>
              <w:spacing w:after="0" w:line="189" w:lineRule="exact"/>
              <w:rPr>
                <w:sz w:val="20"/>
                <w:szCs w:val="20"/>
                <w:color w:val="auto"/>
              </w:rPr>
            </w:pPr>
            <w:r>
              <w:rPr>
                <w:rFonts w:ascii="Arial" w:cs="Arial" w:eastAsia="Arial" w:hAnsi="Arial"/>
                <w:sz w:val="13"/>
                <w:szCs w:val="13"/>
                <w:color w:val="auto"/>
              </w:rPr>
              <w:t>Stock Options</w:t>
            </w:r>
            <w:r>
              <w:rPr>
                <w:rFonts w:ascii="Arial" w:cs="Arial" w:eastAsia="Arial" w:hAnsi="Arial"/>
                <w:sz w:val="21"/>
                <w:szCs w:val="21"/>
                <w:color w:val="auto"/>
                <w:vertAlign w:val="superscript"/>
              </w:rPr>
              <w:t>(7)</w:t>
            </w:r>
          </w:p>
        </w:tc>
        <w:tc>
          <w:tcPr>
            <w:tcW w:w="1240" w:type="dxa"/>
            <w:vAlign w:val="bottom"/>
            <w:shd w:val="clear" w:color="auto" w:fill="ACABA7"/>
          </w:tcPr>
          <w:p>
            <w:pPr>
              <w:jc w:val="right"/>
              <w:spacing w:after="0"/>
              <w:rPr>
                <w:sz w:val="20"/>
                <w:szCs w:val="20"/>
                <w:color w:val="auto"/>
              </w:rPr>
            </w:pPr>
            <w:r>
              <w:rPr>
                <w:rFonts w:ascii="Arial" w:cs="Arial" w:eastAsia="Arial" w:hAnsi="Arial"/>
                <w:sz w:val="16"/>
                <w:szCs w:val="16"/>
                <w:color w:val="auto"/>
              </w:rPr>
              <w:t>—</w:t>
            </w:r>
          </w:p>
        </w:tc>
        <w:tc>
          <w:tcPr>
            <w:tcW w:w="1080" w:type="dxa"/>
            <w:vAlign w:val="bottom"/>
            <w:shd w:val="clear" w:color="auto" w:fill="ACABA7"/>
          </w:tcPr>
          <w:p>
            <w:pPr>
              <w:jc w:val="right"/>
              <w:ind w:right="1"/>
              <w:spacing w:after="0"/>
              <w:rPr>
                <w:sz w:val="20"/>
                <w:szCs w:val="20"/>
                <w:color w:val="auto"/>
              </w:rPr>
            </w:pPr>
            <w:r>
              <w:rPr>
                <w:rFonts w:ascii="Arial" w:cs="Arial" w:eastAsia="Arial" w:hAnsi="Arial"/>
                <w:sz w:val="16"/>
                <w:szCs w:val="16"/>
                <w:color w:val="auto"/>
              </w:rPr>
              <w:t>—</w:t>
            </w:r>
          </w:p>
        </w:tc>
        <w:tc>
          <w:tcPr>
            <w:tcW w:w="1120" w:type="dxa"/>
            <w:vAlign w:val="bottom"/>
            <w:shd w:val="clear" w:color="auto" w:fill="ACABA7"/>
          </w:tcPr>
          <w:p>
            <w:pPr>
              <w:jc w:val="right"/>
              <w:ind w:right="24"/>
              <w:spacing w:after="0"/>
              <w:rPr>
                <w:sz w:val="20"/>
                <w:szCs w:val="20"/>
                <w:color w:val="auto"/>
              </w:rPr>
            </w:pPr>
            <w:r>
              <w:rPr>
                <w:rFonts w:ascii="Arial" w:cs="Arial" w:eastAsia="Arial" w:hAnsi="Arial"/>
                <w:sz w:val="16"/>
                <w:szCs w:val="16"/>
                <w:color w:val="auto"/>
              </w:rPr>
              <w:t>1,082,326</w:t>
            </w:r>
          </w:p>
        </w:tc>
        <w:tc>
          <w:tcPr>
            <w:tcW w:w="1340" w:type="dxa"/>
            <w:vAlign w:val="bottom"/>
            <w:shd w:val="clear" w:color="auto" w:fill="ACABA7"/>
          </w:tcPr>
          <w:p>
            <w:pPr>
              <w:jc w:val="right"/>
              <w:ind w:right="102"/>
              <w:spacing w:after="0"/>
              <w:rPr>
                <w:sz w:val="20"/>
                <w:szCs w:val="20"/>
                <w:color w:val="auto"/>
              </w:rPr>
            </w:pPr>
            <w:r>
              <w:rPr>
                <w:rFonts w:ascii="Arial" w:cs="Arial" w:eastAsia="Arial" w:hAnsi="Arial"/>
                <w:sz w:val="16"/>
                <w:szCs w:val="16"/>
                <w:color w:val="auto"/>
              </w:rPr>
              <w:t>1,082,326</w:t>
            </w:r>
          </w:p>
        </w:tc>
        <w:tc>
          <w:tcPr>
            <w:tcW w:w="980" w:type="dxa"/>
            <w:vAlign w:val="bottom"/>
            <w:shd w:val="clear" w:color="auto" w:fill="ACABA7"/>
          </w:tcPr>
          <w:p>
            <w:pPr>
              <w:jc w:val="right"/>
              <w:spacing w:after="0"/>
              <w:rPr>
                <w:sz w:val="20"/>
                <w:szCs w:val="20"/>
                <w:color w:val="auto"/>
              </w:rPr>
            </w:pPr>
            <w:r>
              <w:rPr>
                <w:rFonts w:ascii="Arial" w:cs="Arial" w:eastAsia="Arial" w:hAnsi="Arial"/>
                <w:sz w:val="16"/>
                <w:szCs w:val="16"/>
                <w:color w:val="auto"/>
              </w:rPr>
              <w:t>5,566,950</w:t>
            </w:r>
          </w:p>
        </w:tc>
        <w:tc>
          <w:tcPr>
            <w:tcW w:w="1080" w:type="dxa"/>
            <w:vAlign w:val="bottom"/>
            <w:shd w:val="clear" w:color="auto" w:fill="ACABA7"/>
          </w:tcPr>
          <w:p>
            <w:pPr>
              <w:jc w:val="right"/>
              <w:spacing w:after="0"/>
              <w:rPr>
                <w:sz w:val="20"/>
                <w:szCs w:val="20"/>
                <w:color w:val="auto"/>
              </w:rPr>
            </w:pPr>
            <w:r>
              <w:rPr>
                <w:rFonts w:ascii="Arial" w:cs="Arial" w:eastAsia="Arial" w:hAnsi="Arial"/>
                <w:sz w:val="16"/>
                <w:szCs w:val="16"/>
                <w:color w:val="auto"/>
              </w:rPr>
              <w:t>5,566,950</w:t>
            </w:r>
          </w:p>
        </w:tc>
        <w:tc>
          <w:tcPr>
            <w:tcW w:w="1100" w:type="dxa"/>
            <w:vAlign w:val="bottom"/>
            <w:shd w:val="clear" w:color="auto" w:fill="ACABA7"/>
          </w:tcPr>
          <w:p>
            <w:pPr>
              <w:jc w:val="right"/>
              <w:ind w:right="80"/>
              <w:spacing w:after="0"/>
              <w:rPr>
                <w:sz w:val="20"/>
                <w:szCs w:val="20"/>
                <w:color w:val="auto"/>
              </w:rPr>
            </w:pPr>
            <w:r>
              <w:rPr>
                <w:rFonts w:ascii="Arial" w:cs="Arial" w:eastAsia="Arial" w:hAnsi="Arial"/>
                <w:sz w:val="16"/>
                <w:szCs w:val="16"/>
                <w:color w:val="auto"/>
              </w:rPr>
              <w:t>5,566,950</w:t>
            </w:r>
          </w:p>
        </w:tc>
      </w:tr>
      <w:tr>
        <w:trPr>
          <w:trHeight w:val="189"/>
        </w:trPr>
        <w:tc>
          <w:tcPr>
            <w:tcW w:w="3480" w:type="dxa"/>
            <w:vAlign w:val="bottom"/>
          </w:tcPr>
          <w:p>
            <w:pPr>
              <w:ind w:left="280"/>
              <w:spacing w:after="0" w:line="189" w:lineRule="exact"/>
              <w:rPr>
                <w:sz w:val="20"/>
                <w:szCs w:val="20"/>
                <w:color w:val="auto"/>
              </w:rPr>
            </w:pPr>
            <w:r>
              <w:rPr>
                <w:rFonts w:ascii="Arial" w:cs="Arial" w:eastAsia="Arial" w:hAnsi="Arial"/>
                <w:sz w:val="13"/>
                <w:szCs w:val="13"/>
                <w:color w:val="auto"/>
              </w:rPr>
              <w:t>Performance Share Awards</w:t>
            </w:r>
            <w:r>
              <w:rPr>
                <w:rFonts w:ascii="Arial" w:cs="Arial" w:eastAsia="Arial" w:hAnsi="Arial"/>
                <w:sz w:val="21"/>
                <w:szCs w:val="21"/>
                <w:color w:val="auto"/>
                <w:vertAlign w:val="superscript"/>
              </w:rPr>
              <w:t>(8)</w:t>
            </w: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24"/>
              <w:spacing w:after="0"/>
              <w:rPr>
                <w:sz w:val="20"/>
                <w:szCs w:val="20"/>
                <w:color w:val="auto"/>
              </w:rPr>
            </w:pPr>
            <w:r>
              <w:rPr>
                <w:rFonts w:ascii="Arial" w:cs="Arial" w:eastAsia="Arial" w:hAnsi="Arial"/>
                <w:sz w:val="16"/>
                <w:szCs w:val="16"/>
                <w:color w:val="auto"/>
              </w:rPr>
              <w:t>6,054,741</w:t>
            </w:r>
          </w:p>
        </w:tc>
        <w:tc>
          <w:tcPr>
            <w:tcW w:w="1340" w:type="dxa"/>
            <w:vAlign w:val="bottom"/>
          </w:tcPr>
          <w:p>
            <w:pPr>
              <w:jc w:val="right"/>
              <w:ind w:right="102"/>
              <w:spacing w:after="0"/>
              <w:rPr>
                <w:sz w:val="20"/>
                <w:szCs w:val="20"/>
                <w:color w:val="auto"/>
              </w:rPr>
            </w:pPr>
            <w:r>
              <w:rPr>
                <w:rFonts w:ascii="Arial" w:cs="Arial" w:eastAsia="Arial" w:hAnsi="Arial"/>
                <w:sz w:val="16"/>
                <w:szCs w:val="16"/>
                <w:color w:val="auto"/>
              </w:rPr>
              <w:t>6,054,741</w:t>
            </w:r>
          </w:p>
        </w:tc>
        <w:tc>
          <w:tcPr>
            <w:tcW w:w="980" w:type="dxa"/>
            <w:vAlign w:val="bottom"/>
          </w:tcPr>
          <w:p>
            <w:pPr>
              <w:jc w:val="right"/>
              <w:spacing w:after="0"/>
              <w:rPr>
                <w:sz w:val="20"/>
                <w:szCs w:val="20"/>
                <w:color w:val="auto"/>
              </w:rPr>
            </w:pPr>
            <w:r>
              <w:rPr>
                <w:rFonts w:ascii="Arial" w:cs="Arial" w:eastAsia="Arial" w:hAnsi="Arial"/>
                <w:sz w:val="16"/>
                <w:szCs w:val="16"/>
                <w:color w:val="auto"/>
              </w:rPr>
              <w:t>6,054,741</w:t>
            </w:r>
          </w:p>
        </w:tc>
        <w:tc>
          <w:tcPr>
            <w:tcW w:w="1080" w:type="dxa"/>
            <w:vAlign w:val="bottom"/>
          </w:tcPr>
          <w:p>
            <w:pPr>
              <w:jc w:val="right"/>
              <w:spacing w:after="0"/>
              <w:rPr>
                <w:sz w:val="20"/>
                <w:szCs w:val="20"/>
                <w:color w:val="auto"/>
              </w:rPr>
            </w:pPr>
            <w:r>
              <w:rPr>
                <w:rFonts w:ascii="Arial" w:cs="Arial" w:eastAsia="Arial" w:hAnsi="Arial"/>
                <w:sz w:val="16"/>
                <w:szCs w:val="16"/>
                <w:color w:val="auto"/>
              </w:rPr>
              <w:t>6,054,741</w:t>
            </w:r>
          </w:p>
        </w:tc>
        <w:tc>
          <w:tcPr>
            <w:tcW w:w="1100" w:type="dxa"/>
            <w:vAlign w:val="bottom"/>
          </w:tcPr>
          <w:p>
            <w:pPr>
              <w:jc w:val="right"/>
              <w:ind w:right="80"/>
              <w:spacing w:after="0"/>
              <w:rPr>
                <w:sz w:val="20"/>
                <w:szCs w:val="20"/>
                <w:color w:val="auto"/>
              </w:rPr>
            </w:pPr>
            <w:r>
              <w:rPr>
                <w:rFonts w:ascii="Arial" w:cs="Arial" w:eastAsia="Arial" w:hAnsi="Arial"/>
                <w:sz w:val="16"/>
                <w:szCs w:val="16"/>
                <w:color w:val="auto"/>
              </w:rPr>
              <w:t>6,054,741</w:t>
            </w:r>
          </w:p>
        </w:tc>
      </w:tr>
      <w:tr>
        <w:trPr>
          <w:trHeight w:val="189"/>
        </w:trPr>
        <w:tc>
          <w:tcPr>
            <w:tcW w:w="3480" w:type="dxa"/>
            <w:vAlign w:val="bottom"/>
            <w:shd w:val="clear" w:color="auto" w:fill="ACABA7"/>
          </w:tcPr>
          <w:p>
            <w:pPr>
              <w:ind w:left="100"/>
              <w:spacing w:after="0"/>
              <w:rPr>
                <w:sz w:val="20"/>
                <w:szCs w:val="20"/>
                <w:color w:val="auto"/>
              </w:rPr>
            </w:pPr>
            <w:r>
              <w:rPr>
                <w:rFonts w:ascii="Arial" w:cs="Arial" w:eastAsia="Arial" w:hAnsi="Arial"/>
                <w:sz w:val="16"/>
                <w:szCs w:val="16"/>
                <w:b w:val="1"/>
                <w:bCs w:val="1"/>
                <w:color w:val="auto"/>
              </w:rPr>
              <w:t>Benefits &amp; Perquisites:</w:t>
            </w:r>
          </w:p>
        </w:tc>
        <w:tc>
          <w:tcPr>
            <w:tcW w:w="1240" w:type="dxa"/>
            <w:vAlign w:val="bottom"/>
            <w:shd w:val="clear" w:color="auto" w:fill="ACABA7"/>
          </w:tcPr>
          <w:p>
            <w:pPr>
              <w:spacing w:after="0"/>
              <w:rPr>
                <w:sz w:val="16"/>
                <w:szCs w:val="16"/>
                <w:color w:val="auto"/>
              </w:rPr>
            </w:pPr>
          </w:p>
        </w:tc>
        <w:tc>
          <w:tcPr>
            <w:tcW w:w="1080" w:type="dxa"/>
            <w:vAlign w:val="bottom"/>
            <w:shd w:val="clear" w:color="auto" w:fill="ACABA7"/>
          </w:tcPr>
          <w:p>
            <w:pPr>
              <w:spacing w:after="0"/>
              <w:rPr>
                <w:sz w:val="16"/>
                <w:szCs w:val="16"/>
                <w:color w:val="auto"/>
              </w:rPr>
            </w:pPr>
          </w:p>
        </w:tc>
        <w:tc>
          <w:tcPr>
            <w:tcW w:w="1120" w:type="dxa"/>
            <w:vAlign w:val="bottom"/>
            <w:shd w:val="clear" w:color="auto" w:fill="ACABA7"/>
          </w:tcPr>
          <w:p>
            <w:pPr>
              <w:spacing w:after="0"/>
              <w:rPr>
                <w:sz w:val="16"/>
                <w:szCs w:val="16"/>
                <w:color w:val="auto"/>
              </w:rPr>
            </w:pPr>
          </w:p>
        </w:tc>
        <w:tc>
          <w:tcPr>
            <w:tcW w:w="1340" w:type="dxa"/>
            <w:vAlign w:val="bottom"/>
            <w:shd w:val="clear" w:color="auto" w:fill="ACABA7"/>
          </w:tcPr>
          <w:p>
            <w:pPr>
              <w:spacing w:after="0"/>
              <w:rPr>
                <w:sz w:val="16"/>
                <w:szCs w:val="16"/>
                <w:color w:val="auto"/>
              </w:rPr>
            </w:pPr>
          </w:p>
        </w:tc>
        <w:tc>
          <w:tcPr>
            <w:tcW w:w="980" w:type="dxa"/>
            <w:vAlign w:val="bottom"/>
            <w:shd w:val="clear" w:color="auto" w:fill="ACABA7"/>
          </w:tcPr>
          <w:p>
            <w:pPr>
              <w:spacing w:after="0"/>
              <w:rPr>
                <w:sz w:val="16"/>
                <w:szCs w:val="16"/>
                <w:color w:val="auto"/>
              </w:rPr>
            </w:pPr>
          </w:p>
        </w:tc>
        <w:tc>
          <w:tcPr>
            <w:tcW w:w="1080" w:type="dxa"/>
            <w:vAlign w:val="bottom"/>
            <w:shd w:val="clear" w:color="auto" w:fill="ACABA7"/>
          </w:tcPr>
          <w:p>
            <w:pPr>
              <w:spacing w:after="0"/>
              <w:rPr>
                <w:sz w:val="16"/>
                <w:szCs w:val="16"/>
                <w:color w:val="auto"/>
              </w:rPr>
            </w:pPr>
          </w:p>
        </w:tc>
        <w:tc>
          <w:tcPr>
            <w:tcW w:w="1100" w:type="dxa"/>
            <w:vAlign w:val="bottom"/>
            <w:shd w:val="clear" w:color="auto" w:fill="ACABA7"/>
          </w:tcPr>
          <w:p>
            <w:pPr>
              <w:spacing w:after="0"/>
              <w:rPr>
                <w:sz w:val="16"/>
                <w:szCs w:val="16"/>
                <w:color w:val="auto"/>
              </w:rPr>
            </w:pPr>
          </w:p>
        </w:tc>
      </w:tr>
      <w:tr>
        <w:trPr>
          <w:trHeight w:val="189"/>
        </w:trPr>
        <w:tc>
          <w:tcPr>
            <w:tcW w:w="3480" w:type="dxa"/>
            <w:vAlign w:val="bottom"/>
          </w:tcPr>
          <w:p>
            <w:pPr>
              <w:ind w:left="280"/>
              <w:spacing w:after="0" w:line="189" w:lineRule="exact"/>
              <w:rPr>
                <w:sz w:val="20"/>
                <w:szCs w:val="20"/>
                <w:color w:val="auto"/>
              </w:rPr>
            </w:pPr>
            <w:r>
              <w:rPr>
                <w:rFonts w:ascii="Arial" w:cs="Arial" w:eastAsia="Arial" w:hAnsi="Arial"/>
                <w:sz w:val="13"/>
                <w:szCs w:val="13"/>
                <w:color w:val="auto"/>
              </w:rPr>
              <w:t>Life Insurance, Healthcare</w:t>
            </w:r>
            <w:r>
              <w:rPr>
                <w:rFonts w:ascii="Arial" w:cs="Arial" w:eastAsia="Arial" w:hAnsi="Arial"/>
                <w:sz w:val="21"/>
                <w:szCs w:val="21"/>
                <w:color w:val="auto"/>
                <w:vertAlign w:val="superscript"/>
              </w:rPr>
              <w:t>(9)</w:t>
            </w: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24"/>
              <w:spacing w:after="0"/>
              <w:rPr>
                <w:sz w:val="20"/>
                <w:szCs w:val="20"/>
                <w:color w:val="auto"/>
              </w:rPr>
            </w:pPr>
            <w:r>
              <w:rPr>
                <w:rFonts w:ascii="Arial" w:cs="Arial" w:eastAsia="Arial" w:hAnsi="Arial"/>
                <w:sz w:val="16"/>
                <w:szCs w:val="16"/>
                <w:color w:val="auto"/>
              </w:rPr>
              <w:t>13,940</w:t>
            </w:r>
          </w:p>
        </w:tc>
        <w:tc>
          <w:tcPr>
            <w:tcW w:w="1340" w:type="dxa"/>
            <w:vAlign w:val="bottom"/>
          </w:tcPr>
          <w:p>
            <w:pPr>
              <w:jc w:val="right"/>
              <w:ind w:right="102"/>
              <w:spacing w:after="0"/>
              <w:rPr>
                <w:sz w:val="20"/>
                <w:szCs w:val="20"/>
                <w:color w:val="auto"/>
              </w:rPr>
            </w:pPr>
            <w:r>
              <w:rPr>
                <w:rFonts w:ascii="Arial" w:cs="Arial" w:eastAsia="Arial" w:hAnsi="Arial"/>
                <w:sz w:val="16"/>
                <w:szCs w:val="16"/>
                <w:color w:val="auto"/>
              </w:rPr>
              <w:t>119,028</w:t>
            </w:r>
          </w:p>
        </w:tc>
        <w:tc>
          <w:tcPr>
            <w:tcW w:w="980" w:type="dxa"/>
            <w:vAlign w:val="bottom"/>
          </w:tcPr>
          <w:p>
            <w:pPr>
              <w:jc w:val="right"/>
              <w:spacing w:after="0"/>
              <w:rPr>
                <w:sz w:val="20"/>
                <w:szCs w:val="20"/>
                <w:color w:val="auto"/>
              </w:rPr>
            </w:pPr>
            <w:r>
              <w:rPr>
                <w:rFonts w:ascii="Arial" w:cs="Arial" w:eastAsia="Arial" w:hAnsi="Arial"/>
                <w:sz w:val="16"/>
                <w:szCs w:val="16"/>
                <w:color w:val="auto"/>
              </w:rPr>
              <w:t>119,028</w:t>
            </w: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80"/>
              <w:spacing w:after="0"/>
              <w:rPr>
                <w:sz w:val="20"/>
                <w:szCs w:val="20"/>
                <w:color w:val="auto"/>
              </w:rPr>
            </w:pPr>
            <w:r>
              <w:rPr>
                <w:rFonts w:ascii="Arial" w:cs="Arial" w:eastAsia="Arial" w:hAnsi="Arial"/>
                <w:sz w:val="16"/>
                <w:szCs w:val="16"/>
                <w:color w:val="auto"/>
              </w:rPr>
              <w:t>—</w:t>
            </w:r>
          </w:p>
        </w:tc>
      </w:tr>
      <w:tr>
        <w:trPr>
          <w:trHeight w:val="189"/>
        </w:trPr>
        <w:tc>
          <w:tcPr>
            <w:tcW w:w="3480" w:type="dxa"/>
            <w:vAlign w:val="bottom"/>
            <w:shd w:val="clear" w:color="auto" w:fill="ACABA7"/>
          </w:tcPr>
          <w:p>
            <w:pPr>
              <w:ind w:left="280"/>
              <w:spacing w:after="0" w:line="189" w:lineRule="exact"/>
              <w:rPr>
                <w:sz w:val="20"/>
                <w:szCs w:val="20"/>
                <w:color w:val="auto"/>
              </w:rPr>
            </w:pPr>
            <w:r>
              <w:rPr>
                <w:rFonts w:ascii="Arial" w:cs="Arial" w:eastAsia="Arial" w:hAnsi="Arial"/>
                <w:sz w:val="13"/>
                <w:szCs w:val="13"/>
                <w:color w:val="auto"/>
              </w:rPr>
              <w:t>Outplacement Services</w:t>
            </w:r>
            <w:r>
              <w:rPr>
                <w:rFonts w:ascii="Arial" w:cs="Arial" w:eastAsia="Arial" w:hAnsi="Arial"/>
                <w:sz w:val="21"/>
                <w:szCs w:val="21"/>
                <w:color w:val="auto"/>
                <w:vertAlign w:val="superscript"/>
              </w:rPr>
              <w:t>(10)</w:t>
            </w:r>
          </w:p>
        </w:tc>
        <w:tc>
          <w:tcPr>
            <w:tcW w:w="1240" w:type="dxa"/>
            <w:vAlign w:val="bottom"/>
            <w:shd w:val="clear" w:color="auto" w:fill="ACABA7"/>
          </w:tcPr>
          <w:p>
            <w:pPr>
              <w:jc w:val="right"/>
              <w:spacing w:after="0"/>
              <w:rPr>
                <w:sz w:val="20"/>
                <w:szCs w:val="20"/>
                <w:color w:val="auto"/>
              </w:rPr>
            </w:pPr>
            <w:r>
              <w:rPr>
                <w:rFonts w:ascii="Arial" w:cs="Arial" w:eastAsia="Arial" w:hAnsi="Arial"/>
                <w:sz w:val="16"/>
                <w:szCs w:val="16"/>
                <w:color w:val="auto"/>
              </w:rPr>
              <w:t>—</w:t>
            </w:r>
          </w:p>
        </w:tc>
        <w:tc>
          <w:tcPr>
            <w:tcW w:w="1080" w:type="dxa"/>
            <w:vAlign w:val="bottom"/>
            <w:shd w:val="clear" w:color="auto" w:fill="ACABA7"/>
          </w:tcPr>
          <w:p>
            <w:pPr>
              <w:jc w:val="right"/>
              <w:ind w:right="1"/>
              <w:spacing w:after="0"/>
              <w:rPr>
                <w:sz w:val="20"/>
                <w:szCs w:val="20"/>
                <w:color w:val="auto"/>
              </w:rPr>
            </w:pPr>
            <w:r>
              <w:rPr>
                <w:rFonts w:ascii="Arial" w:cs="Arial" w:eastAsia="Arial" w:hAnsi="Arial"/>
                <w:sz w:val="16"/>
                <w:szCs w:val="16"/>
                <w:color w:val="auto"/>
              </w:rPr>
              <w:t>—</w:t>
            </w:r>
          </w:p>
        </w:tc>
        <w:tc>
          <w:tcPr>
            <w:tcW w:w="1120" w:type="dxa"/>
            <w:vAlign w:val="bottom"/>
            <w:shd w:val="clear" w:color="auto" w:fill="ACABA7"/>
          </w:tcPr>
          <w:p>
            <w:pPr>
              <w:jc w:val="right"/>
              <w:ind w:right="24"/>
              <w:spacing w:after="0"/>
              <w:rPr>
                <w:sz w:val="20"/>
                <w:szCs w:val="20"/>
                <w:color w:val="auto"/>
              </w:rPr>
            </w:pPr>
            <w:r>
              <w:rPr>
                <w:rFonts w:ascii="Arial" w:cs="Arial" w:eastAsia="Arial" w:hAnsi="Arial"/>
                <w:sz w:val="16"/>
                <w:szCs w:val="16"/>
                <w:color w:val="auto"/>
              </w:rPr>
              <w:t>15,000</w:t>
            </w:r>
          </w:p>
        </w:tc>
        <w:tc>
          <w:tcPr>
            <w:tcW w:w="1340" w:type="dxa"/>
            <w:vAlign w:val="bottom"/>
            <w:shd w:val="clear" w:color="auto" w:fill="ACABA7"/>
          </w:tcPr>
          <w:p>
            <w:pPr>
              <w:jc w:val="right"/>
              <w:ind w:right="102"/>
              <w:spacing w:after="0"/>
              <w:rPr>
                <w:sz w:val="20"/>
                <w:szCs w:val="20"/>
                <w:color w:val="auto"/>
              </w:rPr>
            </w:pPr>
            <w:r>
              <w:rPr>
                <w:rFonts w:ascii="Arial" w:cs="Arial" w:eastAsia="Arial" w:hAnsi="Arial"/>
                <w:sz w:val="16"/>
                <w:szCs w:val="16"/>
                <w:color w:val="auto"/>
              </w:rPr>
              <w:t>15,000</w:t>
            </w:r>
          </w:p>
        </w:tc>
        <w:tc>
          <w:tcPr>
            <w:tcW w:w="980" w:type="dxa"/>
            <w:vAlign w:val="bottom"/>
            <w:shd w:val="clear" w:color="auto" w:fill="ACABA7"/>
          </w:tcPr>
          <w:p>
            <w:pPr>
              <w:jc w:val="right"/>
              <w:spacing w:after="0"/>
              <w:rPr>
                <w:sz w:val="20"/>
                <w:szCs w:val="20"/>
                <w:color w:val="auto"/>
              </w:rPr>
            </w:pPr>
            <w:r>
              <w:rPr>
                <w:rFonts w:ascii="Arial" w:cs="Arial" w:eastAsia="Arial" w:hAnsi="Arial"/>
                <w:sz w:val="16"/>
                <w:szCs w:val="16"/>
                <w:color w:val="auto"/>
              </w:rPr>
              <w:t>15,000</w:t>
            </w:r>
          </w:p>
        </w:tc>
        <w:tc>
          <w:tcPr>
            <w:tcW w:w="1080" w:type="dxa"/>
            <w:vAlign w:val="bottom"/>
            <w:shd w:val="clear" w:color="auto" w:fill="ACABA7"/>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ACABA7"/>
          </w:tcPr>
          <w:p>
            <w:pPr>
              <w:jc w:val="right"/>
              <w:ind w:right="80"/>
              <w:spacing w:after="0"/>
              <w:rPr>
                <w:sz w:val="20"/>
                <w:szCs w:val="20"/>
                <w:color w:val="auto"/>
              </w:rPr>
            </w:pPr>
            <w:r>
              <w:rPr>
                <w:rFonts w:ascii="Arial" w:cs="Arial" w:eastAsia="Arial" w:hAnsi="Arial"/>
                <w:sz w:val="16"/>
                <w:szCs w:val="16"/>
                <w:color w:val="auto"/>
              </w:rPr>
              <w:t>—</w:t>
            </w:r>
          </w:p>
        </w:tc>
      </w:tr>
      <w:tr>
        <w:trPr>
          <w:trHeight w:val="189"/>
        </w:trPr>
        <w:tc>
          <w:tcPr>
            <w:tcW w:w="3480" w:type="dxa"/>
            <w:vAlign w:val="bottom"/>
            <w:tcBorders>
              <w:bottom w:val="single" w:sz="8" w:color="483E65"/>
            </w:tcBorders>
          </w:tcPr>
          <w:p>
            <w:pPr>
              <w:ind w:left="280"/>
              <w:spacing w:after="0" w:line="189" w:lineRule="exact"/>
              <w:rPr>
                <w:sz w:val="20"/>
                <w:szCs w:val="20"/>
                <w:color w:val="auto"/>
              </w:rPr>
            </w:pPr>
            <w:r>
              <w:rPr>
                <w:rFonts w:ascii="Arial" w:cs="Arial" w:eastAsia="Arial" w:hAnsi="Arial"/>
                <w:sz w:val="13"/>
                <w:szCs w:val="13"/>
                <w:color w:val="auto"/>
              </w:rPr>
              <w:t>Applicable Scaleback</w:t>
            </w:r>
            <w:r>
              <w:rPr>
                <w:rFonts w:ascii="Arial" w:cs="Arial" w:eastAsia="Arial" w:hAnsi="Arial"/>
                <w:sz w:val="21"/>
                <w:szCs w:val="21"/>
                <w:color w:val="auto"/>
                <w:vertAlign w:val="superscript"/>
              </w:rPr>
              <w:t>(11)</w:t>
            </w:r>
          </w:p>
        </w:tc>
        <w:tc>
          <w:tcPr>
            <w:tcW w:w="1240" w:type="dxa"/>
            <w:vAlign w:val="bottom"/>
            <w:tcBorders>
              <w:bottom w:val="single" w:sz="8" w:color="483E65"/>
            </w:tcBorders>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483E65"/>
            </w:tcBorders>
          </w:tcPr>
          <w:p>
            <w:pPr>
              <w:jc w:val="right"/>
              <w:ind w:right="1"/>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483E65"/>
            </w:tcBorders>
          </w:tcPr>
          <w:p>
            <w:pPr>
              <w:jc w:val="right"/>
              <w:ind w:right="24"/>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483E65"/>
            </w:tcBorders>
          </w:tcPr>
          <w:p>
            <w:pPr>
              <w:jc w:val="right"/>
              <w:ind w:right="102"/>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483E65"/>
            </w:tcBorders>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483E65"/>
            </w:tcBorders>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483E65"/>
            </w:tcBorders>
          </w:tcPr>
          <w:p>
            <w:pPr>
              <w:jc w:val="right"/>
              <w:ind w:right="80"/>
              <w:spacing w:after="0"/>
              <w:rPr>
                <w:sz w:val="20"/>
                <w:szCs w:val="20"/>
                <w:color w:val="auto"/>
              </w:rPr>
            </w:pPr>
            <w:r>
              <w:rPr>
                <w:rFonts w:ascii="Arial" w:cs="Arial" w:eastAsia="Arial" w:hAnsi="Arial"/>
                <w:sz w:val="16"/>
                <w:szCs w:val="16"/>
                <w:color w:val="auto"/>
              </w:rPr>
              <w:t>—</w:t>
            </w:r>
          </w:p>
        </w:tc>
      </w:tr>
      <w:tr>
        <w:trPr>
          <w:trHeight w:val="183"/>
        </w:trPr>
        <w:tc>
          <w:tcPr>
            <w:tcW w:w="3480" w:type="dxa"/>
            <w:vAlign w:val="bottom"/>
            <w:tcBorders>
              <w:bottom w:val="single" w:sz="8" w:color="483E65"/>
            </w:tcBorders>
            <w:shd w:val="clear" w:color="auto" w:fill="ACABA7"/>
          </w:tcPr>
          <w:p>
            <w:pPr>
              <w:ind w:left="100"/>
              <w:spacing w:after="0" w:line="183" w:lineRule="exact"/>
              <w:rPr>
                <w:sz w:val="20"/>
                <w:szCs w:val="20"/>
                <w:color w:val="auto"/>
              </w:rPr>
            </w:pPr>
            <w:r>
              <w:rPr>
                <w:rFonts w:ascii="Arial" w:cs="Arial" w:eastAsia="Arial" w:hAnsi="Arial"/>
                <w:sz w:val="13"/>
                <w:szCs w:val="13"/>
                <w:color w:val="auto"/>
              </w:rPr>
              <w:t>Total</w:t>
            </w:r>
            <w:r>
              <w:rPr>
                <w:rFonts w:ascii="Arial" w:cs="Arial" w:eastAsia="Arial" w:hAnsi="Arial"/>
                <w:sz w:val="21"/>
                <w:szCs w:val="21"/>
                <w:color w:val="auto"/>
                <w:vertAlign w:val="superscript"/>
              </w:rPr>
              <w:t>(12)</w:t>
            </w:r>
          </w:p>
        </w:tc>
        <w:tc>
          <w:tcPr>
            <w:tcW w:w="1240" w:type="dxa"/>
            <w:vAlign w:val="bottom"/>
            <w:tcBorders>
              <w:bottom w:val="single" w:sz="8" w:color="483E65"/>
            </w:tcBorders>
            <w:shd w:val="clear" w:color="auto" w:fill="ACABA7"/>
          </w:tcPr>
          <w:p>
            <w:pPr>
              <w:jc w:val="right"/>
              <w:spacing w:after="0" w:line="183" w:lineRule="exact"/>
              <w:rPr>
                <w:sz w:val="20"/>
                <w:szCs w:val="20"/>
                <w:color w:val="auto"/>
              </w:rPr>
            </w:pPr>
            <w:r>
              <w:rPr>
                <w:rFonts w:ascii="Arial" w:cs="Arial" w:eastAsia="Arial" w:hAnsi="Arial"/>
                <w:sz w:val="16"/>
                <w:szCs w:val="16"/>
                <w:color w:val="auto"/>
              </w:rPr>
              <w:t>0</w:t>
            </w:r>
          </w:p>
        </w:tc>
        <w:tc>
          <w:tcPr>
            <w:tcW w:w="1080" w:type="dxa"/>
            <w:vAlign w:val="bottom"/>
            <w:tcBorders>
              <w:bottom w:val="single" w:sz="8" w:color="483E65"/>
            </w:tcBorders>
            <w:shd w:val="clear" w:color="auto" w:fill="ACABA7"/>
          </w:tcPr>
          <w:p>
            <w:pPr>
              <w:jc w:val="right"/>
              <w:ind w:right="1"/>
              <w:spacing w:after="0" w:line="183" w:lineRule="exact"/>
              <w:rPr>
                <w:sz w:val="20"/>
                <w:szCs w:val="20"/>
                <w:color w:val="auto"/>
              </w:rPr>
            </w:pPr>
            <w:r>
              <w:rPr>
                <w:rFonts w:ascii="Arial" w:cs="Arial" w:eastAsia="Arial" w:hAnsi="Arial"/>
                <w:sz w:val="16"/>
                <w:szCs w:val="16"/>
                <w:color w:val="auto"/>
              </w:rPr>
              <w:t>0</w:t>
            </w:r>
          </w:p>
        </w:tc>
        <w:tc>
          <w:tcPr>
            <w:tcW w:w="1120" w:type="dxa"/>
            <w:vAlign w:val="bottom"/>
            <w:tcBorders>
              <w:bottom w:val="single" w:sz="8" w:color="483E65"/>
            </w:tcBorders>
            <w:shd w:val="clear" w:color="auto" w:fill="ACABA7"/>
          </w:tcPr>
          <w:p>
            <w:pPr>
              <w:jc w:val="right"/>
              <w:ind w:right="24"/>
              <w:spacing w:after="0" w:line="183" w:lineRule="exact"/>
              <w:rPr>
                <w:sz w:val="20"/>
                <w:szCs w:val="20"/>
                <w:color w:val="auto"/>
              </w:rPr>
            </w:pPr>
            <w:r>
              <w:rPr>
                <w:rFonts w:ascii="Arial" w:cs="Arial" w:eastAsia="Arial" w:hAnsi="Arial"/>
                <w:sz w:val="16"/>
                <w:szCs w:val="16"/>
                <w:color w:val="auto"/>
              </w:rPr>
              <w:t>11,650,566</w:t>
            </w:r>
          </w:p>
        </w:tc>
        <w:tc>
          <w:tcPr>
            <w:tcW w:w="1340" w:type="dxa"/>
            <w:vAlign w:val="bottom"/>
            <w:tcBorders>
              <w:bottom w:val="single" w:sz="8" w:color="483E65"/>
            </w:tcBorders>
            <w:shd w:val="clear" w:color="auto" w:fill="ACABA7"/>
          </w:tcPr>
          <w:p>
            <w:pPr>
              <w:jc w:val="right"/>
              <w:ind w:right="102"/>
              <w:spacing w:after="0" w:line="183" w:lineRule="exact"/>
              <w:rPr>
                <w:sz w:val="20"/>
                <w:szCs w:val="20"/>
                <w:color w:val="auto"/>
              </w:rPr>
            </w:pPr>
            <w:r>
              <w:rPr>
                <w:rFonts w:ascii="Arial" w:cs="Arial" w:eastAsia="Arial" w:hAnsi="Arial"/>
                <w:sz w:val="16"/>
                <w:szCs w:val="16"/>
                <w:color w:val="auto"/>
              </w:rPr>
              <w:t>15,205,653</w:t>
            </w:r>
          </w:p>
        </w:tc>
        <w:tc>
          <w:tcPr>
            <w:tcW w:w="980" w:type="dxa"/>
            <w:vAlign w:val="bottom"/>
            <w:tcBorders>
              <w:bottom w:val="single" w:sz="8" w:color="483E65"/>
            </w:tcBorders>
            <w:shd w:val="clear" w:color="auto" w:fill="ACABA7"/>
          </w:tcPr>
          <w:p>
            <w:pPr>
              <w:jc w:val="right"/>
              <w:spacing w:after="0" w:line="183" w:lineRule="exact"/>
              <w:rPr>
                <w:sz w:val="20"/>
                <w:szCs w:val="20"/>
                <w:color w:val="auto"/>
              </w:rPr>
            </w:pPr>
            <w:r>
              <w:rPr>
                <w:rFonts w:ascii="Arial" w:cs="Arial" w:eastAsia="Arial" w:hAnsi="Arial"/>
                <w:sz w:val="16"/>
                <w:szCs w:val="16"/>
                <w:color w:val="auto"/>
              </w:rPr>
              <w:t>23,011,153</w:t>
            </w:r>
          </w:p>
        </w:tc>
        <w:tc>
          <w:tcPr>
            <w:tcW w:w="1080" w:type="dxa"/>
            <w:vAlign w:val="bottom"/>
            <w:tcBorders>
              <w:bottom w:val="single" w:sz="8" w:color="483E65"/>
            </w:tcBorders>
            <w:shd w:val="clear" w:color="auto" w:fill="ACABA7"/>
          </w:tcPr>
          <w:p>
            <w:pPr>
              <w:jc w:val="right"/>
              <w:spacing w:after="0" w:line="183" w:lineRule="exact"/>
              <w:rPr>
                <w:sz w:val="20"/>
                <w:szCs w:val="20"/>
                <w:color w:val="auto"/>
              </w:rPr>
            </w:pPr>
            <w:r>
              <w:rPr>
                <w:rFonts w:ascii="Arial" w:cs="Arial" w:eastAsia="Arial" w:hAnsi="Arial"/>
                <w:sz w:val="16"/>
                <w:szCs w:val="16"/>
                <w:color w:val="auto"/>
              </w:rPr>
              <w:t>17,127,125</w:t>
            </w:r>
          </w:p>
        </w:tc>
        <w:tc>
          <w:tcPr>
            <w:tcW w:w="1100" w:type="dxa"/>
            <w:vAlign w:val="bottom"/>
            <w:tcBorders>
              <w:bottom w:val="single" w:sz="8" w:color="483E65"/>
            </w:tcBorders>
            <w:shd w:val="clear" w:color="auto" w:fill="ACABA7"/>
          </w:tcPr>
          <w:p>
            <w:pPr>
              <w:jc w:val="right"/>
              <w:ind w:right="80"/>
              <w:spacing w:after="0" w:line="183" w:lineRule="exact"/>
              <w:rPr>
                <w:sz w:val="20"/>
                <w:szCs w:val="20"/>
                <w:color w:val="auto"/>
              </w:rPr>
            </w:pPr>
            <w:r>
              <w:rPr>
                <w:rFonts w:ascii="Arial" w:cs="Arial" w:eastAsia="Arial" w:hAnsi="Arial"/>
                <w:sz w:val="16"/>
                <w:szCs w:val="16"/>
                <w:color w:val="auto"/>
              </w:rPr>
              <w:t>17,127,125</w:t>
            </w:r>
          </w:p>
        </w:tc>
      </w:tr>
    </w:tbl>
    <w:p>
      <w:pPr>
        <w:spacing w:after="0" w:line="123" w:lineRule="exact"/>
        <w:rPr>
          <w:sz w:val="20"/>
          <w:szCs w:val="20"/>
          <w:color w:val="auto"/>
        </w:rPr>
      </w:pPr>
    </w:p>
    <w:p>
      <w:pPr>
        <w:ind w:left="340" w:right="60" w:hanging="332"/>
        <w:spacing w:after="0" w:line="250" w:lineRule="auto"/>
        <w:tabs>
          <w:tab w:leader="none" w:pos="340" w:val="left"/>
        </w:tabs>
        <w:numPr>
          <w:ilvl w:val="0"/>
          <w:numId w:val="50"/>
        </w:numPr>
        <w:rPr>
          <w:rFonts w:ascii="Arial" w:cs="Arial" w:eastAsia="Arial" w:hAnsi="Arial"/>
          <w:sz w:val="16"/>
          <w:szCs w:val="16"/>
          <w:color w:val="auto"/>
        </w:rPr>
      </w:pPr>
      <w:r>
        <w:rPr>
          <w:rFonts w:ascii="Arial" w:cs="Arial" w:eastAsia="Arial" w:hAnsi="Arial"/>
          <w:sz w:val="16"/>
          <w:szCs w:val="16"/>
          <w:color w:val="auto"/>
        </w:rPr>
        <w:t>Amounts in this column represent the benefits Mr. Krone would be entitled to receive in the event he experiences a hypothetical qualifying termination that does not constitute a change in control (“CIC”) under the terms of his employment agreement or the Leidos Equity and Deferred Compensation Plans. However, since the Transaction in August 2016 constituted a CIC under the terms of Mr. Krone’s agreement, if Mr. Krone experiences a qualifying termination without Cause or for Good Reason (as those terms are defined in his agreement) before August 16, 2018, Mr. Krone will be entitled to receive the enhanced compensation and benefits set forth in the column entitled “IS&amp;GS Transaction” and not the benefits detailed in this column.</w:t>
      </w:r>
    </w:p>
    <w:p>
      <w:pPr>
        <w:spacing w:after="0" w:line="108" w:lineRule="exact"/>
        <w:rPr>
          <w:rFonts w:ascii="Arial" w:cs="Arial" w:eastAsia="Arial" w:hAnsi="Arial"/>
          <w:sz w:val="16"/>
          <w:szCs w:val="16"/>
          <w:color w:val="auto"/>
        </w:rPr>
      </w:pPr>
    </w:p>
    <w:p>
      <w:pPr>
        <w:ind w:left="340" w:right="80" w:hanging="332"/>
        <w:spacing w:after="0" w:line="253" w:lineRule="auto"/>
        <w:tabs>
          <w:tab w:leader="none" w:pos="340" w:val="left"/>
        </w:tabs>
        <w:numPr>
          <w:ilvl w:val="0"/>
          <w:numId w:val="50"/>
        </w:numPr>
        <w:rPr>
          <w:rFonts w:ascii="Arial" w:cs="Arial" w:eastAsia="Arial" w:hAnsi="Arial"/>
          <w:sz w:val="16"/>
          <w:szCs w:val="16"/>
          <w:color w:val="auto"/>
        </w:rPr>
      </w:pPr>
      <w:r>
        <w:rPr>
          <w:rFonts w:ascii="Arial" w:cs="Arial" w:eastAsia="Arial" w:hAnsi="Arial"/>
          <w:sz w:val="16"/>
          <w:szCs w:val="16"/>
          <w:color w:val="auto"/>
        </w:rPr>
        <w:t>Since the Transaction constituted a CIC for purposes of Mr. Krone’s Agreement but not for purposes of the Leidos Equity and Deferred Compensation Plans, the benefits reflected in this column represent the compensation and benefits Mr. Krone would be entitled to receive under the terms of a qualifying termination until August 16, 2018.</w:t>
      </w:r>
    </w:p>
    <w:p>
      <w:pPr>
        <w:spacing w:after="0" w:line="114" w:lineRule="exact"/>
        <w:rPr>
          <w:sz w:val="20"/>
          <w:szCs w:val="20"/>
          <w:color w:val="auto"/>
        </w:rPr>
      </w:pPr>
    </w:p>
    <w:p>
      <w:pPr>
        <w:spacing w:after="0"/>
        <w:tabs>
          <w:tab w:leader="none" w:pos="340" w:val="left"/>
          <w:tab w:leader="none" w:pos="580" w:val="left"/>
        </w:tabs>
        <w:rPr>
          <w:sz w:val="20"/>
          <w:szCs w:val="20"/>
          <w:color w:val="auto"/>
        </w:rPr>
      </w:pPr>
      <w:r>
        <w:rPr>
          <w:rFonts w:ascii="Arial" w:cs="Arial" w:eastAsia="Arial" w:hAnsi="Arial"/>
          <w:sz w:val="16"/>
          <w:szCs w:val="16"/>
          <w:b w:val="1"/>
          <w:bCs w:val="1"/>
          <w:color w:val="483E65"/>
        </w:rPr>
        <w:t>46</w:t>
        <w:tab/>
        <w:t>|</w:t>
        <w:tab/>
        <w:t>2017 Proxy Statement</w:t>
      </w:r>
    </w:p>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8" w:lineRule="exact"/>
        <w:rPr>
          <w:sz w:val="20"/>
          <w:szCs w:val="20"/>
          <w:color w:val="auto"/>
        </w:rPr>
      </w:pPr>
    </w:p>
    <w:p>
      <w:pPr>
        <w:spacing w:after="0"/>
        <w:rPr>
          <w:sz w:val="20"/>
          <w:szCs w:val="20"/>
          <w:color w:val="auto"/>
        </w:rPr>
      </w:pPr>
      <w:r>
        <w:rPr>
          <w:rFonts w:ascii="Arial" w:cs="Arial" w:eastAsia="Arial" w:hAnsi="Arial"/>
          <w:sz w:val="32"/>
          <w:szCs w:val="32"/>
          <w:color w:val="483E65"/>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149860</wp:posOffset>
            </wp:positionV>
            <wp:extent cx="724662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ind w:left="340" w:right="700" w:hanging="332"/>
        <w:spacing w:after="0" w:line="260" w:lineRule="auto"/>
        <w:tabs>
          <w:tab w:leader="none" w:pos="340" w:val="left"/>
        </w:tabs>
        <w:numPr>
          <w:ilvl w:val="0"/>
          <w:numId w:val="51"/>
        </w:numPr>
        <w:rPr>
          <w:rFonts w:ascii="Arial" w:cs="Arial" w:eastAsia="Arial" w:hAnsi="Arial"/>
          <w:sz w:val="16"/>
          <w:szCs w:val="16"/>
          <w:color w:val="auto"/>
        </w:rPr>
      </w:pPr>
      <w:r>
        <w:rPr>
          <w:rFonts w:ascii="Arial" w:cs="Arial" w:eastAsia="Arial" w:hAnsi="Arial"/>
          <w:sz w:val="16"/>
          <w:szCs w:val="16"/>
          <w:color w:val="auto"/>
        </w:rPr>
        <w:t>Amounts in this column represent the hypothetical benefits Mr. Krone would have been entitled to in the event a new transaction had occurred on December 30, 2016 that constituted a CIC under the terms of his Agreement and the Leidos Equity and Deferred Compensation Plans.</w:t>
      </w:r>
    </w:p>
    <w:p>
      <w:pPr>
        <w:spacing w:after="0" w:line="101" w:lineRule="exact"/>
        <w:rPr>
          <w:rFonts w:ascii="Arial" w:cs="Arial" w:eastAsia="Arial" w:hAnsi="Arial"/>
          <w:sz w:val="16"/>
          <w:szCs w:val="16"/>
          <w:color w:val="auto"/>
        </w:rPr>
      </w:pPr>
    </w:p>
    <w:p>
      <w:pPr>
        <w:ind w:left="340" w:right="60" w:hanging="332"/>
        <w:spacing w:after="0" w:line="260" w:lineRule="auto"/>
        <w:tabs>
          <w:tab w:leader="none" w:pos="340" w:val="left"/>
        </w:tabs>
        <w:numPr>
          <w:ilvl w:val="0"/>
          <w:numId w:val="51"/>
        </w:numPr>
        <w:rPr>
          <w:rFonts w:ascii="Arial" w:cs="Arial" w:eastAsia="Arial" w:hAnsi="Arial"/>
          <w:sz w:val="16"/>
          <w:szCs w:val="16"/>
          <w:color w:val="auto"/>
        </w:rPr>
      </w:pPr>
      <w:r>
        <w:rPr>
          <w:rFonts w:ascii="Arial" w:cs="Arial" w:eastAsia="Arial" w:hAnsi="Arial"/>
          <w:sz w:val="16"/>
          <w:szCs w:val="16"/>
          <w:color w:val="auto"/>
        </w:rPr>
        <w:t>Amounts in this row represent single lump sum payments equal to (a) one times (in the event of termination without a CIC) and (b) two-and-one-half times (in the event of termination in connection with a CIC) the sum of Mr. Krone’s year-end salary and bonus at target.</w:t>
      </w:r>
    </w:p>
    <w:p>
      <w:pPr>
        <w:spacing w:after="0" w:line="101" w:lineRule="exact"/>
        <w:rPr>
          <w:rFonts w:ascii="Arial" w:cs="Arial" w:eastAsia="Arial" w:hAnsi="Arial"/>
          <w:sz w:val="16"/>
          <w:szCs w:val="16"/>
          <w:color w:val="auto"/>
        </w:rPr>
      </w:pPr>
    </w:p>
    <w:p>
      <w:pPr>
        <w:ind w:left="340" w:hanging="332"/>
        <w:spacing w:after="0"/>
        <w:tabs>
          <w:tab w:leader="none" w:pos="340" w:val="left"/>
        </w:tabs>
        <w:numPr>
          <w:ilvl w:val="0"/>
          <w:numId w:val="51"/>
        </w:numPr>
        <w:rPr>
          <w:rFonts w:ascii="Arial" w:cs="Arial" w:eastAsia="Arial" w:hAnsi="Arial"/>
          <w:sz w:val="16"/>
          <w:szCs w:val="16"/>
          <w:color w:val="auto"/>
        </w:rPr>
      </w:pPr>
      <w:r>
        <w:rPr>
          <w:rFonts w:ascii="Arial" w:cs="Arial" w:eastAsia="Arial" w:hAnsi="Arial"/>
          <w:sz w:val="16"/>
          <w:szCs w:val="16"/>
          <w:color w:val="auto"/>
        </w:rPr>
        <w:t>Amounts in this row reflect Mr. Krone’s bonus based on actual performance for the period ended December 30, 2016.</w:t>
      </w:r>
    </w:p>
    <w:p>
      <w:pPr>
        <w:spacing w:after="0" w:line="126" w:lineRule="exact"/>
        <w:rPr>
          <w:rFonts w:ascii="Arial" w:cs="Arial" w:eastAsia="Arial" w:hAnsi="Arial"/>
          <w:sz w:val="16"/>
          <w:szCs w:val="16"/>
          <w:color w:val="auto"/>
        </w:rPr>
      </w:pPr>
    </w:p>
    <w:p>
      <w:pPr>
        <w:ind w:left="340" w:hanging="332"/>
        <w:spacing w:after="0" w:line="249" w:lineRule="auto"/>
        <w:tabs>
          <w:tab w:leader="none" w:pos="340" w:val="left"/>
        </w:tabs>
        <w:numPr>
          <w:ilvl w:val="0"/>
          <w:numId w:val="51"/>
        </w:numPr>
        <w:rPr>
          <w:rFonts w:ascii="Arial" w:cs="Arial" w:eastAsia="Arial" w:hAnsi="Arial"/>
          <w:sz w:val="16"/>
          <w:szCs w:val="16"/>
          <w:color w:val="auto"/>
        </w:rPr>
      </w:pPr>
      <w:r>
        <w:rPr>
          <w:rFonts w:ascii="Arial" w:cs="Arial" w:eastAsia="Arial" w:hAnsi="Arial"/>
          <w:sz w:val="16"/>
          <w:szCs w:val="16"/>
          <w:color w:val="auto"/>
        </w:rPr>
        <w:t>For a termination that does not follow a CIC, or upon a qualifying termination occurring within 24 months following the Transaction (which did not constitute a CIC under the Equity or Deferred Compensation Plans), the values in this row represent the accelerated vesting of Mr. Krone’s July 2014 RSUs, granted upon his commencement of employment, including accrued cash dividends as of December 30, 2016. For a termination in connection with a new CIC, or death or disability, the amounts represent the value of accelerated vesting of shares of his initial RSUs and PRSUs subsequently granted, including accrued dividends as of December 30, 2016 pursuant the 2006 Equity Incentive Plan. For more information regarding the number of shares of unvested stock units held by Mr. Krone, see the table under the caption “Outstanding Equity Awards at Year-End.”</w:t>
      </w:r>
    </w:p>
    <w:p>
      <w:pPr>
        <w:spacing w:after="0" w:line="110" w:lineRule="exact"/>
        <w:rPr>
          <w:rFonts w:ascii="Arial" w:cs="Arial" w:eastAsia="Arial" w:hAnsi="Arial"/>
          <w:sz w:val="16"/>
          <w:szCs w:val="16"/>
          <w:color w:val="auto"/>
        </w:rPr>
      </w:pPr>
    </w:p>
    <w:p>
      <w:pPr>
        <w:ind w:left="340" w:right="160" w:hanging="332"/>
        <w:spacing w:after="0" w:line="246" w:lineRule="auto"/>
        <w:tabs>
          <w:tab w:leader="none" w:pos="340" w:val="left"/>
        </w:tabs>
        <w:numPr>
          <w:ilvl w:val="0"/>
          <w:numId w:val="51"/>
        </w:numPr>
        <w:rPr>
          <w:rFonts w:ascii="Arial" w:cs="Arial" w:eastAsia="Arial" w:hAnsi="Arial"/>
          <w:sz w:val="16"/>
          <w:szCs w:val="16"/>
          <w:color w:val="auto"/>
        </w:rPr>
      </w:pPr>
      <w:r>
        <w:rPr>
          <w:rFonts w:ascii="Arial" w:cs="Arial" w:eastAsia="Arial" w:hAnsi="Arial"/>
          <w:sz w:val="16"/>
          <w:szCs w:val="16"/>
          <w:color w:val="auto"/>
        </w:rPr>
        <w:t>For a termination without a CIC and upon a qualifying termination occurring within 24 months following the Transaction, the values represent the accelerated vesting of Mr. Krone’s unvested options to purchase shares of common stock granted in July 2014 upon his commencement of employment. For a termination in connection with a new CIC, or death or disability, the amounts represent the value of accelerated vesting of all options held by</w:t>
      </w:r>
    </w:p>
    <w:p>
      <w:pPr>
        <w:spacing w:after="0" w:line="1" w:lineRule="exact"/>
        <w:rPr>
          <w:rFonts w:ascii="Arial" w:cs="Arial" w:eastAsia="Arial" w:hAnsi="Arial"/>
          <w:sz w:val="16"/>
          <w:szCs w:val="16"/>
          <w:color w:val="auto"/>
        </w:rPr>
      </w:pPr>
    </w:p>
    <w:p>
      <w:pPr>
        <w:ind w:left="340" w:right="320"/>
        <w:spacing w:after="0" w:line="260" w:lineRule="auto"/>
        <w:rPr>
          <w:rFonts w:ascii="Arial" w:cs="Arial" w:eastAsia="Arial" w:hAnsi="Arial"/>
          <w:sz w:val="16"/>
          <w:szCs w:val="16"/>
          <w:color w:val="auto"/>
        </w:rPr>
      </w:pPr>
      <w:r>
        <w:rPr>
          <w:rFonts w:ascii="Arial" w:cs="Arial" w:eastAsia="Arial" w:hAnsi="Arial"/>
          <w:sz w:val="16"/>
          <w:szCs w:val="16"/>
          <w:color w:val="auto"/>
        </w:rPr>
        <w:t>Mr. Krone at the end of the year issued pursuant to the 2006 Equity Incentive Plan. For more information regarding the number of shares and exercise prices underlying unvested a options held, see the table under the caption “Outstanding Equity Awards at Year-End.”</w:t>
      </w:r>
    </w:p>
    <w:p>
      <w:pPr>
        <w:spacing w:after="0" w:line="101" w:lineRule="exact"/>
        <w:rPr>
          <w:rFonts w:ascii="Arial" w:cs="Arial" w:eastAsia="Arial" w:hAnsi="Arial"/>
          <w:sz w:val="16"/>
          <w:szCs w:val="16"/>
          <w:color w:val="auto"/>
        </w:rPr>
      </w:pPr>
    </w:p>
    <w:p>
      <w:pPr>
        <w:ind w:left="340" w:right="60" w:hanging="332"/>
        <w:spacing w:after="0" w:line="253" w:lineRule="auto"/>
        <w:tabs>
          <w:tab w:leader="none" w:pos="340" w:val="left"/>
        </w:tabs>
        <w:numPr>
          <w:ilvl w:val="0"/>
          <w:numId w:val="51"/>
        </w:numPr>
        <w:rPr>
          <w:rFonts w:ascii="Arial" w:cs="Arial" w:eastAsia="Arial" w:hAnsi="Arial"/>
          <w:sz w:val="16"/>
          <w:szCs w:val="16"/>
          <w:color w:val="auto"/>
        </w:rPr>
      </w:pPr>
      <w:r>
        <w:rPr>
          <w:rFonts w:ascii="Arial" w:cs="Arial" w:eastAsia="Arial" w:hAnsi="Arial"/>
          <w:sz w:val="16"/>
          <w:szCs w:val="16"/>
          <w:color w:val="auto"/>
        </w:rPr>
        <w:t>Amounts in this row represent the value of Mr. Krone’s July 2014 performance share grant earned based on actual performance, and a pro-rata amount of his 2015 and 2016 performance share awards, including accrued cash dividends as of December 30, 2016. The 2015 grant assumes performance at 137% of target levels and the 2016 grant assumes performance at 100% of target levels.</w:t>
      </w:r>
    </w:p>
    <w:p>
      <w:pPr>
        <w:spacing w:after="0" w:line="106" w:lineRule="exact"/>
        <w:rPr>
          <w:rFonts w:ascii="Arial" w:cs="Arial" w:eastAsia="Arial" w:hAnsi="Arial"/>
          <w:sz w:val="16"/>
          <w:szCs w:val="16"/>
          <w:color w:val="auto"/>
        </w:rPr>
      </w:pPr>
    </w:p>
    <w:p>
      <w:pPr>
        <w:ind w:left="340" w:right="460" w:hanging="332"/>
        <w:spacing w:after="0" w:line="253" w:lineRule="auto"/>
        <w:tabs>
          <w:tab w:leader="none" w:pos="340" w:val="left"/>
        </w:tabs>
        <w:numPr>
          <w:ilvl w:val="0"/>
          <w:numId w:val="51"/>
        </w:numPr>
        <w:rPr>
          <w:rFonts w:ascii="Arial" w:cs="Arial" w:eastAsia="Arial" w:hAnsi="Arial"/>
          <w:sz w:val="16"/>
          <w:szCs w:val="16"/>
          <w:color w:val="auto"/>
        </w:rPr>
      </w:pPr>
      <w:r>
        <w:rPr>
          <w:rFonts w:ascii="Arial" w:cs="Arial" w:eastAsia="Arial" w:hAnsi="Arial"/>
          <w:sz w:val="16"/>
          <w:szCs w:val="16"/>
          <w:color w:val="auto"/>
        </w:rPr>
        <w:t>In event of Mr. Krone’s termination without a CIC, he would be entitled to a lump sum payment equal to the product of 12 times his monthly COBRA premiums for health, dental and vision coverage. Upon a termination in connection with a CIC, he would be entitled to a lump sum payment in lieu of continued life, disability, medical, dental and vision coverage for 30 months.</w:t>
      </w:r>
    </w:p>
    <w:p>
      <w:pPr>
        <w:spacing w:after="0" w:line="106" w:lineRule="exact"/>
        <w:rPr>
          <w:rFonts w:ascii="Arial" w:cs="Arial" w:eastAsia="Arial" w:hAnsi="Arial"/>
          <w:sz w:val="16"/>
          <w:szCs w:val="16"/>
          <w:color w:val="auto"/>
        </w:rPr>
      </w:pPr>
    </w:p>
    <w:p>
      <w:pPr>
        <w:ind w:left="340" w:hanging="332"/>
        <w:spacing w:after="0"/>
        <w:tabs>
          <w:tab w:leader="none" w:pos="340" w:val="left"/>
        </w:tabs>
        <w:numPr>
          <w:ilvl w:val="0"/>
          <w:numId w:val="51"/>
        </w:numPr>
        <w:rPr>
          <w:rFonts w:ascii="Arial" w:cs="Arial" w:eastAsia="Arial" w:hAnsi="Arial"/>
          <w:sz w:val="16"/>
          <w:szCs w:val="16"/>
          <w:color w:val="auto"/>
        </w:rPr>
      </w:pPr>
      <w:r>
        <w:rPr>
          <w:rFonts w:ascii="Arial" w:cs="Arial" w:eastAsia="Arial" w:hAnsi="Arial"/>
          <w:sz w:val="16"/>
          <w:szCs w:val="16"/>
          <w:color w:val="auto"/>
        </w:rPr>
        <w:t>Amounts in this row represent the estimated value of outplacement counseling services to be provided for 12 months following termination.</w:t>
      </w:r>
    </w:p>
    <w:p>
      <w:pPr>
        <w:spacing w:after="0" w:line="126" w:lineRule="exact"/>
        <w:rPr>
          <w:rFonts w:ascii="Arial" w:cs="Arial" w:eastAsia="Arial" w:hAnsi="Arial"/>
          <w:sz w:val="16"/>
          <w:szCs w:val="16"/>
          <w:color w:val="auto"/>
        </w:rPr>
      </w:pPr>
    </w:p>
    <w:p>
      <w:pPr>
        <w:ind w:left="340" w:right="20" w:hanging="332"/>
        <w:spacing w:after="0" w:line="260" w:lineRule="auto"/>
        <w:tabs>
          <w:tab w:leader="none" w:pos="340"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amounts in this row estimate the amount that severance benefits would need to be reduced or “scaled back” to avoid excise taxes pursuant to Section 280G of the Internal Revenue Code.</w:t>
      </w:r>
    </w:p>
    <w:p>
      <w:pPr>
        <w:spacing w:after="0" w:line="101" w:lineRule="exact"/>
        <w:rPr>
          <w:rFonts w:ascii="Arial" w:cs="Arial" w:eastAsia="Arial" w:hAnsi="Arial"/>
          <w:sz w:val="16"/>
          <w:szCs w:val="16"/>
          <w:color w:val="auto"/>
        </w:rPr>
      </w:pPr>
    </w:p>
    <w:p>
      <w:pPr>
        <w:ind w:left="340" w:right="140" w:hanging="332"/>
        <w:spacing w:after="0" w:line="251" w:lineRule="auto"/>
        <w:tabs>
          <w:tab w:leader="none" w:pos="340" w:val="left"/>
        </w:tabs>
        <w:numPr>
          <w:ilvl w:val="0"/>
          <w:numId w:val="51"/>
        </w:numPr>
        <w:rPr>
          <w:rFonts w:ascii="Arial" w:cs="Arial" w:eastAsia="Arial" w:hAnsi="Arial"/>
          <w:sz w:val="16"/>
          <w:szCs w:val="16"/>
          <w:color w:val="auto"/>
        </w:rPr>
      </w:pPr>
      <w:r>
        <w:rPr>
          <w:rFonts w:ascii="Arial" w:cs="Arial" w:eastAsia="Arial" w:hAnsi="Arial"/>
          <w:sz w:val="16"/>
          <w:szCs w:val="16"/>
          <w:color w:val="auto"/>
        </w:rPr>
        <w:t>Amounts in this row represent the gross amount of benefits to be received by Mr. Krone. In all termination events except upon a termination by Mr. Krone without Good Reason or by the company for Cause, in addition to the benefits valued in this table, Mr. Krone would also be released of any obligation to repay any portion of the cash sign on award and the fully vested shares he received upon his employment with us and he would receive any unused comprehensive leave time he had accrued.</w:t>
      </w:r>
    </w:p>
    <w:p>
      <w:pPr>
        <w:spacing w:after="0" w:line="177" w:lineRule="exact"/>
        <w:rPr>
          <w:rFonts w:ascii="Arial" w:cs="Arial" w:eastAsia="Arial" w:hAnsi="Arial"/>
          <w:sz w:val="16"/>
          <w:szCs w:val="16"/>
          <w:color w:val="auto"/>
        </w:rPr>
      </w:pPr>
    </w:p>
    <w:p>
      <w:pPr>
        <w:ind w:left="360"/>
        <w:spacing w:after="0"/>
        <w:rPr>
          <w:rFonts w:ascii="Arial" w:cs="Arial" w:eastAsia="Arial" w:hAnsi="Arial"/>
          <w:sz w:val="16"/>
          <w:szCs w:val="16"/>
          <w:color w:val="auto"/>
        </w:rPr>
      </w:pPr>
      <w:r>
        <w:rPr>
          <w:rFonts w:ascii="Arial" w:cs="Arial" w:eastAsia="Arial" w:hAnsi="Arial"/>
          <w:sz w:val="18"/>
          <w:szCs w:val="18"/>
          <w:b w:val="1"/>
          <w:bCs w:val="1"/>
          <w:i w:val="1"/>
          <w:iCs w:val="1"/>
          <w:color w:val="483E65"/>
        </w:rPr>
        <w:t>Mr. Reagan, Mr. Leiter, and Mr. Maffeo</w:t>
      </w:r>
    </w:p>
    <w:p>
      <w:pPr>
        <w:spacing w:after="0" w:line="234"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We have entered into severance protection agreements (“SPAs”) with each of our executive officers, other than Mr. Krone and Mr. Reardon, that would provide them with severance payments if their employment is involuntarily terminated following a change of control of the company, including certain other benefits and outplacement services. Following a CIC, they would also vest in their outstanding equity awards, if the CIC met the definition in our Equity and Deferred Compensation Plans. Finally, pursuant to the terms of the equity awards they received under the Equity Plan, if they terminated employment involuntarily not for cause, or by reason of their death or disability, they would be entitled to accelerated vesting, or pro-rated vesting, of certain long-term incentive awards. The charts below provides the amounts that these executive officers would be entitled to under various termination scenarios. With respect to the “With Change in Control” scenarios, because the Transaction was considered a CIC with respect to the SPA, but was not a CIC as defined in the Equity or Deferred Compensation Plans, we have provided benefits under two hypothetical scenarios below. The first, in the column entitled “IS&amp;GS Transaction,” provides amounts under the SPA only. The second, in the column entitled “New Change in Control”, assumes a scenario where the definition of CIC in both the Equity and Deferred Compensation Plans have been triggered, as well as the definition in the SPA.</w:t>
      </w:r>
    </w:p>
    <w:p>
      <w:pPr>
        <w:spacing w:after="0" w:line="121" w:lineRule="exact"/>
        <w:rPr>
          <w:sz w:val="20"/>
          <w:szCs w:val="20"/>
          <w:color w:val="auto"/>
        </w:rPr>
      </w:pPr>
    </w:p>
    <w:p>
      <w:pPr>
        <w:jc w:val="right"/>
        <w:spacing w:after="0"/>
        <w:tabs>
          <w:tab w:leader="none" w:pos="380" w:val="left"/>
          <w:tab w:leader="none" w:pos="160" w:val="left"/>
        </w:tabs>
        <w:rPr>
          <w:sz w:val="20"/>
          <w:szCs w:val="20"/>
          <w:color w:val="auto"/>
        </w:rPr>
      </w:pPr>
      <w:r>
        <w:rPr>
          <w:rFonts w:ascii="Arial" w:cs="Arial" w:eastAsia="Arial" w:hAnsi="Arial"/>
          <w:sz w:val="16"/>
          <w:szCs w:val="16"/>
          <w:b w:val="1"/>
          <w:bCs w:val="1"/>
          <w:color w:val="483E65"/>
        </w:rPr>
        <w:t>2017 Proxy Statement</w:t>
        <w:tab/>
        <w:t>|</w:t>
        <w:tab/>
        <w:t>47</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8" w:lineRule="exact"/>
        <w:rPr>
          <w:sz w:val="20"/>
          <w:szCs w:val="20"/>
          <w:color w:val="auto"/>
        </w:rPr>
      </w:pPr>
    </w:p>
    <w:p>
      <w:pPr>
        <w:spacing w:after="0"/>
        <w:rPr>
          <w:sz w:val="20"/>
          <w:szCs w:val="20"/>
          <w:color w:val="auto"/>
        </w:rPr>
      </w:pPr>
      <w:r>
        <w:rPr>
          <w:rFonts w:ascii="Arial" w:cs="Arial" w:eastAsia="Arial" w:hAnsi="Arial"/>
          <w:sz w:val="32"/>
          <w:szCs w:val="32"/>
          <w:color w:val="483E65"/>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149860</wp:posOffset>
            </wp:positionV>
            <wp:extent cx="724662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96"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483E65"/>
        </w:rPr>
        <w:t>Post-employment Payments — Mr. Reagan</w:t>
      </w:r>
    </w:p>
    <w:p>
      <w:pPr>
        <w:spacing w:after="0" w:line="263" w:lineRule="exact"/>
        <w:rPr>
          <w:sz w:val="20"/>
          <w:szCs w:val="20"/>
          <w:color w:val="auto"/>
        </w:rPr>
      </w:pPr>
    </w:p>
    <w:p>
      <w:pPr>
        <w:jc w:val="right"/>
        <w:ind w:right="3320"/>
        <w:spacing w:after="0"/>
        <w:rPr>
          <w:sz w:val="20"/>
          <w:szCs w:val="20"/>
          <w:color w:val="auto"/>
        </w:rPr>
      </w:pPr>
      <w:r>
        <w:rPr>
          <w:rFonts w:ascii="Arial" w:cs="Arial" w:eastAsia="Arial" w:hAnsi="Arial"/>
          <w:sz w:val="14"/>
          <w:szCs w:val="14"/>
          <w:color w:val="483E65"/>
        </w:rPr>
        <w:t>Involuntary Termination/ Good Reason</w:t>
      </w:r>
    </w:p>
    <w:p>
      <w:pPr>
        <w:sectPr>
          <w:pgSz w:w="11900" w:h="16838" w:orient="portrait"/>
          <w:cols w:equalWidth="0" w:num="1">
            <w:col w:w="11420"/>
          </w:cols>
          <w:pgMar w:left="240" w:top="459" w:right="239" w:bottom="1440" w:gutter="0" w:footer="0" w:header="0"/>
        </w:sectPr>
      </w:pPr>
    </w:p>
    <w:p>
      <w:pPr>
        <w:spacing w:after="0" w:line="342" w:lineRule="exact"/>
        <w:rPr>
          <w:sz w:val="20"/>
          <w:szCs w:val="20"/>
          <w:color w:val="auto"/>
        </w:rPr>
      </w:pPr>
    </w:p>
    <w:p>
      <w:pPr>
        <w:ind w:left="80" w:right="720"/>
        <w:spacing w:after="0" w:line="248" w:lineRule="auto"/>
        <w:rPr>
          <w:sz w:val="20"/>
          <w:szCs w:val="20"/>
          <w:color w:val="auto"/>
        </w:rPr>
      </w:pPr>
      <w:r>
        <w:rPr>
          <w:rFonts w:ascii="Arial" w:cs="Arial" w:eastAsia="Arial" w:hAnsi="Arial"/>
          <w:sz w:val="14"/>
          <w:szCs w:val="14"/>
          <w:color w:val="483E65"/>
        </w:rPr>
        <w:t>Executive Payments and Benefits upon Termination or Change in Control</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6"/>
        </w:trPr>
        <w:tc>
          <w:tcPr>
            <w:tcW w:w="1180" w:type="dxa"/>
            <w:vAlign w:val="bottom"/>
          </w:tcPr>
          <w:p>
            <w:pPr>
              <w:spacing w:after="0"/>
              <w:rPr>
                <w:sz w:val="13"/>
                <w:szCs w:val="13"/>
                <w:color w:val="auto"/>
              </w:rPr>
            </w:pPr>
          </w:p>
        </w:tc>
        <w:tc>
          <w:tcPr>
            <w:tcW w:w="2120" w:type="dxa"/>
            <w:vAlign w:val="bottom"/>
            <w:tcBorders>
              <w:top w:val="single" w:sz="8" w:color="483E65"/>
              <w:bottom w:val="single" w:sz="8" w:color="483E65"/>
            </w:tcBorders>
            <w:gridSpan w:val="2"/>
          </w:tcPr>
          <w:p>
            <w:pPr>
              <w:ind w:left="220"/>
              <w:spacing w:after="0" w:line="155" w:lineRule="exact"/>
              <w:rPr>
                <w:sz w:val="20"/>
                <w:szCs w:val="20"/>
                <w:color w:val="auto"/>
              </w:rPr>
            </w:pPr>
            <w:r>
              <w:rPr>
                <w:rFonts w:ascii="Arial" w:cs="Arial" w:eastAsia="Arial" w:hAnsi="Arial"/>
                <w:sz w:val="14"/>
                <w:szCs w:val="14"/>
                <w:color w:val="483E65"/>
              </w:rPr>
              <w:t>Without Change in Control</w:t>
            </w:r>
          </w:p>
        </w:tc>
        <w:tc>
          <w:tcPr>
            <w:tcW w:w="220" w:type="dxa"/>
            <w:vAlign w:val="bottom"/>
            <w:tcBorders>
              <w:top w:val="single" w:sz="8" w:color="483E65"/>
            </w:tcBorders>
          </w:tcPr>
          <w:p>
            <w:pPr>
              <w:spacing w:after="0"/>
              <w:rPr>
                <w:sz w:val="13"/>
                <w:szCs w:val="13"/>
                <w:color w:val="auto"/>
              </w:rPr>
            </w:pPr>
          </w:p>
        </w:tc>
        <w:tc>
          <w:tcPr>
            <w:tcW w:w="2320" w:type="dxa"/>
            <w:vAlign w:val="bottom"/>
            <w:tcBorders>
              <w:top w:val="single" w:sz="8" w:color="483E65"/>
              <w:bottom w:val="single" w:sz="8" w:color="483E65"/>
            </w:tcBorders>
            <w:gridSpan w:val="2"/>
          </w:tcPr>
          <w:p>
            <w:pPr>
              <w:ind w:left="420"/>
              <w:spacing w:after="0" w:line="155" w:lineRule="exact"/>
              <w:rPr>
                <w:sz w:val="20"/>
                <w:szCs w:val="20"/>
                <w:color w:val="auto"/>
              </w:rPr>
            </w:pPr>
            <w:r>
              <w:rPr>
                <w:rFonts w:ascii="Arial" w:cs="Arial" w:eastAsia="Arial" w:hAnsi="Arial"/>
                <w:sz w:val="14"/>
                <w:szCs w:val="14"/>
                <w:color w:val="483E65"/>
              </w:rPr>
              <w:t>With Change in Control</w:t>
            </w:r>
          </w:p>
        </w:tc>
        <w:tc>
          <w:tcPr>
            <w:tcW w:w="1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1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20" w:type="dxa"/>
            <w:vAlign w:val="bottom"/>
            <w:gridSpan w:val="2"/>
          </w:tcPr>
          <w:p>
            <w:pPr>
              <w:jc w:val="center"/>
              <w:ind w:right="60"/>
              <w:spacing w:after="0"/>
              <w:rPr>
                <w:sz w:val="20"/>
                <w:szCs w:val="20"/>
                <w:color w:val="auto"/>
              </w:rPr>
            </w:pPr>
            <w:r>
              <w:rPr>
                <w:rFonts w:ascii="Arial" w:cs="Arial" w:eastAsia="Arial" w:hAnsi="Arial"/>
                <w:sz w:val="14"/>
                <w:szCs w:val="14"/>
                <w:color w:val="483E65"/>
              </w:rPr>
              <w:t>Without</w:t>
            </w:r>
          </w:p>
        </w:tc>
        <w:tc>
          <w:tcPr>
            <w:tcW w:w="12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20" w:type="dxa"/>
            <w:vAlign w:val="bottom"/>
            <w:gridSpan w:val="2"/>
          </w:tcPr>
          <w:p>
            <w:pPr>
              <w:jc w:val="center"/>
              <w:ind w:right="80"/>
              <w:spacing w:after="0"/>
              <w:rPr>
                <w:sz w:val="20"/>
                <w:szCs w:val="20"/>
                <w:color w:val="auto"/>
              </w:rPr>
            </w:pPr>
            <w:r>
              <w:rPr>
                <w:rFonts w:ascii="Arial" w:cs="Arial" w:eastAsia="Arial" w:hAnsi="Arial"/>
                <w:sz w:val="14"/>
                <w:szCs w:val="14"/>
                <w:color w:val="483E65"/>
              </w:rPr>
              <w:t>Cause/ for</w:t>
            </w:r>
          </w:p>
        </w:tc>
        <w:tc>
          <w:tcPr>
            <w:tcW w:w="1240" w:type="dxa"/>
            <w:vAlign w:val="bottom"/>
            <w:vMerge w:val="restart"/>
          </w:tcPr>
          <w:p>
            <w:pPr>
              <w:jc w:val="center"/>
              <w:ind w:right="51"/>
              <w:spacing w:after="0"/>
              <w:rPr>
                <w:sz w:val="20"/>
                <w:szCs w:val="20"/>
                <w:color w:val="auto"/>
              </w:rPr>
            </w:pPr>
            <w:r>
              <w:rPr>
                <w:rFonts w:ascii="Arial" w:cs="Arial" w:eastAsia="Arial" w:hAnsi="Arial"/>
                <w:sz w:val="14"/>
                <w:szCs w:val="14"/>
                <w:color w:val="483E65"/>
              </w:rPr>
              <w:t>IS&amp;GS</w:t>
            </w: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1"/>
        </w:trPr>
        <w:tc>
          <w:tcPr>
            <w:tcW w:w="1180" w:type="dxa"/>
            <w:vAlign w:val="bottom"/>
          </w:tcPr>
          <w:p>
            <w:pPr>
              <w:jc w:val="center"/>
              <w:ind w:right="148"/>
              <w:spacing w:after="0" w:line="141" w:lineRule="exact"/>
              <w:rPr>
                <w:sz w:val="20"/>
                <w:szCs w:val="20"/>
                <w:color w:val="auto"/>
              </w:rPr>
            </w:pPr>
            <w:r>
              <w:rPr>
                <w:rFonts w:ascii="Arial" w:cs="Arial" w:eastAsia="Arial" w:hAnsi="Arial"/>
                <w:sz w:val="14"/>
                <w:szCs w:val="14"/>
                <w:color w:val="483E65"/>
              </w:rPr>
              <w:t>Voluntary</w:t>
            </w:r>
          </w:p>
        </w:tc>
        <w:tc>
          <w:tcPr>
            <w:tcW w:w="1120" w:type="dxa"/>
            <w:vAlign w:val="bottom"/>
          </w:tcPr>
          <w:p>
            <w:pPr>
              <w:spacing w:after="0"/>
              <w:rPr>
                <w:sz w:val="12"/>
                <w:szCs w:val="12"/>
                <w:color w:val="auto"/>
              </w:rPr>
            </w:pPr>
          </w:p>
        </w:tc>
        <w:tc>
          <w:tcPr>
            <w:tcW w:w="1220" w:type="dxa"/>
            <w:vAlign w:val="bottom"/>
            <w:gridSpan w:val="2"/>
          </w:tcPr>
          <w:p>
            <w:pPr>
              <w:jc w:val="center"/>
              <w:ind w:right="60"/>
              <w:spacing w:after="0" w:line="141" w:lineRule="exact"/>
              <w:rPr>
                <w:sz w:val="20"/>
                <w:szCs w:val="20"/>
                <w:color w:val="auto"/>
              </w:rPr>
            </w:pPr>
            <w:r>
              <w:rPr>
                <w:rFonts w:ascii="Arial" w:cs="Arial" w:eastAsia="Arial" w:hAnsi="Arial"/>
                <w:sz w:val="14"/>
                <w:szCs w:val="14"/>
                <w:color w:val="483E65"/>
              </w:rPr>
              <w:t>Good</w:t>
            </w:r>
          </w:p>
        </w:tc>
        <w:tc>
          <w:tcPr>
            <w:tcW w:w="1240" w:type="dxa"/>
            <w:vAlign w:val="bottom"/>
            <w:vMerge w:val="continue"/>
          </w:tcPr>
          <w:p>
            <w:pPr>
              <w:spacing w:after="0"/>
              <w:rPr>
                <w:sz w:val="12"/>
                <w:szCs w:val="12"/>
                <w:color w:val="auto"/>
              </w:rPr>
            </w:pPr>
          </w:p>
        </w:tc>
        <w:tc>
          <w:tcPr>
            <w:tcW w:w="1080" w:type="dxa"/>
            <w:vAlign w:val="bottom"/>
          </w:tcPr>
          <w:p>
            <w:pPr>
              <w:jc w:val="center"/>
              <w:ind w:left="33"/>
              <w:spacing w:after="0" w:line="141" w:lineRule="exact"/>
              <w:rPr>
                <w:sz w:val="20"/>
                <w:szCs w:val="20"/>
                <w:color w:val="auto"/>
              </w:rPr>
            </w:pPr>
            <w:r>
              <w:rPr>
                <w:rFonts w:ascii="Arial" w:cs="Arial" w:eastAsia="Arial" w:hAnsi="Arial"/>
                <w:sz w:val="14"/>
                <w:szCs w:val="14"/>
                <w:color w:val="483E65"/>
              </w:rPr>
              <w:t>New Change</w:t>
            </w:r>
          </w:p>
        </w:tc>
        <w:tc>
          <w:tcPr>
            <w:tcW w:w="1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1180" w:type="dxa"/>
            <w:vAlign w:val="bottom"/>
          </w:tcPr>
          <w:p>
            <w:pPr>
              <w:jc w:val="center"/>
              <w:ind w:right="148"/>
              <w:spacing w:after="0"/>
              <w:rPr>
                <w:sz w:val="20"/>
                <w:szCs w:val="20"/>
                <w:color w:val="auto"/>
              </w:rPr>
            </w:pPr>
            <w:r>
              <w:rPr>
                <w:rFonts w:ascii="Arial" w:cs="Arial" w:eastAsia="Arial" w:hAnsi="Arial"/>
                <w:sz w:val="14"/>
                <w:szCs w:val="14"/>
                <w:color w:val="483E65"/>
              </w:rPr>
              <w:t>Termination ($)</w:t>
            </w:r>
          </w:p>
        </w:tc>
        <w:tc>
          <w:tcPr>
            <w:tcW w:w="1120" w:type="dxa"/>
            <w:vAlign w:val="bottom"/>
          </w:tcPr>
          <w:p>
            <w:pPr>
              <w:ind w:left="80"/>
              <w:spacing w:after="0"/>
              <w:rPr>
                <w:sz w:val="20"/>
                <w:szCs w:val="20"/>
                <w:color w:val="auto"/>
              </w:rPr>
            </w:pPr>
            <w:r>
              <w:rPr>
                <w:rFonts w:ascii="Arial" w:cs="Arial" w:eastAsia="Arial" w:hAnsi="Arial"/>
                <w:sz w:val="14"/>
                <w:szCs w:val="14"/>
                <w:color w:val="483E65"/>
              </w:rPr>
              <w:t>For Cause ($)</w:t>
            </w:r>
          </w:p>
        </w:tc>
        <w:tc>
          <w:tcPr>
            <w:tcW w:w="1220" w:type="dxa"/>
            <w:vAlign w:val="bottom"/>
            <w:gridSpan w:val="2"/>
          </w:tcPr>
          <w:p>
            <w:pPr>
              <w:jc w:val="center"/>
              <w:ind w:right="80"/>
              <w:spacing w:after="0" w:line="179" w:lineRule="exact"/>
              <w:rPr>
                <w:sz w:val="20"/>
                <w:szCs w:val="20"/>
                <w:color w:val="auto"/>
              </w:rPr>
            </w:pPr>
            <w:r>
              <w:rPr>
                <w:rFonts w:ascii="Arial" w:cs="Arial" w:eastAsia="Arial" w:hAnsi="Arial"/>
                <w:sz w:val="12"/>
                <w:szCs w:val="12"/>
                <w:color w:val="483E65"/>
              </w:rPr>
              <w:t>Reason ($)</w:t>
            </w:r>
            <w:r>
              <w:rPr>
                <w:rFonts w:ascii="Arial" w:cs="Arial" w:eastAsia="Arial" w:hAnsi="Arial"/>
                <w:sz w:val="20"/>
                <w:szCs w:val="20"/>
                <w:color w:val="483E65"/>
                <w:vertAlign w:val="superscript"/>
              </w:rPr>
              <w:t>(1)</w:t>
            </w:r>
          </w:p>
        </w:tc>
        <w:tc>
          <w:tcPr>
            <w:tcW w:w="1240" w:type="dxa"/>
            <w:vAlign w:val="bottom"/>
          </w:tcPr>
          <w:p>
            <w:pPr>
              <w:jc w:val="center"/>
              <w:ind w:right="51"/>
              <w:spacing w:after="0" w:line="179" w:lineRule="exact"/>
              <w:rPr>
                <w:sz w:val="20"/>
                <w:szCs w:val="20"/>
                <w:color w:val="auto"/>
              </w:rPr>
            </w:pPr>
            <w:r>
              <w:rPr>
                <w:rFonts w:ascii="Arial" w:cs="Arial" w:eastAsia="Arial" w:hAnsi="Arial"/>
                <w:sz w:val="12"/>
                <w:szCs w:val="12"/>
                <w:color w:val="483E65"/>
              </w:rPr>
              <w:t>Transaction ($)</w:t>
            </w:r>
            <w:r>
              <w:rPr>
                <w:rFonts w:ascii="Arial" w:cs="Arial" w:eastAsia="Arial" w:hAnsi="Arial"/>
                <w:sz w:val="20"/>
                <w:szCs w:val="20"/>
                <w:color w:val="483E65"/>
                <w:vertAlign w:val="superscript"/>
              </w:rPr>
              <w:t>(2)</w:t>
            </w:r>
          </w:p>
        </w:tc>
        <w:tc>
          <w:tcPr>
            <w:tcW w:w="1080" w:type="dxa"/>
            <w:vAlign w:val="bottom"/>
          </w:tcPr>
          <w:p>
            <w:pPr>
              <w:jc w:val="center"/>
              <w:ind w:left="33"/>
              <w:spacing w:after="0" w:line="179" w:lineRule="exact"/>
              <w:rPr>
                <w:sz w:val="20"/>
                <w:szCs w:val="20"/>
                <w:color w:val="auto"/>
              </w:rPr>
            </w:pPr>
            <w:r>
              <w:rPr>
                <w:rFonts w:ascii="Arial" w:cs="Arial" w:eastAsia="Arial" w:hAnsi="Arial"/>
                <w:sz w:val="12"/>
                <w:szCs w:val="12"/>
                <w:color w:val="483E65"/>
              </w:rPr>
              <w:t>in Control ($)</w:t>
            </w:r>
            <w:r>
              <w:rPr>
                <w:rFonts w:ascii="Arial" w:cs="Arial" w:eastAsia="Arial" w:hAnsi="Arial"/>
                <w:sz w:val="20"/>
                <w:szCs w:val="20"/>
                <w:color w:val="483E65"/>
                <w:vertAlign w:val="superscript"/>
              </w:rPr>
              <w:t>(3)</w:t>
            </w:r>
          </w:p>
        </w:tc>
        <w:tc>
          <w:tcPr>
            <w:tcW w:w="1100" w:type="dxa"/>
            <w:vAlign w:val="bottom"/>
          </w:tcPr>
          <w:p>
            <w:pPr>
              <w:ind w:left="360"/>
              <w:spacing w:after="0"/>
              <w:rPr>
                <w:sz w:val="20"/>
                <w:szCs w:val="20"/>
                <w:color w:val="auto"/>
              </w:rPr>
            </w:pPr>
            <w:r>
              <w:rPr>
                <w:rFonts w:ascii="Arial" w:cs="Arial" w:eastAsia="Arial" w:hAnsi="Arial"/>
                <w:sz w:val="14"/>
                <w:szCs w:val="14"/>
                <w:color w:val="483E65"/>
              </w:rPr>
              <w:t>Death ($)</w:t>
            </w:r>
          </w:p>
        </w:tc>
        <w:tc>
          <w:tcPr>
            <w:tcW w:w="920" w:type="dxa"/>
            <w:vAlign w:val="bottom"/>
          </w:tcPr>
          <w:p>
            <w:pPr>
              <w:ind w:left="120"/>
              <w:spacing w:after="0"/>
              <w:rPr>
                <w:sz w:val="20"/>
                <w:szCs w:val="20"/>
                <w:color w:val="auto"/>
              </w:rPr>
            </w:pPr>
            <w:r>
              <w:rPr>
                <w:rFonts w:ascii="Arial" w:cs="Arial" w:eastAsia="Arial" w:hAnsi="Arial"/>
                <w:sz w:val="14"/>
                <w:szCs w:val="14"/>
                <w:color w:val="483E65"/>
              </w:rPr>
              <w:t>Disability ($)</w:t>
            </w:r>
          </w:p>
        </w:tc>
        <w:tc>
          <w:tcPr>
            <w:tcW w:w="0" w:type="dxa"/>
            <w:vAlign w:val="bottom"/>
          </w:tcPr>
          <w:p>
            <w:pPr>
              <w:spacing w:after="0"/>
              <w:rPr>
                <w:sz w:val="1"/>
                <w:szCs w:val="1"/>
                <w:color w:val="auto"/>
              </w:rPr>
            </w:pPr>
          </w:p>
        </w:tc>
      </w:tr>
    </w:tbl>
    <w:p>
      <w:pPr>
        <w:spacing w:after="0" w:line="5" w:lineRule="exact"/>
        <w:rPr>
          <w:sz w:val="20"/>
          <w:szCs w:val="20"/>
          <w:color w:val="auto"/>
        </w:rPr>
      </w:pPr>
    </w:p>
    <w:p>
      <w:pPr>
        <w:sectPr>
          <w:pgSz w:w="11900" w:h="16838" w:orient="portrait"/>
          <w:cols w:equalWidth="0" w:num="2">
            <w:col w:w="2640" w:space="720"/>
            <w:col w:w="8060"/>
          </w:cols>
          <w:pgMar w:left="240" w:top="459" w:right="239" w:bottom="1440" w:gutter="0" w:footer="0" w:header="0"/>
          <w:type w:val="continuous"/>
        </w:sectPr>
      </w:pPr>
    </w:p>
    <w:tbl>
      <w:tblPr>
        <w:tblLayout w:type="fixed"/>
        <w:tblInd w:w="0" w:type="dxa"/>
        <w:tblCellMar>
          <w:top w:w="0" w:type="dxa"/>
          <w:left w:w="0" w:type="dxa"/>
          <w:bottom w:w="0" w:type="dxa"/>
          <w:right w:w="0" w:type="dxa"/>
        </w:tblCellMar>
      </w:tblPr>
      <w:tr>
        <w:trPr>
          <w:trHeight w:val="192"/>
        </w:trPr>
        <w:tc>
          <w:tcPr>
            <w:tcW w:w="3440" w:type="dxa"/>
            <w:vAlign w:val="bottom"/>
            <w:tcBorders>
              <w:top w:val="single" w:sz="8" w:color="483E65"/>
            </w:tcBorders>
          </w:tcPr>
          <w:p>
            <w:pPr>
              <w:ind w:left="100"/>
              <w:spacing w:after="0" w:line="192" w:lineRule="exact"/>
              <w:rPr>
                <w:sz w:val="20"/>
                <w:szCs w:val="20"/>
                <w:color w:val="auto"/>
              </w:rPr>
            </w:pPr>
            <w:r>
              <w:rPr>
                <w:rFonts w:ascii="Arial" w:cs="Arial" w:eastAsia="Arial" w:hAnsi="Arial"/>
                <w:sz w:val="18"/>
                <w:szCs w:val="18"/>
                <w:b w:val="1"/>
                <w:bCs w:val="1"/>
                <w:color w:val="auto"/>
              </w:rPr>
              <w:t>Compensation:</w:t>
            </w:r>
          </w:p>
        </w:tc>
        <w:tc>
          <w:tcPr>
            <w:tcW w:w="1420" w:type="dxa"/>
            <w:vAlign w:val="bottom"/>
            <w:tcBorders>
              <w:top w:val="single" w:sz="8" w:color="483E65"/>
            </w:tcBorders>
          </w:tcPr>
          <w:p>
            <w:pPr>
              <w:spacing w:after="0"/>
              <w:rPr>
                <w:sz w:val="16"/>
                <w:szCs w:val="16"/>
                <w:color w:val="auto"/>
              </w:rPr>
            </w:pPr>
          </w:p>
        </w:tc>
        <w:tc>
          <w:tcPr>
            <w:tcW w:w="860" w:type="dxa"/>
            <w:vAlign w:val="bottom"/>
            <w:tcBorders>
              <w:top w:val="single" w:sz="8" w:color="483E65"/>
            </w:tcBorders>
          </w:tcPr>
          <w:p>
            <w:pPr>
              <w:spacing w:after="0"/>
              <w:rPr>
                <w:sz w:val="16"/>
                <w:szCs w:val="16"/>
                <w:color w:val="auto"/>
              </w:rPr>
            </w:pPr>
          </w:p>
        </w:tc>
        <w:tc>
          <w:tcPr>
            <w:tcW w:w="1220" w:type="dxa"/>
            <w:vAlign w:val="bottom"/>
            <w:tcBorders>
              <w:top w:val="single" w:sz="8" w:color="483E65"/>
            </w:tcBorders>
          </w:tcPr>
          <w:p>
            <w:pPr>
              <w:spacing w:after="0"/>
              <w:rPr>
                <w:sz w:val="16"/>
                <w:szCs w:val="16"/>
                <w:color w:val="auto"/>
              </w:rPr>
            </w:pPr>
          </w:p>
        </w:tc>
        <w:tc>
          <w:tcPr>
            <w:tcW w:w="1260" w:type="dxa"/>
            <w:vAlign w:val="bottom"/>
            <w:tcBorders>
              <w:top w:val="single" w:sz="8" w:color="483E65"/>
            </w:tcBorders>
          </w:tcPr>
          <w:p>
            <w:pPr>
              <w:spacing w:after="0"/>
              <w:rPr>
                <w:sz w:val="16"/>
                <w:szCs w:val="16"/>
                <w:color w:val="auto"/>
              </w:rPr>
            </w:pPr>
          </w:p>
        </w:tc>
        <w:tc>
          <w:tcPr>
            <w:tcW w:w="1140" w:type="dxa"/>
            <w:vAlign w:val="bottom"/>
            <w:tcBorders>
              <w:top w:val="single" w:sz="8" w:color="483E65"/>
            </w:tcBorders>
          </w:tcPr>
          <w:p>
            <w:pPr>
              <w:spacing w:after="0"/>
              <w:rPr>
                <w:sz w:val="16"/>
                <w:szCs w:val="16"/>
                <w:color w:val="auto"/>
              </w:rPr>
            </w:pPr>
          </w:p>
        </w:tc>
        <w:tc>
          <w:tcPr>
            <w:tcW w:w="1040" w:type="dxa"/>
            <w:vAlign w:val="bottom"/>
            <w:tcBorders>
              <w:top w:val="single" w:sz="8" w:color="483E65"/>
            </w:tcBorders>
          </w:tcPr>
          <w:p>
            <w:pPr>
              <w:spacing w:after="0"/>
              <w:rPr>
                <w:sz w:val="16"/>
                <w:szCs w:val="16"/>
                <w:color w:val="auto"/>
              </w:rPr>
            </w:pPr>
          </w:p>
        </w:tc>
        <w:tc>
          <w:tcPr>
            <w:tcW w:w="1040" w:type="dxa"/>
            <w:vAlign w:val="bottom"/>
            <w:tcBorders>
              <w:top w:val="single" w:sz="8" w:color="483E65"/>
            </w:tcBorders>
          </w:tcPr>
          <w:p>
            <w:pPr>
              <w:spacing w:after="0"/>
              <w:rPr>
                <w:sz w:val="16"/>
                <w:szCs w:val="16"/>
                <w:color w:val="auto"/>
              </w:rPr>
            </w:pPr>
          </w:p>
        </w:tc>
      </w:tr>
      <w:tr>
        <w:trPr>
          <w:trHeight w:val="203"/>
        </w:trPr>
        <w:tc>
          <w:tcPr>
            <w:tcW w:w="3440" w:type="dxa"/>
            <w:vAlign w:val="bottom"/>
            <w:shd w:val="clear" w:color="auto" w:fill="ACABA7"/>
          </w:tcPr>
          <w:p>
            <w:pPr>
              <w:ind w:left="100"/>
              <w:spacing w:after="0" w:line="202" w:lineRule="exact"/>
              <w:rPr>
                <w:sz w:val="20"/>
                <w:szCs w:val="20"/>
                <w:color w:val="auto"/>
              </w:rPr>
            </w:pPr>
            <w:r>
              <w:rPr>
                <w:rFonts w:ascii="Arial" w:cs="Arial" w:eastAsia="Arial" w:hAnsi="Arial"/>
                <w:sz w:val="18"/>
                <w:szCs w:val="18"/>
                <w:color w:val="auto"/>
              </w:rPr>
              <w:t>Severance (Salary and Bonus)</w:t>
            </w:r>
            <w:r>
              <w:rPr>
                <w:rFonts w:ascii="Arial" w:cs="Arial" w:eastAsia="Arial" w:hAnsi="Arial"/>
                <w:sz w:val="15"/>
                <w:szCs w:val="15"/>
                <w:color w:val="auto"/>
              </w:rPr>
              <w:t>(4)</w:t>
            </w:r>
          </w:p>
        </w:tc>
        <w:tc>
          <w:tcPr>
            <w:tcW w:w="1420" w:type="dxa"/>
            <w:vAlign w:val="bottom"/>
            <w:shd w:val="clear" w:color="auto" w:fill="ACABA7"/>
          </w:tcPr>
          <w:p>
            <w:pPr>
              <w:jc w:val="right"/>
              <w:ind w:right="450"/>
              <w:spacing w:after="0" w:line="202" w:lineRule="exact"/>
              <w:rPr>
                <w:sz w:val="20"/>
                <w:szCs w:val="20"/>
                <w:color w:val="auto"/>
              </w:rPr>
            </w:pPr>
            <w:r>
              <w:rPr>
                <w:rFonts w:ascii="Arial" w:cs="Arial" w:eastAsia="Arial" w:hAnsi="Arial"/>
                <w:sz w:val="18"/>
                <w:szCs w:val="18"/>
                <w:color w:val="auto"/>
              </w:rPr>
              <w:t>—</w:t>
            </w:r>
          </w:p>
        </w:tc>
        <w:tc>
          <w:tcPr>
            <w:tcW w:w="860" w:type="dxa"/>
            <w:vAlign w:val="bottom"/>
            <w:shd w:val="clear" w:color="auto" w:fill="ACABA7"/>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220" w:type="dxa"/>
            <w:vAlign w:val="bottom"/>
            <w:shd w:val="clear" w:color="auto" w:fill="ACABA7"/>
          </w:tcPr>
          <w:p>
            <w:pPr>
              <w:jc w:val="right"/>
              <w:ind w:right="190"/>
              <w:spacing w:after="0" w:line="202" w:lineRule="exact"/>
              <w:rPr>
                <w:sz w:val="20"/>
                <w:szCs w:val="20"/>
                <w:color w:val="auto"/>
              </w:rPr>
            </w:pPr>
            <w:r>
              <w:rPr>
                <w:rFonts w:ascii="Arial" w:cs="Arial" w:eastAsia="Arial" w:hAnsi="Arial"/>
                <w:sz w:val="18"/>
                <w:szCs w:val="18"/>
                <w:color w:val="auto"/>
              </w:rPr>
              <w:t>—</w:t>
            </w:r>
          </w:p>
        </w:tc>
        <w:tc>
          <w:tcPr>
            <w:tcW w:w="1260" w:type="dxa"/>
            <w:vAlign w:val="bottom"/>
            <w:shd w:val="clear" w:color="auto" w:fill="ACABA7"/>
          </w:tcPr>
          <w:p>
            <w:pPr>
              <w:jc w:val="right"/>
              <w:ind w:right="110"/>
              <w:spacing w:after="0" w:line="202" w:lineRule="exact"/>
              <w:rPr>
                <w:sz w:val="20"/>
                <w:szCs w:val="20"/>
                <w:color w:val="auto"/>
              </w:rPr>
            </w:pPr>
            <w:r>
              <w:rPr>
                <w:rFonts w:ascii="Arial" w:cs="Arial" w:eastAsia="Arial" w:hAnsi="Arial"/>
                <w:sz w:val="18"/>
                <w:szCs w:val="18"/>
                <w:color w:val="auto"/>
              </w:rPr>
              <w:t>2,683,750</w:t>
            </w:r>
          </w:p>
        </w:tc>
        <w:tc>
          <w:tcPr>
            <w:tcW w:w="1140" w:type="dxa"/>
            <w:vAlign w:val="bottom"/>
            <w:shd w:val="clear" w:color="auto" w:fill="ACABA7"/>
          </w:tcPr>
          <w:p>
            <w:pPr>
              <w:jc w:val="right"/>
              <w:ind w:right="50"/>
              <w:spacing w:after="0" w:line="202" w:lineRule="exact"/>
              <w:rPr>
                <w:sz w:val="20"/>
                <w:szCs w:val="20"/>
                <w:color w:val="auto"/>
              </w:rPr>
            </w:pPr>
            <w:r>
              <w:rPr>
                <w:rFonts w:ascii="Arial" w:cs="Arial" w:eastAsia="Arial" w:hAnsi="Arial"/>
                <w:sz w:val="18"/>
                <w:szCs w:val="18"/>
                <w:color w:val="auto"/>
              </w:rPr>
              <w:t>2,683,750</w:t>
            </w:r>
          </w:p>
        </w:tc>
        <w:tc>
          <w:tcPr>
            <w:tcW w:w="1040" w:type="dxa"/>
            <w:vAlign w:val="bottom"/>
            <w:shd w:val="clear" w:color="auto" w:fill="ACABA7"/>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040" w:type="dxa"/>
            <w:vAlign w:val="bottom"/>
            <w:shd w:val="clear" w:color="auto" w:fill="ACABA7"/>
          </w:tcPr>
          <w:p>
            <w:pPr>
              <w:jc w:val="right"/>
              <w:ind w:right="70"/>
              <w:spacing w:after="0" w:line="202" w:lineRule="exact"/>
              <w:rPr>
                <w:sz w:val="20"/>
                <w:szCs w:val="20"/>
                <w:color w:val="auto"/>
              </w:rPr>
            </w:pPr>
            <w:r>
              <w:rPr>
                <w:rFonts w:ascii="Arial" w:cs="Arial" w:eastAsia="Arial" w:hAnsi="Arial"/>
                <w:sz w:val="18"/>
                <w:szCs w:val="18"/>
                <w:color w:val="auto"/>
              </w:rPr>
              <w:t>—</w:t>
            </w:r>
          </w:p>
        </w:tc>
      </w:tr>
      <w:tr>
        <w:trPr>
          <w:trHeight w:val="203"/>
        </w:trPr>
        <w:tc>
          <w:tcPr>
            <w:tcW w:w="3440" w:type="dxa"/>
            <w:vAlign w:val="bottom"/>
          </w:tcPr>
          <w:p>
            <w:pPr>
              <w:ind w:left="100"/>
              <w:spacing w:after="0" w:line="202" w:lineRule="exact"/>
              <w:rPr>
                <w:sz w:val="20"/>
                <w:szCs w:val="20"/>
                <w:color w:val="auto"/>
              </w:rPr>
            </w:pPr>
            <w:r>
              <w:rPr>
                <w:rFonts w:ascii="Arial" w:cs="Arial" w:eastAsia="Arial" w:hAnsi="Arial"/>
                <w:sz w:val="18"/>
                <w:szCs w:val="18"/>
                <w:color w:val="auto"/>
              </w:rPr>
              <w:t>Pro-rata Bonus</w:t>
            </w:r>
            <w:r>
              <w:rPr>
                <w:rFonts w:ascii="Arial" w:cs="Arial" w:eastAsia="Arial" w:hAnsi="Arial"/>
                <w:sz w:val="15"/>
                <w:szCs w:val="15"/>
                <w:color w:val="auto"/>
              </w:rPr>
              <w:t>(5)</w:t>
            </w:r>
          </w:p>
        </w:tc>
        <w:tc>
          <w:tcPr>
            <w:tcW w:w="1420" w:type="dxa"/>
            <w:vAlign w:val="bottom"/>
          </w:tcPr>
          <w:p>
            <w:pPr>
              <w:jc w:val="right"/>
              <w:ind w:right="450"/>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22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w:t>
            </w:r>
          </w:p>
        </w:tc>
        <w:tc>
          <w:tcPr>
            <w:tcW w:w="126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508,500</w:t>
            </w:r>
          </w:p>
        </w:tc>
        <w:tc>
          <w:tcPr>
            <w:tcW w:w="1140" w:type="dxa"/>
            <w:vAlign w:val="bottom"/>
          </w:tcPr>
          <w:p>
            <w:pPr>
              <w:jc w:val="right"/>
              <w:ind w:right="50"/>
              <w:spacing w:after="0" w:line="202" w:lineRule="exact"/>
              <w:rPr>
                <w:sz w:val="20"/>
                <w:szCs w:val="20"/>
                <w:color w:val="auto"/>
              </w:rPr>
            </w:pPr>
            <w:r>
              <w:rPr>
                <w:rFonts w:ascii="Arial" w:cs="Arial" w:eastAsia="Arial" w:hAnsi="Arial"/>
                <w:sz w:val="18"/>
                <w:szCs w:val="18"/>
                <w:color w:val="auto"/>
              </w:rPr>
              <w:t>508,500</w:t>
            </w:r>
          </w:p>
        </w:tc>
        <w:tc>
          <w:tcPr>
            <w:tcW w:w="10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508,500</w:t>
            </w:r>
          </w:p>
        </w:tc>
        <w:tc>
          <w:tcPr>
            <w:tcW w:w="1040" w:type="dxa"/>
            <w:vAlign w:val="bottom"/>
          </w:tcPr>
          <w:p>
            <w:pPr>
              <w:jc w:val="right"/>
              <w:ind w:right="70"/>
              <w:spacing w:after="0" w:line="202" w:lineRule="exact"/>
              <w:rPr>
                <w:sz w:val="20"/>
                <w:szCs w:val="20"/>
                <w:color w:val="auto"/>
              </w:rPr>
            </w:pPr>
            <w:r>
              <w:rPr>
                <w:rFonts w:ascii="Arial" w:cs="Arial" w:eastAsia="Arial" w:hAnsi="Arial"/>
                <w:sz w:val="18"/>
                <w:szCs w:val="18"/>
                <w:color w:val="auto"/>
              </w:rPr>
              <w:t>508,500</w:t>
            </w:r>
          </w:p>
        </w:tc>
      </w:tr>
      <w:tr>
        <w:trPr>
          <w:trHeight w:val="203"/>
        </w:trPr>
        <w:tc>
          <w:tcPr>
            <w:tcW w:w="3440" w:type="dxa"/>
            <w:vAlign w:val="bottom"/>
            <w:shd w:val="clear" w:color="auto" w:fill="ACABA7"/>
          </w:tcPr>
          <w:p>
            <w:pPr>
              <w:ind w:left="100"/>
              <w:spacing w:after="0" w:line="202" w:lineRule="exact"/>
              <w:rPr>
                <w:sz w:val="20"/>
                <w:szCs w:val="20"/>
                <w:color w:val="auto"/>
              </w:rPr>
            </w:pPr>
            <w:r>
              <w:rPr>
                <w:rFonts w:ascii="Arial" w:cs="Arial" w:eastAsia="Arial" w:hAnsi="Arial"/>
                <w:sz w:val="18"/>
                <w:szCs w:val="18"/>
                <w:b w:val="1"/>
                <w:bCs w:val="1"/>
                <w:color w:val="auto"/>
              </w:rPr>
              <w:t>Long-term Incentives</w:t>
            </w:r>
          </w:p>
        </w:tc>
        <w:tc>
          <w:tcPr>
            <w:tcW w:w="1420" w:type="dxa"/>
            <w:vAlign w:val="bottom"/>
            <w:shd w:val="clear" w:color="auto" w:fill="ACABA7"/>
          </w:tcPr>
          <w:p>
            <w:pPr>
              <w:spacing w:after="0"/>
              <w:rPr>
                <w:sz w:val="17"/>
                <w:szCs w:val="17"/>
                <w:color w:val="auto"/>
              </w:rPr>
            </w:pPr>
          </w:p>
        </w:tc>
        <w:tc>
          <w:tcPr>
            <w:tcW w:w="860" w:type="dxa"/>
            <w:vAlign w:val="bottom"/>
            <w:shd w:val="clear" w:color="auto" w:fill="ACABA7"/>
          </w:tcPr>
          <w:p>
            <w:pPr>
              <w:spacing w:after="0"/>
              <w:rPr>
                <w:sz w:val="17"/>
                <w:szCs w:val="17"/>
                <w:color w:val="auto"/>
              </w:rPr>
            </w:pPr>
          </w:p>
        </w:tc>
        <w:tc>
          <w:tcPr>
            <w:tcW w:w="1220" w:type="dxa"/>
            <w:vAlign w:val="bottom"/>
            <w:shd w:val="clear" w:color="auto" w:fill="ACABA7"/>
          </w:tcPr>
          <w:p>
            <w:pPr>
              <w:spacing w:after="0"/>
              <w:rPr>
                <w:sz w:val="17"/>
                <w:szCs w:val="17"/>
                <w:color w:val="auto"/>
              </w:rPr>
            </w:pPr>
          </w:p>
        </w:tc>
        <w:tc>
          <w:tcPr>
            <w:tcW w:w="1260" w:type="dxa"/>
            <w:vAlign w:val="bottom"/>
            <w:shd w:val="clear" w:color="auto" w:fill="ACABA7"/>
          </w:tcPr>
          <w:p>
            <w:pPr>
              <w:spacing w:after="0"/>
              <w:rPr>
                <w:sz w:val="17"/>
                <w:szCs w:val="17"/>
                <w:color w:val="auto"/>
              </w:rPr>
            </w:pPr>
          </w:p>
        </w:tc>
        <w:tc>
          <w:tcPr>
            <w:tcW w:w="1140" w:type="dxa"/>
            <w:vAlign w:val="bottom"/>
            <w:shd w:val="clear" w:color="auto" w:fill="ACABA7"/>
          </w:tcPr>
          <w:p>
            <w:pPr>
              <w:spacing w:after="0"/>
              <w:rPr>
                <w:sz w:val="17"/>
                <w:szCs w:val="17"/>
                <w:color w:val="auto"/>
              </w:rPr>
            </w:pPr>
          </w:p>
        </w:tc>
        <w:tc>
          <w:tcPr>
            <w:tcW w:w="1040" w:type="dxa"/>
            <w:vAlign w:val="bottom"/>
            <w:shd w:val="clear" w:color="auto" w:fill="ACABA7"/>
          </w:tcPr>
          <w:p>
            <w:pPr>
              <w:spacing w:after="0"/>
              <w:rPr>
                <w:sz w:val="17"/>
                <w:szCs w:val="17"/>
                <w:color w:val="auto"/>
              </w:rPr>
            </w:pPr>
          </w:p>
        </w:tc>
        <w:tc>
          <w:tcPr>
            <w:tcW w:w="1040" w:type="dxa"/>
            <w:vAlign w:val="bottom"/>
            <w:shd w:val="clear" w:color="auto" w:fill="ACABA7"/>
          </w:tcPr>
          <w:p>
            <w:pPr>
              <w:spacing w:after="0"/>
              <w:rPr>
                <w:sz w:val="17"/>
                <w:szCs w:val="17"/>
                <w:color w:val="auto"/>
              </w:rPr>
            </w:pPr>
          </w:p>
        </w:tc>
      </w:tr>
      <w:tr>
        <w:trPr>
          <w:trHeight w:val="199"/>
        </w:trPr>
        <w:tc>
          <w:tcPr>
            <w:tcW w:w="3440" w:type="dxa"/>
            <w:vAlign w:val="bottom"/>
          </w:tcPr>
          <w:p>
            <w:pPr>
              <w:ind w:left="100"/>
              <w:spacing w:after="0" w:line="199" w:lineRule="exact"/>
              <w:rPr>
                <w:sz w:val="20"/>
                <w:szCs w:val="20"/>
                <w:color w:val="auto"/>
              </w:rPr>
            </w:pPr>
            <w:r>
              <w:rPr>
                <w:rFonts w:ascii="Arial" w:cs="Arial" w:eastAsia="Arial" w:hAnsi="Arial"/>
                <w:sz w:val="18"/>
                <w:szCs w:val="18"/>
                <w:color w:val="auto"/>
              </w:rPr>
              <w:t>Performance Restricted</w:t>
            </w:r>
          </w:p>
        </w:tc>
        <w:tc>
          <w:tcPr>
            <w:tcW w:w="14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6"/>
        </w:trPr>
        <w:tc>
          <w:tcPr>
            <w:tcW w:w="3440" w:type="dxa"/>
            <w:vAlign w:val="bottom"/>
          </w:tcPr>
          <w:p>
            <w:pPr>
              <w:ind w:left="180"/>
              <w:spacing w:after="0"/>
              <w:rPr>
                <w:sz w:val="20"/>
                <w:szCs w:val="20"/>
                <w:color w:val="auto"/>
              </w:rPr>
            </w:pPr>
            <w:r>
              <w:rPr>
                <w:rFonts w:ascii="Arial" w:cs="Arial" w:eastAsia="Arial" w:hAnsi="Arial"/>
                <w:sz w:val="18"/>
                <w:szCs w:val="18"/>
                <w:color w:val="auto"/>
              </w:rPr>
              <w:t>Stock/Restricted Stock Units</w:t>
            </w:r>
            <w:r>
              <w:rPr>
                <w:rFonts w:ascii="Arial" w:cs="Arial" w:eastAsia="Arial" w:hAnsi="Arial"/>
                <w:sz w:val="15"/>
                <w:szCs w:val="15"/>
                <w:color w:val="auto"/>
              </w:rPr>
              <w:t>(6)</w:t>
            </w:r>
          </w:p>
        </w:tc>
        <w:tc>
          <w:tcPr>
            <w:tcW w:w="142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1,014,024</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1,014,024</w:t>
            </w: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1,014,024</w:t>
            </w:r>
          </w:p>
        </w:tc>
      </w:tr>
      <w:tr>
        <w:trPr>
          <w:trHeight w:val="203"/>
        </w:trPr>
        <w:tc>
          <w:tcPr>
            <w:tcW w:w="3440" w:type="dxa"/>
            <w:vAlign w:val="bottom"/>
            <w:shd w:val="clear" w:color="auto" w:fill="ACABA7"/>
          </w:tcPr>
          <w:p>
            <w:pPr>
              <w:ind w:left="100"/>
              <w:spacing w:after="0" w:line="202" w:lineRule="exact"/>
              <w:rPr>
                <w:sz w:val="20"/>
                <w:szCs w:val="20"/>
                <w:color w:val="auto"/>
              </w:rPr>
            </w:pPr>
            <w:r>
              <w:rPr>
                <w:rFonts w:ascii="Arial" w:cs="Arial" w:eastAsia="Arial" w:hAnsi="Arial"/>
                <w:sz w:val="18"/>
                <w:szCs w:val="18"/>
                <w:color w:val="auto"/>
              </w:rPr>
              <w:t>- Stock Options</w:t>
            </w:r>
            <w:r>
              <w:rPr>
                <w:rFonts w:ascii="Arial" w:cs="Arial" w:eastAsia="Arial" w:hAnsi="Arial"/>
                <w:sz w:val="15"/>
                <w:szCs w:val="15"/>
                <w:color w:val="auto"/>
              </w:rPr>
              <w:t>(7)</w:t>
            </w:r>
          </w:p>
        </w:tc>
        <w:tc>
          <w:tcPr>
            <w:tcW w:w="1420" w:type="dxa"/>
            <w:vAlign w:val="bottom"/>
            <w:shd w:val="clear" w:color="auto" w:fill="ACABA7"/>
          </w:tcPr>
          <w:p>
            <w:pPr>
              <w:jc w:val="right"/>
              <w:ind w:right="450"/>
              <w:spacing w:after="0" w:line="202" w:lineRule="exact"/>
              <w:rPr>
                <w:sz w:val="20"/>
                <w:szCs w:val="20"/>
                <w:color w:val="auto"/>
              </w:rPr>
            </w:pPr>
            <w:r>
              <w:rPr>
                <w:rFonts w:ascii="Arial" w:cs="Arial" w:eastAsia="Arial" w:hAnsi="Arial"/>
                <w:sz w:val="18"/>
                <w:szCs w:val="18"/>
                <w:color w:val="auto"/>
              </w:rPr>
              <w:t>—</w:t>
            </w:r>
          </w:p>
        </w:tc>
        <w:tc>
          <w:tcPr>
            <w:tcW w:w="860" w:type="dxa"/>
            <w:vAlign w:val="bottom"/>
            <w:shd w:val="clear" w:color="auto" w:fill="ACABA7"/>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220" w:type="dxa"/>
            <w:vAlign w:val="bottom"/>
            <w:shd w:val="clear" w:color="auto" w:fill="ACABA7"/>
          </w:tcPr>
          <w:p>
            <w:pPr>
              <w:jc w:val="right"/>
              <w:ind w:right="190"/>
              <w:spacing w:after="0" w:line="202" w:lineRule="exact"/>
              <w:rPr>
                <w:sz w:val="20"/>
                <w:szCs w:val="20"/>
                <w:color w:val="auto"/>
              </w:rPr>
            </w:pPr>
            <w:r>
              <w:rPr>
                <w:rFonts w:ascii="Arial" w:cs="Arial" w:eastAsia="Arial" w:hAnsi="Arial"/>
                <w:sz w:val="18"/>
                <w:szCs w:val="18"/>
                <w:color w:val="auto"/>
              </w:rPr>
              <w:t>—</w:t>
            </w:r>
          </w:p>
        </w:tc>
        <w:tc>
          <w:tcPr>
            <w:tcW w:w="1260" w:type="dxa"/>
            <w:vAlign w:val="bottom"/>
            <w:shd w:val="clear" w:color="auto" w:fill="ACABA7"/>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140" w:type="dxa"/>
            <w:vAlign w:val="bottom"/>
            <w:shd w:val="clear" w:color="auto" w:fill="ACABA7"/>
          </w:tcPr>
          <w:p>
            <w:pPr>
              <w:jc w:val="right"/>
              <w:ind w:right="50"/>
              <w:spacing w:after="0" w:line="202" w:lineRule="exact"/>
              <w:rPr>
                <w:sz w:val="20"/>
                <w:szCs w:val="20"/>
                <w:color w:val="auto"/>
              </w:rPr>
            </w:pPr>
            <w:r>
              <w:rPr>
                <w:rFonts w:ascii="Arial" w:cs="Arial" w:eastAsia="Arial" w:hAnsi="Arial"/>
                <w:sz w:val="18"/>
                <w:szCs w:val="18"/>
                <w:color w:val="auto"/>
              </w:rPr>
              <w:t>1,480,288</w:t>
            </w:r>
          </w:p>
        </w:tc>
        <w:tc>
          <w:tcPr>
            <w:tcW w:w="1040" w:type="dxa"/>
            <w:vAlign w:val="bottom"/>
            <w:shd w:val="clear" w:color="auto" w:fill="ACABA7"/>
          </w:tcPr>
          <w:p>
            <w:pPr>
              <w:jc w:val="right"/>
              <w:ind w:right="10"/>
              <w:spacing w:after="0" w:line="202" w:lineRule="exact"/>
              <w:rPr>
                <w:sz w:val="20"/>
                <w:szCs w:val="20"/>
                <w:color w:val="auto"/>
              </w:rPr>
            </w:pPr>
            <w:r>
              <w:rPr>
                <w:rFonts w:ascii="Arial" w:cs="Arial" w:eastAsia="Arial" w:hAnsi="Arial"/>
                <w:sz w:val="18"/>
                <w:szCs w:val="18"/>
                <w:color w:val="auto"/>
              </w:rPr>
              <w:t>1,480,288</w:t>
            </w:r>
          </w:p>
        </w:tc>
        <w:tc>
          <w:tcPr>
            <w:tcW w:w="1040" w:type="dxa"/>
            <w:vAlign w:val="bottom"/>
            <w:shd w:val="clear" w:color="auto" w:fill="ACABA7"/>
          </w:tcPr>
          <w:p>
            <w:pPr>
              <w:jc w:val="right"/>
              <w:ind w:right="70"/>
              <w:spacing w:after="0" w:line="202" w:lineRule="exact"/>
              <w:rPr>
                <w:sz w:val="20"/>
                <w:szCs w:val="20"/>
                <w:color w:val="auto"/>
              </w:rPr>
            </w:pPr>
            <w:r>
              <w:rPr>
                <w:rFonts w:ascii="Arial" w:cs="Arial" w:eastAsia="Arial" w:hAnsi="Arial"/>
                <w:sz w:val="18"/>
                <w:szCs w:val="18"/>
                <w:color w:val="auto"/>
              </w:rPr>
              <w:t>1,480,288</w:t>
            </w:r>
          </w:p>
        </w:tc>
      </w:tr>
      <w:tr>
        <w:trPr>
          <w:trHeight w:val="203"/>
        </w:trPr>
        <w:tc>
          <w:tcPr>
            <w:tcW w:w="3440" w:type="dxa"/>
            <w:vAlign w:val="bottom"/>
          </w:tcPr>
          <w:p>
            <w:pPr>
              <w:ind w:left="100"/>
              <w:spacing w:after="0" w:line="202" w:lineRule="exact"/>
              <w:rPr>
                <w:sz w:val="20"/>
                <w:szCs w:val="20"/>
                <w:color w:val="auto"/>
              </w:rPr>
            </w:pPr>
            <w:r>
              <w:rPr>
                <w:rFonts w:ascii="Arial" w:cs="Arial" w:eastAsia="Arial" w:hAnsi="Arial"/>
                <w:sz w:val="18"/>
                <w:szCs w:val="18"/>
                <w:color w:val="auto"/>
              </w:rPr>
              <w:t>- Performance Share Awards</w:t>
            </w:r>
            <w:r>
              <w:rPr>
                <w:rFonts w:ascii="Arial" w:cs="Arial" w:eastAsia="Arial" w:hAnsi="Arial"/>
                <w:sz w:val="15"/>
                <w:szCs w:val="15"/>
                <w:color w:val="auto"/>
              </w:rPr>
              <w:t>(8)</w:t>
            </w:r>
          </w:p>
        </w:tc>
        <w:tc>
          <w:tcPr>
            <w:tcW w:w="1420" w:type="dxa"/>
            <w:vAlign w:val="bottom"/>
          </w:tcPr>
          <w:p>
            <w:pPr>
              <w:jc w:val="right"/>
              <w:ind w:right="450"/>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22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1,282,216</w:t>
            </w:r>
          </w:p>
        </w:tc>
        <w:tc>
          <w:tcPr>
            <w:tcW w:w="126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1,282,216</w:t>
            </w:r>
          </w:p>
        </w:tc>
        <w:tc>
          <w:tcPr>
            <w:tcW w:w="1140" w:type="dxa"/>
            <w:vAlign w:val="bottom"/>
          </w:tcPr>
          <w:p>
            <w:pPr>
              <w:jc w:val="right"/>
              <w:ind w:right="50"/>
              <w:spacing w:after="0" w:line="202" w:lineRule="exact"/>
              <w:rPr>
                <w:sz w:val="20"/>
                <w:szCs w:val="20"/>
                <w:color w:val="auto"/>
              </w:rPr>
            </w:pPr>
            <w:r>
              <w:rPr>
                <w:rFonts w:ascii="Arial" w:cs="Arial" w:eastAsia="Arial" w:hAnsi="Arial"/>
                <w:sz w:val="18"/>
                <w:szCs w:val="18"/>
                <w:color w:val="auto"/>
              </w:rPr>
              <w:t>1,282,216</w:t>
            </w:r>
          </w:p>
        </w:tc>
        <w:tc>
          <w:tcPr>
            <w:tcW w:w="10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1,282,216</w:t>
            </w:r>
          </w:p>
        </w:tc>
        <w:tc>
          <w:tcPr>
            <w:tcW w:w="1040" w:type="dxa"/>
            <w:vAlign w:val="bottom"/>
          </w:tcPr>
          <w:p>
            <w:pPr>
              <w:jc w:val="right"/>
              <w:ind w:right="70"/>
              <w:spacing w:after="0" w:line="202" w:lineRule="exact"/>
              <w:rPr>
                <w:sz w:val="20"/>
                <w:szCs w:val="20"/>
                <w:color w:val="auto"/>
              </w:rPr>
            </w:pPr>
            <w:r>
              <w:rPr>
                <w:rFonts w:ascii="Arial" w:cs="Arial" w:eastAsia="Arial" w:hAnsi="Arial"/>
                <w:sz w:val="18"/>
                <w:szCs w:val="18"/>
                <w:color w:val="auto"/>
              </w:rPr>
              <w:t>1,282,216</w:t>
            </w:r>
          </w:p>
        </w:tc>
      </w:tr>
      <w:tr>
        <w:trPr>
          <w:trHeight w:val="203"/>
        </w:trPr>
        <w:tc>
          <w:tcPr>
            <w:tcW w:w="3440" w:type="dxa"/>
            <w:vAlign w:val="bottom"/>
            <w:shd w:val="clear" w:color="auto" w:fill="ACABA7"/>
          </w:tcPr>
          <w:p>
            <w:pPr>
              <w:ind w:left="100"/>
              <w:spacing w:after="0" w:line="202" w:lineRule="exact"/>
              <w:rPr>
                <w:sz w:val="20"/>
                <w:szCs w:val="20"/>
                <w:color w:val="auto"/>
              </w:rPr>
            </w:pPr>
            <w:r>
              <w:rPr>
                <w:rFonts w:ascii="Arial" w:cs="Arial" w:eastAsia="Arial" w:hAnsi="Arial"/>
                <w:sz w:val="18"/>
                <w:szCs w:val="18"/>
                <w:b w:val="1"/>
                <w:bCs w:val="1"/>
                <w:color w:val="auto"/>
              </w:rPr>
              <w:t>Benefits &amp; Perquisites:</w:t>
            </w:r>
          </w:p>
        </w:tc>
        <w:tc>
          <w:tcPr>
            <w:tcW w:w="1420" w:type="dxa"/>
            <w:vAlign w:val="bottom"/>
            <w:shd w:val="clear" w:color="auto" w:fill="ACABA7"/>
          </w:tcPr>
          <w:p>
            <w:pPr>
              <w:spacing w:after="0"/>
              <w:rPr>
                <w:sz w:val="17"/>
                <w:szCs w:val="17"/>
                <w:color w:val="auto"/>
              </w:rPr>
            </w:pPr>
          </w:p>
        </w:tc>
        <w:tc>
          <w:tcPr>
            <w:tcW w:w="860" w:type="dxa"/>
            <w:vAlign w:val="bottom"/>
            <w:shd w:val="clear" w:color="auto" w:fill="ACABA7"/>
          </w:tcPr>
          <w:p>
            <w:pPr>
              <w:spacing w:after="0"/>
              <w:rPr>
                <w:sz w:val="17"/>
                <w:szCs w:val="17"/>
                <w:color w:val="auto"/>
              </w:rPr>
            </w:pPr>
          </w:p>
        </w:tc>
        <w:tc>
          <w:tcPr>
            <w:tcW w:w="1220" w:type="dxa"/>
            <w:vAlign w:val="bottom"/>
            <w:shd w:val="clear" w:color="auto" w:fill="ACABA7"/>
          </w:tcPr>
          <w:p>
            <w:pPr>
              <w:spacing w:after="0"/>
              <w:rPr>
                <w:sz w:val="17"/>
                <w:szCs w:val="17"/>
                <w:color w:val="auto"/>
              </w:rPr>
            </w:pPr>
          </w:p>
        </w:tc>
        <w:tc>
          <w:tcPr>
            <w:tcW w:w="1260" w:type="dxa"/>
            <w:vAlign w:val="bottom"/>
            <w:shd w:val="clear" w:color="auto" w:fill="ACABA7"/>
          </w:tcPr>
          <w:p>
            <w:pPr>
              <w:spacing w:after="0"/>
              <w:rPr>
                <w:sz w:val="17"/>
                <w:szCs w:val="17"/>
                <w:color w:val="auto"/>
              </w:rPr>
            </w:pPr>
          </w:p>
        </w:tc>
        <w:tc>
          <w:tcPr>
            <w:tcW w:w="1140" w:type="dxa"/>
            <w:vAlign w:val="bottom"/>
            <w:shd w:val="clear" w:color="auto" w:fill="ACABA7"/>
          </w:tcPr>
          <w:p>
            <w:pPr>
              <w:spacing w:after="0"/>
              <w:rPr>
                <w:sz w:val="17"/>
                <w:szCs w:val="17"/>
                <w:color w:val="auto"/>
              </w:rPr>
            </w:pPr>
          </w:p>
        </w:tc>
        <w:tc>
          <w:tcPr>
            <w:tcW w:w="1040" w:type="dxa"/>
            <w:vAlign w:val="bottom"/>
            <w:shd w:val="clear" w:color="auto" w:fill="ACABA7"/>
          </w:tcPr>
          <w:p>
            <w:pPr>
              <w:spacing w:after="0"/>
              <w:rPr>
                <w:sz w:val="17"/>
                <w:szCs w:val="17"/>
                <w:color w:val="auto"/>
              </w:rPr>
            </w:pPr>
          </w:p>
        </w:tc>
        <w:tc>
          <w:tcPr>
            <w:tcW w:w="1040" w:type="dxa"/>
            <w:vAlign w:val="bottom"/>
            <w:shd w:val="clear" w:color="auto" w:fill="ACABA7"/>
          </w:tcPr>
          <w:p>
            <w:pPr>
              <w:spacing w:after="0"/>
              <w:rPr>
                <w:sz w:val="17"/>
                <w:szCs w:val="17"/>
                <w:color w:val="auto"/>
              </w:rPr>
            </w:pPr>
          </w:p>
        </w:tc>
      </w:tr>
      <w:tr>
        <w:trPr>
          <w:trHeight w:val="203"/>
        </w:trPr>
        <w:tc>
          <w:tcPr>
            <w:tcW w:w="3440" w:type="dxa"/>
            <w:vAlign w:val="bottom"/>
          </w:tcPr>
          <w:p>
            <w:pPr>
              <w:ind w:left="100"/>
              <w:spacing w:after="0" w:line="202" w:lineRule="exact"/>
              <w:rPr>
                <w:sz w:val="20"/>
                <w:szCs w:val="20"/>
                <w:color w:val="auto"/>
              </w:rPr>
            </w:pPr>
            <w:r>
              <w:rPr>
                <w:rFonts w:ascii="Arial" w:cs="Arial" w:eastAsia="Arial" w:hAnsi="Arial"/>
                <w:sz w:val="18"/>
                <w:szCs w:val="18"/>
                <w:color w:val="auto"/>
              </w:rPr>
              <w:t>Life Insurance, Healthcare</w:t>
            </w:r>
            <w:r>
              <w:rPr>
                <w:rFonts w:ascii="Arial" w:cs="Arial" w:eastAsia="Arial" w:hAnsi="Arial"/>
                <w:sz w:val="15"/>
                <w:szCs w:val="15"/>
                <w:color w:val="auto"/>
              </w:rPr>
              <w:t>(9)</w:t>
            </w:r>
          </w:p>
        </w:tc>
        <w:tc>
          <w:tcPr>
            <w:tcW w:w="1420" w:type="dxa"/>
            <w:vAlign w:val="bottom"/>
          </w:tcPr>
          <w:p>
            <w:pPr>
              <w:jc w:val="right"/>
              <w:ind w:right="450"/>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22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w:t>
            </w:r>
          </w:p>
        </w:tc>
        <w:tc>
          <w:tcPr>
            <w:tcW w:w="126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114,807</w:t>
            </w:r>
          </w:p>
        </w:tc>
        <w:tc>
          <w:tcPr>
            <w:tcW w:w="1140" w:type="dxa"/>
            <w:vAlign w:val="bottom"/>
          </w:tcPr>
          <w:p>
            <w:pPr>
              <w:jc w:val="right"/>
              <w:ind w:right="50"/>
              <w:spacing w:after="0" w:line="202" w:lineRule="exact"/>
              <w:rPr>
                <w:sz w:val="20"/>
                <w:szCs w:val="20"/>
                <w:color w:val="auto"/>
              </w:rPr>
            </w:pPr>
            <w:r>
              <w:rPr>
                <w:rFonts w:ascii="Arial" w:cs="Arial" w:eastAsia="Arial" w:hAnsi="Arial"/>
                <w:sz w:val="18"/>
                <w:szCs w:val="18"/>
                <w:color w:val="auto"/>
              </w:rPr>
              <w:t>114,807</w:t>
            </w:r>
          </w:p>
        </w:tc>
        <w:tc>
          <w:tcPr>
            <w:tcW w:w="10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040" w:type="dxa"/>
            <w:vAlign w:val="bottom"/>
          </w:tcPr>
          <w:p>
            <w:pPr>
              <w:jc w:val="right"/>
              <w:ind w:right="70"/>
              <w:spacing w:after="0" w:line="202" w:lineRule="exact"/>
              <w:rPr>
                <w:sz w:val="20"/>
                <w:szCs w:val="20"/>
                <w:color w:val="auto"/>
              </w:rPr>
            </w:pPr>
            <w:r>
              <w:rPr>
                <w:rFonts w:ascii="Arial" w:cs="Arial" w:eastAsia="Arial" w:hAnsi="Arial"/>
                <w:sz w:val="18"/>
                <w:szCs w:val="18"/>
                <w:color w:val="auto"/>
              </w:rPr>
              <w:t>—</w:t>
            </w:r>
          </w:p>
        </w:tc>
      </w:tr>
      <w:tr>
        <w:trPr>
          <w:trHeight w:val="203"/>
        </w:trPr>
        <w:tc>
          <w:tcPr>
            <w:tcW w:w="3440" w:type="dxa"/>
            <w:vAlign w:val="bottom"/>
            <w:shd w:val="clear" w:color="auto" w:fill="ACABA7"/>
          </w:tcPr>
          <w:p>
            <w:pPr>
              <w:ind w:left="100"/>
              <w:spacing w:after="0" w:line="202" w:lineRule="exact"/>
              <w:rPr>
                <w:sz w:val="20"/>
                <w:szCs w:val="20"/>
                <w:color w:val="auto"/>
              </w:rPr>
            </w:pPr>
            <w:r>
              <w:rPr>
                <w:rFonts w:ascii="Arial" w:cs="Arial" w:eastAsia="Arial" w:hAnsi="Arial"/>
                <w:sz w:val="18"/>
                <w:szCs w:val="18"/>
                <w:color w:val="auto"/>
              </w:rPr>
              <w:t>Outplacement Services</w:t>
            </w:r>
            <w:r>
              <w:rPr>
                <w:rFonts w:ascii="Arial" w:cs="Arial" w:eastAsia="Arial" w:hAnsi="Arial"/>
                <w:sz w:val="15"/>
                <w:szCs w:val="15"/>
                <w:color w:val="auto"/>
              </w:rPr>
              <w:t>(10)</w:t>
            </w:r>
          </w:p>
        </w:tc>
        <w:tc>
          <w:tcPr>
            <w:tcW w:w="1420" w:type="dxa"/>
            <w:vAlign w:val="bottom"/>
            <w:shd w:val="clear" w:color="auto" w:fill="ACABA7"/>
          </w:tcPr>
          <w:p>
            <w:pPr>
              <w:jc w:val="right"/>
              <w:ind w:right="450"/>
              <w:spacing w:after="0" w:line="202" w:lineRule="exact"/>
              <w:rPr>
                <w:sz w:val="20"/>
                <w:szCs w:val="20"/>
                <w:color w:val="auto"/>
              </w:rPr>
            </w:pPr>
            <w:r>
              <w:rPr>
                <w:rFonts w:ascii="Arial" w:cs="Arial" w:eastAsia="Arial" w:hAnsi="Arial"/>
                <w:sz w:val="18"/>
                <w:szCs w:val="18"/>
                <w:color w:val="auto"/>
              </w:rPr>
              <w:t>—</w:t>
            </w:r>
          </w:p>
        </w:tc>
        <w:tc>
          <w:tcPr>
            <w:tcW w:w="860" w:type="dxa"/>
            <w:vAlign w:val="bottom"/>
            <w:shd w:val="clear" w:color="auto" w:fill="ACABA7"/>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220" w:type="dxa"/>
            <w:vAlign w:val="bottom"/>
            <w:shd w:val="clear" w:color="auto" w:fill="ACABA7"/>
          </w:tcPr>
          <w:p>
            <w:pPr>
              <w:jc w:val="right"/>
              <w:ind w:right="190"/>
              <w:spacing w:after="0" w:line="202" w:lineRule="exact"/>
              <w:rPr>
                <w:sz w:val="20"/>
                <w:szCs w:val="20"/>
                <w:color w:val="auto"/>
              </w:rPr>
            </w:pPr>
            <w:r>
              <w:rPr>
                <w:rFonts w:ascii="Arial" w:cs="Arial" w:eastAsia="Arial" w:hAnsi="Arial"/>
                <w:sz w:val="18"/>
                <w:szCs w:val="18"/>
                <w:color w:val="auto"/>
              </w:rPr>
              <w:t>—</w:t>
            </w:r>
          </w:p>
        </w:tc>
        <w:tc>
          <w:tcPr>
            <w:tcW w:w="1260" w:type="dxa"/>
            <w:vAlign w:val="bottom"/>
            <w:shd w:val="clear" w:color="auto" w:fill="ACABA7"/>
          </w:tcPr>
          <w:p>
            <w:pPr>
              <w:jc w:val="right"/>
              <w:ind w:right="110"/>
              <w:spacing w:after="0" w:line="202" w:lineRule="exact"/>
              <w:rPr>
                <w:sz w:val="20"/>
                <w:szCs w:val="20"/>
                <w:color w:val="auto"/>
              </w:rPr>
            </w:pPr>
            <w:r>
              <w:rPr>
                <w:rFonts w:ascii="Arial" w:cs="Arial" w:eastAsia="Arial" w:hAnsi="Arial"/>
                <w:sz w:val="18"/>
                <w:szCs w:val="18"/>
                <w:color w:val="auto"/>
              </w:rPr>
              <w:t>15,000</w:t>
            </w:r>
          </w:p>
        </w:tc>
        <w:tc>
          <w:tcPr>
            <w:tcW w:w="1140" w:type="dxa"/>
            <w:vAlign w:val="bottom"/>
            <w:shd w:val="clear" w:color="auto" w:fill="ACABA7"/>
          </w:tcPr>
          <w:p>
            <w:pPr>
              <w:jc w:val="right"/>
              <w:ind w:right="50"/>
              <w:spacing w:after="0" w:line="202" w:lineRule="exact"/>
              <w:rPr>
                <w:sz w:val="20"/>
                <w:szCs w:val="20"/>
                <w:color w:val="auto"/>
              </w:rPr>
            </w:pPr>
            <w:r>
              <w:rPr>
                <w:rFonts w:ascii="Arial" w:cs="Arial" w:eastAsia="Arial" w:hAnsi="Arial"/>
                <w:sz w:val="18"/>
                <w:szCs w:val="18"/>
                <w:color w:val="auto"/>
              </w:rPr>
              <w:t>15,000</w:t>
            </w:r>
          </w:p>
        </w:tc>
        <w:tc>
          <w:tcPr>
            <w:tcW w:w="1040" w:type="dxa"/>
            <w:vAlign w:val="bottom"/>
            <w:shd w:val="clear" w:color="auto" w:fill="ACABA7"/>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040" w:type="dxa"/>
            <w:vAlign w:val="bottom"/>
            <w:shd w:val="clear" w:color="auto" w:fill="ACABA7"/>
          </w:tcPr>
          <w:p>
            <w:pPr>
              <w:jc w:val="right"/>
              <w:ind w:right="70"/>
              <w:spacing w:after="0" w:line="202" w:lineRule="exact"/>
              <w:rPr>
                <w:sz w:val="20"/>
                <w:szCs w:val="20"/>
                <w:color w:val="auto"/>
              </w:rPr>
            </w:pPr>
            <w:r>
              <w:rPr>
                <w:rFonts w:ascii="Arial" w:cs="Arial" w:eastAsia="Arial" w:hAnsi="Arial"/>
                <w:sz w:val="18"/>
                <w:szCs w:val="18"/>
                <w:color w:val="auto"/>
              </w:rPr>
              <w:t>—</w:t>
            </w:r>
          </w:p>
        </w:tc>
      </w:tr>
      <w:tr>
        <w:trPr>
          <w:trHeight w:val="203"/>
        </w:trPr>
        <w:tc>
          <w:tcPr>
            <w:tcW w:w="3440" w:type="dxa"/>
            <w:vAlign w:val="bottom"/>
            <w:tcBorders>
              <w:bottom w:val="single" w:sz="8" w:color="483E65"/>
            </w:tcBorders>
          </w:tcPr>
          <w:p>
            <w:pPr>
              <w:ind w:left="100"/>
              <w:spacing w:after="0" w:line="202" w:lineRule="exact"/>
              <w:rPr>
                <w:sz w:val="20"/>
                <w:szCs w:val="20"/>
                <w:color w:val="auto"/>
              </w:rPr>
            </w:pPr>
            <w:r>
              <w:rPr>
                <w:rFonts w:ascii="Arial" w:cs="Arial" w:eastAsia="Arial" w:hAnsi="Arial"/>
                <w:sz w:val="18"/>
                <w:szCs w:val="18"/>
                <w:color w:val="auto"/>
              </w:rPr>
              <w:t>Applicable Scaleback</w:t>
            </w:r>
            <w:r>
              <w:rPr>
                <w:rFonts w:ascii="Arial" w:cs="Arial" w:eastAsia="Arial" w:hAnsi="Arial"/>
                <w:sz w:val="15"/>
                <w:szCs w:val="15"/>
                <w:color w:val="auto"/>
              </w:rPr>
              <w:t>(11)</w:t>
            </w:r>
          </w:p>
        </w:tc>
        <w:tc>
          <w:tcPr>
            <w:tcW w:w="1420" w:type="dxa"/>
            <w:vAlign w:val="bottom"/>
            <w:tcBorders>
              <w:bottom w:val="single" w:sz="8" w:color="483E65"/>
            </w:tcBorders>
          </w:tcPr>
          <w:p>
            <w:pPr>
              <w:jc w:val="right"/>
              <w:ind w:right="450"/>
              <w:spacing w:after="0" w:line="202" w:lineRule="exact"/>
              <w:rPr>
                <w:sz w:val="20"/>
                <w:szCs w:val="20"/>
                <w:color w:val="auto"/>
              </w:rPr>
            </w:pPr>
            <w:r>
              <w:rPr>
                <w:rFonts w:ascii="Arial" w:cs="Arial" w:eastAsia="Arial" w:hAnsi="Arial"/>
                <w:sz w:val="18"/>
                <w:szCs w:val="18"/>
                <w:color w:val="auto"/>
              </w:rPr>
              <w:t>—</w:t>
            </w:r>
          </w:p>
        </w:tc>
        <w:tc>
          <w:tcPr>
            <w:tcW w:w="860" w:type="dxa"/>
            <w:vAlign w:val="bottom"/>
            <w:tcBorders>
              <w:bottom w:val="single" w:sz="8" w:color="483E65"/>
            </w:tcBorders>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220" w:type="dxa"/>
            <w:vAlign w:val="bottom"/>
            <w:tcBorders>
              <w:bottom w:val="single" w:sz="8" w:color="483E65"/>
            </w:tcBorders>
          </w:tcPr>
          <w:p>
            <w:pPr>
              <w:jc w:val="right"/>
              <w:ind w:right="190"/>
              <w:spacing w:after="0" w:line="202" w:lineRule="exact"/>
              <w:rPr>
                <w:sz w:val="20"/>
                <w:szCs w:val="20"/>
                <w:color w:val="auto"/>
              </w:rPr>
            </w:pPr>
            <w:r>
              <w:rPr>
                <w:rFonts w:ascii="Arial" w:cs="Arial" w:eastAsia="Arial" w:hAnsi="Arial"/>
                <w:sz w:val="18"/>
                <w:szCs w:val="18"/>
                <w:color w:val="auto"/>
              </w:rPr>
              <w:t>—</w:t>
            </w:r>
          </w:p>
        </w:tc>
        <w:tc>
          <w:tcPr>
            <w:tcW w:w="1260" w:type="dxa"/>
            <w:vAlign w:val="bottom"/>
            <w:tcBorders>
              <w:bottom w:val="single" w:sz="8" w:color="483E65"/>
            </w:tcBorders>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140" w:type="dxa"/>
            <w:vAlign w:val="bottom"/>
            <w:tcBorders>
              <w:bottom w:val="single" w:sz="8" w:color="483E65"/>
            </w:tcBorders>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040" w:type="dxa"/>
            <w:vAlign w:val="bottom"/>
            <w:tcBorders>
              <w:bottom w:val="single" w:sz="8" w:color="483E65"/>
            </w:tcBorders>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040" w:type="dxa"/>
            <w:vAlign w:val="bottom"/>
            <w:tcBorders>
              <w:bottom w:val="single" w:sz="8" w:color="483E65"/>
            </w:tcBorders>
          </w:tcPr>
          <w:p>
            <w:pPr>
              <w:jc w:val="right"/>
              <w:ind w:right="70"/>
              <w:spacing w:after="0" w:line="202" w:lineRule="exact"/>
              <w:rPr>
                <w:sz w:val="20"/>
                <w:szCs w:val="20"/>
                <w:color w:val="auto"/>
              </w:rPr>
            </w:pPr>
            <w:r>
              <w:rPr>
                <w:rFonts w:ascii="Arial" w:cs="Arial" w:eastAsia="Arial" w:hAnsi="Arial"/>
                <w:sz w:val="18"/>
                <w:szCs w:val="18"/>
                <w:color w:val="auto"/>
              </w:rPr>
              <w:t>—</w:t>
            </w:r>
          </w:p>
        </w:tc>
      </w:tr>
      <w:tr>
        <w:trPr>
          <w:trHeight w:val="196"/>
        </w:trPr>
        <w:tc>
          <w:tcPr>
            <w:tcW w:w="3440" w:type="dxa"/>
            <w:vAlign w:val="bottom"/>
            <w:tcBorders>
              <w:bottom w:val="single" w:sz="8" w:color="483E65"/>
            </w:tcBorders>
            <w:shd w:val="clear" w:color="auto" w:fill="ACABA7"/>
          </w:tcPr>
          <w:p>
            <w:pPr>
              <w:ind w:left="100"/>
              <w:spacing w:after="0" w:line="196" w:lineRule="exact"/>
              <w:rPr>
                <w:sz w:val="20"/>
                <w:szCs w:val="20"/>
                <w:color w:val="auto"/>
              </w:rPr>
            </w:pPr>
            <w:r>
              <w:rPr>
                <w:rFonts w:ascii="Arial" w:cs="Arial" w:eastAsia="Arial" w:hAnsi="Arial"/>
                <w:sz w:val="18"/>
                <w:szCs w:val="18"/>
                <w:color w:val="auto"/>
              </w:rPr>
              <w:t>Total</w:t>
            </w:r>
            <w:r>
              <w:rPr>
                <w:rFonts w:ascii="Arial" w:cs="Arial" w:eastAsia="Arial" w:hAnsi="Arial"/>
                <w:sz w:val="15"/>
                <w:szCs w:val="15"/>
                <w:color w:val="auto"/>
              </w:rPr>
              <w:t>(12)</w:t>
            </w:r>
          </w:p>
        </w:tc>
        <w:tc>
          <w:tcPr>
            <w:tcW w:w="1420" w:type="dxa"/>
            <w:vAlign w:val="bottom"/>
            <w:tcBorders>
              <w:bottom w:val="single" w:sz="8" w:color="483E65"/>
            </w:tcBorders>
            <w:shd w:val="clear" w:color="auto" w:fill="ACABA7"/>
          </w:tcPr>
          <w:p>
            <w:pPr>
              <w:jc w:val="right"/>
              <w:ind w:right="450"/>
              <w:spacing w:after="0" w:line="196" w:lineRule="exact"/>
              <w:rPr>
                <w:sz w:val="20"/>
                <w:szCs w:val="20"/>
                <w:color w:val="auto"/>
              </w:rPr>
            </w:pPr>
            <w:r>
              <w:rPr>
                <w:rFonts w:ascii="Arial" w:cs="Arial" w:eastAsia="Arial" w:hAnsi="Arial"/>
                <w:sz w:val="18"/>
                <w:szCs w:val="18"/>
                <w:color w:val="auto"/>
              </w:rPr>
              <w:t>0</w:t>
            </w:r>
          </w:p>
        </w:tc>
        <w:tc>
          <w:tcPr>
            <w:tcW w:w="860" w:type="dxa"/>
            <w:vAlign w:val="bottom"/>
            <w:tcBorders>
              <w:bottom w:val="single" w:sz="8" w:color="483E65"/>
            </w:tcBorders>
            <w:shd w:val="clear" w:color="auto" w:fill="ACABA7"/>
          </w:tcPr>
          <w:p>
            <w:pPr>
              <w:jc w:val="right"/>
              <w:ind w:right="50"/>
              <w:spacing w:after="0" w:line="196" w:lineRule="exact"/>
              <w:rPr>
                <w:sz w:val="20"/>
                <w:szCs w:val="20"/>
                <w:color w:val="auto"/>
              </w:rPr>
            </w:pPr>
            <w:r>
              <w:rPr>
                <w:rFonts w:ascii="Arial" w:cs="Arial" w:eastAsia="Arial" w:hAnsi="Arial"/>
                <w:sz w:val="18"/>
                <w:szCs w:val="18"/>
                <w:color w:val="auto"/>
              </w:rPr>
              <w:t>0</w:t>
            </w:r>
          </w:p>
        </w:tc>
        <w:tc>
          <w:tcPr>
            <w:tcW w:w="1220" w:type="dxa"/>
            <w:vAlign w:val="bottom"/>
            <w:tcBorders>
              <w:bottom w:val="single" w:sz="8" w:color="483E65"/>
            </w:tcBorders>
            <w:shd w:val="clear" w:color="auto" w:fill="ACABA7"/>
          </w:tcPr>
          <w:p>
            <w:pPr>
              <w:jc w:val="right"/>
              <w:ind w:right="190"/>
              <w:spacing w:after="0" w:line="196" w:lineRule="exact"/>
              <w:rPr>
                <w:sz w:val="20"/>
                <w:szCs w:val="20"/>
                <w:color w:val="auto"/>
              </w:rPr>
            </w:pPr>
            <w:r>
              <w:rPr>
                <w:rFonts w:ascii="Arial" w:cs="Arial" w:eastAsia="Arial" w:hAnsi="Arial"/>
                <w:sz w:val="18"/>
                <w:szCs w:val="18"/>
                <w:color w:val="auto"/>
              </w:rPr>
              <w:t>1,282,216</w:t>
            </w:r>
          </w:p>
        </w:tc>
        <w:tc>
          <w:tcPr>
            <w:tcW w:w="1260" w:type="dxa"/>
            <w:vAlign w:val="bottom"/>
            <w:tcBorders>
              <w:bottom w:val="single" w:sz="8" w:color="483E65"/>
            </w:tcBorders>
            <w:shd w:val="clear" w:color="auto" w:fill="ACABA7"/>
          </w:tcPr>
          <w:p>
            <w:pPr>
              <w:jc w:val="right"/>
              <w:ind w:right="110"/>
              <w:spacing w:after="0" w:line="196" w:lineRule="exact"/>
              <w:rPr>
                <w:sz w:val="20"/>
                <w:szCs w:val="20"/>
                <w:color w:val="auto"/>
              </w:rPr>
            </w:pPr>
            <w:r>
              <w:rPr>
                <w:rFonts w:ascii="Arial" w:cs="Arial" w:eastAsia="Arial" w:hAnsi="Arial"/>
                <w:sz w:val="18"/>
                <w:szCs w:val="18"/>
                <w:color w:val="auto"/>
              </w:rPr>
              <w:t>4,604,274</w:t>
            </w:r>
          </w:p>
        </w:tc>
        <w:tc>
          <w:tcPr>
            <w:tcW w:w="1140" w:type="dxa"/>
            <w:vAlign w:val="bottom"/>
            <w:tcBorders>
              <w:bottom w:val="single" w:sz="8" w:color="483E65"/>
            </w:tcBorders>
            <w:shd w:val="clear" w:color="auto" w:fill="ACABA7"/>
          </w:tcPr>
          <w:p>
            <w:pPr>
              <w:jc w:val="right"/>
              <w:ind w:right="50"/>
              <w:spacing w:after="0" w:line="196" w:lineRule="exact"/>
              <w:rPr>
                <w:sz w:val="20"/>
                <w:szCs w:val="20"/>
                <w:color w:val="auto"/>
              </w:rPr>
            </w:pPr>
            <w:r>
              <w:rPr>
                <w:rFonts w:ascii="Arial" w:cs="Arial" w:eastAsia="Arial" w:hAnsi="Arial"/>
                <w:sz w:val="18"/>
                <w:szCs w:val="18"/>
                <w:color w:val="auto"/>
              </w:rPr>
              <w:t>7,098,586</w:t>
            </w:r>
          </w:p>
        </w:tc>
        <w:tc>
          <w:tcPr>
            <w:tcW w:w="1040" w:type="dxa"/>
            <w:vAlign w:val="bottom"/>
            <w:tcBorders>
              <w:bottom w:val="single" w:sz="8" w:color="483E65"/>
            </w:tcBorders>
            <w:shd w:val="clear" w:color="auto" w:fill="ACABA7"/>
          </w:tcPr>
          <w:p>
            <w:pPr>
              <w:jc w:val="right"/>
              <w:ind w:right="10"/>
              <w:spacing w:after="0" w:line="196" w:lineRule="exact"/>
              <w:rPr>
                <w:sz w:val="20"/>
                <w:szCs w:val="20"/>
                <w:color w:val="auto"/>
              </w:rPr>
            </w:pPr>
            <w:r>
              <w:rPr>
                <w:rFonts w:ascii="Arial" w:cs="Arial" w:eastAsia="Arial" w:hAnsi="Arial"/>
                <w:sz w:val="18"/>
                <w:szCs w:val="18"/>
                <w:color w:val="auto"/>
              </w:rPr>
              <w:t>4,285,029</w:t>
            </w:r>
          </w:p>
        </w:tc>
        <w:tc>
          <w:tcPr>
            <w:tcW w:w="1040" w:type="dxa"/>
            <w:vAlign w:val="bottom"/>
            <w:tcBorders>
              <w:bottom w:val="single" w:sz="8" w:color="483E65"/>
            </w:tcBorders>
            <w:shd w:val="clear" w:color="auto" w:fill="ACABA7"/>
          </w:tcPr>
          <w:p>
            <w:pPr>
              <w:jc w:val="right"/>
              <w:ind w:right="70"/>
              <w:spacing w:after="0" w:line="196" w:lineRule="exact"/>
              <w:rPr>
                <w:sz w:val="20"/>
                <w:szCs w:val="20"/>
                <w:color w:val="auto"/>
              </w:rPr>
            </w:pPr>
            <w:r>
              <w:rPr>
                <w:rFonts w:ascii="Arial" w:cs="Arial" w:eastAsia="Arial" w:hAnsi="Arial"/>
                <w:sz w:val="18"/>
                <w:szCs w:val="18"/>
                <w:color w:val="auto"/>
              </w:rPr>
              <w:t>4,285,029</w:t>
            </w:r>
          </w:p>
        </w:tc>
      </w:tr>
    </w:tbl>
    <w:p>
      <w:pPr>
        <w:spacing w:after="0" w:line="121" w:lineRule="exact"/>
        <w:rPr>
          <w:sz w:val="20"/>
          <w:szCs w:val="20"/>
          <w:color w:val="auto"/>
        </w:rPr>
      </w:pPr>
    </w:p>
    <w:p>
      <w:pPr>
        <w:ind w:left="460" w:right="40" w:hanging="452"/>
        <w:spacing w:after="0" w:line="237" w:lineRule="auto"/>
        <w:tabs>
          <w:tab w:leader="none" w:pos="4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Amounts in this column represent the benefits Mr. Reagan would be entitled to receive in the event he experiences a hypothetical qualifying termination that does not constitute a change in control (“CIC”) under the terms of the Severance Protection Agreement (“SPA”) he has entered into with us, or the Leidos Equity and Deferred Compensation Plans. However, since the Transaction in August 2016 constituted a CIC under the terms of Mr. Reagan’s SPA, if Mr. Reagan experiences a qualifying termination that is not in connection with CIC of Leidos before August 16, 2018, then Mr. Reagan will be entitled to receive the enhanced compensation and benefits set forth in the column entitled “IS&amp;GS Transaction” and not the benefits detailed in this column.</w:t>
      </w:r>
    </w:p>
    <w:p>
      <w:pPr>
        <w:spacing w:after="0" w:line="110" w:lineRule="exact"/>
        <w:rPr>
          <w:rFonts w:ascii="Arial" w:cs="Arial" w:eastAsia="Arial" w:hAnsi="Arial"/>
          <w:sz w:val="18"/>
          <w:szCs w:val="18"/>
          <w:color w:val="auto"/>
        </w:rPr>
      </w:pPr>
    </w:p>
    <w:p>
      <w:pPr>
        <w:ind w:left="460" w:right="80" w:hanging="452"/>
        <w:spacing w:after="0"/>
        <w:tabs>
          <w:tab w:leader="none" w:pos="4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Since the Transaction constituted a CIC for purposes of Mr. Reagan’s Agreement, but not for purposes of the Leidos Equity and Deferred Compensation Plans, the benefits reflected in this column represent the compensation and benefits Mr. Reagan would be entitled to receive under the terms of a qualifying termination under his Agreement until August 16, 2018.</w:t>
      </w:r>
    </w:p>
    <w:p>
      <w:pPr>
        <w:spacing w:after="0" w:line="108" w:lineRule="exact"/>
        <w:rPr>
          <w:rFonts w:ascii="Arial" w:cs="Arial" w:eastAsia="Arial" w:hAnsi="Arial"/>
          <w:sz w:val="18"/>
          <w:szCs w:val="18"/>
          <w:color w:val="auto"/>
        </w:rPr>
      </w:pPr>
    </w:p>
    <w:p>
      <w:pPr>
        <w:ind w:left="460" w:right="140" w:hanging="452"/>
        <w:spacing w:after="0"/>
        <w:tabs>
          <w:tab w:leader="none" w:pos="4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Amounts in this column represent the benefits Mr. Reagan would be entitled to in the event a new CIC had occurred on December 30, 2016 that constituted a CIC under the terms of the Leidos Equity and Deferred Compensation Plans, in addition to the benefits under his Agreement.</w:t>
      </w:r>
    </w:p>
    <w:p>
      <w:pPr>
        <w:spacing w:after="0" w:line="108" w:lineRule="exact"/>
        <w:rPr>
          <w:rFonts w:ascii="Arial" w:cs="Arial" w:eastAsia="Arial" w:hAnsi="Arial"/>
          <w:sz w:val="18"/>
          <w:szCs w:val="18"/>
          <w:color w:val="auto"/>
        </w:rPr>
      </w:pPr>
    </w:p>
    <w:p>
      <w:pPr>
        <w:ind w:left="460" w:right="120" w:hanging="452"/>
        <w:spacing w:after="0" w:line="246" w:lineRule="auto"/>
        <w:tabs>
          <w:tab w:leader="none" w:pos="4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Amounts in this row represents a single lump sum payment equal to two-and-one-half times the sum of Mr. Reagan’s (a) year-end salary and (b) target bonus. This amount of the bonus calculated under subsection (b) is referred to as the “Bonus Amount.”</w:t>
      </w:r>
    </w:p>
    <w:p>
      <w:pPr>
        <w:spacing w:after="0" w:line="102" w:lineRule="exact"/>
        <w:rPr>
          <w:rFonts w:ascii="Arial" w:cs="Arial" w:eastAsia="Arial" w:hAnsi="Arial"/>
          <w:sz w:val="18"/>
          <w:szCs w:val="18"/>
          <w:color w:val="auto"/>
        </w:rPr>
      </w:pPr>
    </w:p>
    <w:p>
      <w:pPr>
        <w:ind w:left="460" w:right="240" w:hanging="452"/>
        <w:spacing w:after="0" w:line="246" w:lineRule="auto"/>
        <w:tabs>
          <w:tab w:leader="none" w:pos="4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Amounts in this row reflect a pro rata portion of the Bonus Amount to which Mr. Reagan would be entitled based on the number of days that elapsed during the period ended December 30, 2016.</w:t>
      </w:r>
    </w:p>
    <w:p>
      <w:pPr>
        <w:spacing w:after="0" w:line="102" w:lineRule="exact"/>
        <w:rPr>
          <w:rFonts w:ascii="Arial" w:cs="Arial" w:eastAsia="Arial" w:hAnsi="Arial"/>
          <w:sz w:val="18"/>
          <w:szCs w:val="18"/>
          <w:color w:val="auto"/>
        </w:rPr>
      </w:pPr>
    </w:p>
    <w:p>
      <w:pPr>
        <w:ind w:left="460" w:right="40" w:hanging="452"/>
        <w:spacing w:after="0" w:line="239" w:lineRule="auto"/>
        <w:tabs>
          <w:tab w:leader="none" w:pos="4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For a termination in connection with a new CIC, or death or disability, amounts in this row represent the value of accelerated vesting of shares of all RSUs and PRSUs, including accrued dividends as of December 30, 2016 pursuant the 2006 Equity Incentive Plan. For more information regarding the number of shares of unvested stock units held by Mr. Reagan, see the table under the caption “Outstanding Equity Awards at Year-End.”</w:t>
      </w:r>
    </w:p>
    <w:p>
      <w:pPr>
        <w:spacing w:after="0" w:line="107" w:lineRule="exact"/>
        <w:rPr>
          <w:rFonts w:ascii="Arial" w:cs="Arial" w:eastAsia="Arial" w:hAnsi="Arial"/>
          <w:sz w:val="18"/>
          <w:szCs w:val="18"/>
          <w:color w:val="auto"/>
        </w:rPr>
      </w:pPr>
    </w:p>
    <w:p>
      <w:pPr>
        <w:ind w:left="460" w:right="240" w:hanging="452"/>
        <w:spacing w:after="0" w:line="261" w:lineRule="auto"/>
        <w:tabs>
          <w:tab w:leader="none" w:pos="460" w:val="left"/>
        </w:tabs>
        <w:numPr>
          <w:ilvl w:val="0"/>
          <w:numId w:val="52"/>
        </w:numPr>
        <w:rPr>
          <w:rFonts w:ascii="Arial" w:cs="Arial" w:eastAsia="Arial" w:hAnsi="Arial"/>
          <w:sz w:val="17"/>
          <w:szCs w:val="17"/>
          <w:color w:val="auto"/>
        </w:rPr>
      </w:pPr>
      <w:r>
        <w:rPr>
          <w:rFonts w:ascii="Arial" w:cs="Arial" w:eastAsia="Arial" w:hAnsi="Arial"/>
          <w:sz w:val="17"/>
          <w:szCs w:val="17"/>
          <w:color w:val="auto"/>
        </w:rPr>
        <w:t>For a termination with a CIC, or death or disability, amounts represent the value of accelerated vesting of all unvested options held by Mr. Reagan at the end of the year issued pursuant to the 2006 Equity Incentive Plan. For more information regarding the number of shares and exercise prices underlying unvested options held see the table under the caption “Outstanding Equity Awards at Year-End.”</w:t>
      </w:r>
    </w:p>
    <w:p>
      <w:pPr>
        <w:spacing w:after="0" w:line="223" w:lineRule="exact"/>
        <w:rPr>
          <w:sz w:val="20"/>
          <w:szCs w:val="20"/>
          <w:color w:val="auto"/>
        </w:rPr>
      </w:pPr>
    </w:p>
    <w:p>
      <w:pPr>
        <w:spacing w:after="0"/>
        <w:tabs>
          <w:tab w:leader="none" w:pos="340" w:val="left"/>
          <w:tab w:leader="none" w:pos="580" w:val="left"/>
        </w:tabs>
        <w:rPr>
          <w:sz w:val="20"/>
          <w:szCs w:val="20"/>
          <w:color w:val="auto"/>
        </w:rPr>
      </w:pPr>
      <w:r>
        <w:rPr>
          <w:rFonts w:ascii="Arial" w:cs="Arial" w:eastAsia="Arial" w:hAnsi="Arial"/>
          <w:sz w:val="16"/>
          <w:szCs w:val="16"/>
          <w:b w:val="1"/>
          <w:bCs w:val="1"/>
          <w:color w:val="483E65"/>
        </w:rPr>
        <w:t>48</w:t>
        <w:tab/>
        <w:t>|</w:t>
        <w:tab/>
        <w:t>2017 Proxy Statement</w:t>
      </w:r>
    </w:p>
    <w:p>
      <w:pPr>
        <w:sectPr>
          <w:pgSz w:w="11900" w:h="16838" w:orient="portrait"/>
          <w:cols w:equalWidth="0" w:num="1">
            <w:col w:w="11420"/>
          </w:cols>
          <w:pgMar w:left="240" w:top="459" w:right="239" w:bottom="1440" w:gutter="0" w:footer="0" w:header="0"/>
          <w:type w:val="continuous"/>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8" w:lineRule="exact"/>
        <w:rPr>
          <w:sz w:val="20"/>
          <w:szCs w:val="20"/>
          <w:color w:val="auto"/>
        </w:rPr>
      </w:pPr>
    </w:p>
    <w:p>
      <w:pPr>
        <w:spacing w:after="0"/>
        <w:rPr>
          <w:sz w:val="20"/>
          <w:szCs w:val="20"/>
          <w:color w:val="auto"/>
        </w:rPr>
      </w:pPr>
      <w:r>
        <w:rPr>
          <w:rFonts w:ascii="Arial" w:cs="Arial" w:eastAsia="Arial" w:hAnsi="Arial"/>
          <w:sz w:val="32"/>
          <w:szCs w:val="32"/>
          <w:color w:val="483E65"/>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149860</wp:posOffset>
            </wp:positionV>
            <wp:extent cx="724662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460" w:right="420" w:hanging="452"/>
        <w:spacing w:after="0"/>
        <w:tabs>
          <w:tab w:leader="none" w:pos="4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Amounts in this row represent a pro-rata amount of Mr. Reagan’s 2015 and 2016 performance share awards, including accrued cash dividends as of December 30, 2016. The 2015 grant assumes performance at 137% of target levels and the 2016 grant assumes performance at 100% of target levels.</w:t>
      </w:r>
    </w:p>
    <w:p>
      <w:pPr>
        <w:spacing w:after="0" w:line="108" w:lineRule="exact"/>
        <w:rPr>
          <w:rFonts w:ascii="Arial" w:cs="Arial" w:eastAsia="Arial" w:hAnsi="Arial"/>
          <w:sz w:val="18"/>
          <w:szCs w:val="18"/>
          <w:color w:val="auto"/>
        </w:rPr>
      </w:pPr>
    </w:p>
    <w:p>
      <w:pPr>
        <w:ind w:left="460" w:hanging="452"/>
        <w:spacing w:after="0" w:line="246" w:lineRule="auto"/>
        <w:tabs>
          <w:tab w:leader="none" w:pos="4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amount in this row represents the estimated value of life insurance, disability, medical, dental, vision and hospitalization benefits to be received for 30 months following termination.</w:t>
      </w:r>
    </w:p>
    <w:p>
      <w:pPr>
        <w:spacing w:after="0" w:line="102" w:lineRule="exact"/>
        <w:rPr>
          <w:rFonts w:ascii="Arial" w:cs="Arial" w:eastAsia="Arial" w:hAnsi="Arial"/>
          <w:sz w:val="18"/>
          <w:szCs w:val="18"/>
          <w:color w:val="auto"/>
        </w:rPr>
      </w:pPr>
    </w:p>
    <w:p>
      <w:pPr>
        <w:ind w:left="460" w:hanging="452"/>
        <w:spacing w:after="0"/>
        <w:tabs>
          <w:tab w:leader="none" w:pos="4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estimated value of outplacement counseling services to be provided for 12 months following termination.</w:t>
      </w:r>
    </w:p>
    <w:p>
      <w:pPr>
        <w:spacing w:after="0" w:line="117" w:lineRule="exact"/>
        <w:rPr>
          <w:rFonts w:ascii="Arial" w:cs="Arial" w:eastAsia="Arial" w:hAnsi="Arial"/>
          <w:sz w:val="18"/>
          <w:szCs w:val="18"/>
          <w:color w:val="auto"/>
        </w:rPr>
      </w:pPr>
    </w:p>
    <w:p>
      <w:pPr>
        <w:ind w:left="460" w:right="360" w:hanging="452"/>
        <w:spacing w:after="0" w:line="246" w:lineRule="auto"/>
        <w:tabs>
          <w:tab w:leader="none" w:pos="4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This row includes an estimate of the amount of severance protection benefits that would need to be reduced or “scaled back” to avoid excise taxes pursuant to Section 280G of the Internal Revenue Code.</w:t>
      </w:r>
    </w:p>
    <w:p>
      <w:pPr>
        <w:spacing w:after="0" w:line="102" w:lineRule="exact"/>
        <w:rPr>
          <w:rFonts w:ascii="Arial" w:cs="Arial" w:eastAsia="Arial" w:hAnsi="Arial"/>
          <w:sz w:val="18"/>
          <w:szCs w:val="18"/>
          <w:color w:val="auto"/>
        </w:rPr>
      </w:pPr>
    </w:p>
    <w:p>
      <w:pPr>
        <w:ind w:left="460" w:right="220" w:hanging="452"/>
        <w:spacing w:after="0"/>
        <w:tabs>
          <w:tab w:leader="none" w:pos="4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Amounts in this row represent the gross amount of benefits to be received, without reflecting any federal and/or state income taxes or golden parachute excise taxes payable with respect to such amounts. In addition to the amounts set forth in the row, Mr. Reagan would also be entitled to be paid for any unused comprehensive leave time he had accrued.</w:t>
      </w:r>
    </w:p>
    <w:p>
      <w:pPr>
        <w:spacing w:after="0" w:line="181"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483E65"/>
        </w:rPr>
        <w:t>Post-employment Payments — Mr. Leiter</w:t>
      </w:r>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80" w:right="580"/>
        <w:spacing w:after="0" w:line="248" w:lineRule="auto"/>
        <w:rPr>
          <w:sz w:val="20"/>
          <w:szCs w:val="20"/>
          <w:color w:val="auto"/>
        </w:rPr>
      </w:pPr>
      <w:r>
        <w:rPr>
          <w:rFonts w:ascii="Arial" w:cs="Arial" w:eastAsia="Arial" w:hAnsi="Arial"/>
          <w:sz w:val="14"/>
          <w:szCs w:val="14"/>
          <w:color w:val="483E65"/>
        </w:rPr>
        <w:t>Executive Payments and Benefits upon Termination or Change in Control</w:t>
      </w:r>
    </w:p>
    <w:p>
      <w:pPr>
        <w:spacing w:after="0" w:line="20" w:lineRule="exact"/>
        <w:rPr>
          <w:sz w:val="20"/>
          <w:szCs w:val="20"/>
          <w:color w:val="auto"/>
        </w:rPr>
      </w:pPr>
      <w:r>
        <w:rPr>
          <w:sz w:val="20"/>
          <w:szCs w:val="20"/>
          <w:color w:val="auto"/>
        </w:rPr>
        <w:br w:type="column"/>
      </w:r>
    </w:p>
    <w:p>
      <w:pPr>
        <w:spacing w:after="0" w:line="24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180" w:type="dxa"/>
            <w:vAlign w:val="bottom"/>
          </w:tcPr>
          <w:p>
            <w:pPr>
              <w:spacing w:after="0"/>
              <w:rPr>
                <w:sz w:val="14"/>
                <w:szCs w:val="14"/>
                <w:color w:val="auto"/>
              </w:rPr>
            </w:pPr>
          </w:p>
        </w:tc>
        <w:tc>
          <w:tcPr>
            <w:tcW w:w="1080" w:type="dxa"/>
            <w:vAlign w:val="bottom"/>
            <w:tcBorders>
              <w:bottom w:val="single" w:sz="8" w:color="483E65"/>
            </w:tcBorders>
          </w:tcPr>
          <w:p>
            <w:pPr>
              <w:spacing w:after="0"/>
              <w:rPr>
                <w:sz w:val="14"/>
                <w:szCs w:val="14"/>
                <w:color w:val="auto"/>
              </w:rPr>
            </w:pPr>
          </w:p>
        </w:tc>
        <w:tc>
          <w:tcPr>
            <w:tcW w:w="2800" w:type="dxa"/>
            <w:vAlign w:val="bottom"/>
            <w:tcBorders>
              <w:bottom w:val="single" w:sz="8" w:color="483E65"/>
            </w:tcBorders>
            <w:gridSpan w:val="3"/>
          </w:tcPr>
          <w:p>
            <w:pPr>
              <w:ind w:left="100"/>
              <w:spacing w:after="0"/>
              <w:rPr>
                <w:sz w:val="20"/>
                <w:szCs w:val="20"/>
                <w:color w:val="auto"/>
              </w:rPr>
            </w:pPr>
            <w:r>
              <w:rPr>
                <w:rFonts w:ascii="Arial" w:cs="Arial" w:eastAsia="Arial" w:hAnsi="Arial"/>
                <w:sz w:val="14"/>
                <w:szCs w:val="14"/>
                <w:color w:val="483E65"/>
              </w:rPr>
              <w:t>Involuntary Termination/ Good Reason</w:t>
            </w:r>
          </w:p>
        </w:tc>
        <w:tc>
          <w:tcPr>
            <w:tcW w:w="960" w:type="dxa"/>
            <w:vAlign w:val="bottom"/>
            <w:tcBorders>
              <w:bottom w:val="single" w:sz="8" w:color="483E65"/>
            </w:tcBorders>
          </w:tcPr>
          <w:p>
            <w:pPr>
              <w:spacing w:after="0"/>
              <w:rPr>
                <w:sz w:val="14"/>
                <w:szCs w:val="14"/>
                <w:color w:val="auto"/>
              </w:rPr>
            </w:pPr>
          </w:p>
        </w:tc>
        <w:tc>
          <w:tcPr>
            <w:tcW w:w="10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180" w:type="dxa"/>
            <w:vAlign w:val="bottom"/>
          </w:tcPr>
          <w:p>
            <w:pPr>
              <w:spacing w:after="0"/>
              <w:rPr>
                <w:sz w:val="13"/>
                <w:szCs w:val="13"/>
                <w:color w:val="auto"/>
              </w:rPr>
            </w:pPr>
          </w:p>
        </w:tc>
        <w:tc>
          <w:tcPr>
            <w:tcW w:w="2440" w:type="dxa"/>
            <w:vAlign w:val="bottom"/>
            <w:tcBorders>
              <w:bottom w:val="single" w:sz="8" w:color="483E65"/>
            </w:tcBorders>
            <w:gridSpan w:val="2"/>
          </w:tcPr>
          <w:p>
            <w:pPr>
              <w:ind w:left="380"/>
              <w:spacing w:after="0" w:line="155" w:lineRule="exact"/>
              <w:rPr>
                <w:sz w:val="20"/>
                <w:szCs w:val="20"/>
                <w:color w:val="auto"/>
              </w:rPr>
            </w:pPr>
            <w:r>
              <w:rPr>
                <w:rFonts w:ascii="Arial" w:cs="Arial" w:eastAsia="Arial" w:hAnsi="Arial"/>
                <w:sz w:val="14"/>
                <w:szCs w:val="14"/>
                <w:color w:val="483E65"/>
              </w:rPr>
              <w:t>Without Change in Control</w:t>
            </w:r>
          </w:p>
        </w:tc>
        <w:tc>
          <w:tcPr>
            <w:tcW w:w="200" w:type="dxa"/>
            <w:vAlign w:val="bottom"/>
          </w:tcPr>
          <w:p>
            <w:pPr>
              <w:spacing w:after="0"/>
              <w:rPr>
                <w:sz w:val="13"/>
                <w:szCs w:val="13"/>
                <w:color w:val="auto"/>
              </w:rPr>
            </w:pPr>
          </w:p>
        </w:tc>
        <w:tc>
          <w:tcPr>
            <w:tcW w:w="2200" w:type="dxa"/>
            <w:vAlign w:val="bottom"/>
            <w:tcBorders>
              <w:bottom w:val="single" w:sz="8" w:color="483E65"/>
            </w:tcBorders>
            <w:gridSpan w:val="2"/>
          </w:tcPr>
          <w:p>
            <w:pPr>
              <w:ind w:left="360"/>
              <w:spacing w:after="0" w:line="155" w:lineRule="exact"/>
              <w:rPr>
                <w:sz w:val="20"/>
                <w:szCs w:val="20"/>
                <w:color w:val="auto"/>
              </w:rPr>
            </w:pPr>
            <w:r>
              <w:rPr>
                <w:rFonts w:ascii="Arial" w:cs="Arial" w:eastAsia="Arial" w:hAnsi="Arial"/>
                <w:sz w:val="14"/>
                <w:szCs w:val="14"/>
                <w:color w:val="483E65"/>
              </w:rPr>
              <w:t>With Change in Control</w:t>
            </w:r>
          </w:p>
        </w:tc>
        <w:tc>
          <w:tcPr>
            <w:tcW w:w="10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560" w:type="dxa"/>
            <w:vAlign w:val="bottom"/>
            <w:gridSpan w:val="2"/>
          </w:tcPr>
          <w:p>
            <w:pPr>
              <w:jc w:val="center"/>
              <w:ind w:right="20"/>
              <w:spacing w:after="0"/>
              <w:rPr>
                <w:sz w:val="20"/>
                <w:szCs w:val="20"/>
                <w:color w:val="auto"/>
              </w:rPr>
            </w:pPr>
            <w:r>
              <w:rPr>
                <w:rFonts w:ascii="Arial" w:cs="Arial" w:eastAsia="Arial" w:hAnsi="Arial"/>
                <w:sz w:val="14"/>
                <w:szCs w:val="14"/>
                <w:color w:val="483E65"/>
              </w:rPr>
              <w:t>Without Cause/</w:t>
            </w:r>
          </w:p>
        </w:tc>
        <w:tc>
          <w:tcPr>
            <w:tcW w:w="1240" w:type="dxa"/>
            <w:vAlign w:val="bottom"/>
            <w:vMerge w:val="restart"/>
          </w:tcPr>
          <w:p>
            <w:pPr>
              <w:ind w:left="340"/>
              <w:spacing w:after="0"/>
              <w:rPr>
                <w:sz w:val="20"/>
                <w:szCs w:val="20"/>
                <w:color w:val="auto"/>
              </w:rPr>
            </w:pPr>
            <w:r>
              <w:rPr>
                <w:rFonts w:ascii="Arial" w:cs="Arial" w:eastAsia="Arial" w:hAnsi="Arial"/>
                <w:sz w:val="14"/>
                <w:szCs w:val="14"/>
                <w:color w:val="483E65"/>
              </w:rPr>
              <w:t>IS&amp;GS</w:t>
            </w:r>
          </w:p>
        </w:tc>
        <w:tc>
          <w:tcPr>
            <w:tcW w:w="960" w:type="dxa"/>
            <w:vAlign w:val="bottom"/>
          </w:tcPr>
          <w:p>
            <w:pPr>
              <w:jc w:val="center"/>
              <w:ind w:left="11"/>
              <w:spacing w:after="0"/>
              <w:rPr>
                <w:sz w:val="20"/>
                <w:szCs w:val="20"/>
                <w:color w:val="auto"/>
              </w:rPr>
            </w:pPr>
            <w:r>
              <w:rPr>
                <w:rFonts w:ascii="Arial" w:cs="Arial" w:eastAsia="Arial" w:hAnsi="Arial"/>
                <w:sz w:val="14"/>
                <w:szCs w:val="14"/>
                <w:color w:val="483E65"/>
                <w:w w:val="99"/>
              </w:rPr>
              <w:t>New</w:t>
            </w:r>
          </w:p>
        </w:tc>
        <w:tc>
          <w:tcPr>
            <w:tcW w:w="10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1180" w:type="dxa"/>
            <w:vAlign w:val="bottom"/>
          </w:tcPr>
          <w:p>
            <w:pPr>
              <w:jc w:val="center"/>
              <w:ind w:right="148"/>
              <w:spacing w:after="0" w:line="141" w:lineRule="exact"/>
              <w:rPr>
                <w:sz w:val="20"/>
                <w:szCs w:val="20"/>
                <w:color w:val="auto"/>
              </w:rPr>
            </w:pPr>
            <w:r>
              <w:rPr>
                <w:rFonts w:ascii="Arial" w:cs="Arial" w:eastAsia="Arial" w:hAnsi="Arial"/>
                <w:sz w:val="14"/>
                <w:szCs w:val="14"/>
                <w:color w:val="483E65"/>
              </w:rPr>
              <w:t>Voluntary</w:t>
            </w:r>
          </w:p>
        </w:tc>
        <w:tc>
          <w:tcPr>
            <w:tcW w:w="1080" w:type="dxa"/>
            <w:vAlign w:val="bottom"/>
          </w:tcPr>
          <w:p>
            <w:pPr>
              <w:spacing w:after="0"/>
              <w:rPr>
                <w:sz w:val="12"/>
                <w:szCs w:val="12"/>
                <w:color w:val="auto"/>
              </w:rPr>
            </w:pPr>
          </w:p>
        </w:tc>
        <w:tc>
          <w:tcPr>
            <w:tcW w:w="1560" w:type="dxa"/>
            <w:vAlign w:val="bottom"/>
            <w:gridSpan w:val="2"/>
          </w:tcPr>
          <w:p>
            <w:pPr>
              <w:jc w:val="center"/>
              <w:ind w:right="40"/>
              <w:spacing w:after="0" w:line="141" w:lineRule="exact"/>
              <w:rPr>
                <w:sz w:val="20"/>
                <w:szCs w:val="20"/>
                <w:color w:val="auto"/>
              </w:rPr>
            </w:pPr>
            <w:r>
              <w:rPr>
                <w:rFonts w:ascii="Arial" w:cs="Arial" w:eastAsia="Arial" w:hAnsi="Arial"/>
                <w:sz w:val="14"/>
                <w:szCs w:val="14"/>
                <w:color w:val="483E65"/>
              </w:rPr>
              <w:t>for Good</w:t>
            </w:r>
          </w:p>
        </w:tc>
        <w:tc>
          <w:tcPr>
            <w:tcW w:w="1240" w:type="dxa"/>
            <w:vAlign w:val="bottom"/>
            <w:vMerge w:val="continue"/>
          </w:tcPr>
          <w:p>
            <w:pPr>
              <w:spacing w:after="0"/>
              <w:rPr>
                <w:sz w:val="12"/>
                <w:szCs w:val="12"/>
                <w:color w:val="auto"/>
              </w:rPr>
            </w:pPr>
          </w:p>
        </w:tc>
        <w:tc>
          <w:tcPr>
            <w:tcW w:w="960" w:type="dxa"/>
            <w:vAlign w:val="bottom"/>
          </w:tcPr>
          <w:p>
            <w:pPr>
              <w:jc w:val="center"/>
              <w:ind w:left="11"/>
              <w:spacing w:after="0" w:line="141" w:lineRule="exact"/>
              <w:rPr>
                <w:sz w:val="20"/>
                <w:szCs w:val="20"/>
                <w:color w:val="auto"/>
              </w:rPr>
            </w:pPr>
            <w:r>
              <w:rPr>
                <w:rFonts w:ascii="Arial" w:cs="Arial" w:eastAsia="Arial" w:hAnsi="Arial"/>
                <w:sz w:val="14"/>
                <w:szCs w:val="14"/>
                <w:color w:val="483E65"/>
              </w:rPr>
              <w:t>Change in</w:t>
            </w:r>
          </w:p>
        </w:tc>
        <w:tc>
          <w:tcPr>
            <w:tcW w:w="10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1180" w:type="dxa"/>
            <w:vAlign w:val="bottom"/>
          </w:tcPr>
          <w:p>
            <w:pPr>
              <w:jc w:val="center"/>
              <w:ind w:right="148"/>
              <w:spacing w:after="0"/>
              <w:rPr>
                <w:sz w:val="20"/>
                <w:szCs w:val="20"/>
                <w:color w:val="auto"/>
              </w:rPr>
            </w:pPr>
            <w:r>
              <w:rPr>
                <w:rFonts w:ascii="Arial" w:cs="Arial" w:eastAsia="Arial" w:hAnsi="Arial"/>
                <w:sz w:val="14"/>
                <w:szCs w:val="14"/>
                <w:color w:val="483E65"/>
              </w:rPr>
              <w:t>Termination ($)</w:t>
            </w:r>
          </w:p>
        </w:tc>
        <w:tc>
          <w:tcPr>
            <w:tcW w:w="1080" w:type="dxa"/>
            <w:vAlign w:val="bottom"/>
          </w:tcPr>
          <w:p>
            <w:pPr>
              <w:ind w:left="80"/>
              <w:spacing w:after="0"/>
              <w:rPr>
                <w:sz w:val="20"/>
                <w:szCs w:val="20"/>
                <w:color w:val="auto"/>
              </w:rPr>
            </w:pPr>
            <w:r>
              <w:rPr>
                <w:rFonts w:ascii="Arial" w:cs="Arial" w:eastAsia="Arial" w:hAnsi="Arial"/>
                <w:sz w:val="14"/>
                <w:szCs w:val="14"/>
                <w:color w:val="483E65"/>
              </w:rPr>
              <w:t>For Cause ($)</w:t>
            </w:r>
          </w:p>
        </w:tc>
        <w:tc>
          <w:tcPr>
            <w:tcW w:w="1560" w:type="dxa"/>
            <w:vAlign w:val="bottom"/>
            <w:gridSpan w:val="2"/>
          </w:tcPr>
          <w:p>
            <w:pPr>
              <w:jc w:val="center"/>
              <w:ind w:right="20"/>
              <w:spacing w:after="0" w:line="179" w:lineRule="exact"/>
              <w:rPr>
                <w:sz w:val="20"/>
                <w:szCs w:val="20"/>
                <w:color w:val="auto"/>
              </w:rPr>
            </w:pPr>
            <w:r>
              <w:rPr>
                <w:rFonts w:ascii="Arial" w:cs="Arial" w:eastAsia="Arial" w:hAnsi="Arial"/>
                <w:sz w:val="12"/>
                <w:szCs w:val="12"/>
                <w:color w:val="483E65"/>
              </w:rPr>
              <w:t>Reason ($)</w:t>
            </w:r>
            <w:r>
              <w:rPr>
                <w:rFonts w:ascii="Arial" w:cs="Arial" w:eastAsia="Arial" w:hAnsi="Arial"/>
                <w:sz w:val="20"/>
                <w:szCs w:val="20"/>
                <w:color w:val="483E65"/>
                <w:vertAlign w:val="superscript"/>
              </w:rPr>
              <w:t>(1)</w:t>
            </w:r>
          </w:p>
        </w:tc>
        <w:tc>
          <w:tcPr>
            <w:tcW w:w="1240" w:type="dxa"/>
            <w:vAlign w:val="bottom"/>
          </w:tcPr>
          <w:p>
            <w:pPr>
              <w:spacing w:after="0" w:line="179" w:lineRule="exact"/>
              <w:rPr>
                <w:sz w:val="20"/>
                <w:szCs w:val="20"/>
                <w:color w:val="auto"/>
              </w:rPr>
            </w:pPr>
            <w:r>
              <w:rPr>
                <w:rFonts w:ascii="Arial" w:cs="Arial" w:eastAsia="Arial" w:hAnsi="Arial"/>
                <w:sz w:val="12"/>
                <w:szCs w:val="12"/>
                <w:color w:val="483E65"/>
              </w:rPr>
              <w:t>Transaction ($)</w:t>
            </w:r>
            <w:r>
              <w:rPr>
                <w:rFonts w:ascii="Arial" w:cs="Arial" w:eastAsia="Arial" w:hAnsi="Arial"/>
                <w:sz w:val="20"/>
                <w:szCs w:val="20"/>
                <w:color w:val="483E65"/>
                <w:vertAlign w:val="superscript"/>
              </w:rPr>
              <w:t>(2)</w:t>
            </w:r>
          </w:p>
        </w:tc>
        <w:tc>
          <w:tcPr>
            <w:tcW w:w="960" w:type="dxa"/>
            <w:vAlign w:val="bottom"/>
          </w:tcPr>
          <w:p>
            <w:pPr>
              <w:jc w:val="center"/>
              <w:ind w:left="11"/>
              <w:spacing w:after="0" w:line="179" w:lineRule="exact"/>
              <w:rPr>
                <w:sz w:val="20"/>
                <w:szCs w:val="20"/>
                <w:color w:val="auto"/>
              </w:rPr>
            </w:pPr>
            <w:r>
              <w:rPr>
                <w:rFonts w:ascii="Arial" w:cs="Arial" w:eastAsia="Arial" w:hAnsi="Arial"/>
                <w:sz w:val="12"/>
                <w:szCs w:val="12"/>
                <w:color w:val="483E65"/>
              </w:rPr>
              <w:t>Control ($</w:t>
            </w:r>
            <w:r>
              <w:rPr>
                <w:rFonts w:ascii="Arial" w:cs="Arial" w:eastAsia="Arial" w:hAnsi="Arial"/>
                <w:sz w:val="20"/>
                <w:szCs w:val="20"/>
                <w:color w:val="483E65"/>
                <w:vertAlign w:val="superscript"/>
              </w:rPr>
              <w:t>)(3)</w:t>
            </w:r>
          </w:p>
        </w:tc>
        <w:tc>
          <w:tcPr>
            <w:tcW w:w="1060" w:type="dxa"/>
            <w:vAlign w:val="bottom"/>
          </w:tcPr>
          <w:p>
            <w:pPr>
              <w:ind w:left="320"/>
              <w:spacing w:after="0"/>
              <w:rPr>
                <w:sz w:val="20"/>
                <w:szCs w:val="20"/>
                <w:color w:val="auto"/>
              </w:rPr>
            </w:pPr>
            <w:r>
              <w:rPr>
                <w:rFonts w:ascii="Arial" w:cs="Arial" w:eastAsia="Arial" w:hAnsi="Arial"/>
                <w:sz w:val="14"/>
                <w:szCs w:val="14"/>
                <w:color w:val="483E65"/>
              </w:rPr>
              <w:t>Death ($)</w:t>
            </w:r>
          </w:p>
        </w:tc>
        <w:tc>
          <w:tcPr>
            <w:tcW w:w="940" w:type="dxa"/>
            <w:vAlign w:val="bottom"/>
          </w:tcPr>
          <w:p>
            <w:pPr>
              <w:ind w:left="140"/>
              <w:spacing w:after="0"/>
              <w:rPr>
                <w:sz w:val="20"/>
                <w:szCs w:val="20"/>
                <w:color w:val="auto"/>
              </w:rPr>
            </w:pPr>
            <w:r>
              <w:rPr>
                <w:rFonts w:ascii="Arial" w:cs="Arial" w:eastAsia="Arial" w:hAnsi="Arial"/>
                <w:sz w:val="14"/>
                <w:szCs w:val="14"/>
                <w:color w:val="483E65"/>
              </w:rPr>
              <w:t>Disability ($)</w:t>
            </w:r>
          </w:p>
        </w:tc>
        <w:tc>
          <w:tcPr>
            <w:tcW w:w="0" w:type="dxa"/>
            <w:vAlign w:val="bottom"/>
          </w:tcPr>
          <w:p>
            <w:pPr>
              <w:spacing w:after="0"/>
              <w:rPr>
                <w:sz w:val="1"/>
                <w:szCs w:val="1"/>
                <w:color w:val="auto"/>
              </w:rPr>
            </w:pPr>
          </w:p>
        </w:tc>
      </w:tr>
    </w:tbl>
    <w:p>
      <w:pPr>
        <w:spacing w:after="0" w:line="5" w:lineRule="exact"/>
        <w:rPr>
          <w:sz w:val="20"/>
          <w:szCs w:val="20"/>
          <w:color w:val="auto"/>
        </w:rPr>
      </w:pPr>
    </w:p>
    <w:p>
      <w:pPr>
        <w:sectPr>
          <w:pgSz w:w="11900" w:h="16838" w:orient="portrait"/>
          <w:cols w:equalWidth="0" w:num="2">
            <w:col w:w="2500" w:space="720"/>
            <w:col w:w="8200"/>
          </w:cols>
          <w:pgMar w:left="240" w:top="459" w:right="239" w:bottom="1440" w:gutter="0" w:footer="0" w:header="0"/>
          <w:type w:val="continuous"/>
        </w:sectPr>
      </w:pPr>
    </w:p>
    <w:tbl>
      <w:tblPr>
        <w:tblLayout w:type="fixed"/>
        <w:tblInd w:w="0" w:type="dxa"/>
        <w:tblCellMar>
          <w:top w:w="0" w:type="dxa"/>
          <w:left w:w="0" w:type="dxa"/>
          <w:bottom w:w="0" w:type="dxa"/>
          <w:right w:w="0" w:type="dxa"/>
        </w:tblCellMar>
      </w:tblPr>
      <w:tr>
        <w:trPr>
          <w:trHeight w:val="192"/>
        </w:trPr>
        <w:tc>
          <w:tcPr>
            <w:tcW w:w="3380" w:type="dxa"/>
            <w:vAlign w:val="bottom"/>
            <w:tcBorders>
              <w:top w:val="single" w:sz="8" w:color="483E65"/>
            </w:tcBorders>
          </w:tcPr>
          <w:p>
            <w:pPr>
              <w:ind w:left="100"/>
              <w:spacing w:after="0" w:line="192" w:lineRule="exact"/>
              <w:rPr>
                <w:sz w:val="20"/>
                <w:szCs w:val="20"/>
                <w:color w:val="auto"/>
              </w:rPr>
            </w:pPr>
            <w:r>
              <w:rPr>
                <w:rFonts w:ascii="Arial" w:cs="Arial" w:eastAsia="Arial" w:hAnsi="Arial"/>
                <w:sz w:val="18"/>
                <w:szCs w:val="18"/>
                <w:b w:val="1"/>
                <w:bCs w:val="1"/>
                <w:color w:val="auto"/>
              </w:rPr>
              <w:t>Compensation:</w:t>
            </w:r>
          </w:p>
        </w:tc>
        <w:tc>
          <w:tcPr>
            <w:tcW w:w="1360" w:type="dxa"/>
            <w:vAlign w:val="bottom"/>
            <w:tcBorders>
              <w:top w:val="single" w:sz="8" w:color="483E65"/>
            </w:tcBorders>
          </w:tcPr>
          <w:p>
            <w:pPr>
              <w:spacing w:after="0"/>
              <w:rPr>
                <w:sz w:val="16"/>
                <w:szCs w:val="16"/>
                <w:color w:val="auto"/>
              </w:rPr>
            </w:pPr>
          </w:p>
        </w:tc>
        <w:tc>
          <w:tcPr>
            <w:tcW w:w="1080" w:type="dxa"/>
            <w:vAlign w:val="bottom"/>
            <w:tcBorders>
              <w:top w:val="single" w:sz="8" w:color="483E65"/>
            </w:tcBorders>
          </w:tcPr>
          <w:p>
            <w:pPr>
              <w:spacing w:after="0"/>
              <w:rPr>
                <w:sz w:val="16"/>
                <w:szCs w:val="16"/>
                <w:color w:val="auto"/>
              </w:rPr>
            </w:pPr>
          </w:p>
        </w:tc>
        <w:tc>
          <w:tcPr>
            <w:tcW w:w="1280" w:type="dxa"/>
            <w:vAlign w:val="bottom"/>
            <w:tcBorders>
              <w:top w:val="single" w:sz="8" w:color="483E65"/>
            </w:tcBorders>
          </w:tcPr>
          <w:p>
            <w:pPr>
              <w:spacing w:after="0"/>
              <w:rPr>
                <w:sz w:val="16"/>
                <w:szCs w:val="16"/>
                <w:color w:val="auto"/>
              </w:rPr>
            </w:pPr>
          </w:p>
        </w:tc>
        <w:tc>
          <w:tcPr>
            <w:tcW w:w="1200" w:type="dxa"/>
            <w:vAlign w:val="bottom"/>
            <w:tcBorders>
              <w:top w:val="single" w:sz="8" w:color="483E65"/>
            </w:tcBorders>
          </w:tcPr>
          <w:p>
            <w:pPr>
              <w:spacing w:after="0"/>
              <w:rPr>
                <w:sz w:val="16"/>
                <w:szCs w:val="16"/>
                <w:color w:val="auto"/>
              </w:rPr>
            </w:pPr>
          </w:p>
        </w:tc>
        <w:tc>
          <w:tcPr>
            <w:tcW w:w="1060" w:type="dxa"/>
            <w:vAlign w:val="bottom"/>
            <w:tcBorders>
              <w:top w:val="single" w:sz="8" w:color="483E65"/>
            </w:tcBorders>
          </w:tcPr>
          <w:p>
            <w:pPr>
              <w:spacing w:after="0"/>
              <w:rPr>
                <w:sz w:val="16"/>
                <w:szCs w:val="16"/>
                <w:color w:val="auto"/>
              </w:rPr>
            </w:pPr>
          </w:p>
        </w:tc>
        <w:tc>
          <w:tcPr>
            <w:tcW w:w="1020" w:type="dxa"/>
            <w:vAlign w:val="bottom"/>
            <w:tcBorders>
              <w:top w:val="single" w:sz="8" w:color="483E65"/>
            </w:tcBorders>
          </w:tcPr>
          <w:p>
            <w:pPr>
              <w:spacing w:after="0"/>
              <w:rPr>
                <w:sz w:val="16"/>
                <w:szCs w:val="16"/>
                <w:color w:val="auto"/>
              </w:rPr>
            </w:pPr>
          </w:p>
        </w:tc>
        <w:tc>
          <w:tcPr>
            <w:tcW w:w="1040" w:type="dxa"/>
            <w:vAlign w:val="bottom"/>
            <w:tcBorders>
              <w:top w:val="single" w:sz="8" w:color="483E65"/>
            </w:tcBorders>
          </w:tcPr>
          <w:p>
            <w:pPr>
              <w:spacing w:after="0"/>
              <w:rPr>
                <w:sz w:val="16"/>
                <w:szCs w:val="16"/>
                <w:color w:val="auto"/>
              </w:rPr>
            </w:pPr>
          </w:p>
        </w:tc>
      </w:tr>
      <w:tr>
        <w:trPr>
          <w:trHeight w:val="203"/>
        </w:trPr>
        <w:tc>
          <w:tcPr>
            <w:tcW w:w="3380" w:type="dxa"/>
            <w:vAlign w:val="bottom"/>
            <w:shd w:val="clear" w:color="auto" w:fill="ACABA7"/>
          </w:tcPr>
          <w:p>
            <w:pPr>
              <w:ind w:left="100"/>
              <w:spacing w:after="0" w:line="202" w:lineRule="exact"/>
              <w:rPr>
                <w:sz w:val="20"/>
                <w:szCs w:val="20"/>
                <w:color w:val="auto"/>
              </w:rPr>
            </w:pPr>
            <w:r>
              <w:rPr>
                <w:rFonts w:ascii="Arial" w:cs="Arial" w:eastAsia="Arial" w:hAnsi="Arial"/>
                <w:sz w:val="18"/>
                <w:szCs w:val="18"/>
                <w:color w:val="auto"/>
              </w:rPr>
              <w:t>Severance (Salary and Bonus)</w:t>
            </w:r>
            <w:r>
              <w:rPr>
                <w:rFonts w:ascii="Arial" w:cs="Arial" w:eastAsia="Arial" w:hAnsi="Arial"/>
                <w:sz w:val="15"/>
                <w:szCs w:val="15"/>
                <w:color w:val="auto"/>
              </w:rPr>
              <w:t>(4)</w:t>
            </w:r>
          </w:p>
        </w:tc>
        <w:tc>
          <w:tcPr>
            <w:tcW w:w="1360" w:type="dxa"/>
            <w:vAlign w:val="bottom"/>
            <w:shd w:val="clear" w:color="auto" w:fill="ACABA7"/>
          </w:tcPr>
          <w:p>
            <w:pPr>
              <w:jc w:val="right"/>
              <w:ind w:right="450"/>
              <w:spacing w:after="0" w:line="202" w:lineRule="exact"/>
              <w:rPr>
                <w:sz w:val="20"/>
                <w:szCs w:val="20"/>
                <w:color w:val="auto"/>
              </w:rPr>
            </w:pPr>
            <w:r>
              <w:rPr>
                <w:rFonts w:ascii="Arial" w:cs="Arial" w:eastAsia="Arial" w:hAnsi="Arial"/>
                <w:sz w:val="18"/>
                <w:szCs w:val="18"/>
                <w:color w:val="auto"/>
              </w:rPr>
              <w:t>—</w:t>
            </w:r>
          </w:p>
        </w:tc>
        <w:tc>
          <w:tcPr>
            <w:tcW w:w="1080" w:type="dxa"/>
            <w:vAlign w:val="bottom"/>
            <w:shd w:val="clear" w:color="auto" w:fill="ACABA7"/>
          </w:tcPr>
          <w:p>
            <w:pPr>
              <w:jc w:val="right"/>
              <w:ind w:right="270"/>
              <w:spacing w:after="0" w:line="202" w:lineRule="exact"/>
              <w:rPr>
                <w:sz w:val="20"/>
                <w:szCs w:val="20"/>
                <w:color w:val="auto"/>
              </w:rPr>
            </w:pPr>
            <w:r>
              <w:rPr>
                <w:rFonts w:ascii="Arial" w:cs="Arial" w:eastAsia="Arial" w:hAnsi="Arial"/>
                <w:sz w:val="18"/>
                <w:szCs w:val="18"/>
                <w:color w:val="auto"/>
              </w:rPr>
              <w:t>—</w:t>
            </w:r>
          </w:p>
        </w:tc>
        <w:tc>
          <w:tcPr>
            <w:tcW w:w="1280" w:type="dxa"/>
            <w:vAlign w:val="bottom"/>
            <w:shd w:val="clear" w:color="auto" w:fill="ACABA7"/>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1200" w:type="dxa"/>
            <w:vAlign w:val="bottom"/>
            <w:shd w:val="clear" w:color="auto" w:fill="ACABA7"/>
          </w:tcPr>
          <w:p>
            <w:pPr>
              <w:jc w:val="right"/>
              <w:ind w:right="50"/>
              <w:spacing w:after="0" w:line="202" w:lineRule="exact"/>
              <w:rPr>
                <w:sz w:val="20"/>
                <w:szCs w:val="20"/>
                <w:color w:val="auto"/>
              </w:rPr>
            </w:pPr>
            <w:r>
              <w:rPr>
                <w:rFonts w:ascii="Arial" w:cs="Arial" w:eastAsia="Arial" w:hAnsi="Arial"/>
                <w:sz w:val="18"/>
                <w:szCs w:val="18"/>
                <w:color w:val="auto"/>
              </w:rPr>
              <w:t>2,362,500</w:t>
            </w:r>
          </w:p>
        </w:tc>
        <w:tc>
          <w:tcPr>
            <w:tcW w:w="1060" w:type="dxa"/>
            <w:vAlign w:val="bottom"/>
            <w:shd w:val="clear" w:color="auto" w:fill="ACABA7"/>
          </w:tcPr>
          <w:p>
            <w:pPr>
              <w:jc w:val="right"/>
              <w:ind w:right="30"/>
              <w:spacing w:after="0" w:line="202" w:lineRule="exact"/>
              <w:rPr>
                <w:sz w:val="20"/>
                <w:szCs w:val="20"/>
                <w:color w:val="auto"/>
              </w:rPr>
            </w:pPr>
            <w:r>
              <w:rPr>
                <w:rFonts w:ascii="Arial" w:cs="Arial" w:eastAsia="Arial" w:hAnsi="Arial"/>
                <w:sz w:val="18"/>
                <w:szCs w:val="18"/>
                <w:color w:val="auto"/>
              </w:rPr>
              <w:t>2,362,500</w:t>
            </w:r>
          </w:p>
        </w:tc>
        <w:tc>
          <w:tcPr>
            <w:tcW w:w="1020" w:type="dxa"/>
            <w:vAlign w:val="bottom"/>
            <w:shd w:val="clear" w:color="auto" w:fill="ACABA7"/>
          </w:tcPr>
          <w:p>
            <w:pPr>
              <w:jc w:val="right"/>
              <w:spacing w:after="0" w:line="202" w:lineRule="exact"/>
              <w:rPr>
                <w:sz w:val="20"/>
                <w:szCs w:val="20"/>
                <w:color w:val="auto"/>
              </w:rPr>
            </w:pPr>
            <w:r>
              <w:rPr>
                <w:rFonts w:ascii="Arial" w:cs="Arial" w:eastAsia="Arial" w:hAnsi="Arial"/>
                <w:sz w:val="18"/>
                <w:szCs w:val="18"/>
                <w:color w:val="auto"/>
              </w:rPr>
              <w:t>—</w:t>
            </w:r>
          </w:p>
        </w:tc>
        <w:tc>
          <w:tcPr>
            <w:tcW w:w="1040" w:type="dxa"/>
            <w:vAlign w:val="bottom"/>
            <w:shd w:val="clear" w:color="auto" w:fill="ACABA7"/>
          </w:tcPr>
          <w:p>
            <w:pPr>
              <w:jc w:val="right"/>
              <w:ind w:right="50"/>
              <w:spacing w:after="0" w:line="202" w:lineRule="exact"/>
              <w:rPr>
                <w:sz w:val="20"/>
                <w:szCs w:val="20"/>
                <w:color w:val="auto"/>
              </w:rPr>
            </w:pPr>
            <w:r>
              <w:rPr>
                <w:rFonts w:ascii="Arial" w:cs="Arial" w:eastAsia="Arial" w:hAnsi="Arial"/>
                <w:sz w:val="18"/>
                <w:szCs w:val="18"/>
                <w:color w:val="auto"/>
              </w:rPr>
              <w:t>—</w:t>
            </w:r>
          </w:p>
        </w:tc>
      </w:tr>
      <w:tr>
        <w:trPr>
          <w:trHeight w:val="203"/>
        </w:trPr>
        <w:tc>
          <w:tcPr>
            <w:tcW w:w="3380" w:type="dxa"/>
            <w:vAlign w:val="bottom"/>
          </w:tcPr>
          <w:p>
            <w:pPr>
              <w:ind w:left="100"/>
              <w:spacing w:after="0" w:line="202" w:lineRule="exact"/>
              <w:rPr>
                <w:sz w:val="20"/>
                <w:szCs w:val="20"/>
                <w:color w:val="auto"/>
              </w:rPr>
            </w:pPr>
            <w:r>
              <w:rPr>
                <w:rFonts w:ascii="Arial" w:cs="Arial" w:eastAsia="Arial" w:hAnsi="Arial"/>
                <w:sz w:val="18"/>
                <w:szCs w:val="18"/>
                <w:color w:val="auto"/>
              </w:rPr>
              <w:t>Pro-rata Bonus</w:t>
            </w:r>
            <w:r>
              <w:rPr>
                <w:rFonts w:ascii="Arial" w:cs="Arial" w:eastAsia="Arial" w:hAnsi="Arial"/>
                <w:sz w:val="15"/>
                <w:szCs w:val="15"/>
                <w:color w:val="auto"/>
              </w:rPr>
              <w:t>(5)</w:t>
            </w:r>
          </w:p>
        </w:tc>
        <w:tc>
          <w:tcPr>
            <w:tcW w:w="1360" w:type="dxa"/>
            <w:vAlign w:val="bottom"/>
          </w:tcPr>
          <w:p>
            <w:pPr>
              <w:jc w:val="right"/>
              <w:ind w:right="450"/>
              <w:spacing w:after="0" w:line="202" w:lineRule="exact"/>
              <w:rPr>
                <w:sz w:val="20"/>
                <w:szCs w:val="20"/>
                <w:color w:val="auto"/>
              </w:rPr>
            </w:pPr>
            <w:r>
              <w:rPr>
                <w:rFonts w:ascii="Arial" w:cs="Arial" w:eastAsia="Arial" w:hAnsi="Arial"/>
                <w:sz w:val="18"/>
                <w:szCs w:val="18"/>
                <w:color w:val="auto"/>
              </w:rPr>
              <w:t>—</w:t>
            </w:r>
          </w:p>
        </w:tc>
        <w:tc>
          <w:tcPr>
            <w:tcW w:w="108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w:t>
            </w:r>
          </w:p>
        </w:tc>
        <w:tc>
          <w:tcPr>
            <w:tcW w:w="128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1200" w:type="dxa"/>
            <w:vAlign w:val="bottom"/>
          </w:tcPr>
          <w:p>
            <w:pPr>
              <w:jc w:val="right"/>
              <w:ind w:right="50"/>
              <w:spacing w:after="0" w:line="202" w:lineRule="exact"/>
              <w:rPr>
                <w:sz w:val="20"/>
                <w:szCs w:val="20"/>
                <w:color w:val="auto"/>
              </w:rPr>
            </w:pPr>
            <w:r>
              <w:rPr>
                <w:rFonts w:ascii="Arial" w:cs="Arial" w:eastAsia="Arial" w:hAnsi="Arial"/>
                <w:sz w:val="18"/>
                <w:szCs w:val="18"/>
                <w:color w:val="auto"/>
              </w:rPr>
              <w:t>420,000</w:t>
            </w:r>
          </w:p>
        </w:tc>
        <w:tc>
          <w:tcPr>
            <w:tcW w:w="1060" w:type="dxa"/>
            <w:vAlign w:val="bottom"/>
          </w:tcPr>
          <w:p>
            <w:pPr>
              <w:jc w:val="right"/>
              <w:ind w:right="30"/>
              <w:spacing w:after="0" w:line="202" w:lineRule="exact"/>
              <w:rPr>
                <w:sz w:val="20"/>
                <w:szCs w:val="20"/>
                <w:color w:val="auto"/>
              </w:rPr>
            </w:pPr>
            <w:r>
              <w:rPr>
                <w:rFonts w:ascii="Arial" w:cs="Arial" w:eastAsia="Arial" w:hAnsi="Arial"/>
                <w:sz w:val="18"/>
                <w:szCs w:val="18"/>
                <w:color w:val="auto"/>
              </w:rPr>
              <w:t>420,000</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420,000</w:t>
            </w:r>
          </w:p>
        </w:tc>
        <w:tc>
          <w:tcPr>
            <w:tcW w:w="1040" w:type="dxa"/>
            <w:vAlign w:val="bottom"/>
          </w:tcPr>
          <w:p>
            <w:pPr>
              <w:jc w:val="right"/>
              <w:ind w:right="50"/>
              <w:spacing w:after="0" w:line="202" w:lineRule="exact"/>
              <w:rPr>
                <w:sz w:val="20"/>
                <w:szCs w:val="20"/>
                <w:color w:val="auto"/>
              </w:rPr>
            </w:pPr>
            <w:r>
              <w:rPr>
                <w:rFonts w:ascii="Arial" w:cs="Arial" w:eastAsia="Arial" w:hAnsi="Arial"/>
                <w:sz w:val="18"/>
                <w:szCs w:val="18"/>
                <w:color w:val="auto"/>
              </w:rPr>
              <w:t>420,000</w:t>
            </w:r>
          </w:p>
        </w:tc>
      </w:tr>
      <w:tr>
        <w:trPr>
          <w:trHeight w:val="203"/>
        </w:trPr>
        <w:tc>
          <w:tcPr>
            <w:tcW w:w="3380" w:type="dxa"/>
            <w:vAlign w:val="bottom"/>
            <w:shd w:val="clear" w:color="auto" w:fill="ACABA7"/>
          </w:tcPr>
          <w:p>
            <w:pPr>
              <w:ind w:left="100"/>
              <w:spacing w:after="0" w:line="202" w:lineRule="exact"/>
              <w:rPr>
                <w:sz w:val="20"/>
                <w:szCs w:val="20"/>
                <w:color w:val="auto"/>
              </w:rPr>
            </w:pPr>
            <w:r>
              <w:rPr>
                <w:rFonts w:ascii="Arial" w:cs="Arial" w:eastAsia="Arial" w:hAnsi="Arial"/>
                <w:sz w:val="18"/>
                <w:szCs w:val="18"/>
                <w:b w:val="1"/>
                <w:bCs w:val="1"/>
                <w:color w:val="auto"/>
              </w:rPr>
              <w:t>Long-term Incentives:</w:t>
            </w:r>
          </w:p>
        </w:tc>
        <w:tc>
          <w:tcPr>
            <w:tcW w:w="1360" w:type="dxa"/>
            <w:vAlign w:val="bottom"/>
            <w:shd w:val="clear" w:color="auto" w:fill="ACABA7"/>
          </w:tcPr>
          <w:p>
            <w:pPr>
              <w:spacing w:after="0"/>
              <w:rPr>
                <w:sz w:val="17"/>
                <w:szCs w:val="17"/>
                <w:color w:val="auto"/>
              </w:rPr>
            </w:pPr>
          </w:p>
        </w:tc>
        <w:tc>
          <w:tcPr>
            <w:tcW w:w="1080" w:type="dxa"/>
            <w:vAlign w:val="bottom"/>
            <w:shd w:val="clear" w:color="auto" w:fill="ACABA7"/>
          </w:tcPr>
          <w:p>
            <w:pPr>
              <w:spacing w:after="0"/>
              <w:rPr>
                <w:sz w:val="17"/>
                <w:szCs w:val="17"/>
                <w:color w:val="auto"/>
              </w:rPr>
            </w:pPr>
          </w:p>
        </w:tc>
        <w:tc>
          <w:tcPr>
            <w:tcW w:w="1280" w:type="dxa"/>
            <w:vAlign w:val="bottom"/>
            <w:shd w:val="clear" w:color="auto" w:fill="ACABA7"/>
          </w:tcPr>
          <w:p>
            <w:pPr>
              <w:spacing w:after="0"/>
              <w:rPr>
                <w:sz w:val="17"/>
                <w:szCs w:val="17"/>
                <w:color w:val="auto"/>
              </w:rPr>
            </w:pPr>
          </w:p>
        </w:tc>
        <w:tc>
          <w:tcPr>
            <w:tcW w:w="1200" w:type="dxa"/>
            <w:vAlign w:val="bottom"/>
            <w:shd w:val="clear" w:color="auto" w:fill="ACABA7"/>
          </w:tcPr>
          <w:p>
            <w:pPr>
              <w:spacing w:after="0"/>
              <w:rPr>
                <w:sz w:val="17"/>
                <w:szCs w:val="17"/>
                <w:color w:val="auto"/>
              </w:rPr>
            </w:pPr>
          </w:p>
        </w:tc>
        <w:tc>
          <w:tcPr>
            <w:tcW w:w="1060" w:type="dxa"/>
            <w:vAlign w:val="bottom"/>
            <w:shd w:val="clear" w:color="auto" w:fill="ACABA7"/>
          </w:tcPr>
          <w:p>
            <w:pPr>
              <w:spacing w:after="0"/>
              <w:rPr>
                <w:sz w:val="17"/>
                <w:szCs w:val="17"/>
                <w:color w:val="auto"/>
              </w:rPr>
            </w:pPr>
          </w:p>
        </w:tc>
        <w:tc>
          <w:tcPr>
            <w:tcW w:w="1020" w:type="dxa"/>
            <w:vAlign w:val="bottom"/>
            <w:shd w:val="clear" w:color="auto" w:fill="ACABA7"/>
          </w:tcPr>
          <w:p>
            <w:pPr>
              <w:spacing w:after="0"/>
              <w:rPr>
                <w:sz w:val="17"/>
                <w:szCs w:val="17"/>
                <w:color w:val="auto"/>
              </w:rPr>
            </w:pPr>
          </w:p>
        </w:tc>
        <w:tc>
          <w:tcPr>
            <w:tcW w:w="1040" w:type="dxa"/>
            <w:vAlign w:val="bottom"/>
            <w:shd w:val="clear" w:color="auto" w:fill="ACABA7"/>
          </w:tcPr>
          <w:p>
            <w:pPr>
              <w:spacing w:after="0"/>
              <w:rPr>
                <w:sz w:val="17"/>
                <w:szCs w:val="17"/>
                <w:color w:val="auto"/>
              </w:rPr>
            </w:pPr>
          </w:p>
        </w:tc>
      </w:tr>
      <w:tr>
        <w:trPr>
          <w:trHeight w:val="199"/>
        </w:trPr>
        <w:tc>
          <w:tcPr>
            <w:tcW w:w="3380" w:type="dxa"/>
            <w:vAlign w:val="bottom"/>
          </w:tcPr>
          <w:p>
            <w:pPr>
              <w:ind w:left="100"/>
              <w:spacing w:after="0" w:line="199" w:lineRule="exact"/>
              <w:rPr>
                <w:sz w:val="20"/>
                <w:szCs w:val="20"/>
                <w:color w:val="auto"/>
              </w:rPr>
            </w:pPr>
            <w:r>
              <w:rPr>
                <w:rFonts w:ascii="Arial" w:cs="Arial" w:eastAsia="Arial" w:hAnsi="Arial"/>
                <w:sz w:val="18"/>
                <w:szCs w:val="18"/>
                <w:color w:val="auto"/>
              </w:rPr>
              <w:t>Performance Restricted</w:t>
            </w:r>
          </w:p>
        </w:tc>
        <w:tc>
          <w:tcPr>
            <w:tcW w:w="13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6"/>
        </w:trPr>
        <w:tc>
          <w:tcPr>
            <w:tcW w:w="3380" w:type="dxa"/>
            <w:vAlign w:val="bottom"/>
          </w:tcPr>
          <w:p>
            <w:pPr>
              <w:ind w:left="180"/>
              <w:spacing w:after="0"/>
              <w:rPr>
                <w:sz w:val="20"/>
                <w:szCs w:val="20"/>
                <w:color w:val="auto"/>
              </w:rPr>
            </w:pPr>
            <w:r>
              <w:rPr>
                <w:rFonts w:ascii="Arial" w:cs="Arial" w:eastAsia="Arial" w:hAnsi="Arial"/>
                <w:sz w:val="18"/>
                <w:szCs w:val="18"/>
                <w:color w:val="auto"/>
              </w:rPr>
              <w:t>Stock/Restricted Stock Units</w:t>
            </w:r>
            <w:r>
              <w:rPr>
                <w:rFonts w:ascii="Arial" w:cs="Arial" w:eastAsia="Arial" w:hAnsi="Arial"/>
                <w:sz w:val="15"/>
                <w:szCs w:val="15"/>
                <w:color w:val="auto"/>
              </w:rPr>
              <w:t>(6)</w:t>
            </w:r>
          </w:p>
        </w:tc>
        <w:tc>
          <w:tcPr>
            <w:tcW w:w="136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777,381</w:t>
            </w:r>
          </w:p>
        </w:tc>
        <w:tc>
          <w:tcPr>
            <w:tcW w:w="1020" w:type="dxa"/>
            <w:vAlign w:val="bottom"/>
          </w:tcPr>
          <w:p>
            <w:pPr>
              <w:jc w:val="right"/>
              <w:spacing w:after="0"/>
              <w:rPr>
                <w:sz w:val="20"/>
                <w:szCs w:val="20"/>
                <w:color w:val="auto"/>
              </w:rPr>
            </w:pPr>
            <w:r>
              <w:rPr>
                <w:rFonts w:ascii="Arial" w:cs="Arial" w:eastAsia="Arial" w:hAnsi="Arial"/>
                <w:sz w:val="18"/>
                <w:szCs w:val="18"/>
                <w:color w:val="auto"/>
              </w:rPr>
              <w:t>777,381</w:t>
            </w: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777,381</w:t>
            </w:r>
          </w:p>
        </w:tc>
      </w:tr>
      <w:tr>
        <w:trPr>
          <w:trHeight w:val="203"/>
        </w:trPr>
        <w:tc>
          <w:tcPr>
            <w:tcW w:w="3380" w:type="dxa"/>
            <w:vAlign w:val="bottom"/>
            <w:shd w:val="clear" w:color="auto" w:fill="ACABA7"/>
          </w:tcPr>
          <w:p>
            <w:pPr>
              <w:ind w:left="100"/>
              <w:spacing w:after="0" w:line="202" w:lineRule="exact"/>
              <w:rPr>
                <w:sz w:val="20"/>
                <w:szCs w:val="20"/>
                <w:color w:val="auto"/>
              </w:rPr>
            </w:pPr>
            <w:r>
              <w:rPr>
                <w:rFonts w:ascii="Arial" w:cs="Arial" w:eastAsia="Arial" w:hAnsi="Arial"/>
                <w:sz w:val="18"/>
                <w:szCs w:val="18"/>
                <w:color w:val="auto"/>
              </w:rPr>
              <w:t>- Stock Options</w:t>
            </w:r>
            <w:r>
              <w:rPr>
                <w:rFonts w:ascii="Arial" w:cs="Arial" w:eastAsia="Arial" w:hAnsi="Arial"/>
                <w:sz w:val="15"/>
                <w:szCs w:val="15"/>
                <w:color w:val="auto"/>
              </w:rPr>
              <w:t>(7)</w:t>
            </w:r>
          </w:p>
        </w:tc>
        <w:tc>
          <w:tcPr>
            <w:tcW w:w="1360" w:type="dxa"/>
            <w:vAlign w:val="bottom"/>
            <w:shd w:val="clear" w:color="auto" w:fill="ACABA7"/>
          </w:tcPr>
          <w:p>
            <w:pPr>
              <w:jc w:val="right"/>
              <w:ind w:right="450"/>
              <w:spacing w:after="0" w:line="202" w:lineRule="exact"/>
              <w:rPr>
                <w:sz w:val="20"/>
                <w:szCs w:val="20"/>
                <w:color w:val="auto"/>
              </w:rPr>
            </w:pPr>
            <w:r>
              <w:rPr>
                <w:rFonts w:ascii="Arial" w:cs="Arial" w:eastAsia="Arial" w:hAnsi="Arial"/>
                <w:sz w:val="18"/>
                <w:szCs w:val="18"/>
                <w:color w:val="auto"/>
              </w:rPr>
              <w:t>—</w:t>
            </w:r>
          </w:p>
        </w:tc>
        <w:tc>
          <w:tcPr>
            <w:tcW w:w="1080" w:type="dxa"/>
            <w:vAlign w:val="bottom"/>
            <w:shd w:val="clear" w:color="auto" w:fill="ACABA7"/>
          </w:tcPr>
          <w:p>
            <w:pPr>
              <w:jc w:val="right"/>
              <w:ind w:right="270"/>
              <w:spacing w:after="0" w:line="202" w:lineRule="exact"/>
              <w:rPr>
                <w:sz w:val="20"/>
                <w:szCs w:val="20"/>
                <w:color w:val="auto"/>
              </w:rPr>
            </w:pPr>
            <w:r>
              <w:rPr>
                <w:rFonts w:ascii="Arial" w:cs="Arial" w:eastAsia="Arial" w:hAnsi="Arial"/>
                <w:sz w:val="18"/>
                <w:szCs w:val="18"/>
                <w:color w:val="auto"/>
              </w:rPr>
              <w:t>—</w:t>
            </w:r>
          </w:p>
        </w:tc>
        <w:tc>
          <w:tcPr>
            <w:tcW w:w="1280" w:type="dxa"/>
            <w:vAlign w:val="bottom"/>
            <w:shd w:val="clear" w:color="auto" w:fill="ACABA7"/>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1200" w:type="dxa"/>
            <w:vAlign w:val="bottom"/>
            <w:shd w:val="clear" w:color="auto" w:fill="ACABA7"/>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060" w:type="dxa"/>
            <w:vAlign w:val="bottom"/>
            <w:shd w:val="clear" w:color="auto" w:fill="ACABA7"/>
          </w:tcPr>
          <w:p>
            <w:pPr>
              <w:jc w:val="right"/>
              <w:ind w:right="30"/>
              <w:spacing w:after="0" w:line="202" w:lineRule="exact"/>
              <w:rPr>
                <w:sz w:val="20"/>
                <w:szCs w:val="20"/>
                <w:color w:val="auto"/>
              </w:rPr>
            </w:pPr>
            <w:r>
              <w:rPr>
                <w:rFonts w:ascii="Arial" w:cs="Arial" w:eastAsia="Arial" w:hAnsi="Arial"/>
                <w:sz w:val="18"/>
                <w:szCs w:val="18"/>
                <w:color w:val="auto"/>
              </w:rPr>
              <w:t>1,189,285</w:t>
            </w:r>
          </w:p>
        </w:tc>
        <w:tc>
          <w:tcPr>
            <w:tcW w:w="1020" w:type="dxa"/>
            <w:vAlign w:val="bottom"/>
            <w:shd w:val="clear" w:color="auto" w:fill="ACABA7"/>
          </w:tcPr>
          <w:p>
            <w:pPr>
              <w:jc w:val="right"/>
              <w:spacing w:after="0" w:line="202" w:lineRule="exact"/>
              <w:rPr>
                <w:sz w:val="20"/>
                <w:szCs w:val="20"/>
                <w:color w:val="auto"/>
              </w:rPr>
            </w:pPr>
            <w:r>
              <w:rPr>
                <w:rFonts w:ascii="Arial" w:cs="Arial" w:eastAsia="Arial" w:hAnsi="Arial"/>
                <w:sz w:val="18"/>
                <w:szCs w:val="18"/>
                <w:color w:val="auto"/>
              </w:rPr>
              <w:t>1,189,285</w:t>
            </w:r>
          </w:p>
        </w:tc>
        <w:tc>
          <w:tcPr>
            <w:tcW w:w="1040" w:type="dxa"/>
            <w:vAlign w:val="bottom"/>
            <w:shd w:val="clear" w:color="auto" w:fill="ACABA7"/>
          </w:tcPr>
          <w:p>
            <w:pPr>
              <w:jc w:val="right"/>
              <w:ind w:right="50"/>
              <w:spacing w:after="0" w:line="202" w:lineRule="exact"/>
              <w:rPr>
                <w:sz w:val="20"/>
                <w:szCs w:val="20"/>
                <w:color w:val="auto"/>
              </w:rPr>
            </w:pPr>
            <w:r>
              <w:rPr>
                <w:rFonts w:ascii="Arial" w:cs="Arial" w:eastAsia="Arial" w:hAnsi="Arial"/>
                <w:sz w:val="18"/>
                <w:szCs w:val="18"/>
                <w:color w:val="auto"/>
              </w:rPr>
              <w:t>1,189,285</w:t>
            </w:r>
          </w:p>
        </w:tc>
      </w:tr>
      <w:tr>
        <w:trPr>
          <w:trHeight w:val="203"/>
        </w:trPr>
        <w:tc>
          <w:tcPr>
            <w:tcW w:w="3380" w:type="dxa"/>
            <w:vAlign w:val="bottom"/>
          </w:tcPr>
          <w:p>
            <w:pPr>
              <w:ind w:left="100"/>
              <w:spacing w:after="0" w:line="202" w:lineRule="exact"/>
              <w:rPr>
                <w:sz w:val="20"/>
                <w:szCs w:val="20"/>
                <w:color w:val="auto"/>
              </w:rPr>
            </w:pPr>
            <w:r>
              <w:rPr>
                <w:rFonts w:ascii="Arial" w:cs="Arial" w:eastAsia="Arial" w:hAnsi="Arial"/>
                <w:sz w:val="18"/>
                <w:szCs w:val="18"/>
                <w:color w:val="auto"/>
              </w:rPr>
              <w:t>- Performance Share Awards</w:t>
            </w:r>
            <w:r>
              <w:rPr>
                <w:rFonts w:ascii="Arial" w:cs="Arial" w:eastAsia="Arial" w:hAnsi="Arial"/>
                <w:sz w:val="15"/>
                <w:szCs w:val="15"/>
                <w:color w:val="auto"/>
              </w:rPr>
              <w:t>(8)</w:t>
            </w:r>
          </w:p>
        </w:tc>
        <w:tc>
          <w:tcPr>
            <w:tcW w:w="1360" w:type="dxa"/>
            <w:vAlign w:val="bottom"/>
          </w:tcPr>
          <w:p>
            <w:pPr>
              <w:jc w:val="right"/>
              <w:ind w:right="450"/>
              <w:spacing w:after="0" w:line="202" w:lineRule="exact"/>
              <w:rPr>
                <w:sz w:val="20"/>
                <w:szCs w:val="20"/>
                <w:color w:val="auto"/>
              </w:rPr>
            </w:pPr>
            <w:r>
              <w:rPr>
                <w:rFonts w:ascii="Arial" w:cs="Arial" w:eastAsia="Arial" w:hAnsi="Arial"/>
                <w:sz w:val="18"/>
                <w:szCs w:val="18"/>
                <w:color w:val="auto"/>
              </w:rPr>
              <w:t>—</w:t>
            </w:r>
          </w:p>
        </w:tc>
        <w:tc>
          <w:tcPr>
            <w:tcW w:w="108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w:t>
            </w:r>
          </w:p>
        </w:tc>
        <w:tc>
          <w:tcPr>
            <w:tcW w:w="128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799,201</w:t>
            </w:r>
          </w:p>
        </w:tc>
        <w:tc>
          <w:tcPr>
            <w:tcW w:w="1200" w:type="dxa"/>
            <w:vAlign w:val="bottom"/>
          </w:tcPr>
          <w:p>
            <w:pPr>
              <w:jc w:val="right"/>
              <w:ind w:right="50"/>
              <w:spacing w:after="0" w:line="202" w:lineRule="exact"/>
              <w:rPr>
                <w:sz w:val="20"/>
                <w:szCs w:val="20"/>
                <w:color w:val="auto"/>
              </w:rPr>
            </w:pPr>
            <w:r>
              <w:rPr>
                <w:rFonts w:ascii="Arial" w:cs="Arial" w:eastAsia="Arial" w:hAnsi="Arial"/>
                <w:sz w:val="18"/>
                <w:szCs w:val="18"/>
                <w:color w:val="auto"/>
              </w:rPr>
              <w:t>799,201</w:t>
            </w:r>
          </w:p>
        </w:tc>
        <w:tc>
          <w:tcPr>
            <w:tcW w:w="1060" w:type="dxa"/>
            <w:vAlign w:val="bottom"/>
          </w:tcPr>
          <w:p>
            <w:pPr>
              <w:jc w:val="right"/>
              <w:ind w:right="30"/>
              <w:spacing w:after="0" w:line="202" w:lineRule="exact"/>
              <w:rPr>
                <w:sz w:val="20"/>
                <w:szCs w:val="20"/>
                <w:color w:val="auto"/>
              </w:rPr>
            </w:pPr>
            <w:r>
              <w:rPr>
                <w:rFonts w:ascii="Arial" w:cs="Arial" w:eastAsia="Arial" w:hAnsi="Arial"/>
                <w:sz w:val="18"/>
                <w:szCs w:val="18"/>
                <w:color w:val="auto"/>
              </w:rPr>
              <w:t>799,201</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799,201</w:t>
            </w:r>
          </w:p>
        </w:tc>
        <w:tc>
          <w:tcPr>
            <w:tcW w:w="1040" w:type="dxa"/>
            <w:vAlign w:val="bottom"/>
          </w:tcPr>
          <w:p>
            <w:pPr>
              <w:jc w:val="right"/>
              <w:ind w:right="50"/>
              <w:spacing w:after="0" w:line="202" w:lineRule="exact"/>
              <w:rPr>
                <w:sz w:val="20"/>
                <w:szCs w:val="20"/>
                <w:color w:val="auto"/>
              </w:rPr>
            </w:pPr>
            <w:r>
              <w:rPr>
                <w:rFonts w:ascii="Arial" w:cs="Arial" w:eastAsia="Arial" w:hAnsi="Arial"/>
                <w:sz w:val="18"/>
                <w:szCs w:val="18"/>
                <w:color w:val="auto"/>
              </w:rPr>
              <w:t>799,201</w:t>
            </w:r>
          </w:p>
        </w:tc>
      </w:tr>
      <w:tr>
        <w:trPr>
          <w:trHeight w:val="203"/>
        </w:trPr>
        <w:tc>
          <w:tcPr>
            <w:tcW w:w="3380" w:type="dxa"/>
            <w:vAlign w:val="bottom"/>
            <w:shd w:val="clear" w:color="auto" w:fill="ACABA7"/>
          </w:tcPr>
          <w:p>
            <w:pPr>
              <w:ind w:left="100"/>
              <w:spacing w:after="0" w:line="202" w:lineRule="exact"/>
              <w:rPr>
                <w:sz w:val="20"/>
                <w:szCs w:val="20"/>
                <w:color w:val="auto"/>
              </w:rPr>
            </w:pPr>
            <w:r>
              <w:rPr>
                <w:rFonts w:ascii="Arial" w:cs="Arial" w:eastAsia="Arial" w:hAnsi="Arial"/>
                <w:sz w:val="18"/>
                <w:szCs w:val="18"/>
                <w:b w:val="1"/>
                <w:bCs w:val="1"/>
                <w:color w:val="auto"/>
              </w:rPr>
              <w:t>Benefits &amp; Perquisites:</w:t>
            </w:r>
          </w:p>
        </w:tc>
        <w:tc>
          <w:tcPr>
            <w:tcW w:w="1360" w:type="dxa"/>
            <w:vAlign w:val="bottom"/>
            <w:shd w:val="clear" w:color="auto" w:fill="ACABA7"/>
          </w:tcPr>
          <w:p>
            <w:pPr>
              <w:spacing w:after="0"/>
              <w:rPr>
                <w:sz w:val="17"/>
                <w:szCs w:val="17"/>
                <w:color w:val="auto"/>
              </w:rPr>
            </w:pPr>
          </w:p>
        </w:tc>
        <w:tc>
          <w:tcPr>
            <w:tcW w:w="1080" w:type="dxa"/>
            <w:vAlign w:val="bottom"/>
            <w:shd w:val="clear" w:color="auto" w:fill="ACABA7"/>
          </w:tcPr>
          <w:p>
            <w:pPr>
              <w:spacing w:after="0"/>
              <w:rPr>
                <w:sz w:val="17"/>
                <w:szCs w:val="17"/>
                <w:color w:val="auto"/>
              </w:rPr>
            </w:pPr>
          </w:p>
        </w:tc>
        <w:tc>
          <w:tcPr>
            <w:tcW w:w="1280" w:type="dxa"/>
            <w:vAlign w:val="bottom"/>
            <w:shd w:val="clear" w:color="auto" w:fill="ACABA7"/>
          </w:tcPr>
          <w:p>
            <w:pPr>
              <w:spacing w:after="0"/>
              <w:rPr>
                <w:sz w:val="17"/>
                <w:szCs w:val="17"/>
                <w:color w:val="auto"/>
              </w:rPr>
            </w:pPr>
          </w:p>
        </w:tc>
        <w:tc>
          <w:tcPr>
            <w:tcW w:w="1200" w:type="dxa"/>
            <w:vAlign w:val="bottom"/>
            <w:shd w:val="clear" w:color="auto" w:fill="ACABA7"/>
          </w:tcPr>
          <w:p>
            <w:pPr>
              <w:spacing w:after="0"/>
              <w:rPr>
                <w:sz w:val="17"/>
                <w:szCs w:val="17"/>
                <w:color w:val="auto"/>
              </w:rPr>
            </w:pPr>
          </w:p>
        </w:tc>
        <w:tc>
          <w:tcPr>
            <w:tcW w:w="1060" w:type="dxa"/>
            <w:vAlign w:val="bottom"/>
            <w:shd w:val="clear" w:color="auto" w:fill="ACABA7"/>
          </w:tcPr>
          <w:p>
            <w:pPr>
              <w:spacing w:after="0"/>
              <w:rPr>
                <w:sz w:val="17"/>
                <w:szCs w:val="17"/>
                <w:color w:val="auto"/>
              </w:rPr>
            </w:pPr>
          </w:p>
        </w:tc>
        <w:tc>
          <w:tcPr>
            <w:tcW w:w="1020" w:type="dxa"/>
            <w:vAlign w:val="bottom"/>
            <w:shd w:val="clear" w:color="auto" w:fill="ACABA7"/>
          </w:tcPr>
          <w:p>
            <w:pPr>
              <w:spacing w:after="0"/>
              <w:rPr>
                <w:sz w:val="17"/>
                <w:szCs w:val="17"/>
                <w:color w:val="auto"/>
              </w:rPr>
            </w:pPr>
          </w:p>
        </w:tc>
        <w:tc>
          <w:tcPr>
            <w:tcW w:w="1040" w:type="dxa"/>
            <w:vAlign w:val="bottom"/>
            <w:shd w:val="clear" w:color="auto" w:fill="ACABA7"/>
          </w:tcPr>
          <w:p>
            <w:pPr>
              <w:spacing w:after="0"/>
              <w:rPr>
                <w:sz w:val="17"/>
                <w:szCs w:val="17"/>
                <w:color w:val="auto"/>
              </w:rPr>
            </w:pPr>
          </w:p>
        </w:tc>
      </w:tr>
      <w:tr>
        <w:trPr>
          <w:trHeight w:val="203"/>
        </w:trPr>
        <w:tc>
          <w:tcPr>
            <w:tcW w:w="3380" w:type="dxa"/>
            <w:vAlign w:val="bottom"/>
          </w:tcPr>
          <w:p>
            <w:pPr>
              <w:ind w:left="100"/>
              <w:spacing w:after="0" w:line="202" w:lineRule="exact"/>
              <w:rPr>
                <w:sz w:val="20"/>
                <w:szCs w:val="20"/>
                <w:color w:val="auto"/>
              </w:rPr>
            </w:pPr>
            <w:r>
              <w:rPr>
                <w:rFonts w:ascii="Arial" w:cs="Arial" w:eastAsia="Arial" w:hAnsi="Arial"/>
                <w:sz w:val="18"/>
                <w:szCs w:val="18"/>
                <w:color w:val="auto"/>
              </w:rPr>
              <w:t>Life Insurance, Healthcare</w:t>
            </w:r>
            <w:r>
              <w:rPr>
                <w:rFonts w:ascii="Arial" w:cs="Arial" w:eastAsia="Arial" w:hAnsi="Arial"/>
                <w:sz w:val="15"/>
                <w:szCs w:val="15"/>
                <w:color w:val="auto"/>
              </w:rPr>
              <w:t>(9)</w:t>
            </w:r>
          </w:p>
        </w:tc>
        <w:tc>
          <w:tcPr>
            <w:tcW w:w="1360" w:type="dxa"/>
            <w:vAlign w:val="bottom"/>
          </w:tcPr>
          <w:p>
            <w:pPr>
              <w:jc w:val="right"/>
              <w:ind w:right="450"/>
              <w:spacing w:after="0" w:line="202" w:lineRule="exact"/>
              <w:rPr>
                <w:sz w:val="20"/>
                <w:szCs w:val="20"/>
                <w:color w:val="auto"/>
              </w:rPr>
            </w:pPr>
            <w:r>
              <w:rPr>
                <w:rFonts w:ascii="Arial" w:cs="Arial" w:eastAsia="Arial" w:hAnsi="Arial"/>
                <w:sz w:val="18"/>
                <w:szCs w:val="18"/>
                <w:color w:val="auto"/>
              </w:rPr>
              <w:t>—</w:t>
            </w:r>
          </w:p>
        </w:tc>
        <w:tc>
          <w:tcPr>
            <w:tcW w:w="108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w:t>
            </w:r>
          </w:p>
        </w:tc>
        <w:tc>
          <w:tcPr>
            <w:tcW w:w="128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1200" w:type="dxa"/>
            <w:vAlign w:val="bottom"/>
          </w:tcPr>
          <w:p>
            <w:pPr>
              <w:jc w:val="right"/>
              <w:ind w:right="50"/>
              <w:spacing w:after="0" w:line="202" w:lineRule="exact"/>
              <w:rPr>
                <w:sz w:val="20"/>
                <w:szCs w:val="20"/>
                <w:color w:val="auto"/>
              </w:rPr>
            </w:pPr>
            <w:r>
              <w:rPr>
                <w:rFonts w:ascii="Arial" w:cs="Arial" w:eastAsia="Arial" w:hAnsi="Arial"/>
                <w:sz w:val="18"/>
                <w:szCs w:val="18"/>
                <w:color w:val="auto"/>
              </w:rPr>
              <w:t>101,015</w:t>
            </w:r>
          </w:p>
        </w:tc>
        <w:tc>
          <w:tcPr>
            <w:tcW w:w="106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101,015</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40" w:type="dxa"/>
            <w:vAlign w:val="bottom"/>
          </w:tcPr>
          <w:p>
            <w:pPr>
              <w:jc w:val="right"/>
              <w:ind w:right="50"/>
              <w:spacing w:after="0" w:line="202" w:lineRule="exact"/>
              <w:rPr>
                <w:sz w:val="20"/>
                <w:szCs w:val="20"/>
                <w:color w:val="auto"/>
              </w:rPr>
            </w:pPr>
            <w:r>
              <w:rPr>
                <w:rFonts w:ascii="Arial" w:cs="Arial" w:eastAsia="Arial" w:hAnsi="Arial"/>
                <w:sz w:val="18"/>
                <w:szCs w:val="18"/>
                <w:color w:val="auto"/>
              </w:rPr>
              <w:t>—</w:t>
            </w:r>
          </w:p>
        </w:tc>
      </w:tr>
      <w:tr>
        <w:trPr>
          <w:trHeight w:val="203"/>
        </w:trPr>
        <w:tc>
          <w:tcPr>
            <w:tcW w:w="3380" w:type="dxa"/>
            <w:vAlign w:val="bottom"/>
            <w:shd w:val="clear" w:color="auto" w:fill="ACABA7"/>
          </w:tcPr>
          <w:p>
            <w:pPr>
              <w:ind w:left="100"/>
              <w:spacing w:after="0" w:line="202" w:lineRule="exact"/>
              <w:rPr>
                <w:sz w:val="20"/>
                <w:szCs w:val="20"/>
                <w:color w:val="auto"/>
              </w:rPr>
            </w:pPr>
            <w:r>
              <w:rPr>
                <w:rFonts w:ascii="Arial" w:cs="Arial" w:eastAsia="Arial" w:hAnsi="Arial"/>
                <w:sz w:val="18"/>
                <w:szCs w:val="18"/>
                <w:color w:val="auto"/>
              </w:rPr>
              <w:t>Outplacement Services</w:t>
            </w:r>
            <w:r>
              <w:rPr>
                <w:rFonts w:ascii="Arial" w:cs="Arial" w:eastAsia="Arial" w:hAnsi="Arial"/>
                <w:sz w:val="15"/>
                <w:szCs w:val="15"/>
                <w:color w:val="auto"/>
              </w:rPr>
              <w:t>(10)</w:t>
            </w:r>
          </w:p>
        </w:tc>
        <w:tc>
          <w:tcPr>
            <w:tcW w:w="1360" w:type="dxa"/>
            <w:vAlign w:val="bottom"/>
            <w:shd w:val="clear" w:color="auto" w:fill="ACABA7"/>
          </w:tcPr>
          <w:p>
            <w:pPr>
              <w:jc w:val="right"/>
              <w:ind w:right="450"/>
              <w:spacing w:after="0" w:line="202" w:lineRule="exact"/>
              <w:rPr>
                <w:sz w:val="20"/>
                <w:szCs w:val="20"/>
                <w:color w:val="auto"/>
              </w:rPr>
            </w:pPr>
            <w:r>
              <w:rPr>
                <w:rFonts w:ascii="Arial" w:cs="Arial" w:eastAsia="Arial" w:hAnsi="Arial"/>
                <w:sz w:val="18"/>
                <w:szCs w:val="18"/>
                <w:color w:val="auto"/>
              </w:rPr>
              <w:t>—</w:t>
            </w:r>
          </w:p>
        </w:tc>
        <w:tc>
          <w:tcPr>
            <w:tcW w:w="1080" w:type="dxa"/>
            <w:vAlign w:val="bottom"/>
            <w:shd w:val="clear" w:color="auto" w:fill="ACABA7"/>
          </w:tcPr>
          <w:p>
            <w:pPr>
              <w:jc w:val="right"/>
              <w:ind w:right="270"/>
              <w:spacing w:after="0" w:line="202" w:lineRule="exact"/>
              <w:rPr>
                <w:sz w:val="20"/>
                <w:szCs w:val="20"/>
                <w:color w:val="auto"/>
              </w:rPr>
            </w:pPr>
            <w:r>
              <w:rPr>
                <w:rFonts w:ascii="Arial" w:cs="Arial" w:eastAsia="Arial" w:hAnsi="Arial"/>
                <w:sz w:val="18"/>
                <w:szCs w:val="18"/>
                <w:color w:val="auto"/>
              </w:rPr>
              <w:t>—</w:t>
            </w:r>
          </w:p>
        </w:tc>
        <w:tc>
          <w:tcPr>
            <w:tcW w:w="1280" w:type="dxa"/>
            <w:vAlign w:val="bottom"/>
            <w:shd w:val="clear" w:color="auto" w:fill="ACABA7"/>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1200" w:type="dxa"/>
            <w:vAlign w:val="bottom"/>
            <w:shd w:val="clear" w:color="auto" w:fill="ACABA7"/>
          </w:tcPr>
          <w:p>
            <w:pPr>
              <w:jc w:val="right"/>
              <w:ind w:right="50"/>
              <w:spacing w:after="0" w:line="202" w:lineRule="exact"/>
              <w:rPr>
                <w:sz w:val="20"/>
                <w:szCs w:val="20"/>
                <w:color w:val="auto"/>
              </w:rPr>
            </w:pPr>
            <w:r>
              <w:rPr>
                <w:rFonts w:ascii="Arial" w:cs="Arial" w:eastAsia="Arial" w:hAnsi="Arial"/>
                <w:sz w:val="18"/>
                <w:szCs w:val="18"/>
                <w:color w:val="auto"/>
              </w:rPr>
              <w:t>15,000</w:t>
            </w:r>
          </w:p>
        </w:tc>
        <w:tc>
          <w:tcPr>
            <w:tcW w:w="1060" w:type="dxa"/>
            <w:vAlign w:val="bottom"/>
            <w:shd w:val="clear" w:color="auto" w:fill="ACABA7"/>
          </w:tcPr>
          <w:p>
            <w:pPr>
              <w:jc w:val="right"/>
              <w:ind w:right="30"/>
              <w:spacing w:after="0" w:line="202" w:lineRule="exact"/>
              <w:rPr>
                <w:sz w:val="20"/>
                <w:szCs w:val="20"/>
                <w:color w:val="auto"/>
              </w:rPr>
            </w:pPr>
            <w:r>
              <w:rPr>
                <w:rFonts w:ascii="Arial" w:cs="Arial" w:eastAsia="Arial" w:hAnsi="Arial"/>
                <w:sz w:val="18"/>
                <w:szCs w:val="18"/>
                <w:color w:val="auto"/>
              </w:rPr>
              <w:t>15,000</w:t>
            </w:r>
          </w:p>
        </w:tc>
        <w:tc>
          <w:tcPr>
            <w:tcW w:w="1020" w:type="dxa"/>
            <w:vAlign w:val="bottom"/>
            <w:shd w:val="clear" w:color="auto" w:fill="ACABA7"/>
          </w:tcPr>
          <w:p>
            <w:pPr>
              <w:jc w:val="right"/>
              <w:spacing w:after="0" w:line="202" w:lineRule="exact"/>
              <w:rPr>
                <w:sz w:val="20"/>
                <w:szCs w:val="20"/>
                <w:color w:val="auto"/>
              </w:rPr>
            </w:pPr>
            <w:r>
              <w:rPr>
                <w:rFonts w:ascii="Arial" w:cs="Arial" w:eastAsia="Arial" w:hAnsi="Arial"/>
                <w:sz w:val="18"/>
                <w:szCs w:val="18"/>
                <w:color w:val="auto"/>
              </w:rPr>
              <w:t>—</w:t>
            </w:r>
          </w:p>
        </w:tc>
        <w:tc>
          <w:tcPr>
            <w:tcW w:w="1040" w:type="dxa"/>
            <w:vAlign w:val="bottom"/>
            <w:shd w:val="clear" w:color="auto" w:fill="ACABA7"/>
          </w:tcPr>
          <w:p>
            <w:pPr>
              <w:jc w:val="right"/>
              <w:ind w:right="50"/>
              <w:spacing w:after="0" w:line="202" w:lineRule="exact"/>
              <w:rPr>
                <w:sz w:val="20"/>
                <w:szCs w:val="20"/>
                <w:color w:val="auto"/>
              </w:rPr>
            </w:pPr>
            <w:r>
              <w:rPr>
                <w:rFonts w:ascii="Arial" w:cs="Arial" w:eastAsia="Arial" w:hAnsi="Arial"/>
                <w:sz w:val="18"/>
                <w:szCs w:val="18"/>
                <w:color w:val="auto"/>
              </w:rPr>
              <w:t>—</w:t>
            </w:r>
          </w:p>
        </w:tc>
      </w:tr>
      <w:tr>
        <w:trPr>
          <w:trHeight w:val="203"/>
        </w:trPr>
        <w:tc>
          <w:tcPr>
            <w:tcW w:w="3380" w:type="dxa"/>
            <w:vAlign w:val="bottom"/>
            <w:tcBorders>
              <w:bottom w:val="single" w:sz="8" w:color="483E65"/>
            </w:tcBorders>
          </w:tcPr>
          <w:p>
            <w:pPr>
              <w:ind w:left="100"/>
              <w:spacing w:after="0" w:line="202" w:lineRule="exact"/>
              <w:rPr>
                <w:sz w:val="20"/>
                <w:szCs w:val="20"/>
                <w:color w:val="auto"/>
              </w:rPr>
            </w:pPr>
            <w:r>
              <w:rPr>
                <w:rFonts w:ascii="Arial" w:cs="Arial" w:eastAsia="Arial" w:hAnsi="Arial"/>
                <w:sz w:val="18"/>
                <w:szCs w:val="18"/>
                <w:color w:val="auto"/>
              </w:rPr>
              <w:t>Applicable Scaleback</w:t>
            </w:r>
            <w:r>
              <w:rPr>
                <w:rFonts w:ascii="Arial" w:cs="Arial" w:eastAsia="Arial" w:hAnsi="Arial"/>
                <w:sz w:val="15"/>
                <w:szCs w:val="15"/>
                <w:color w:val="auto"/>
              </w:rPr>
              <w:t>(11)</w:t>
            </w:r>
          </w:p>
        </w:tc>
        <w:tc>
          <w:tcPr>
            <w:tcW w:w="1360" w:type="dxa"/>
            <w:vAlign w:val="bottom"/>
            <w:tcBorders>
              <w:bottom w:val="single" w:sz="8" w:color="483E65"/>
            </w:tcBorders>
          </w:tcPr>
          <w:p>
            <w:pPr>
              <w:jc w:val="right"/>
              <w:ind w:right="450"/>
              <w:spacing w:after="0" w:line="202" w:lineRule="exact"/>
              <w:rPr>
                <w:sz w:val="20"/>
                <w:szCs w:val="20"/>
                <w:color w:val="auto"/>
              </w:rPr>
            </w:pPr>
            <w:r>
              <w:rPr>
                <w:rFonts w:ascii="Arial" w:cs="Arial" w:eastAsia="Arial" w:hAnsi="Arial"/>
                <w:sz w:val="18"/>
                <w:szCs w:val="18"/>
                <w:color w:val="auto"/>
              </w:rPr>
              <w:t>—</w:t>
            </w:r>
          </w:p>
        </w:tc>
        <w:tc>
          <w:tcPr>
            <w:tcW w:w="1080" w:type="dxa"/>
            <w:vAlign w:val="bottom"/>
            <w:tcBorders>
              <w:bottom w:val="single" w:sz="8" w:color="483E65"/>
            </w:tcBorders>
          </w:tcPr>
          <w:p>
            <w:pPr>
              <w:jc w:val="right"/>
              <w:ind w:right="270"/>
              <w:spacing w:after="0" w:line="202" w:lineRule="exact"/>
              <w:rPr>
                <w:sz w:val="20"/>
                <w:szCs w:val="20"/>
                <w:color w:val="auto"/>
              </w:rPr>
            </w:pPr>
            <w:r>
              <w:rPr>
                <w:rFonts w:ascii="Arial" w:cs="Arial" w:eastAsia="Arial" w:hAnsi="Arial"/>
                <w:sz w:val="18"/>
                <w:szCs w:val="18"/>
                <w:color w:val="auto"/>
              </w:rPr>
              <w:t>—</w:t>
            </w:r>
          </w:p>
        </w:tc>
        <w:tc>
          <w:tcPr>
            <w:tcW w:w="1280" w:type="dxa"/>
            <w:vAlign w:val="bottom"/>
            <w:tcBorders>
              <w:bottom w:val="single" w:sz="8" w:color="483E65"/>
            </w:tcBorders>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1200" w:type="dxa"/>
            <w:vAlign w:val="bottom"/>
            <w:tcBorders>
              <w:bottom w:val="single" w:sz="8" w:color="483E65"/>
            </w:tcBorders>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060" w:type="dxa"/>
            <w:vAlign w:val="bottom"/>
            <w:tcBorders>
              <w:bottom w:val="single" w:sz="8" w:color="483E65"/>
            </w:tcBorders>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020" w:type="dxa"/>
            <w:vAlign w:val="bottom"/>
            <w:tcBorders>
              <w:bottom w:val="single" w:sz="8" w:color="483E65"/>
            </w:tcBorders>
          </w:tcPr>
          <w:p>
            <w:pPr>
              <w:jc w:val="right"/>
              <w:spacing w:after="0" w:line="202" w:lineRule="exact"/>
              <w:rPr>
                <w:sz w:val="20"/>
                <w:szCs w:val="20"/>
                <w:color w:val="auto"/>
              </w:rPr>
            </w:pPr>
            <w:r>
              <w:rPr>
                <w:rFonts w:ascii="Arial" w:cs="Arial" w:eastAsia="Arial" w:hAnsi="Arial"/>
                <w:sz w:val="18"/>
                <w:szCs w:val="18"/>
                <w:color w:val="auto"/>
              </w:rPr>
              <w:t>—</w:t>
            </w:r>
          </w:p>
        </w:tc>
        <w:tc>
          <w:tcPr>
            <w:tcW w:w="1040" w:type="dxa"/>
            <w:vAlign w:val="bottom"/>
            <w:tcBorders>
              <w:bottom w:val="single" w:sz="8" w:color="483E65"/>
            </w:tcBorders>
          </w:tcPr>
          <w:p>
            <w:pPr>
              <w:jc w:val="right"/>
              <w:ind w:right="50"/>
              <w:spacing w:after="0" w:line="202" w:lineRule="exact"/>
              <w:rPr>
                <w:sz w:val="20"/>
                <w:szCs w:val="20"/>
                <w:color w:val="auto"/>
              </w:rPr>
            </w:pPr>
            <w:r>
              <w:rPr>
                <w:rFonts w:ascii="Arial" w:cs="Arial" w:eastAsia="Arial" w:hAnsi="Arial"/>
                <w:sz w:val="18"/>
                <w:szCs w:val="18"/>
                <w:color w:val="auto"/>
              </w:rPr>
              <w:t>—</w:t>
            </w:r>
          </w:p>
        </w:tc>
      </w:tr>
      <w:tr>
        <w:trPr>
          <w:trHeight w:val="196"/>
        </w:trPr>
        <w:tc>
          <w:tcPr>
            <w:tcW w:w="3380" w:type="dxa"/>
            <w:vAlign w:val="bottom"/>
            <w:tcBorders>
              <w:bottom w:val="single" w:sz="8" w:color="483E65"/>
            </w:tcBorders>
            <w:shd w:val="clear" w:color="auto" w:fill="ACABA7"/>
          </w:tcPr>
          <w:p>
            <w:pPr>
              <w:ind w:left="100"/>
              <w:spacing w:after="0" w:line="196" w:lineRule="exact"/>
              <w:rPr>
                <w:sz w:val="20"/>
                <w:szCs w:val="20"/>
                <w:color w:val="auto"/>
              </w:rPr>
            </w:pPr>
            <w:r>
              <w:rPr>
                <w:rFonts w:ascii="Arial" w:cs="Arial" w:eastAsia="Arial" w:hAnsi="Arial"/>
                <w:sz w:val="18"/>
                <w:szCs w:val="18"/>
                <w:color w:val="auto"/>
              </w:rPr>
              <w:t>Total</w:t>
            </w:r>
            <w:r>
              <w:rPr>
                <w:rFonts w:ascii="Arial" w:cs="Arial" w:eastAsia="Arial" w:hAnsi="Arial"/>
                <w:sz w:val="15"/>
                <w:szCs w:val="15"/>
                <w:color w:val="auto"/>
              </w:rPr>
              <w:t>(12)</w:t>
            </w:r>
          </w:p>
        </w:tc>
        <w:tc>
          <w:tcPr>
            <w:tcW w:w="1360" w:type="dxa"/>
            <w:vAlign w:val="bottom"/>
            <w:tcBorders>
              <w:bottom w:val="single" w:sz="8" w:color="483E65"/>
            </w:tcBorders>
            <w:shd w:val="clear" w:color="auto" w:fill="ACABA7"/>
          </w:tcPr>
          <w:p>
            <w:pPr>
              <w:jc w:val="right"/>
              <w:ind w:right="450"/>
              <w:spacing w:after="0" w:line="196" w:lineRule="exact"/>
              <w:rPr>
                <w:sz w:val="20"/>
                <w:szCs w:val="20"/>
                <w:color w:val="auto"/>
              </w:rPr>
            </w:pPr>
            <w:r>
              <w:rPr>
                <w:rFonts w:ascii="Arial" w:cs="Arial" w:eastAsia="Arial" w:hAnsi="Arial"/>
                <w:sz w:val="18"/>
                <w:szCs w:val="18"/>
                <w:color w:val="auto"/>
              </w:rPr>
              <w:t>0</w:t>
            </w:r>
          </w:p>
        </w:tc>
        <w:tc>
          <w:tcPr>
            <w:tcW w:w="1080" w:type="dxa"/>
            <w:vAlign w:val="bottom"/>
            <w:tcBorders>
              <w:bottom w:val="single" w:sz="8" w:color="483E65"/>
            </w:tcBorders>
            <w:shd w:val="clear" w:color="auto" w:fill="ACABA7"/>
          </w:tcPr>
          <w:p>
            <w:pPr>
              <w:jc w:val="right"/>
              <w:ind w:right="270"/>
              <w:spacing w:after="0" w:line="196" w:lineRule="exact"/>
              <w:rPr>
                <w:sz w:val="20"/>
                <w:szCs w:val="20"/>
                <w:color w:val="auto"/>
              </w:rPr>
            </w:pPr>
            <w:r>
              <w:rPr>
                <w:rFonts w:ascii="Arial" w:cs="Arial" w:eastAsia="Arial" w:hAnsi="Arial"/>
                <w:sz w:val="18"/>
                <w:szCs w:val="18"/>
                <w:color w:val="auto"/>
              </w:rPr>
              <w:t>0</w:t>
            </w:r>
          </w:p>
        </w:tc>
        <w:tc>
          <w:tcPr>
            <w:tcW w:w="1280" w:type="dxa"/>
            <w:vAlign w:val="bottom"/>
            <w:tcBorders>
              <w:bottom w:val="single" w:sz="8" w:color="483E65"/>
            </w:tcBorders>
            <w:shd w:val="clear" w:color="auto" w:fill="ACABA7"/>
          </w:tcPr>
          <w:p>
            <w:pPr>
              <w:jc w:val="right"/>
              <w:ind w:right="170"/>
              <w:spacing w:after="0" w:line="196" w:lineRule="exact"/>
              <w:rPr>
                <w:sz w:val="20"/>
                <w:szCs w:val="20"/>
                <w:color w:val="auto"/>
              </w:rPr>
            </w:pPr>
            <w:r>
              <w:rPr>
                <w:rFonts w:ascii="Arial" w:cs="Arial" w:eastAsia="Arial" w:hAnsi="Arial"/>
                <w:sz w:val="18"/>
                <w:szCs w:val="18"/>
                <w:color w:val="auto"/>
              </w:rPr>
              <w:t>799,201</w:t>
            </w:r>
          </w:p>
        </w:tc>
        <w:tc>
          <w:tcPr>
            <w:tcW w:w="1200" w:type="dxa"/>
            <w:vAlign w:val="bottom"/>
            <w:tcBorders>
              <w:bottom w:val="single" w:sz="8" w:color="483E65"/>
            </w:tcBorders>
            <w:shd w:val="clear" w:color="auto" w:fill="ACABA7"/>
          </w:tcPr>
          <w:p>
            <w:pPr>
              <w:jc w:val="right"/>
              <w:ind w:right="50"/>
              <w:spacing w:after="0" w:line="196" w:lineRule="exact"/>
              <w:rPr>
                <w:sz w:val="20"/>
                <w:szCs w:val="20"/>
                <w:color w:val="auto"/>
              </w:rPr>
            </w:pPr>
            <w:r>
              <w:rPr>
                <w:rFonts w:ascii="Arial" w:cs="Arial" w:eastAsia="Arial" w:hAnsi="Arial"/>
                <w:sz w:val="18"/>
                <w:szCs w:val="18"/>
                <w:color w:val="auto"/>
              </w:rPr>
              <w:t>3,697,715</w:t>
            </w:r>
          </w:p>
        </w:tc>
        <w:tc>
          <w:tcPr>
            <w:tcW w:w="1060" w:type="dxa"/>
            <w:vAlign w:val="bottom"/>
            <w:tcBorders>
              <w:bottom w:val="single" w:sz="8" w:color="483E65"/>
            </w:tcBorders>
            <w:shd w:val="clear" w:color="auto" w:fill="ACABA7"/>
          </w:tcPr>
          <w:p>
            <w:pPr>
              <w:jc w:val="right"/>
              <w:ind w:right="30"/>
              <w:spacing w:after="0" w:line="196" w:lineRule="exact"/>
              <w:rPr>
                <w:sz w:val="20"/>
                <w:szCs w:val="20"/>
                <w:color w:val="auto"/>
              </w:rPr>
            </w:pPr>
            <w:r>
              <w:rPr>
                <w:rFonts w:ascii="Arial" w:cs="Arial" w:eastAsia="Arial" w:hAnsi="Arial"/>
                <w:sz w:val="18"/>
                <w:szCs w:val="18"/>
                <w:color w:val="auto"/>
              </w:rPr>
              <w:t>5,664,381</w:t>
            </w:r>
          </w:p>
        </w:tc>
        <w:tc>
          <w:tcPr>
            <w:tcW w:w="1020" w:type="dxa"/>
            <w:vAlign w:val="bottom"/>
            <w:tcBorders>
              <w:bottom w:val="single" w:sz="8" w:color="483E65"/>
            </w:tcBorders>
            <w:shd w:val="clear" w:color="auto" w:fill="ACABA7"/>
          </w:tcPr>
          <w:p>
            <w:pPr>
              <w:jc w:val="right"/>
              <w:spacing w:after="0" w:line="196" w:lineRule="exact"/>
              <w:rPr>
                <w:sz w:val="20"/>
                <w:szCs w:val="20"/>
                <w:color w:val="auto"/>
              </w:rPr>
            </w:pPr>
            <w:r>
              <w:rPr>
                <w:rFonts w:ascii="Arial" w:cs="Arial" w:eastAsia="Arial" w:hAnsi="Arial"/>
                <w:sz w:val="18"/>
                <w:szCs w:val="18"/>
                <w:color w:val="auto"/>
              </w:rPr>
              <w:t>3,185,867</w:t>
            </w:r>
          </w:p>
        </w:tc>
        <w:tc>
          <w:tcPr>
            <w:tcW w:w="1040" w:type="dxa"/>
            <w:vAlign w:val="bottom"/>
            <w:tcBorders>
              <w:bottom w:val="single" w:sz="8" w:color="483E65"/>
            </w:tcBorders>
            <w:shd w:val="clear" w:color="auto" w:fill="ACABA7"/>
          </w:tcPr>
          <w:p>
            <w:pPr>
              <w:jc w:val="right"/>
              <w:ind w:right="50"/>
              <w:spacing w:after="0" w:line="196" w:lineRule="exact"/>
              <w:rPr>
                <w:sz w:val="20"/>
                <w:szCs w:val="20"/>
                <w:color w:val="auto"/>
              </w:rPr>
            </w:pPr>
            <w:r>
              <w:rPr>
                <w:rFonts w:ascii="Arial" w:cs="Arial" w:eastAsia="Arial" w:hAnsi="Arial"/>
                <w:sz w:val="18"/>
                <w:szCs w:val="18"/>
                <w:color w:val="auto"/>
              </w:rPr>
              <w:t>3,185,867</w:t>
            </w:r>
          </w:p>
        </w:tc>
      </w:tr>
    </w:tbl>
    <w:p>
      <w:pPr>
        <w:spacing w:after="0" w:line="121" w:lineRule="exact"/>
        <w:rPr>
          <w:sz w:val="20"/>
          <w:szCs w:val="20"/>
          <w:color w:val="auto"/>
        </w:rPr>
      </w:pPr>
    </w:p>
    <w:p>
      <w:pPr>
        <w:ind w:left="460" w:right="20" w:hanging="452"/>
        <w:spacing w:after="0" w:line="238" w:lineRule="auto"/>
        <w:tabs>
          <w:tab w:leader="none" w:pos="4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Amounts in this column represent the benefits Mr. Leiter would have been entitled to had he experienced a hypothetical qualifying termination that did not constitute a change in control (“CIC”) under the terms of his SPA, or the Equity and Deferred Compensation Plans, on December 30, 2016. Because the Transaction in August 2016 constituted a CIC under the terms of Mr. Leiter’s SPA, but not the Equity and Deferred Compensation Plans, Mr. Leiter, who’s employment ended on January 20, 2017, was entitled to receive the enhanced compensation and benefits reflected in the “IS&amp;GS Transaction” column and not the benefits detailed in this column.</w:t>
      </w:r>
    </w:p>
    <w:p>
      <w:pPr>
        <w:spacing w:after="0" w:line="108" w:lineRule="exact"/>
        <w:rPr>
          <w:rFonts w:ascii="Arial" w:cs="Arial" w:eastAsia="Arial" w:hAnsi="Arial"/>
          <w:sz w:val="18"/>
          <w:szCs w:val="18"/>
          <w:color w:val="auto"/>
        </w:rPr>
      </w:pPr>
    </w:p>
    <w:p>
      <w:pPr>
        <w:ind w:left="460" w:right="60" w:hanging="452"/>
        <w:spacing w:after="0"/>
        <w:tabs>
          <w:tab w:leader="none" w:pos="4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Since the Transaction in August 2016 constituted a CIC for purposes of Mr. Leiter’s SPA but not for purposes of the Equity and Deferred Compensation Plans, the benefits reflected in this column represent only the compensation and benefits Mr. Leiter was entitled to receive under the terms of a qualifying termination under the SPA on January 20, 2017.</w:t>
      </w:r>
    </w:p>
    <w:p>
      <w:pPr>
        <w:spacing w:after="0" w:line="108" w:lineRule="exact"/>
        <w:rPr>
          <w:rFonts w:ascii="Arial" w:cs="Arial" w:eastAsia="Arial" w:hAnsi="Arial"/>
          <w:sz w:val="18"/>
          <w:szCs w:val="18"/>
          <w:color w:val="auto"/>
        </w:rPr>
      </w:pPr>
    </w:p>
    <w:p>
      <w:pPr>
        <w:ind w:left="460" w:right="420" w:hanging="452"/>
        <w:spacing w:after="0"/>
        <w:tabs>
          <w:tab w:leader="none" w:pos="4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Amounts in this column represent the benefits Mr. Leiter would be entitled to in the event a new transaction had occurred on December 30, 2016 that constituted a CIC under the terms of the Leidos Equity and Deferred Compensation Plans, in addition to the benefits under his SPA.</w:t>
      </w:r>
    </w:p>
    <w:p>
      <w:pPr>
        <w:spacing w:after="0" w:line="118" w:lineRule="exact"/>
        <w:rPr>
          <w:sz w:val="20"/>
          <w:szCs w:val="20"/>
          <w:color w:val="auto"/>
        </w:rPr>
      </w:pPr>
    </w:p>
    <w:p>
      <w:pPr>
        <w:jc w:val="right"/>
        <w:spacing w:after="0"/>
        <w:tabs>
          <w:tab w:leader="none" w:pos="380" w:val="left"/>
          <w:tab w:leader="none" w:pos="160" w:val="left"/>
        </w:tabs>
        <w:rPr>
          <w:sz w:val="20"/>
          <w:szCs w:val="20"/>
          <w:color w:val="auto"/>
        </w:rPr>
      </w:pPr>
      <w:r>
        <w:rPr>
          <w:rFonts w:ascii="Arial" w:cs="Arial" w:eastAsia="Arial" w:hAnsi="Arial"/>
          <w:sz w:val="16"/>
          <w:szCs w:val="16"/>
          <w:b w:val="1"/>
          <w:bCs w:val="1"/>
          <w:color w:val="483E65"/>
        </w:rPr>
        <w:t>2017 Proxy Statement</w:t>
        <w:tab/>
        <w:t>|</w:t>
        <w:tab/>
        <w:t>49</w:t>
      </w:r>
    </w:p>
    <w:p>
      <w:pPr>
        <w:sectPr>
          <w:pgSz w:w="11900" w:h="16838" w:orient="portrait"/>
          <w:cols w:equalWidth="0" w:num="1">
            <w:col w:w="11420"/>
          </w:cols>
          <w:pgMar w:left="240" w:top="459" w:right="239" w:bottom="1440" w:gutter="0" w:footer="0" w:header="0"/>
          <w:type w:val="continuous"/>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8" w:lineRule="exact"/>
        <w:rPr>
          <w:sz w:val="20"/>
          <w:szCs w:val="20"/>
          <w:color w:val="auto"/>
        </w:rPr>
      </w:pPr>
    </w:p>
    <w:p>
      <w:pPr>
        <w:spacing w:after="0"/>
        <w:rPr>
          <w:sz w:val="20"/>
          <w:szCs w:val="20"/>
          <w:color w:val="auto"/>
        </w:rPr>
      </w:pPr>
      <w:r>
        <w:rPr>
          <w:rFonts w:ascii="Arial" w:cs="Arial" w:eastAsia="Arial" w:hAnsi="Arial"/>
          <w:sz w:val="32"/>
          <w:szCs w:val="32"/>
          <w:color w:val="483E65"/>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149860</wp:posOffset>
            </wp:positionV>
            <wp:extent cx="724662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39" w:lineRule="exact"/>
        <w:rPr>
          <w:sz w:val="20"/>
          <w:szCs w:val="20"/>
          <w:color w:val="auto"/>
        </w:rPr>
      </w:pPr>
    </w:p>
    <w:p>
      <w:pPr>
        <w:ind w:left="460" w:hanging="452"/>
        <w:spacing w:after="0"/>
        <w:tabs>
          <w:tab w:leader="none" w:pos="460" w:val="left"/>
        </w:tabs>
        <w:numPr>
          <w:ilvl w:val="0"/>
          <w:numId w:val="55"/>
        </w:numPr>
        <w:rPr>
          <w:rFonts w:ascii="Arial" w:cs="Arial" w:eastAsia="Arial" w:hAnsi="Arial"/>
          <w:sz w:val="17"/>
          <w:szCs w:val="17"/>
          <w:color w:val="auto"/>
        </w:rPr>
      </w:pPr>
      <w:r>
        <w:rPr>
          <w:rFonts w:ascii="Arial" w:cs="Arial" w:eastAsia="Arial" w:hAnsi="Arial"/>
          <w:sz w:val="17"/>
          <w:szCs w:val="17"/>
          <w:color w:val="auto"/>
        </w:rPr>
        <w:t>Amounts in this row represents single lump sum payments equal to two-and-one-half times the sum of Mr. Leiter’s (a) year-end salary and</w:t>
      </w:r>
    </w:p>
    <w:p>
      <w:pPr>
        <w:spacing w:after="0" w:line="7" w:lineRule="exact"/>
        <w:rPr>
          <w:rFonts w:ascii="Arial" w:cs="Arial" w:eastAsia="Arial" w:hAnsi="Arial"/>
          <w:sz w:val="17"/>
          <w:szCs w:val="17"/>
          <w:color w:val="auto"/>
        </w:rPr>
      </w:pPr>
    </w:p>
    <w:p>
      <w:pPr>
        <w:ind w:left="460"/>
        <w:spacing w:after="0"/>
        <w:rPr>
          <w:rFonts w:ascii="Arial" w:cs="Arial" w:eastAsia="Arial" w:hAnsi="Arial"/>
          <w:sz w:val="17"/>
          <w:szCs w:val="17"/>
          <w:color w:val="auto"/>
        </w:rPr>
      </w:pPr>
      <w:r>
        <w:rPr>
          <w:rFonts w:ascii="Arial" w:cs="Arial" w:eastAsia="Arial" w:hAnsi="Arial"/>
          <w:sz w:val="18"/>
          <w:szCs w:val="18"/>
          <w:color w:val="auto"/>
        </w:rPr>
        <w:t>(b) target bonus. This amount of the bonus calculated under subsection (b) is referred to as the “Bonus Amount.”</w:t>
      </w:r>
    </w:p>
    <w:p>
      <w:pPr>
        <w:spacing w:after="0" w:line="117" w:lineRule="exact"/>
        <w:rPr>
          <w:rFonts w:ascii="Arial" w:cs="Arial" w:eastAsia="Arial" w:hAnsi="Arial"/>
          <w:sz w:val="17"/>
          <w:szCs w:val="17"/>
          <w:color w:val="auto"/>
        </w:rPr>
      </w:pPr>
    </w:p>
    <w:p>
      <w:pPr>
        <w:ind w:left="460" w:right="60" w:hanging="452"/>
        <w:spacing w:after="0" w:line="246" w:lineRule="auto"/>
        <w:tabs>
          <w:tab w:leader="none" w:pos="4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Amounts in this row reflect a pro rata portion of the Bonus Amount to which Mr. Leiter would be entitled based on the number of days that elapsed during the period ended December 30, 2016.</w:t>
      </w:r>
    </w:p>
    <w:p>
      <w:pPr>
        <w:spacing w:after="0" w:line="102" w:lineRule="exact"/>
        <w:rPr>
          <w:rFonts w:ascii="Arial" w:cs="Arial" w:eastAsia="Arial" w:hAnsi="Arial"/>
          <w:sz w:val="18"/>
          <w:szCs w:val="18"/>
          <w:color w:val="auto"/>
        </w:rPr>
      </w:pPr>
    </w:p>
    <w:p>
      <w:pPr>
        <w:jc w:val="both"/>
        <w:ind w:left="460" w:right="100" w:hanging="452"/>
        <w:spacing w:after="0" w:line="239" w:lineRule="auto"/>
        <w:tabs>
          <w:tab w:leader="none" w:pos="4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For a termination in connection with a new CIC, or death or disability, amounts represent the value of accelerated vesting of shares of all RSUs and PRSUs, including accrued dividends as of December 30, 2016 pursuant the 2006 Equity Incentive Plan. For more information regarding the number of shares of unvested stock units held by Mr. Leiter, see the table under the caption “Outstanding Equity Awards at Year-End.”</w:t>
      </w:r>
    </w:p>
    <w:p>
      <w:pPr>
        <w:spacing w:after="0" w:line="107" w:lineRule="exact"/>
        <w:rPr>
          <w:rFonts w:ascii="Arial" w:cs="Arial" w:eastAsia="Arial" w:hAnsi="Arial"/>
          <w:sz w:val="18"/>
          <w:szCs w:val="18"/>
          <w:color w:val="auto"/>
        </w:rPr>
      </w:pPr>
    </w:p>
    <w:p>
      <w:pPr>
        <w:ind w:left="460" w:right="240" w:hanging="452"/>
        <w:spacing w:after="0" w:line="261" w:lineRule="auto"/>
        <w:tabs>
          <w:tab w:leader="none" w:pos="460" w:val="left"/>
        </w:tabs>
        <w:numPr>
          <w:ilvl w:val="0"/>
          <w:numId w:val="55"/>
        </w:numPr>
        <w:rPr>
          <w:rFonts w:ascii="Arial" w:cs="Arial" w:eastAsia="Arial" w:hAnsi="Arial"/>
          <w:sz w:val="17"/>
          <w:szCs w:val="17"/>
          <w:color w:val="auto"/>
        </w:rPr>
      </w:pPr>
      <w:r>
        <w:rPr>
          <w:rFonts w:ascii="Arial" w:cs="Arial" w:eastAsia="Arial" w:hAnsi="Arial"/>
          <w:sz w:val="17"/>
          <w:szCs w:val="17"/>
          <w:color w:val="auto"/>
        </w:rPr>
        <w:t>For a termination with a new CIC, or death or disability, amounts represent the value of accelerated vesting of all unvested options held by Mr. Leiter at the end of the year issued pursuant to the 2006 Equity Incentive Plan. For more information regarding the number of shares and exercise prices underlying unvested options held see the table under the caption “Outstanding Equity Awards at Year-End.”</w:t>
      </w:r>
    </w:p>
    <w:p>
      <w:pPr>
        <w:spacing w:after="0" w:line="91" w:lineRule="exact"/>
        <w:rPr>
          <w:rFonts w:ascii="Arial" w:cs="Arial" w:eastAsia="Arial" w:hAnsi="Arial"/>
          <w:sz w:val="17"/>
          <w:szCs w:val="17"/>
          <w:color w:val="auto"/>
        </w:rPr>
      </w:pPr>
    </w:p>
    <w:p>
      <w:pPr>
        <w:ind w:left="460" w:hanging="452"/>
        <w:spacing w:after="0"/>
        <w:tabs>
          <w:tab w:leader="none" w:pos="4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Amounts represent a pro-rata amount of Mr. Leiter’s 2015 and 2016 performance share awards, including accrued cash dividends as of December 30, 2016. The 2015 grant assumes performance at 137% of target levels and the 2016 grant assumes performance at 100% of target levels.</w:t>
      </w:r>
    </w:p>
    <w:p>
      <w:pPr>
        <w:spacing w:after="0" w:line="108" w:lineRule="exact"/>
        <w:rPr>
          <w:rFonts w:ascii="Arial" w:cs="Arial" w:eastAsia="Arial" w:hAnsi="Arial"/>
          <w:sz w:val="18"/>
          <w:szCs w:val="18"/>
          <w:color w:val="auto"/>
        </w:rPr>
      </w:pPr>
    </w:p>
    <w:p>
      <w:pPr>
        <w:ind w:left="460" w:right="340" w:hanging="452"/>
        <w:spacing w:after="0" w:line="246" w:lineRule="auto"/>
        <w:tabs>
          <w:tab w:leader="none" w:pos="4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Amounts in this row represent the estimated value of life insurance, disability, medical, dental, vision and hospitalization benefits to be received for 30 months following termination after a CIC under the SPA.</w:t>
      </w:r>
    </w:p>
    <w:p>
      <w:pPr>
        <w:spacing w:after="0" w:line="102" w:lineRule="exact"/>
        <w:rPr>
          <w:rFonts w:ascii="Arial" w:cs="Arial" w:eastAsia="Arial" w:hAnsi="Arial"/>
          <w:sz w:val="18"/>
          <w:szCs w:val="18"/>
          <w:color w:val="auto"/>
        </w:rPr>
      </w:pPr>
    </w:p>
    <w:p>
      <w:pPr>
        <w:ind w:left="460" w:right="940" w:hanging="452"/>
        <w:spacing w:after="0" w:line="246" w:lineRule="auto"/>
        <w:tabs>
          <w:tab w:leader="none" w:pos="4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Amounts in this row represent the estimated value of outplacement counseling services to be provided for 12 months following termination after a CIC under the SPA.</w:t>
      </w:r>
    </w:p>
    <w:p>
      <w:pPr>
        <w:spacing w:after="0" w:line="102" w:lineRule="exact"/>
        <w:rPr>
          <w:rFonts w:ascii="Arial" w:cs="Arial" w:eastAsia="Arial" w:hAnsi="Arial"/>
          <w:sz w:val="18"/>
          <w:szCs w:val="18"/>
          <w:color w:val="auto"/>
        </w:rPr>
      </w:pPr>
    </w:p>
    <w:p>
      <w:pPr>
        <w:ind w:left="460" w:right="80" w:hanging="452"/>
        <w:spacing w:after="0" w:line="246" w:lineRule="auto"/>
        <w:tabs>
          <w:tab w:leader="none" w:pos="4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Amounts in this row estimate the amount of severance protection benefits that would need to be reduced or “scaled back” to avoid excise taxes pursuant to Section 280G of the Internal Revenue Code.</w:t>
      </w:r>
    </w:p>
    <w:p>
      <w:pPr>
        <w:spacing w:after="0" w:line="102" w:lineRule="exact"/>
        <w:rPr>
          <w:rFonts w:ascii="Arial" w:cs="Arial" w:eastAsia="Arial" w:hAnsi="Arial"/>
          <w:sz w:val="18"/>
          <w:szCs w:val="18"/>
          <w:color w:val="auto"/>
        </w:rPr>
      </w:pPr>
    </w:p>
    <w:p>
      <w:pPr>
        <w:ind w:left="460" w:right="20" w:hanging="452"/>
        <w:spacing w:after="0"/>
        <w:tabs>
          <w:tab w:leader="none" w:pos="4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Amounts in this row represent the gross amount of benefits to be received, without reflecting any federal and/or state income taxes or golden parachute excise taxes payable with respect to such amounts. In addition to the amounts set forth in the row, Mr. Leiter would also be entitled to be paid for any unused comprehensive leave time he had accrued.</w:t>
      </w:r>
    </w:p>
    <w:p>
      <w:pPr>
        <w:spacing w:after="0" w:line="289"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483E65"/>
        </w:rPr>
        <w:t>Post-employment Payments — Mr. Maffeo</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60" w:type="dxa"/>
            <w:vAlign w:val="bottom"/>
            <w:tcBorders>
              <w:bottom w:val="single" w:sz="8" w:color="483E65"/>
            </w:tcBorders>
          </w:tcPr>
          <w:p>
            <w:pPr>
              <w:spacing w:after="0"/>
              <w:rPr>
                <w:sz w:val="14"/>
                <w:szCs w:val="14"/>
                <w:color w:val="auto"/>
              </w:rPr>
            </w:pPr>
          </w:p>
        </w:tc>
        <w:tc>
          <w:tcPr>
            <w:tcW w:w="2900" w:type="dxa"/>
            <w:vAlign w:val="bottom"/>
            <w:tcBorders>
              <w:bottom w:val="single" w:sz="8" w:color="483E65"/>
            </w:tcBorders>
            <w:gridSpan w:val="3"/>
          </w:tcPr>
          <w:p>
            <w:pPr>
              <w:jc w:val="right"/>
              <w:ind w:right="155"/>
              <w:spacing w:after="0"/>
              <w:rPr>
                <w:sz w:val="20"/>
                <w:szCs w:val="20"/>
                <w:color w:val="auto"/>
              </w:rPr>
            </w:pPr>
            <w:r>
              <w:rPr>
                <w:rFonts w:ascii="Arial" w:cs="Arial" w:eastAsia="Arial" w:hAnsi="Arial"/>
                <w:sz w:val="14"/>
                <w:szCs w:val="14"/>
                <w:color w:val="483E65"/>
              </w:rPr>
              <w:t>Involuntary Termination/ Good Reason</w:t>
            </w:r>
          </w:p>
        </w:tc>
        <w:tc>
          <w:tcPr>
            <w:tcW w:w="980" w:type="dxa"/>
            <w:vAlign w:val="bottom"/>
            <w:tcBorders>
              <w:bottom w:val="single" w:sz="8" w:color="483E65"/>
            </w:tcBorders>
          </w:tcPr>
          <w:p>
            <w:pPr>
              <w:spacing w:after="0"/>
              <w:rPr>
                <w:sz w:val="14"/>
                <w:szCs w:val="14"/>
                <w:color w:val="auto"/>
              </w:rPr>
            </w:pPr>
          </w:p>
        </w:tc>
        <w:tc>
          <w:tcPr>
            <w:tcW w:w="10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56"/>
        </w:trPr>
        <w:tc>
          <w:tcPr>
            <w:tcW w:w="33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440" w:type="dxa"/>
            <w:vAlign w:val="bottom"/>
            <w:tcBorders>
              <w:bottom w:val="single" w:sz="8" w:color="483E65"/>
            </w:tcBorders>
            <w:gridSpan w:val="2"/>
          </w:tcPr>
          <w:p>
            <w:pPr>
              <w:jc w:val="right"/>
              <w:ind w:right="276"/>
              <w:spacing w:after="0" w:line="155" w:lineRule="exact"/>
              <w:rPr>
                <w:sz w:val="20"/>
                <w:szCs w:val="20"/>
                <w:color w:val="auto"/>
              </w:rPr>
            </w:pPr>
            <w:r>
              <w:rPr>
                <w:rFonts w:ascii="Arial" w:cs="Arial" w:eastAsia="Arial" w:hAnsi="Arial"/>
                <w:sz w:val="14"/>
                <w:szCs w:val="14"/>
                <w:color w:val="483E65"/>
              </w:rPr>
              <w:t>Without Change in Control</w:t>
            </w:r>
          </w:p>
        </w:tc>
        <w:tc>
          <w:tcPr>
            <w:tcW w:w="220" w:type="dxa"/>
            <w:vAlign w:val="bottom"/>
          </w:tcPr>
          <w:p>
            <w:pPr>
              <w:spacing w:after="0"/>
              <w:rPr>
                <w:sz w:val="13"/>
                <w:szCs w:val="13"/>
                <w:color w:val="auto"/>
              </w:rPr>
            </w:pPr>
          </w:p>
        </w:tc>
        <w:tc>
          <w:tcPr>
            <w:tcW w:w="2280" w:type="dxa"/>
            <w:vAlign w:val="bottom"/>
            <w:tcBorders>
              <w:bottom w:val="single" w:sz="8" w:color="483E65"/>
            </w:tcBorders>
            <w:gridSpan w:val="2"/>
          </w:tcPr>
          <w:p>
            <w:pPr>
              <w:jc w:val="right"/>
              <w:ind w:right="295"/>
              <w:spacing w:after="0" w:line="155" w:lineRule="exact"/>
              <w:rPr>
                <w:sz w:val="20"/>
                <w:szCs w:val="20"/>
                <w:color w:val="auto"/>
              </w:rPr>
            </w:pPr>
            <w:r>
              <w:rPr>
                <w:rFonts w:ascii="Arial" w:cs="Arial" w:eastAsia="Arial" w:hAnsi="Arial"/>
                <w:sz w:val="14"/>
                <w:szCs w:val="14"/>
                <w:color w:val="483E65"/>
              </w:rPr>
              <w:t>With Change in Control</w:t>
            </w:r>
          </w:p>
        </w:tc>
        <w:tc>
          <w:tcPr>
            <w:tcW w:w="1020" w:type="dxa"/>
            <w:vAlign w:val="bottom"/>
          </w:tcPr>
          <w:p>
            <w:pPr>
              <w:spacing w:after="0"/>
              <w:rPr>
                <w:sz w:val="13"/>
                <w:szCs w:val="13"/>
                <w:color w:val="auto"/>
              </w:rPr>
            </w:pPr>
          </w:p>
        </w:tc>
        <w:tc>
          <w:tcPr>
            <w:tcW w:w="1000" w:type="dxa"/>
            <w:vAlign w:val="bottom"/>
          </w:tcPr>
          <w:p>
            <w:pPr>
              <w:spacing w:after="0"/>
              <w:rPr>
                <w:sz w:val="13"/>
                <w:szCs w:val="13"/>
                <w:color w:val="auto"/>
              </w:rPr>
            </w:pPr>
          </w:p>
        </w:tc>
      </w:tr>
      <w:tr>
        <w:trPr>
          <w:trHeight w:val="160"/>
        </w:trPr>
        <w:tc>
          <w:tcPr>
            <w:tcW w:w="3340" w:type="dxa"/>
            <w:vAlign w:val="bottom"/>
          </w:tcPr>
          <w:p>
            <w:pPr>
              <w:ind w:left="80"/>
              <w:spacing w:after="0"/>
              <w:rPr>
                <w:sz w:val="20"/>
                <w:szCs w:val="20"/>
                <w:color w:val="auto"/>
              </w:rPr>
            </w:pPr>
            <w:r>
              <w:rPr>
                <w:rFonts w:ascii="Arial" w:cs="Arial" w:eastAsia="Arial" w:hAnsi="Arial"/>
                <w:sz w:val="14"/>
                <w:szCs w:val="14"/>
                <w:color w:val="483E65"/>
              </w:rPr>
              <w:t>Executive Payments and</w:t>
            </w:r>
          </w:p>
        </w:tc>
        <w:tc>
          <w:tcPr>
            <w:tcW w:w="1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600" w:type="dxa"/>
            <w:vAlign w:val="bottom"/>
            <w:gridSpan w:val="2"/>
          </w:tcPr>
          <w:p>
            <w:pPr>
              <w:jc w:val="center"/>
              <w:ind w:right="220"/>
              <w:spacing w:after="0"/>
              <w:rPr>
                <w:sz w:val="20"/>
                <w:szCs w:val="20"/>
                <w:color w:val="auto"/>
              </w:rPr>
            </w:pPr>
            <w:r>
              <w:rPr>
                <w:rFonts w:ascii="Arial" w:cs="Arial" w:eastAsia="Arial" w:hAnsi="Arial"/>
                <w:sz w:val="14"/>
                <w:szCs w:val="14"/>
                <w:color w:val="483E65"/>
              </w:rPr>
              <w:t>Without</w:t>
            </w:r>
          </w:p>
        </w:tc>
        <w:tc>
          <w:tcPr>
            <w:tcW w:w="1300" w:type="dxa"/>
            <w:vAlign w:val="bottom"/>
          </w:tcPr>
          <w:p>
            <w:pPr>
              <w:spacing w:after="0"/>
              <w:rPr>
                <w:sz w:val="13"/>
                <w:szCs w:val="13"/>
                <w:color w:val="auto"/>
              </w:rPr>
            </w:pPr>
          </w:p>
        </w:tc>
        <w:tc>
          <w:tcPr>
            <w:tcW w:w="980" w:type="dxa"/>
            <w:vAlign w:val="bottom"/>
          </w:tcPr>
          <w:p>
            <w:pPr>
              <w:jc w:val="center"/>
              <w:spacing w:after="0"/>
              <w:rPr>
                <w:sz w:val="20"/>
                <w:szCs w:val="20"/>
                <w:color w:val="auto"/>
              </w:rPr>
            </w:pPr>
            <w:r>
              <w:rPr>
                <w:rFonts w:ascii="Arial" w:cs="Arial" w:eastAsia="Arial" w:hAnsi="Arial"/>
                <w:sz w:val="14"/>
                <w:szCs w:val="14"/>
                <w:color w:val="483E65"/>
              </w:rPr>
              <w:t>New</w:t>
            </w:r>
          </w:p>
        </w:tc>
        <w:tc>
          <w:tcPr>
            <w:tcW w:w="1020" w:type="dxa"/>
            <w:vAlign w:val="bottom"/>
          </w:tcPr>
          <w:p>
            <w:pPr>
              <w:spacing w:after="0"/>
              <w:rPr>
                <w:sz w:val="13"/>
                <w:szCs w:val="13"/>
                <w:color w:val="auto"/>
              </w:rPr>
            </w:pPr>
          </w:p>
        </w:tc>
        <w:tc>
          <w:tcPr>
            <w:tcW w:w="1000" w:type="dxa"/>
            <w:vAlign w:val="bottom"/>
          </w:tcPr>
          <w:p>
            <w:pPr>
              <w:spacing w:after="0"/>
              <w:rPr>
                <w:sz w:val="13"/>
                <w:szCs w:val="13"/>
                <w:color w:val="auto"/>
              </w:rPr>
            </w:pPr>
          </w:p>
        </w:tc>
      </w:tr>
      <w:tr>
        <w:trPr>
          <w:trHeight w:val="155"/>
        </w:trPr>
        <w:tc>
          <w:tcPr>
            <w:tcW w:w="3340" w:type="dxa"/>
            <w:vAlign w:val="bottom"/>
          </w:tcPr>
          <w:p>
            <w:pPr>
              <w:ind w:left="80"/>
              <w:spacing w:after="0" w:line="155" w:lineRule="exact"/>
              <w:rPr>
                <w:sz w:val="20"/>
                <w:szCs w:val="20"/>
                <w:color w:val="auto"/>
              </w:rPr>
            </w:pPr>
            <w:r>
              <w:rPr>
                <w:rFonts w:ascii="Arial" w:cs="Arial" w:eastAsia="Arial" w:hAnsi="Arial"/>
                <w:sz w:val="14"/>
                <w:szCs w:val="14"/>
                <w:color w:val="483E65"/>
              </w:rPr>
              <w:t>Benefits upon Termination or</w:t>
            </w:r>
          </w:p>
        </w:tc>
        <w:tc>
          <w:tcPr>
            <w:tcW w:w="1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600" w:type="dxa"/>
            <w:vAlign w:val="bottom"/>
            <w:gridSpan w:val="2"/>
          </w:tcPr>
          <w:p>
            <w:pPr>
              <w:jc w:val="center"/>
              <w:ind w:right="220"/>
              <w:spacing w:after="0" w:line="155" w:lineRule="exact"/>
              <w:rPr>
                <w:sz w:val="20"/>
                <w:szCs w:val="20"/>
                <w:color w:val="auto"/>
              </w:rPr>
            </w:pPr>
            <w:r>
              <w:rPr>
                <w:rFonts w:ascii="Arial" w:cs="Arial" w:eastAsia="Arial" w:hAnsi="Arial"/>
                <w:sz w:val="14"/>
                <w:szCs w:val="14"/>
                <w:color w:val="483E65"/>
              </w:rPr>
              <w:t>Cause/ for</w:t>
            </w:r>
          </w:p>
        </w:tc>
        <w:tc>
          <w:tcPr>
            <w:tcW w:w="1300" w:type="dxa"/>
            <w:vAlign w:val="bottom"/>
          </w:tcPr>
          <w:p>
            <w:pPr>
              <w:jc w:val="right"/>
              <w:ind w:right="355"/>
              <w:spacing w:after="0" w:line="155" w:lineRule="exact"/>
              <w:rPr>
                <w:sz w:val="20"/>
                <w:szCs w:val="20"/>
                <w:color w:val="auto"/>
              </w:rPr>
            </w:pPr>
            <w:r>
              <w:rPr>
                <w:rFonts w:ascii="Arial" w:cs="Arial" w:eastAsia="Arial" w:hAnsi="Arial"/>
                <w:sz w:val="14"/>
                <w:szCs w:val="14"/>
                <w:color w:val="483E65"/>
              </w:rPr>
              <w:t>IS&amp;GS</w:t>
            </w:r>
          </w:p>
        </w:tc>
        <w:tc>
          <w:tcPr>
            <w:tcW w:w="980" w:type="dxa"/>
            <w:vAlign w:val="bottom"/>
          </w:tcPr>
          <w:p>
            <w:pPr>
              <w:jc w:val="center"/>
              <w:spacing w:after="0" w:line="155" w:lineRule="exact"/>
              <w:rPr>
                <w:sz w:val="20"/>
                <w:szCs w:val="20"/>
                <w:color w:val="auto"/>
              </w:rPr>
            </w:pPr>
            <w:r>
              <w:rPr>
                <w:rFonts w:ascii="Arial" w:cs="Arial" w:eastAsia="Arial" w:hAnsi="Arial"/>
                <w:sz w:val="14"/>
                <w:szCs w:val="14"/>
                <w:color w:val="483E65"/>
              </w:rPr>
              <w:t>Change in</w:t>
            </w:r>
          </w:p>
        </w:tc>
        <w:tc>
          <w:tcPr>
            <w:tcW w:w="1020" w:type="dxa"/>
            <w:vAlign w:val="bottom"/>
          </w:tcPr>
          <w:p>
            <w:pPr>
              <w:spacing w:after="0"/>
              <w:rPr>
                <w:sz w:val="13"/>
                <w:szCs w:val="13"/>
                <w:color w:val="auto"/>
              </w:rPr>
            </w:pPr>
          </w:p>
        </w:tc>
        <w:tc>
          <w:tcPr>
            <w:tcW w:w="1000" w:type="dxa"/>
            <w:vAlign w:val="bottom"/>
          </w:tcPr>
          <w:p>
            <w:pPr>
              <w:spacing w:after="0"/>
              <w:rPr>
                <w:sz w:val="13"/>
                <w:szCs w:val="13"/>
                <w:color w:val="auto"/>
              </w:rPr>
            </w:pPr>
          </w:p>
        </w:tc>
      </w:tr>
      <w:tr>
        <w:trPr>
          <w:trHeight w:val="178"/>
        </w:trPr>
        <w:tc>
          <w:tcPr>
            <w:tcW w:w="3340" w:type="dxa"/>
            <w:vAlign w:val="bottom"/>
          </w:tcPr>
          <w:p>
            <w:pPr>
              <w:ind w:left="80"/>
              <w:spacing w:after="0"/>
              <w:rPr>
                <w:sz w:val="20"/>
                <w:szCs w:val="20"/>
                <w:color w:val="auto"/>
              </w:rPr>
            </w:pPr>
            <w:r>
              <w:rPr>
                <w:rFonts w:ascii="Arial" w:cs="Arial" w:eastAsia="Arial" w:hAnsi="Arial"/>
                <w:sz w:val="14"/>
                <w:szCs w:val="14"/>
                <w:color w:val="483E65"/>
              </w:rPr>
              <w:t>Change in Control</w:t>
            </w:r>
          </w:p>
        </w:tc>
        <w:tc>
          <w:tcPr>
            <w:tcW w:w="1120" w:type="dxa"/>
            <w:vAlign w:val="bottom"/>
          </w:tcPr>
          <w:p>
            <w:pPr>
              <w:jc w:val="right"/>
              <w:spacing w:after="0"/>
              <w:rPr>
                <w:sz w:val="20"/>
                <w:szCs w:val="20"/>
                <w:color w:val="auto"/>
              </w:rPr>
            </w:pPr>
            <w:r>
              <w:rPr>
                <w:rFonts w:ascii="Arial" w:cs="Arial" w:eastAsia="Arial" w:hAnsi="Arial"/>
                <w:sz w:val="14"/>
                <w:szCs w:val="14"/>
                <w:color w:val="483E65"/>
              </w:rPr>
              <w:t>Retirement ($)</w:t>
            </w:r>
          </w:p>
        </w:tc>
        <w:tc>
          <w:tcPr>
            <w:tcW w:w="1060" w:type="dxa"/>
            <w:vAlign w:val="bottom"/>
          </w:tcPr>
          <w:p>
            <w:pPr>
              <w:jc w:val="right"/>
              <w:spacing w:after="0"/>
              <w:rPr>
                <w:sz w:val="20"/>
                <w:szCs w:val="20"/>
                <w:color w:val="auto"/>
              </w:rPr>
            </w:pPr>
            <w:r>
              <w:rPr>
                <w:rFonts w:ascii="Arial" w:cs="Arial" w:eastAsia="Arial" w:hAnsi="Arial"/>
                <w:sz w:val="14"/>
                <w:szCs w:val="14"/>
                <w:color w:val="483E65"/>
              </w:rPr>
              <w:t>For Cause ($)</w:t>
            </w:r>
          </w:p>
        </w:tc>
        <w:tc>
          <w:tcPr>
            <w:tcW w:w="1600" w:type="dxa"/>
            <w:vAlign w:val="bottom"/>
            <w:gridSpan w:val="2"/>
          </w:tcPr>
          <w:p>
            <w:pPr>
              <w:jc w:val="center"/>
              <w:ind w:right="220"/>
              <w:spacing w:after="0" w:line="179" w:lineRule="exact"/>
              <w:rPr>
                <w:sz w:val="20"/>
                <w:szCs w:val="20"/>
                <w:color w:val="auto"/>
              </w:rPr>
            </w:pPr>
            <w:r>
              <w:rPr>
                <w:rFonts w:ascii="Arial" w:cs="Arial" w:eastAsia="Arial" w:hAnsi="Arial"/>
                <w:sz w:val="12"/>
                <w:szCs w:val="12"/>
                <w:color w:val="483E65"/>
              </w:rPr>
              <w:t>Good Reason ($)</w:t>
            </w:r>
            <w:r>
              <w:rPr>
                <w:rFonts w:ascii="Arial" w:cs="Arial" w:eastAsia="Arial" w:hAnsi="Arial"/>
                <w:sz w:val="20"/>
                <w:szCs w:val="20"/>
                <w:color w:val="483E65"/>
                <w:vertAlign w:val="superscript"/>
              </w:rPr>
              <w:t>(1)</w:t>
            </w:r>
          </w:p>
        </w:tc>
        <w:tc>
          <w:tcPr>
            <w:tcW w:w="1300" w:type="dxa"/>
            <w:vAlign w:val="bottom"/>
          </w:tcPr>
          <w:p>
            <w:pPr>
              <w:jc w:val="right"/>
              <w:ind w:right="15"/>
              <w:spacing w:after="0" w:line="179" w:lineRule="exact"/>
              <w:rPr>
                <w:sz w:val="20"/>
                <w:szCs w:val="20"/>
                <w:color w:val="auto"/>
              </w:rPr>
            </w:pPr>
            <w:r>
              <w:rPr>
                <w:rFonts w:ascii="Arial" w:cs="Arial" w:eastAsia="Arial" w:hAnsi="Arial"/>
                <w:sz w:val="12"/>
                <w:szCs w:val="12"/>
                <w:color w:val="483E65"/>
              </w:rPr>
              <w:t>Transaction ($)</w:t>
            </w:r>
            <w:r>
              <w:rPr>
                <w:rFonts w:ascii="Arial" w:cs="Arial" w:eastAsia="Arial" w:hAnsi="Arial"/>
                <w:sz w:val="20"/>
                <w:szCs w:val="20"/>
                <w:color w:val="483E65"/>
                <w:vertAlign w:val="superscript"/>
              </w:rPr>
              <w:t>(2)</w:t>
            </w:r>
          </w:p>
        </w:tc>
        <w:tc>
          <w:tcPr>
            <w:tcW w:w="980" w:type="dxa"/>
            <w:vAlign w:val="bottom"/>
          </w:tcPr>
          <w:p>
            <w:pPr>
              <w:jc w:val="center"/>
              <w:spacing w:after="0" w:line="179" w:lineRule="exact"/>
              <w:rPr>
                <w:sz w:val="20"/>
                <w:szCs w:val="20"/>
                <w:color w:val="auto"/>
              </w:rPr>
            </w:pPr>
            <w:r>
              <w:rPr>
                <w:rFonts w:ascii="Arial" w:cs="Arial" w:eastAsia="Arial" w:hAnsi="Arial"/>
                <w:sz w:val="12"/>
                <w:szCs w:val="12"/>
                <w:color w:val="483E65"/>
              </w:rPr>
              <w:t>Control ($)</w:t>
            </w:r>
            <w:r>
              <w:rPr>
                <w:rFonts w:ascii="Arial" w:cs="Arial" w:eastAsia="Arial" w:hAnsi="Arial"/>
                <w:sz w:val="20"/>
                <w:szCs w:val="20"/>
                <w:color w:val="483E65"/>
                <w:vertAlign w:val="superscript"/>
              </w:rPr>
              <w:t>(3)</w:t>
            </w:r>
          </w:p>
        </w:tc>
        <w:tc>
          <w:tcPr>
            <w:tcW w:w="1020" w:type="dxa"/>
            <w:vAlign w:val="bottom"/>
          </w:tcPr>
          <w:p>
            <w:pPr>
              <w:jc w:val="right"/>
              <w:ind w:right="112"/>
              <w:spacing w:after="0"/>
              <w:rPr>
                <w:sz w:val="20"/>
                <w:szCs w:val="20"/>
                <w:color w:val="auto"/>
              </w:rPr>
            </w:pPr>
            <w:r>
              <w:rPr>
                <w:rFonts w:ascii="Arial" w:cs="Arial" w:eastAsia="Arial" w:hAnsi="Arial"/>
                <w:sz w:val="14"/>
                <w:szCs w:val="14"/>
                <w:color w:val="483E65"/>
              </w:rPr>
              <w:t>Death ($)</w:t>
            </w:r>
          </w:p>
        </w:tc>
        <w:tc>
          <w:tcPr>
            <w:tcW w:w="1000" w:type="dxa"/>
            <w:vAlign w:val="bottom"/>
          </w:tcPr>
          <w:p>
            <w:pPr>
              <w:jc w:val="right"/>
              <w:ind w:right="52"/>
              <w:spacing w:after="0"/>
              <w:rPr>
                <w:sz w:val="20"/>
                <w:szCs w:val="20"/>
                <w:color w:val="auto"/>
              </w:rPr>
            </w:pPr>
            <w:r>
              <w:rPr>
                <w:rFonts w:ascii="Arial" w:cs="Arial" w:eastAsia="Arial" w:hAnsi="Arial"/>
                <w:sz w:val="14"/>
                <w:szCs w:val="14"/>
                <w:color w:val="483E65"/>
              </w:rPr>
              <w:t>Disability ($)</w:t>
            </w:r>
          </w:p>
        </w:tc>
      </w:tr>
      <w:tr>
        <w:trPr>
          <w:trHeight w:val="196"/>
        </w:trPr>
        <w:tc>
          <w:tcPr>
            <w:tcW w:w="3340" w:type="dxa"/>
            <w:vAlign w:val="bottom"/>
            <w:tcBorders>
              <w:top w:val="single" w:sz="8" w:color="483E65"/>
            </w:tcBorders>
          </w:tcPr>
          <w:p>
            <w:pPr>
              <w:ind w:left="80"/>
              <w:spacing w:after="0" w:line="196" w:lineRule="exact"/>
              <w:rPr>
                <w:sz w:val="20"/>
                <w:szCs w:val="20"/>
                <w:color w:val="auto"/>
              </w:rPr>
            </w:pPr>
            <w:r>
              <w:rPr>
                <w:rFonts w:ascii="Arial" w:cs="Arial" w:eastAsia="Arial" w:hAnsi="Arial"/>
                <w:sz w:val="18"/>
                <w:szCs w:val="18"/>
                <w:b w:val="1"/>
                <w:bCs w:val="1"/>
                <w:color w:val="auto"/>
              </w:rPr>
              <w:t>Compensation:</w:t>
            </w:r>
          </w:p>
        </w:tc>
        <w:tc>
          <w:tcPr>
            <w:tcW w:w="1120" w:type="dxa"/>
            <w:vAlign w:val="bottom"/>
            <w:tcBorders>
              <w:top w:val="single" w:sz="8" w:color="483E65"/>
            </w:tcBorders>
          </w:tcPr>
          <w:p>
            <w:pPr>
              <w:spacing w:after="0"/>
              <w:rPr>
                <w:sz w:val="17"/>
                <w:szCs w:val="17"/>
                <w:color w:val="auto"/>
              </w:rPr>
            </w:pPr>
          </w:p>
        </w:tc>
        <w:tc>
          <w:tcPr>
            <w:tcW w:w="1060" w:type="dxa"/>
            <w:vAlign w:val="bottom"/>
            <w:tcBorders>
              <w:top w:val="single" w:sz="8" w:color="483E65"/>
            </w:tcBorders>
          </w:tcPr>
          <w:p>
            <w:pPr>
              <w:spacing w:after="0"/>
              <w:rPr>
                <w:sz w:val="17"/>
                <w:szCs w:val="17"/>
                <w:color w:val="auto"/>
              </w:rPr>
            </w:pPr>
          </w:p>
        </w:tc>
        <w:tc>
          <w:tcPr>
            <w:tcW w:w="1380" w:type="dxa"/>
            <w:vAlign w:val="bottom"/>
            <w:tcBorders>
              <w:top w:val="single" w:sz="8" w:color="483E65"/>
            </w:tcBorders>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Borders>
              <w:top w:val="single" w:sz="8" w:color="483E65"/>
            </w:tcBorders>
          </w:tcPr>
          <w:p>
            <w:pPr>
              <w:spacing w:after="0"/>
              <w:rPr>
                <w:sz w:val="17"/>
                <w:szCs w:val="17"/>
                <w:color w:val="auto"/>
              </w:rPr>
            </w:pPr>
          </w:p>
        </w:tc>
        <w:tc>
          <w:tcPr>
            <w:tcW w:w="980" w:type="dxa"/>
            <w:vAlign w:val="bottom"/>
            <w:tcBorders>
              <w:top w:val="single" w:sz="8" w:color="483E65"/>
            </w:tcBorders>
          </w:tcPr>
          <w:p>
            <w:pPr>
              <w:spacing w:after="0"/>
              <w:rPr>
                <w:sz w:val="17"/>
                <w:szCs w:val="17"/>
                <w:color w:val="auto"/>
              </w:rPr>
            </w:pPr>
          </w:p>
        </w:tc>
        <w:tc>
          <w:tcPr>
            <w:tcW w:w="1020" w:type="dxa"/>
            <w:vAlign w:val="bottom"/>
            <w:tcBorders>
              <w:top w:val="single" w:sz="8" w:color="483E65"/>
            </w:tcBorders>
          </w:tcPr>
          <w:p>
            <w:pPr>
              <w:spacing w:after="0"/>
              <w:rPr>
                <w:sz w:val="17"/>
                <w:szCs w:val="17"/>
                <w:color w:val="auto"/>
              </w:rPr>
            </w:pPr>
          </w:p>
        </w:tc>
        <w:tc>
          <w:tcPr>
            <w:tcW w:w="1000" w:type="dxa"/>
            <w:vAlign w:val="bottom"/>
            <w:tcBorders>
              <w:top w:val="single" w:sz="8" w:color="483E65"/>
            </w:tcBorders>
          </w:tcPr>
          <w:p>
            <w:pPr>
              <w:spacing w:after="0"/>
              <w:rPr>
                <w:sz w:val="17"/>
                <w:szCs w:val="17"/>
                <w:color w:val="auto"/>
              </w:rPr>
            </w:pPr>
          </w:p>
        </w:tc>
      </w:tr>
      <w:tr>
        <w:trPr>
          <w:trHeight w:val="203"/>
        </w:trPr>
        <w:tc>
          <w:tcPr>
            <w:tcW w:w="3340" w:type="dxa"/>
            <w:vAlign w:val="bottom"/>
            <w:shd w:val="clear" w:color="auto" w:fill="ACABA7"/>
          </w:tcPr>
          <w:p>
            <w:pPr>
              <w:ind w:left="80"/>
              <w:spacing w:after="0" w:line="202" w:lineRule="exact"/>
              <w:rPr>
                <w:sz w:val="20"/>
                <w:szCs w:val="20"/>
                <w:color w:val="auto"/>
              </w:rPr>
            </w:pPr>
            <w:r>
              <w:rPr>
                <w:rFonts w:ascii="Arial" w:cs="Arial" w:eastAsia="Arial" w:hAnsi="Arial"/>
                <w:sz w:val="18"/>
                <w:szCs w:val="18"/>
                <w:color w:val="auto"/>
              </w:rPr>
              <w:t>Severance (Salary and Bonus)</w:t>
            </w:r>
            <w:r>
              <w:rPr>
                <w:rFonts w:ascii="Arial" w:cs="Arial" w:eastAsia="Arial" w:hAnsi="Arial"/>
                <w:sz w:val="15"/>
                <w:szCs w:val="15"/>
                <w:color w:val="auto"/>
              </w:rPr>
              <w:t>(4)</w:t>
            </w:r>
          </w:p>
        </w:tc>
        <w:tc>
          <w:tcPr>
            <w:tcW w:w="1120" w:type="dxa"/>
            <w:vAlign w:val="bottom"/>
            <w:shd w:val="clear" w:color="auto" w:fill="ACABA7"/>
          </w:tcPr>
          <w:p>
            <w:pPr>
              <w:jc w:val="right"/>
              <w:spacing w:after="0" w:line="202" w:lineRule="exact"/>
              <w:rPr>
                <w:sz w:val="20"/>
                <w:szCs w:val="20"/>
                <w:color w:val="auto"/>
              </w:rPr>
            </w:pPr>
            <w:r>
              <w:rPr>
                <w:rFonts w:ascii="Arial" w:cs="Arial" w:eastAsia="Arial" w:hAnsi="Arial"/>
                <w:sz w:val="18"/>
                <w:szCs w:val="18"/>
                <w:color w:val="auto"/>
              </w:rPr>
              <w:t>—</w:t>
            </w:r>
          </w:p>
        </w:tc>
        <w:tc>
          <w:tcPr>
            <w:tcW w:w="1060" w:type="dxa"/>
            <w:vAlign w:val="bottom"/>
            <w:shd w:val="clear" w:color="auto" w:fill="ACABA7"/>
          </w:tcPr>
          <w:p>
            <w:pPr>
              <w:jc w:val="right"/>
              <w:spacing w:after="0" w:line="202" w:lineRule="exact"/>
              <w:rPr>
                <w:sz w:val="20"/>
                <w:szCs w:val="20"/>
                <w:color w:val="auto"/>
              </w:rPr>
            </w:pPr>
            <w:r>
              <w:rPr>
                <w:rFonts w:ascii="Arial" w:cs="Arial" w:eastAsia="Arial" w:hAnsi="Arial"/>
                <w:sz w:val="18"/>
                <w:szCs w:val="18"/>
                <w:color w:val="auto"/>
              </w:rPr>
              <w:t>—</w:t>
            </w:r>
          </w:p>
        </w:tc>
        <w:tc>
          <w:tcPr>
            <w:tcW w:w="1600" w:type="dxa"/>
            <w:vAlign w:val="bottom"/>
            <w:gridSpan w:val="2"/>
            <w:shd w:val="clear" w:color="auto" w:fill="ACABA7"/>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1300" w:type="dxa"/>
            <w:vAlign w:val="bottom"/>
            <w:shd w:val="clear" w:color="auto" w:fill="ACABA7"/>
          </w:tcPr>
          <w:p>
            <w:pPr>
              <w:jc w:val="right"/>
              <w:ind w:right="15"/>
              <w:spacing w:after="0" w:line="202" w:lineRule="exact"/>
              <w:rPr>
                <w:sz w:val="20"/>
                <w:szCs w:val="20"/>
                <w:color w:val="auto"/>
              </w:rPr>
            </w:pPr>
            <w:r>
              <w:rPr>
                <w:rFonts w:ascii="Arial" w:cs="Arial" w:eastAsia="Arial" w:hAnsi="Arial"/>
                <w:sz w:val="18"/>
                <w:szCs w:val="18"/>
                <w:color w:val="auto"/>
              </w:rPr>
              <w:t>2,562,710</w:t>
            </w:r>
          </w:p>
        </w:tc>
        <w:tc>
          <w:tcPr>
            <w:tcW w:w="980" w:type="dxa"/>
            <w:vAlign w:val="bottom"/>
            <w:shd w:val="clear" w:color="auto" w:fill="ACABA7"/>
          </w:tcPr>
          <w:p>
            <w:pPr>
              <w:jc w:val="right"/>
              <w:spacing w:after="0" w:line="202" w:lineRule="exact"/>
              <w:rPr>
                <w:sz w:val="20"/>
                <w:szCs w:val="20"/>
                <w:color w:val="auto"/>
              </w:rPr>
            </w:pPr>
            <w:r>
              <w:rPr>
                <w:rFonts w:ascii="Arial" w:cs="Arial" w:eastAsia="Arial" w:hAnsi="Arial"/>
                <w:sz w:val="18"/>
                <w:szCs w:val="18"/>
                <w:color w:val="auto"/>
              </w:rPr>
              <w:t>2,562,710</w:t>
            </w:r>
          </w:p>
        </w:tc>
        <w:tc>
          <w:tcPr>
            <w:tcW w:w="1020" w:type="dxa"/>
            <w:vAlign w:val="bottom"/>
            <w:shd w:val="clear" w:color="auto" w:fill="ACABA7"/>
          </w:tcPr>
          <w:p>
            <w:pPr>
              <w:jc w:val="right"/>
              <w:spacing w:after="0" w:line="202" w:lineRule="exact"/>
              <w:rPr>
                <w:sz w:val="20"/>
                <w:szCs w:val="20"/>
                <w:color w:val="auto"/>
              </w:rPr>
            </w:pPr>
            <w:r>
              <w:rPr>
                <w:rFonts w:ascii="Arial" w:cs="Arial" w:eastAsia="Arial" w:hAnsi="Arial"/>
                <w:sz w:val="18"/>
                <w:szCs w:val="18"/>
                <w:color w:val="auto"/>
              </w:rPr>
              <w:t>—</w:t>
            </w:r>
          </w:p>
        </w:tc>
        <w:tc>
          <w:tcPr>
            <w:tcW w:w="1000" w:type="dxa"/>
            <w:vAlign w:val="bottom"/>
            <w:shd w:val="clear" w:color="auto" w:fill="ACABA7"/>
          </w:tcPr>
          <w:p>
            <w:pPr>
              <w:jc w:val="right"/>
              <w:ind w:right="12"/>
              <w:spacing w:after="0" w:line="202" w:lineRule="exact"/>
              <w:rPr>
                <w:sz w:val="20"/>
                <w:szCs w:val="20"/>
                <w:color w:val="auto"/>
              </w:rPr>
            </w:pPr>
            <w:r>
              <w:rPr>
                <w:rFonts w:ascii="Arial" w:cs="Arial" w:eastAsia="Arial" w:hAnsi="Arial"/>
                <w:sz w:val="18"/>
                <w:szCs w:val="18"/>
                <w:color w:val="auto"/>
              </w:rPr>
              <w:t>—</w:t>
            </w:r>
          </w:p>
        </w:tc>
      </w:tr>
      <w:tr>
        <w:trPr>
          <w:trHeight w:val="203"/>
        </w:trPr>
        <w:tc>
          <w:tcPr>
            <w:tcW w:w="3340" w:type="dxa"/>
            <w:vAlign w:val="bottom"/>
          </w:tcPr>
          <w:p>
            <w:pPr>
              <w:ind w:left="80"/>
              <w:spacing w:after="0" w:line="202" w:lineRule="exact"/>
              <w:rPr>
                <w:sz w:val="20"/>
                <w:szCs w:val="20"/>
                <w:color w:val="auto"/>
              </w:rPr>
            </w:pPr>
            <w:r>
              <w:rPr>
                <w:rFonts w:ascii="Arial" w:cs="Arial" w:eastAsia="Arial" w:hAnsi="Arial"/>
                <w:sz w:val="18"/>
                <w:szCs w:val="18"/>
                <w:color w:val="auto"/>
              </w:rPr>
              <w:t>Pro-rata Bonus</w:t>
            </w:r>
            <w:r>
              <w:rPr>
                <w:rFonts w:ascii="Arial" w:cs="Arial" w:eastAsia="Arial" w:hAnsi="Arial"/>
                <w:sz w:val="15"/>
                <w:szCs w:val="15"/>
                <w:color w:val="auto"/>
              </w:rPr>
              <w:t>(5)</w:t>
            </w: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1300" w:type="dxa"/>
            <w:vAlign w:val="bottom"/>
          </w:tcPr>
          <w:p>
            <w:pPr>
              <w:jc w:val="right"/>
              <w:ind w:right="15"/>
              <w:spacing w:after="0" w:line="202" w:lineRule="exact"/>
              <w:rPr>
                <w:sz w:val="20"/>
                <w:szCs w:val="20"/>
                <w:color w:val="auto"/>
              </w:rPr>
            </w:pPr>
            <w:r>
              <w:rPr>
                <w:rFonts w:ascii="Arial" w:cs="Arial" w:eastAsia="Arial" w:hAnsi="Arial"/>
                <w:sz w:val="18"/>
                <w:szCs w:val="18"/>
                <w:color w:val="auto"/>
              </w:rPr>
              <w:t>450,084</w:t>
            </w: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450,084</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450,084</w:t>
            </w:r>
          </w:p>
        </w:tc>
        <w:tc>
          <w:tcPr>
            <w:tcW w:w="1000" w:type="dxa"/>
            <w:vAlign w:val="bottom"/>
          </w:tcPr>
          <w:p>
            <w:pPr>
              <w:jc w:val="right"/>
              <w:ind w:right="12"/>
              <w:spacing w:after="0" w:line="202" w:lineRule="exact"/>
              <w:rPr>
                <w:sz w:val="20"/>
                <w:szCs w:val="20"/>
                <w:color w:val="auto"/>
              </w:rPr>
            </w:pPr>
            <w:r>
              <w:rPr>
                <w:rFonts w:ascii="Arial" w:cs="Arial" w:eastAsia="Arial" w:hAnsi="Arial"/>
                <w:sz w:val="18"/>
                <w:szCs w:val="18"/>
                <w:color w:val="auto"/>
              </w:rPr>
              <w:t>450,084</w:t>
            </w:r>
          </w:p>
        </w:tc>
      </w:tr>
      <w:tr>
        <w:trPr>
          <w:trHeight w:val="203"/>
        </w:trPr>
        <w:tc>
          <w:tcPr>
            <w:tcW w:w="3340" w:type="dxa"/>
            <w:vAlign w:val="bottom"/>
            <w:shd w:val="clear" w:color="auto" w:fill="ACABA7"/>
          </w:tcPr>
          <w:p>
            <w:pPr>
              <w:ind w:left="80"/>
              <w:spacing w:after="0" w:line="202" w:lineRule="exact"/>
              <w:rPr>
                <w:sz w:val="20"/>
                <w:szCs w:val="20"/>
                <w:color w:val="auto"/>
              </w:rPr>
            </w:pPr>
            <w:r>
              <w:rPr>
                <w:rFonts w:ascii="Arial" w:cs="Arial" w:eastAsia="Arial" w:hAnsi="Arial"/>
                <w:sz w:val="18"/>
                <w:szCs w:val="18"/>
                <w:b w:val="1"/>
                <w:bCs w:val="1"/>
                <w:color w:val="auto"/>
              </w:rPr>
              <w:t>Long-term Incentives:</w:t>
            </w:r>
          </w:p>
        </w:tc>
        <w:tc>
          <w:tcPr>
            <w:tcW w:w="1120" w:type="dxa"/>
            <w:vAlign w:val="bottom"/>
            <w:shd w:val="clear" w:color="auto" w:fill="ACABA7"/>
          </w:tcPr>
          <w:p>
            <w:pPr>
              <w:spacing w:after="0"/>
              <w:rPr>
                <w:sz w:val="17"/>
                <w:szCs w:val="17"/>
                <w:color w:val="auto"/>
              </w:rPr>
            </w:pPr>
          </w:p>
        </w:tc>
        <w:tc>
          <w:tcPr>
            <w:tcW w:w="1060" w:type="dxa"/>
            <w:vAlign w:val="bottom"/>
            <w:shd w:val="clear" w:color="auto" w:fill="ACABA7"/>
          </w:tcPr>
          <w:p>
            <w:pPr>
              <w:spacing w:after="0"/>
              <w:rPr>
                <w:sz w:val="17"/>
                <w:szCs w:val="17"/>
                <w:color w:val="auto"/>
              </w:rPr>
            </w:pPr>
          </w:p>
        </w:tc>
        <w:tc>
          <w:tcPr>
            <w:tcW w:w="1380" w:type="dxa"/>
            <w:vAlign w:val="bottom"/>
            <w:shd w:val="clear" w:color="auto" w:fill="ACABA7"/>
          </w:tcPr>
          <w:p>
            <w:pPr>
              <w:spacing w:after="0"/>
              <w:rPr>
                <w:sz w:val="17"/>
                <w:szCs w:val="17"/>
                <w:color w:val="auto"/>
              </w:rPr>
            </w:pPr>
          </w:p>
        </w:tc>
        <w:tc>
          <w:tcPr>
            <w:tcW w:w="220" w:type="dxa"/>
            <w:vAlign w:val="bottom"/>
            <w:shd w:val="clear" w:color="auto" w:fill="ACABA7"/>
          </w:tcPr>
          <w:p>
            <w:pPr>
              <w:spacing w:after="0"/>
              <w:rPr>
                <w:sz w:val="17"/>
                <w:szCs w:val="17"/>
                <w:color w:val="auto"/>
              </w:rPr>
            </w:pPr>
          </w:p>
        </w:tc>
        <w:tc>
          <w:tcPr>
            <w:tcW w:w="1300" w:type="dxa"/>
            <w:vAlign w:val="bottom"/>
            <w:shd w:val="clear" w:color="auto" w:fill="ACABA7"/>
          </w:tcPr>
          <w:p>
            <w:pPr>
              <w:spacing w:after="0"/>
              <w:rPr>
                <w:sz w:val="17"/>
                <w:szCs w:val="17"/>
                <w:color w:val="auto"/>
              </w:rPr>
            </w:pPr>
          </w:p>
        </w:tc>
        <w:tc>
          <w:tcPr>
            <w:tcW w:w="980" w:type="dxa"/>
            <w:vAlign w:val="bottom"/>
            <w:shd w:val="clear" w:color="auto" w:fill="ACABA7"/>
          </w:tcPr>
          <w:p>
            <w:pPr>
              <w:spacing w:after="0"/>
              <w:rPr>
                <w:sz w:val="17"/>
                <w:szCs w:val="17"/>
                <w:color w:val="auto"/>
              </w:rPr>
            </w:pPr>
          </w:p>
        </w:tc>
        <w:tc>
          <w:tcPr>
            <w:tcW w:w="1020" w:type="dxa"/>
            <w:vAlign w:val="bottom"/>
            <w:shd w:val="clear" w:color="auto" w:fill="ACABA7"/>
          </w:tcPr>
          <w:p>
            <w:pPr>
              <w:spacing w:after="0"/>
              <w:rPr>
                <w:sz w:val="17"/>
                <w:szCs w:val="17"/>
                <w:color w:val="auto"/>
              </w:rPr>
            </w:pPr>
          </w:p>
        </w:tc>
        <w:tc>
          <w:tcPr>
            <w:tcW w:w="1000" w:type="dxa"/>
            <w:vAlign w:val="bottom"/>
            <w:shd w:val="clear" w:color="auto" w:fill="ACABA7"/>
          </w:tcPr>
          <w:p>
            <w:pPr>
              <w:spacing w:after="0"/>
              <w:rPr>
                <w:sz w:val="17"/>
                <w:szCs w:val="17"/>
                <w:color w:val="auto"/>
              </w:rPr>
            </w:pPr>
          </w:p>
        </w:tc>
      </w:tr>
      <w:tr>
        <w:trPr>
          <w:trHeight w:val="199"/>
        </w:trPr>
        <w:tc>
          <w:tcPr>
            <w:tcW w:w="3340" w:type="dxa"/>
            <w:vAlign w:val="bottom"/>
          </w:tcPr>
          <w:p>
            <w:pPr>
              <w:ind w:left="80"/>
              <w:spacing w:after="0" w:line="199" w:lineRule="exact"/>
              <w:rPr>
                <w:sz w:val="20"/>
                <w:szCs w:val="20"/>
                <w:color w:val="auto"/>
              </w:rPr>
            </w:pPr>
            <w:r>
              <w:rPr>
                <w:rFonts w:ascii="Arial" w:cs="Arial" w:eastAsia="Arial" w:hAnsi="Arial"/>
                <w:sz w:val="18"/>
                <w:szCs w:val="18"/>
                <w:color w:val="auto"/>
              </w:rPr>
              <w:t>- Restricted Stock and Restricted Stock</w:t>
            </w:r>
          </w:p>
        </w:tc>
        <w:tc>
          <w:tcPr>
            <w:tcW w:w="1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6"/>
        </w:trPr>
        <w:tc>
          <w:tcPr>
            <w:tcW w:w="3340" w:type="dxa"/>
            <w:vAlign w:val="bottom"/>
          </w:tcPr>
          <w:p>
            <w:pPr>
              <w:ind w:left="180"/>
              <w:spacing w:after="0"/>
              <w:rPr>
                <w:sz w:val="20"/>
                <w:szCs w:val="20"/>
                <w:color w:val="auto"/>
              </w:rPr>
            </w:pPr>
            <w:r>
              <w:rPr>
                <w:rFonts w:ascii="Arial" w:cs="Arial" w:eastAsia="Arial" w:hAnsi="Arial"/>
                <w:sz w:val="18"/>
                <w:szCs w:val="18"/>
                <w:color w:val="auto"/>
              </w:rPr>
              <w:t>Units</w:t>
            </w:r>
            <w:r>
              <w:rPr>
                <w:rFonts w:ascii="Arial" w:cs="Arial" w:eastAsia="Arial" w:hAnsi="Arial"/>
                <w:sz w:val="15"/>
                <w:szCs w:val="15"/>
                <w:color w:val="auto"/>
              </w:rPr>
              <w:t>(6)</w:t>
            </w:r>
          </w:p>
        </w:tc>
        <w:tc>
          <w:tcPr>
            <w:tcW w:w="1120" w:type="dxa"/>
            <w:vAlign w:val="bottom"/>
          </w:tcPr>
          <w:p>
            <w:pPr>
              <w:jc w:val="right"/>
              <w:spacing w:after="0"/>
              <w:rPr>
                <w:sz w:val="20"/>
                <w:szCs w:val="20"/>
                <w:color w:val="auto"/>
              </w:rPr>
            </w:pPr>
            <w:r>
              <w:rPr>
                <w:rFonts w:ascii="Arial" w:cs="Arial" w:eastAsia="Arial" w:hAnsi="Arial"/>
                <w:sz w:val="18"/>
                <w:szCs w:val="18"/>
                <w:color w:val="auto"/>
              </w:rPr>
              <w:t>1,188,408</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1,188,408</w:t>
            </w:r>
          </w:p>
        </w:tc>
        <w:tc>
          <w:tcPr>
            <w:tcW w:w="220" w:type="dxa"/>
            <w:vAlign w:val="bottom"/>
          </w:tcPr>
          <w:p>
            <w:pPr>
              <w:spacing w:after="0"/>
              <w:rPr>
                <w:sz w:val="17"/>
                <w:szCs w:val="17"/>
                <w:color w:val="auto"/>
              </w:rPr>
            </w:pPr>
          </w:p>
        </w:tc>
        <w:tc>
          <w:tcPr>
            <w:tcW w:w="1300" w:type="dxa"/>
            <w:vAlign w:val="bottom"/>
          </w:tcPr>
          <w:p>
            <w:pPr>
              <w:jc w:val="right"/>
              <w:ind w:right="15"/>
              <w:spacing w:after="0"/>
              <w:rPr>
                <w:sz w:val="20"/>
                <w:szCs w:val="20"/>
                <w:color w:val="auto"/>
              </w:rPr>
            </w:pPr>
            <w:r>
              <w:rPr>
                <w:rFonts w:ascii="Arial" w:cs="Arial" w:eastAsia="Arial" w:hAnsi="Arial"/>
                <w:sz w:val="18"/>
                <w:szCs w:val="18"/>
                <w:color w:val="auto"/>
              </w:rPr>
              <w:t>1,188,408</w:t>
            </w:r>
          </w:p>
        </w:tc>
        <w:tc>
          <w:tcPr>
            <w:tcW w:w="980" w:type="dxa"/>
            <w:vAlign w:val="bottom"/>
          </w:tcPr>
          <w:p>
            <w:pPr>
              <w:jc w:val="right"/>
              <w:spacing w:after="0"/>
              <w:rPr>
                <w:sz w:val="20"/>
                <w:szCs w:val="20"/>
                <w:color w:val="auto"/>
              </w:rPr>
            </w:pPr>
            <w:r>
              <w:rPr>
                <w:rFonts w:ascii="Arial" w:cs="Arial" w:eastAsia="Arial" w:hAnsi="Arial"/>
                <w:sz w:val="18"/>
                <w:szCs w:val="18"/>
                <w:color w:val="auto"/>
              </w:rPr>
              <w:t>1,188,408</w:t>
            </w:r>
          </w:p>
        </w:tc>
        <w:tc>
          <w:tcPr>
            <w:tcW w:w="1020" w:type="dxa"/>
            <w:vAlign w:val="bottom"/>
          </w:tcPr>
          <w:p>
            <w:pPr>
              <w:jc w:val="right"/>
              <w:spacing w:after="0"/>
              <w:rPr>
                <w:sz w:val="20"/>
                <w:szCs w:val="20"/>
                <w:color w:val="auto"/>
              </w:rPr>
            </w:pPr>
            <w:r>
              <w:rPr>
                <w:rFonts w:ascii="Arial" w:cs="Arial" w:eastAsia="Arial" w:hAnsi="Arial"/>
                <w:sz w:val="18"/>
                <w:szCs w:val="18"/>
                <w:color w:val="auto"/>
              </w:rPr>
              <w:t>1,188,408</w:t>
            </w: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1,188,408</w:t>
            </w:r>
          </w:p>
        </w:tc>
      </w:tr>
      <w:tr>
        <w:trPr>
          <w:trHeight w:val="203"/>
        </w:trPr>
        <w:tc>
          <w:tcPr>
            <w:tcW w:w="3340" w:type="dxa"/>
            <w:vAlign w:val="bottom"/>
            <w:shd w:val="clear" w:color="auto" w:fill="ACABA7"/>
          </w:tcPr>
          <w:p>
            <w:pPr>
              <w:ind w:left="80"/>
              <w:spacing w:after="0" w:line="202" w:lineRule="exact"/>
              <w:rPr>
                <w:sz w:val="20"/>
                <w:szCs w:val="20"/>
                <w:color w:val="auto"/>
              </w:rPr>
            </w:pPr>
            <w:r>
              <w:rPr>
                <w:rFonts w:ascii="Arial" w:cs="Arial" w:eastAsia="Arial" w:hAnsi="Arial"/>
                <w:sz w:val="18"/>
                <w:szCs w:val="18"/>
                <w:color w:val="auto"/>
              </w:rPr>
              <w:t>- Stock Options</w:t>
            </w:r>
            <w:r>
              <w:rPr>
                <w:rFonts w:ascii="Arial" w:cs="Arial" w:eastAsia="Arial" w:hAnsi="Arial"/>
                <w:sz w:val="15"/>
                <w:szCs w:val="15"/>
                <w:color w:val="auto"/>
              </w:rPr>
              <w:t>(7)</w:t>
            </w:r>
          </w:p>
        </w:tc>
        <w:tc>
          <w:tcPr>
            <w:tcW w:w="1120" w:type="dxa"/>
            <w:vAlign w:val="bottom"/>
            <w:shd w:val="clear" w:color="auto" w:fill="ACABA7"/>
          </w:tcPr>
          <w:p>
            <w:pPr>
              <w:jc w:val="right"/>
              <w:spacing w:after="0" w:line="202" w:lineRule="exact"/>
              <w:rPr>
                <w:sz w:val="20"/>
                <w:szCs w:val="20"/>
                <w:color w:val="auto"/>
              </w:rPr>
            </w:pPr>
            <w:r>
              <w:rPr>
                <w:rFonts w:ascii="Arial" w:cs="Arial" w:eastAsia="Arial" w:hAnsi="Arial"/>
                <w:sz w:val="18"/>
                <w:szCs w:val="18"/>
                <w:color w:val="auto"/>
              </w:rPr>
              <w:t>1,983,170</w:t>
            </w:r>
          </w:p>
        </w:tc>
        <w:tc>
          <w:tcPr>
            <w:tcW w:w="1060" w:type="dxa"/>
            <w:vAlign w:val="bottom"/>
            <w:shd w:val="clear" w:color="auto" w:fill="ACABA7"/>
          </w:tcPr>
          <w:p>
            <w:pPr>
              <w:jc w:val="right"/>
              <w:spacing w:after="0" w:line="202" w:lineRule="exact"/>
              <w:rPr>
                <w:sz w:val="20"/>
                <w:szCs w:val="20"/>
                <w:color w:val="auto"/>
              </w:rPr>
            </w:pPr>
            <w:r>
              <w:rPr>
                <w:rFonts w:ascii="Arial" w:cs="Arial" w:eastAsia="Arial" w:hAnsi="Arial"/>
                <w:sz w:val="18"/>
                <w:szCs w:val="18"/>
                <w:color w:val="auto"/>
              </w:rPr>
              <w:t>—</w:t>
            </w:r>
          </w:p>
        </w:tc>
        <w:tc>
          <w:tcPr>
            <w:tcW w:w="1380" w:type="dxa"/>
            <w:vAlign w:val="bottom"/>
            <w:shd w:val="clear" w:color="auto" w:fill="ACABA7"/>
          </w:tcPr>
          <w:p>
            <w:pPr>
              <w:jc w:val="right"/>
              <w:spacing w:after="0" w:line="202" w:lineRule="exact"/>
              <w:rPr>
                <w:sz w:val="20"/>
                <w:szCs w:val="20"/>
                <w:color w:val="auto"/>
              </w:rPr>
            </w:pPr>
            <w:r>
              <w:rPr>
                <w:rFonts w:ascii="Arial" w:cs="Arial" w:eastAsia="Arial" w:hAnsi="Arial"/>
                <w:sz w:val="18"/>
                <w:szCs w:val="18"/>
                <w:color w:val="auto"/>
              </w:rPr>
              <w:t>1,983,170</w:t>
            </w:r>
          </w:p>
        </w:tc>
        <w:tc>
          <w:tcPr>
            <w:tcW w:w="220" w:type="dxa"/>
            <w:vAlign w:val="bottom"/>
            <w:shd w:val="clear" w:color="auto" w:fill="ACABA7"/>
          </w:tcPr>
          <w:p>
            <w:pPr>
              <w:spacing w:after="0"/>
              <w:rPr>
                <w:sz w:val="17"/>
                <w:szCs w:val="17"/>
                <w:color w:val="auto"/>
              </w:rPr>
            </w:pPr>
          </w:p>
        </w:tc>
        <w:tc>
          <w:tcPr>
            <w:tcW w:w="1300" w:type="dxa"/>
            <w:vAlign w:val="bottom"/>
            <w:shd w:val="clear" w:color="auto" w:fill="ACABA7"/>
          </w:tcPr>
          <w:p>
            <w:pPr>
              <w:jc w:val="right"/>
              <w:ind w:right="15"/>
              <w:spacing w:after="0" w:line="202" w:lineRule="exact"/>
              <w:rPr>
                <w:sz w:val="20"/>
                <w:szCs w:val="20"/>
                <w:color w:val="auto"/>
              </w:rPr>
            </w:pPr>
            <w:r>
              <w:rPr>
                <w:rFonts w:ascii="Arial" w:cs="Arial" w:eastAsia="Arial" w:hAnsi="Arial"/>
                <w:sz w:val="18"/>
                <w:szCs w:val="18"/>
                <w:color w:val="auto"/>
              </w:rPr>
              <w:t>1,983,170</w:t>
            </w:r>
          </w:p>
        </w:tc>
        <w:tc>
          <w:tcPr>
            <w:tcW w:w="980" w:type="dxa"/>
            <w:vAlign w:val="bottom"/>
            <w:shd w:val="clear" w:color="auto" w:fill="ACABA7"/>
          </w:tcPr>
          <w:p>
            <w:pPr>
              <w:jc w:val="right"/>
              <w:spacing w:after="0" w:line="202" w:lineRule="exact"/>
              <w:rPr>
                <w:sz w:val="20"/>
                <w:szCs w:val="20"/>
                <w:color w:val="auto"/>
              </w:rPr>
            </w:pPr>
            <w:r>
              <w:rPr>
                <w:rFonts w:ascii="Arial" w:cs="Arial" w:eastAsia="Arial" w:hAnsi="Arial"/>
                <w:sz w:val="18"/>
                <w:szCs w:val="18"/>
                <w:color w:val="auto"/>
              </w:rPr>
              <w:t>1,983,170</w:t>
            </w:r>
          </w:p>
        </w:tc>
        <w:tc>
          <w:tcPr>
            <w:tcW w:w="1020" w:type="dxa"/>
            <w:vAlign w:val="bottom"/>
            <w:shd w:val="clear" w:color="auto" w:fill="ACABA7"/>
          </w:tcPr>
          <w:p>
            <w:pPr>
              <w:jc w:val="right"/>
              <w:spacing w:after="0" w:line="202" w:lineRule="exact"/>
              <w:rPr>
                <w:sz w:val="20"/>
                <w:szCs w:val="20"/>
                <w:color w:val="auto"/>
              </w:rPr>
            </w:pPr>
            <w:r>
              <w:rPr>
                <w:rFonts w:ascii="Arial" w:cs="Arial" w:eastAsia="Arial" w:hAnsi="Arial"/>
                <w:sz w:val="18"/>
                <w:szCs w:val="18"/>
                <w:color w:val="auto"/>
              </w:rPr>
              <w:t>1,983,170</w:t>
            </w:r>
          </w:p>
        </w:tc>
        <w:tc>
          <w:tcPr>
            <w:tcW w:w="1000" w:type="dxa"/>
            <w:vAlign w:val="bottom"/>
            <w:shd w:val="clear" w:color="auto" w:fill="ACABA7"/>
          </w:tcPr>
          <w:p>
            <w:pPr>
              <w:jc w:val="right"/>
              <w:ind w:right="12"/>
              <w:spacing w:after="0" w:line="202" w:lineRule="exact"/>
              <w:rPr>
                <w:sz w:val="20"/>
                <w:szCs w:val="20"/>
                <w:color w:val="auto"/>
              </w:rPr>
            </w:pPr>
            <w:r>
              <w:rPr>
                <w:rFonts w:ascii="Arial" w:cs="Arial" w:eastAsia="Arial" w:hAnsi="Arial"/>
                <w:sz w:val="18"/>
                <w:szCs w:val="18"/>
                <w:color w:val="auto"/>
              </w:rPr>
              <w:t>1,983,170</w:t>
            </w:r>
          </w:p>
        </w:tc>
      </w:tr>
      <w:tr>
        <w:trPr>
          <w:trHeight w:val="203"/>
        </w:trPr>
        <w:tc>
          <w:tcPr>
            <w:tcW w:w="3340" w:type="dxa"/>
            <w:vAlign w:val="bottom"/>
          </w:tcPr>
          <w:p>
            <w:pPr>
              <w:ind w:left="80"/>
              <w:spacing w:after="0" w:line="202" w:lineRule="exact"/>
              <w:rPr>
                <w:sz w:val="20"/>
                <w:szCs w:val="20"/>
                <w:color w:val="auto"/>
              </w:rPr>
            </w:pPr>
            <w:r>
              <w:rPr>
                <w:rFonts w:ascii="Arial" w:cs="Arial" w:eastAsia="Arial" w:hAnsi="Arial"/>
                <w:sz w:val="18"/>
                <w:szCs w:val="18"/>
                <w:color w:val="auto"/>
              </w:rPr>
              <w:t>- Performance Share Awards</w:t>
            </w:r>
            <w:r>
              <w:rPr>
                <w:rFonts w:ascii="Arial" w:cs="Arial" w:eastAsia="Arial" w:hAnsi="Arial"/>
                <w:sz w:val="15"/>
                <w:szCs w:val="15"/>
                <w:color w:val="auto"/>
              </w:rPr>
              <w:t>(8)</w:t>
            </w: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1,673,975</w:t>
            </w: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1,673,975</w:t>
            </w:r>
          </w:p>
        </w:tc>
        <w:tc>
          <w:tcPr>
            <w:tcW w:w="220" w:type="dxa"/>
            <w:vAlign w:val="bottom"/>
          </w:tcPr>
          <w:p>
            <w:pPr>
              <w:spacing w:after="0"/>
              <w:rPr>
                <w:sz w:val="17"/>
                <w:szCs w:val="17"/>
                <w:color w:val="auto"/>
              </w:rPr>
            </w:pPr>
          </w:p>
        </w:tc>
        <w:tc>
          <w:tcPr>
            <w:tcW w:w="1300" w:type="dxa"/>
            <w:vAlign w:val="bottom"/>
          </w:tcPr>
          <w:p>
            <w:pPr>
              <w:jc w:val="right"/>
              <w:ind w:right="15"/>
              <w:spacing w:after="0" w:line="202" w:lineRule="exact"/>
              <w:rPr>
                <w:sz w:val="20"/>
                <w:szCs w:val="20"/>
                <w:color w:val="auto"/>
              </w:rPr>
            </w:pPr>
            <w:r>
              <w:rPr>
                <w:rFonts w:ascii="Arial" w:cs="Arial" w:eastAsia="Arial" w:hAnsi="Arial"/>
                <w:sz w:val="18"/>
                <w:szCs w:val="18"/>
                <w:color w:val="auto"/>
              </w:rPr>
              <w:t>1,673,975</w:t>
            </w: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1,673,975</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1,673,975</w:t>
            </w:r>
          </w:p>
        </w:tc>
        <w:tc>
          <w:tcPr>
            <w:tcW w:w="1000" w:type="dxa"/>
            <w:vAlign w:val="bottom"/>
          </w:tcPr>
          <w:p>
            <w:pPr>
              <w:jc w:val="right"/>
              <w:ind w:right="12"/>
              <w:spacing w:after="0" w:line="202" w:lineRule="exact"/>
              <w:rPr>
                <w:sz w:val="20"/>
                <w:szCs w:val="20"/>
                <w:color w:val="auto"/>
              </w:rPr>
            </w:pPr>
            <w:r>
              <w:rPr>
                <w:rFonts w:ascii="Arial" w:cs="Arial" w:eastAsia="Arial" w:hAnsi="Arial"/>
                <w:sz w:val="18"/>
                <w:szCs w:val="18"/>
                <w:color w:val="auto"/>
              </w:rPr>
              <w:t>1,673,975</w:t>
            </w:r>
          </w:p>
        </w:tc>
      </w:tr>
      <w:tr>
        <w:trPr>
          <w:trHeight w:val="203"/>
        </w:trPr>
        <w:tc>
          <w:tcPr>
            <w:tcW w:w="3340" w:type="dxa"/>
            <w:vAlign w:val="bottom"/>
            <w:shd w:val="clear" w:color="auto" w:fill="ACABA7"/>
          </w:tcPr>
          <w:p>
            <w:pPr>
              <w:ind w:left="80"/>
              <w:spacing w:after="0" w:line="202" w:lineRule="exact"/>
              <w:rPr>
                <w:sz w:val="20"/>
                <w:szCs w:val="20"/>
                <w:color w:val="auto"/>
              </w:rPr>
            </w:pPr>
            <w:r>
              <w:rPr>
                <w:rFonts w:ascii="Arial" w:cs="Arial" w:eastAsia="Arial" w:hAnsi="Arial"/>
                <w:sz w:val="18"/>
                <w:szCs w:val="18"/>
                <w:b w:val="1"/>
                <w:bCs w:val="1"/>
                <w:color w:val="auto"/>
              </w:rPr>
              <w:t>Benefits &amp; Perquisites:</w:t>
            </w:r>
          </w:p>
        </w:tc>
        <w:tc>
          <w:tcPr>
            <w:tcW w:w="1120" w:type="dxa"/>
            <w:vAlign w:val="bottom"/>
            <w:shd w:val="clear" w:color="auto" w:fill="ACABA7"/>
          </w:tcPr>
          <w:p>
            <w:pPr>
              <w:spacing w:after="0"/>
              <w:rPr>
                <w:sz w:val="17"/>
                <w:szCs w:val="17"/>
                <w:color w:val="auto"/>
              </w:rPr>
            </w:pPr>
          </w:p>
        </w:tc>
        <w:tc>
          <w:tcPr>
            <w:tcW w:w="1060" w:type="dxa"/>
            <w:vAlign w:val="bottom"/>
            <w:shd w:val="clear" w:color="auto" w:fill="ACABA7"/>
          </w:tcPr>
          <w:p>
            <w:pPr>
              <w:spacing w:after="0"/>
              <w:rPr>
                <w:sz w:val="17"/>
                <w:szCs w:val="17"/>
                <w:color w:val="auto"/>
              </w:rPr>
            </w:pPr>
          </w:p>
        </w:tc>
        <w:tc>
          <w:tcPr>
            <w:tcW w:w="1380" w:type="dxa"/>
            <w:vAlign w:val="bottom"/>
            <w:shd w:val="clear" w:color="auto" w:fill="ACABA7"/>
          </w:tcPr>
          <w:p>
            <w:pPr>
              <w:spacing w:after="0"/>
              <w:rPr>
                <w:sz w:val="17"/>
                <w:szCs w:val="17"/>
                <w:color w:val="auto"/>
              </w:rPr>
            </w:pPr>
          </w:p>
        </w:tc>
        <w:tc>
          <w:tcPr>
            <w:tcW w:w="220" w:type="dxa"/>
            <w:vAlign w:val="bottom"/>
            <w:shd w:val="clear" w:color="auto" w:fill="ACABA7"/>
          </w:tcPr>
          <w:p>
            <w:pPr>
              <w:spacing w:after="0"/>
              <w:rPr>
                <w:sz w:val="17"/>
                <w:szCs w:val="17"/>
                <w:color w:val="auto"/>
              </w:rPr>
            </w:pPr>
          </w:p>
        </w:tc>
        <w:tc>
          <w:tcPr>
            <w:tcW w:w="1300" w:type="dxa"/>
            <w:vAlign w:val="bottom"/>
            <w:shd w:val="clear" w:color="auto" w:fill="ACABA7"/>
          </w:tcPr>
          <w:p>
            <w:pPr>
              <w:spacing w:after="0"/>
              <w:rPr>
                <w:sz w:val="17"/>
                <w:szCs w:val="17"/>
                <w:color w:val="auto"/>
              </w:rPr>
            </w:pPr>
          </w:p>
        </w:tc>
        <w:tc>
          <w:tcPr>
            <w:tcW w:w="980" w:type="dxa"/>
            <w:vAlign w:val="bottom"/>
            <w:shd w:val="clear" w:color="auto" w:fill="ACABA7"/>
          </w:tcPr>
          <w:p>
            <w:pPr>
              <w:spacing w:after="0"/>
              <w:rPr>
                <w:sz w:val="17"/>
                <w:szCs w:val="17"/>
                <w:color w:val="auto"/>
              </w:rPr>
            </w:pPr>
          </w:p>
        </w:tc>
        <w:tc>
          <w:tcPr>
            <w:tcW w:w="1020" w:type="dxa"/>
            <w:vAlign w:val="bottom"/>
            <w:shd w:val="clear" w:color="auto" w:fill="ACABA7"/>
          </w:tcPr>
          <w:p>
            <w:pPr>
              <w:spacing w:after="0"/>
              <w:rPr>
                <w:sz w:val="17"/>
                <w:szCs w:val="17"/>
                <w:color w:val="auto"/>
              </w:rPr>
            </w:pPr>
          </w:p>
        </w:tc>
        <w:tc>
          <w:tcPr>
            <w:tcW w:w="1000" w:type="dxa"/>
            <w:vAlign w:val="bottom"/>
            <w:shd w:val="clear" w:color="auto" w:fill="ACABA7"/>
          </w:tcPr>
          <w:p>
            <w:pPr>
              <w:spacing w:after="0"/>
              <w:rPr>
                <w:sz w:val="17"/>
                <w:szCs w:val="17"/>
                <w:color w:val="auto"/>
              </w:rPr>
            </w:pPr>
          </w:p>
        </w:tc>
      </w:tr>
      <w:tr>
        <w:trPr>
          <w:trHeight w:val="203"/>
        </w:trPr>
        <w:tc>
          <w:tcPr>
            <w:tcW w:w="3340" w:type="dxa"/>
            <w:vAlign w:val="bottom"/>
          </w:tcPr>
          <w:p>
            <w:pPr>
              <w:ind w:left="80"/>
              <w:spacing w:after="0" w:line="202" w:lineRule="exact"/>
              <w:rPr>
                <w:sz w:val="20"/>
                <w:szCs w:val="20"/>
                <w:color w:val="auto"/>
              </w:rPr>
            </w:pPr>
            <w:r>
              <w:rPr>
                <w:rFonts w:ascii="Arial" w:cs="Arial" w:eastAsia="Arial" w:hAnsi="Arial"/>
                <w:sz w:val="18"/>
                <w:szCs w:val="18"/>
                <w:color w:val="auto"/>
              </w:rPr>
              <w:t>Life Insurance, Healthcare</w:t>
            </w:r>
            <w:r>
              <w:rPr>
                <w:rFonts w:ascii="Arial" w:cs="Arial" w:eastAsia="Arial" w:hAnsi="Arial"/>
                <w:sz w:val="15"/>
                <w:szCs w:val="15"/>
                <w:color w:val="auto"/>
              </w:rPr>
              <w:t>(9)</w:t>
            </w: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1300" w:type="dxa"/>
            <w:vAlign w:val="bottom"/>
          </w:tcPr>
          <w:p>
            <w:pPr>
              <w:jc w:val="right"/>
              <w:ind w:right="15"/>
              <w:spacing w:after="0" w:line="202" w:lineRule="exact"/>
              <w:rPr>
                <w:sz w:val="20"/>
                <w:szCs w:val="20"/>
                <w:color w:val="auto"/>
              </w:rPr>
            </w:pPr>
            <w:r>
              <w:rPr>
                <w:rFonts w:ascii="Arial" w:cs="Arial" w:eastAsia="Arial" w:hAnsi="Arial"/>
                <w:sz w:val="18"/>
                <w:szCs w:val="18"/>
                <w:color w:val="auto"/>
              </w:rPr>
              <w:t>157,663</w:t>
            </w: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157,663</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r>
      <w:tr>
        <w:trPr>
          <w:trHeight w:val="203"/>
        </w:trPr>
        <w:tc>
          <w:tcPr>
            <w:tcW w:w="3340" w:type="dxa"/>
            <w:vAlign w:val="bottom"/>
            <w:shd w:val="clear" w:color="auto" w:fill="ACABA7"/>
          </w:tcPr>
          <w:p>
            <w:pPr>
              <w:ind w:left="80"/>
              <w:spacing w:after="0" w:line="202" w:lineRule="exact"/>
              <w:rPr>
                <w:sz w:val="20"/>
                <w:szCs w:val="20"/>
                <w:color w:val="auto"/>
              </w:rPr>
            </w:pPr>
            <w:r>
              <w:rPr>
                <w:rFonts w:ascii="Arial" w:cs="Arial" w:eastAsia="Arial" w:hAnsi="Arial"/>
                <w:sz w:val="18"/>
                <w:szCs w:val="18"/>
                <w:color w:val="auto"/>
              </w:rPr>
              <w:t>Outplacement Services</w:t>
            </w:r>
            <w:r>
              <w:rPr>
                <w:rFonts w:ascii="Arial" w:cs="Arial" w:eastAsia="Arial" w:hAnsi="Arial"/>
                <w:sz w:val="15"/>
                <w:szCs w:val="15"/>
                <w:color w:val="auto"/>
              </w:rPr>
              <w:t>(10)</w:t>
            </w:r>
          </w:p>
        </w:tc>
        <w:tc>
          <w:tcPr>
            <w:tcW w:w="1120" w:type="dxa"/>
            <w:vAlign w:val="bottom"/>
            <w:shd w:val="clear" w:color="auto" w:fill="ACABA7"/>
          </w:tcPr>
          <w:p>
            <w:pPr>
              <w:jc w:val="right"/>
              <w:spacing w:after="0" w:line="202" w:lineRule="exact"/>
              <w:rPr>
                <w:sz w:val="20"/>
                <w:szCs w:val="20"/>
                <w:color w:val="auto"/>
              </w:rPr>
            </w:pPr>
            <w:r>
              <w:rPr>
                <w:rFonts w:ascii="Arial" w:cs="Arial" w:eastAsia="Arial" w:hAnsi="Arial"/>
                <w:sz w:val="18"/>
                <w:szCs w:val="18"/>
                <w:color w:val="auto"/>
              </w:rPr>
              <w:t>—</w:t>
            </w:r>
          </w:p>
        </w:tc>
        <w:tc>
          <w:tcPr>
            <w:tcW w:w="1060" w:type="dxa"/>
            <w:vAlign w:val="bottom"/>
            <w:shd w:val="clear" w:color="auto" w:fill="ACABA7"/>
          </w:tcPr>
          <w:p>
            <w:pPr>
              <w:jc w:val="right"/>
              <w:spacing w:after="0" w:line="202" w:lineRule="exact"/>
              <w:rPr>
                <w:sz w:val="20"/>
                <w:szCs w:val="20"/>
                <w:color w:val="auto"/>
              </w:rPr>
            </w:pPr>
            <w:r>
              <w:rPr>
                <w:rFonts w:ascii="Arial" w:cs="Arial" w:eastAsia="Arial" w:hAnsi="Arial"/>
                <w:sz w:val="18"/>
                <w:szCs w:val="18"/>
                <w:color w:val="auto"/>
              </w:rPr>
              <w:t>—</w:t>
            </w:r>
          </w:p>
        </w:tc>
        <w:tc>
          <w:tcPr>
            <w:tcW w:w="1600" w:type="dxa"/>
            <w:vAlign w:val="bottom"/>
            <w:gridSpan w:val="2"/>
            <w:shd w:val="clear" w:color="auto" w:fill="ACABA7"/>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1300" w:type="dxa"/>
            <w:vAlign w:val="bottom"/>
            <w:shd w:val="clear" w:color="auto" w:fill="ACABA7"/>
          </w:tcPr>
          <w:p>
            <w:pPr>
              <w:jc w:val="right"/>
              <w:ind w:right="15"/>
              <w:spacing w:after="0" w:line="202" w:lineRule="exact"/>
              <w:rPr>
                <w:sz w:val="20"/>
                <w:szCs w:val="20"/>
                <w:color w:val="auto"/>
              </w:rPr>
            </w:pPr>
            <w:r>
              <w:rPr>
                <w:rFonts w:ascii="Arial" w:cs="Arial" w:eastAsia="Arial" w:hAnsi="Arial"/>
                <w:sz w:val="18"/>
                <w:szCs w:val="18"/>
                <w:color w:val="auto"/>
              </w:rPr>
              <w:t>15,000</w:t>
            </w:r>
          </w:p>
        </w:tc>
        <w:tc>
          <w:tcPr>
            <w:tcW w:w="980" w:type="dxa"/>
            <w:vAlign w:val="bottom"/>
            <w:shd w:val="clear" w:color="auto" w:fill="ACABA7"/>
          </w:tcPr>
          <w:p>
            <w:pPr>
              <w:jc w:val="right"/>
              <w:spacing w:after="0" w:line="202" w:lineRule="exact"/>
              <w:rPr>
                <w:sz w:val="20"/>
                <w:szCs w:val="20"/>
                <w:color w:val="auto"/>
              </w:rPr>
            </w:pPr>
            <w:r>
              <w:rPr>
                <w:rFonts w:ascii="Arial" w:cs="Arial" w:eastAsia="Arial" w:hAnsi="Arial"/>
                <w:sz w:val="18"/>
                <w:szCs w:val="18"/>
                <w:color w:val="auto"/>
              </w:rPr>
              <w:t>15,000</w:t>
            </w:r>
          </w:p>
        </w:tc>
        <w:tc>
          <w:tcPr>
            <w:tcW w:w="1020" w:type="dxa"/>
            <w:vAlign w:val="bottom"/>
            <w:shd w:val="clear" w:color="auto" w:fill="ACABA7"/>
          </w:tcPr>
          <w:p>
            <w:pPr>
              <w:jc w:val="right"/>
              <w:spacing w:after="0" w:line="202" w:lineRule="exact"/>
              <w:rPr>
                <w:sz w:val="20"/>
                <w:szCs w:val="20"/>
                <w:color w:val="auto"/>
              </w:rPr>
            </w:pPr>
            <w:r>
              <w:rPr>
                <w:rFonts w:ascii="Arial" w:cs="Arial" w:eastAsia="Arial" w:hAnsi="Arial"/>
                <w:sz w:val="18"/>
                <w:szCs w:val="18"/>
                <w:color w:val="auto"/>
              </w:rPr>
              <w:t>—</w:t>
            </w:r>
          </w:p>
        </w:tc>
        <w:tc>
          <w:tcPr>
            <w:tcW w:w="1000" w:type="dxa"/>
            <w:vAlign w:val="bottom"/>
            <w:shd w:val="clear" w:color="auto" w:fill="ACABA7"/>
          </w:tcPr>
          <w:p>
            <w:pPr>
              <w:jc w:val="right"/>
              <w:ind w:right="12"/>
              <w:spacing w:after="0" w:line="202" w:lineRule="exact"/>
              <w:rPr>
                <w:sz w:val="20"/>
                <w:szCs w:val="20"/>
                <w:color w:val="auto"/>
              </w:rPr>
            </w:pPr>
            <w:r>
              <w:rPr>
                <w:rFonts w:ascii="Arial" w:cs="Arial" w:eastAsia="Arial" w:hAnsi="Arial"/>
                <w:sz w:val="18"/>
                <w:szCs w:val="18"/>
                <w:color w:val="auto"/>
              </w:rPr>
              <w:t>—</w:t>
            </w:r>
          </w:p>
        </w:tc>
      </w:tr>
      <w:tr>
        <w:trPr>
          <w:trHeight w:val="203"/>
        </w:trPr>
        <w:tc>
          <w:tcPr>
            <w:tcW w:w="3340" w:type="dxa"/>
            <w:vAlign w:val="bottom"/>
            <w:tcBorders>
              <w:bottom w:val="single" w:sz="8" w:color="483E65"/>
            </w:tcBorders>
          </w:tcPr>
          <w:p>
            <w:pPr>
              <w:ind w:left="80"/>
              <w:spacing w:after="0" w:line="202" w:lineRule="exact"/>
              <w:rPr>
                <w:sz w:val="20"/>
                <w:szCs w:val="20"/>
                <w:color w:val="auto"/>
              </w:rPr>
            </w:pPr>
            <w:r>
              <w:rPr>
                <w:rFonts w:ascii="Arial" w:cs="Arial" w:eastAsia="Arial" w:hAnsi="Arial"/>
                <w:sz w:val="18"/>
                <w:szCs w:val="18"/>
                <w:color w:val="auto"/>
              </w:rPr>
              <w:t>Applicable Scaleback</w:t>
            </w:r>
            <w:r>
              <w:rPr>
                <w:rFonts w:ascii="Arial" w:cs="Arial" w:eastAsia="Arial" w:hAnsi="Arial"/>
                <w:sz w:val="15"/>
                <w:szCs w:val="15"/>
                <w:color w:val="auto"/>
              </w:rPr>
              <w:t>(11)</w:t>
            </w:r>
          </w:p>
        </w:tc>
        <w:tc>
          <w:tcPr>
            <w:tcW w:w="1120" w:type="dxa"/>
            <w:vAlign w:val="bottom"/>
            <w:tcBorders>
              <w:bottom w:val="single" w:sz="8" w:color="483E65"/>
            </w:tcBorders>
          </w:tcPr>
          <w:p>
            <w:pPr>
              <w:jc w:val="right"/>
              <w:spacing w:after="0" w:line="202" w:lineRule="exact"/>
              <w:rPr>
                <w:sz w:val="20"/>
                <w:szCs w:val="20"/>
                <w:color w:val="auto"/>
              </w:rPr>
            </w:pPr>
            <w:r>
              <w:rPr>
                <w:rFonts w:ascii="Arial" w:cs="Arial" w:eastAsia="Arial" w:hAnsi="Arial"/>
                <w:sz w:val="18"/>
                <w:szCs w:val="18"/>
                <w:color w:val="auto"/>
              </w:rPr>
              <w:t>—</w:t>
            </w:r>
          </w:p>
        </w:tc>
        <w:tc>
          <w:tcPr>
            <w:tcW w:w="1060" w:type="dxa"/>
            <w:vAlign w:val="bottom"/>
            <w:tcBorders>
              <w:bottom w:val="single" w:sz="8" w:color="483E65"/>
            </w:tcBorders>
          </w:tcPr>
          <w:p>
            <w:pPr>
              <w:jc w:val="right"/>
              <w:spacing w:after="0" w:line="202" w:lineRule="exact"/>
              <w:rPr>
                <w:sz w:val="20"/>
                <w:szCs w:val="20"/>
                <w:color w:val="auto"/>
              </w:rPr>
            </w:pPr>
            <w:r>
              <w:rPr>
                <w:rFonts w:ascii="Arial" w:cs="Arial" w:eastAsia="Arial" w:hAnsi="Arial"/>
                <w:sz w:val="18"/>
                <w:szCs w:val="18"/>
                <w:color w:val="auto"/>
              </w:rPr>
              <w:t>—</w:t>
            </w:r>
          </w:p>
        </w:tc>
        <w:tc>
          <w:tcPr>
            <w:tcW w:w="1600" w:type="dxa"/>
            <w:vAlign w:val="bottom"/>
            <w:tcBorders>
              <w:bottom w:val="single" w:sz="8" w:color="483E65"/>
            </w:tcBorders>
            <w:gridSpan w:val="2"/>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1300" w:type="dxa"/>
            <w:vAlign w:val="bottom"/>
            <w:tcBorders>
              <w:bottom w:val="single" w:sz="8" w:color="483E65"/>
            </w:tcBorders>
          </w:tcPr>
          <w:p>
            <w:pPr>
              <w:jc w:val="right"/>
              <w:ind w:right="15"/>
              <w:spacing w:after="0" w:line="202" w:lineRule="exact"/>
              <w:rPr>
                <w:sz w:val="20"/>
                <w:szCs w:val="20"/>
                <w:color w:val="auto"/>
              </w:rPr>
            </w:pPr>
            <w:r>
              <w:rPr>
                <w:rFonts w:ascii="Arial" w:cs="Arial" w:eastAsia="Arial" w:hAnsi="Arial"/>
                <w:sz w:val="18"/>
                <w:szCs w:val="18"/>
                <w:color w:val="auto"/>
              </w:rPr>
              <w:t>—</w:t>
            </w:r>
          </w:p>
        </w:tc>
        <w:tc>
          <w:tcPr>
            <w:tcW w:w="980" w:type="dxa"/>
            <w:vAlign w:val="bottom"/>
            <w:tcBorders>
              <w:bottom w:val="single" w:sz="8" w:color="483E65"/>
            </w:tcBorders>
          </w:tcPr>
          <w:p>
            <w:pPr>
              <w:jc w:val="right"/>
              <w:spacing w:after="0" w:line="202" w:lineRule="exact"/>
              <w:rPr>
                <w:sz w:val="20"/>
                <w:szCs w:val="20"/>
                <w:color w:val="auto"/>
              </w:rPr>
            </w:pPr>
            <w:r>
              <w:rPr>
                <w:rFonts w:ascii="Arial" w:cs="Arial" w:eastAsia="Arial" w:hAnsi="Arial"/>
                <w:sz w:val="18"/>
                <w:szCs w:val="18"/>
                <w:color w:val="auto"/>
              </w:rPr>
              <w:t>—</w:t>
            </w:r>
          </w:p>
        </w:tc>
        <w:tc>
          <w:tcPr>
            <w:tcW w:w="1020" w:type="dxa"/>
            <w:vAlign w:val="bottom"/>
            <w:tcBorders>
              <w:bottom w:val="single" w:sz="8" w:color="483E65"/>
            </w:tcBorders>
          </w:tcPr>
          <w:p>
            <w:pPr>
              <w:jc w:val="right"/>
              <w:spacing w:after="0" w:line="202" w:lineRule="exact"/>
              <w:rPr>
                <w:sz w:val="20"/>
                <w:szCs w:val="20"/>
                <w:color w:val="auto"/>
              </w:rPr>
            </w:pPr>
            <w:r>
              <w:rPr>
                <w:rFonts w:ascii="Arial" w:cs="Arial" w:eastAsia="Arial" w:hAnsi="Arial"/>
                <w:sz w:val="18"/>
                <w:szCs w:val="18"/>
                <w:color w:val="auto"/>
              </w:rPr>
              <w:t>—</w:t>
            </w:r>
          </w:p>
        </w:tc>
        <w:tc>
          <w:tcPr>
            <w:tcW w:w="1000" w:type="dxa"/>
            <w:vAlign w:val="bottom"/>
            <w:tcBorders>
              <w:bottom w:val="single" w:sz="8" w:color="483E65"/>
            </w:tcBorders>
          </w:tcPr>
          <w:p>
            <w:pPr>
              <w:jc w:val="right"/>
              <w:ind w:right="12"/>
              <w:spacing w:after="0" w:line="202" w:lineRule="exact"/>
              <w:rPr>
                <w:sz w:val="20"/>
                <w:szCs w:val="20"/>
                <w:color w:val="auto"/>
              </w:rPr>
            </w:pPr>
            <w:r>
              <w:rPr>
                <w:rFonts w:ascii="Arial" w:cs="Arial" w:eastAsia="Arial" w:hAnsi="Arial"/>
                <w:sz w:val="18"/>
                <w:szCs w:val="18"/>
                <w:color w:val="auto"/>
              </w:rPr>
              <w:t>—</w:t>
            </w:r>
          </w:p>
        </w:tc>
      </w:tr>
      <w:tr>
        <w:trPr>
          <w:trHeight w:val="196"/>
        </w:trPr>
        <w:tc>
          <w:tcPr>
            <w:tcW w:w="3340" w:type="dxa"/>
            <w:vAlign w:val="bottom"/>
            <w:tcBorders>
              <w:bottom w:val="single" w:sz="8" w:color="483E65"/>
            </w:tcBorders>
            <w:shd w:val="clear" w:color="auto" w:fill="ACABA7"/>
          </w:tcPr>
          <w:p>
            <w:pPr>
              <w:ind w:left="80"/>
              <w:spacing w:after="0" w:line="196" w:lineRule="exact"/>
              <w:rPr>
                <w:sz w:val="20"/>
                <w:szCs w:val="20"/>
                <w:color w:val="auto"/>
              </w:rPr>
            </w:pPr>
            <w:r>
              <w:rPr>
                <w:rFonts w:ascii="Arial" w:cs="Arial" w:eastAsia="Arial" w:hAnsi="Arial"/>
                <w:sz w:val="18"/>
                <w:szCs w:val="18"/>
                <w:color w:val="auto"/>
              </w:rPr>
              <w:t>Total</w:t>
            </w:r>
            <w:r>
              <w:rPr>
                <w:rFonts w:ascii="Arial" w:cs="Arial" w:eastAsia="Arial" w:hAnsi="Arial"/>
                <w:sz w:val="15"/>
                <w:szCs w:val="15"/>
                <w:color w:val="auto"/>
              </w:rPr>
              <w:t>(12)</w:t>
            </w:r>
          </w:p>
        </w:tc>
        <w:tc>
          <w:tcPr>
            <w:tcW w:w="1120" w:type="dxa"/>
            <w:vAlign w:val="bottom"/>
            <w:tcBorders>
              <w:bottom w:val="single" w:sz="8" w:color="483E65"/>
            </w:tcBorders>
            <w:shd w:val="clear" w:color="auto" w:fill="ACABA7"/>
          </w:tcPr>
          <w:p>
            <w:pPr>
              <w:jc w:val="right"/>
              <w:spacing w:after="0" w:line="196" w:lineRule="exact"/>
              <w:rPr>
                <w:sz w:val="20"/>
                <w:szCs w:val="20"/>
                <w:color w:val="auto"/>
              </w:rPr>
            </w:pPr>
            <w:r>
              <w:rPr>
                <w:rFonts w:ascii="Arial" w:cs="Arial" w:eastAsia="Arial" w:hAnsi="Arial"/>
                <w:sz w:val="18"/>
                <w:szCs w:val="18"/>
                <w:color w:val="auto"/>
              </w:rPr>
              <w:t>4,845,552</w:t>
            </w:r>
          </w:p>
        </w:tc>
        <w:tc>
          <w:tcPr>
            <w:tcW w:w="1060" w:type="dxa"/>
            <w:vAlign w:val="bottom"/>
            <w:tcBorders>
              <w:bottom w:val="single" w:sz="8" w:color="483E65"/>
            </w:tcBorders>
            <w:shd w:val="clear" w:color="auto" w:fill="ACABA7"/>
          </w:tcPr>
          <w:p>
            <w:pPr>
              <w:jc w:val="right"/>
              <w:spacing w:after="0" w:line="196" w:lineRule="exact"/>
              <w:rPr>
                <w:sz w:val="20"/>
                <w:szCs w:val="20"/>
                <w:color w:val="auto"/>
              </w:rPr>
            </w:pPr>
            <w:r>
              <w:rPr>
                <w:rFonts w:ascii="Arial" w:cs="Arial" w:eastAsia="Arial" w:hAnsi="Arial"/>
                <w:sz w:val="18"/>
                <w:szCs w:val="18"/>
                <w:color w:val="auto"/>
              </w:rPr>
              <w:t>0</w:t>
            </w:r>
          </w:p>
        </w:tc>
        <w:tc>
          <w:tcPr>
            <w:tcW w:w="1380" w:type="dxa"/>
            <w:vAlign w:val="bottom"/>
            <w:tcBorders>
              <w:bottom w:val="single" w:sz="8" w:color="483E65"/>
            </w:tcBorders>
            <w:shd w:val="clear" w:color="auto" w:fill="ACABA7"/>
          </w:tcPr>
          <w:p>
            <w:pPr>
              <w:jc w:val="right"/>
              <w:spacing w:after="0" w:line="196" w:lineRule="exact"/>
              <w:rPr>
                <w:sz w:val="20"/>
                <w:szCs w:val="20"/>
                <w:color w:val="auto"/>
              </w:rPr>
            </w:pPr>
            <w:r>
              <w:rPr>
                <w:rFonts w:ascii="Arial" w:cs="Arial" w:eastAsia="Arial" w:hAnsi="Arial"/>
                <w:sz w:val="18"/>
                <w:szCs w:val="18"/>
                <w:color w:val="auto"/>
              </w:rPr>
              <w:t>4,845,552</w:t>
            </w:r>
          </w:p>
        </w:tc>
        <w:tc>
          <w:tcPr>
            <w:tcW w:w="220" w:type="dxa"/>
            <w:vAlign w:val="bottom"/>
            <w:tcBorders>
              <w:bottom w:val="single" w:sz="8" w:color="483E65"/>
            </w:tcBorders>
            <w:shd w:val="clear" w:color="auto" w:fill="ACABA7"/>
          </w:tcPr>
          <w:p>
            <w:pPr>
              <w:spacing w:after="0"/>
              <w:rPr>
                <w:sz w:val="17"/>
                <w:szCs w:val="17"/>
                <w:color w:val="auto"/>
              </w:rPr>
            </w:pPr>
          </w:p>
        </w:tc>
        <w:tc>
          <w:tcPr>
            <w:tcW w:w="1300" w:type="dxa"/>
            <w:vAlign w:val="bottom"/>
            <w:tcBorders>
              <w:bottom w:val="single" w:sz="8" w:color="483E65"/>
            </w:tcBorders>
            <w:shd w:val="clear" w:color="auto" w:fill="ACABA7"/>
          </w:tcPr>
          <w:p>
            <w:pPr>
              <w:jc w:val="right"/>
              <w:ind w:right="15"/>
              <w:spacing w:after="0" w:line="196" w:lineRule="exact"/>
              <w:rPr>
                <w:sz w:val="20"/>
                <w:szCs w:val="20"/>
                <w:color w:val="auto"/>
              </w:rPr>
            </w:pPr>
            <w:r>
              <w:rPr>
                <w:rFonts w:ascii="Arial" w:cs="Arial" w:eastAsia="Arial" w:hAnsi="Arial"/>
                <w:sz w:val="18"/>
                <w:szCs w:val="18"/>
                <w:color w:val="auto"/>
              </w:rPr>
              <w:t>8,031,009</w:t>
            </w:r>
          </w:p>
        </w:tc>
        <w:tc>
          <w:tcPr>
            <w:tcW w:w="980" w:type="dxa"/>
            <w:vAlign w:val="bottom"/>
            <w:tcBorders>
              <w:bottom w:val="single" w:sz="8" w:color="483E65"/>
            </w:tcBorders>
            <w:shd w:val="clear" w:color="auto" w:fill="ACABA7"/>
          </w:tcPr>
          <w:p>
            <w:pPr>
              <w:jc w:val="right"/>
              <w:spacing w:after="0" w:line="196" w:lineRule="exact"/>
              <w:rPr>
                <w:sz w:val="20"/>
                <w:szCs w:val="20"/>
                <w:color w:val="auto"/>
              </w:rPr>
            </w:pPr>
            <w:r>
              <w:rPr>
                <w:rFonts w:ascii="Arial" w:cs="Arial" w:eastAsia="Arial" w:hAnsi="Arial"/>
                <w:sz w:val="18"/>
                <w:szCs w:val="18"/>
                <w:color w:val="auto"/>
              </w:rPr>
              <w:t>8,031,009</w:t>
            </w:r>
          </w:p>
        </w:tc>
        <w:tc>
          <w:tcPr>
            <w:tcW w:w="1020" w:type="dxa"/>
            <w:vAlign w:val="bottom"/>
            <w:tcBorders>
              <w:bottom w:val="single" w:sz="8" w:color="483E65"/>
            </w:tcBorders>
            <w:shd w:val="clear" w:color="auto" w:fill="ACABA7"/>
          </w:tcPr>
          <w:p>
            <w:pPr>
              <w:jc w:val="right"/>
              <w:spacing w:after="0" w:line="196" w:lineRule="exact"/>
              <w:rPr>
                <w:sz w:val="20"/>
                <w:szCs w:val="20"/>
                <w:color w:val="auto"/>
              </w:rPr>
            </w:pPr>
            <w:r>
              <w:rPr>
                <w:rFonts w:ascii="Arial" w:cs="Arial" w:eastAsia="Arial" w:hAnsi="Arial"/>
                <w:sz w:val="18"/>
                <w:szCs w:val="18"/>
                <w:color w:val="auto"/>
              </w:rPr>
              <w:t>5,295,636</w:t>
            </w:r>
          </w:p>
        </w:tc>
        <w:tc>
          <w:tcPr>
            <w:tcW w:w="1000" w:type="dxa"/>
            <w:vAlign w:val="bottom"/>
            <w:tcBorders>
              <w:bottom w:val="single" w:sz="8" w:color="483E65"/>
            </w:tcBorders>
            <w:shd w:val="clear" w:color="auto" w:fill="ACABA7"/>
          </w:tcPr>
          <w:p>
            <w:pPr>
              <w:jc w:val="right"/>
              <w:ind w:right="12"/>
              <w:spacing w:after="0" w:line="196" w:lineRule="exact"/>
              <w:rPr>
                <w:sz w:val="20"/>
                <w:szCs w:val="20"/>
                <w:color w:val="auto"/>
              </w:rPr>
            </w:pPr>
            <w:r>
              <w:rPr>
                <w:rFonts w:ascii="Arial" w:cs="Arial" w:eastAsia="Arial" w:hAnsi="Arial"/>
                <w:sz w:val="18"/>
                <w:szCs w:val="18"/>
                <w:color w:val="auto"/>
              </w:rPr>
              <w:t>5,295,636</w:t>
            </w:r>
          </w:p>
        </w:tc>
      </w:tr>
    </w:tbl>
    <w:p>
      <w:pPr>
        <w:spacing w:after="0" w:line="130" w:lineRule="exact"/>
        <w:rPr>
          <w:sz w:val="20"/>
          <w:szCs w:val="20"/>
          <w:color w:val="auto"/>
        </w:rPr>
      </w:pPr>
    </w:p>
    <w:p>
      <w:pPr>
        <w:spacing w:after="0"/>
        <w:tabs>
          <w:tab w:leader="none" w:pos="340" w:val="left"/>
          <w:tab w:leader="none" w:pos="580" w:val="left"/>
        </w:tabs>
        <w:rPr>
          <w:sz w:val="20"/>
          <w:szCs w:val="20"/>
          <w:color w:val="auto"/>
        </w:rPr>
      </w:pPr>
      <w:r>
        <w:rPr>
          <w:rFonts w:ascii="Arial" w:cs="Arial" w:eastAsia="Arial" w:hAnsi="Arial"/>
          <w:sz w:val="16"/>
          <w:szCs w:val="16"/>
          <w:b w:val="1"/>
          <w:bCs w:val="1"/>
          <w:color w:val="483E65"/>
        </w:rPr>
        <w:t>50</w:t>
        <w:tab/>
        <w:t>|</w:t>
        <w:tab/>
        <w:t>2017 Proxy Statement</w:t>
      </w:r>
    </w:p>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8" w:lineRule="exact"/>
        <w:rPr>
          <w:sz w:val="20"/>
          <w:szCs w:val="20"/>
          <w:color w:val="auto"/>
        </w:rPr>
      </w:pPr>
    </w:p>
    <w:p>
      <w:pPr>
        <w:spacing w:after="0"/>
        <w:rPr>
          <w:sz w:val="20"/>
          <w:szCs w:val="20"/>
          <w:color w:val="auto"/>
        </w:rPr>
      </w:pPr>
      <w:r>
        <w:rPr>
          <w:rFonts w:ascii="Arial" w:cs="Arial" w:eastAsia="Arial" w:hAnsi="Arial"/>
          <w:sz w:val="32"/>
          <w:szCs w:val="32"/>
          <w:color w:val="483E65"/>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149860</wp:posOffset>
            </wp:positionV>
            <wp:extent cx="724662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39" w:lineRule="exact"/>
        <w:rPr>
          <w:sz w:val="20"/>
          <w:szCs w:val="20"/>
          <w:color w:val="auto"/>
        </w:rPr>
      </w:pPr>
    </w:p>
    <w:p>
      <w:pPr>
        <w:ind w:left="460" w:right="80" w:hanging="452"/>
        <w:spacing w:after="0" w:line="237" w:lineRule="auto"/>
        <w:tabs>
          <w:tab w:leader="none" w:pos="4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Amounts in this column represent the benefits Mr. Maffeo would be entitled to receive in the event he experiences a hypothetical qualifying termination that does not constitute a change in control (“CIC”) under the terms of his SPA or the Equity and Deferred Compensation Plans. However, since the Transaction in August 2016 constituted a CIC under the terms of Mr. Maffeo’s SPA, if he experiences a qualifying termination that is not in connection with a CIC of Leidos before August 16, 2018, Mr. Maffeo will be entitled to receive the enhanced compensation and benefits reflected in the column entitled “IS&amp;GS Transaction (2)” and not the benefits detailed in this column.</w:t>
      </w:r>
    </w:p>
    <w:p>
      <w:pPr>
        <w:spacing w:after="0" w:line="110" w:lineRule="exact"/>
        <w:rPr>
          <w:rFonts w:ascii="Arial" w:cs="Arial" w:eastAsia="Arial" w:hAnsi="Arial"/>
          <w:sz w:val="18"/>
          <w:szCs w:val="18"/>
          <w:color w:val="auto"/>
        </w:rPr>
      </w:pPr>
    </w:p>
    <w:p>
      <w:pPr>
        <w:ind w:left="460" w:right="580" w:hanging="452"/>
        <w:spacing w:after="0"/>
        <w:tabs>
          <w:tab w:leader="none" w:pos="4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Because the Transaction constituted a CIC for purposes of Mr. Maffeo’s SPA but not for purposes of the Equity and Deferred Compensation Plans, the benefits reflected in this column represent the compensation and benefits Mr. Maffeo would be entitled to receive under the terms of a qualifying termination under the SPA until August 16, 2018.</w:t>
      </w:r>
    </w:p>
    <w:p>
      <w:pPr>
        <w:spacing w:after="0" w:line="108" w:lineRule="exact"/>
        <w:rPr>
          <w:rFonts w:ascii="Arial" w:cs="Arial" w:eastAsia="Arial" w:hAnsi="Arial"/>
          <w:sz w:val="18"/>
          <w:szCs w:val="18"/>
          <w:color w:val="auto"/>
        </w:rPr>
      </w:pPr>
    </w:p>
    <w:p>
      <w:pPr>
        <w:jc w:val="both"/>
        <w:ind w:left="460" w:right="400" w:hanging="452"/>
        <w:spacing w:after="0"/>
        <w:tabs>
          <w:tab w:leader="none" w:pos="4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Amounts in this column represent the benefits Mr. Maffeo would be entitled to in the event a new CIC had occurred on December 30, 2016 that constituted a CIC under the terms of the Leidos Equity and Deferred Compensation Plans as well as under the terms of his SPA.</w:t>
      </w:r>
    </w:p>
    <w:p>
      <w:pPr>
        <w:spacing w:after="0" w:line="108" w:lineRule="exact"/>
        <w:rPr>
          <w:rFonts w:ascii="Arial" w:cs="Arial" w:eastAsia="Arial" w:hAnsi="Arial"/>
          <w:sz w:val="18"/>
          <w:szCs w:val="18"/>
          <w:color w:val="auto"/>
        </w:rPr>
      </w:pPr>
    </w:p>
    <w:p>
      <w:pPr>
        <w:ind w:left="460" w:right="200" w:hanging="452"/>
        <w:spacing w:after="0" w:line="246" w:lineRule="auto"/>
        <w:tabs>
          <w:tab w:leader="none" w:pos="4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Amounts in this row represents a single lump sum payment equal to two-and-one-half times the sum of Mr. Maffeo’s (a) year-end salary and (b) target bonus. The amount of the bonus calculated under subsection (b) is referred to as the “Bonus Amount.”</w:t>
      </w:r>
    </w:p>
    <w:p>
      <w:pPr>
        <w:spacing w:after="0" w:line="102" w:lineRule="exact"/>
        <w:rPr>
          <w:rFonts w:ascii="Arial" w:cs="Arial" w:eastAsia="Arial" w:hAnsi="Arial"/>
          <w:sz w:val="18"/>
          <w:szCs w:val="18"/>
          <w:color w:val="auto"/>
        </w:rPr>
      </w:pPr>
    </w:p>
    <w:p>
      <w:pPr>
        <w:ind w:left="460" w:right="120" w:hanging="452"/>
        <w:spacing w:after="0" w:line="246" w:lineRule="auto"/>
        <w:tabs>
          <w:tab w:leader="none" w:pos="4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Amounts in this row reflect a pro rata portion of the Bonus Amount to which Mr. Maffeo would be entitled to based on the number of days that elapsed during the period ended December 30, 2016.</w:t>
      </w:r>
    </w:p>
    <w:p>
      <w:pPr>
        <w:spacing w:after="0" w:line="102" w:lineRule="exact"/>
        <w:rPr>
          <w:rFonts w:ascii="Arial" w:cs="Arial" w:eastAsia="Arial" w:hAnsi="Arial"/>
          <w:sz w:val="18"/>
          <w:szCs w:val="18"/>
          <w:color w:val="auto"/>
        </w:rPr>
      </w:pPr>
    </w:p>
    <w:p>
      <w:pPr>
        <w:ind w:left="460" w:right="220" w:hanging="452"/>
        <w:spacing w:after="0" w:line="238" w:lineRule="auto"/>
        <w:tabs>
          <w:tab w:leader="none" w:pos="4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For a termination in connection with a new CIC, or death or disability, amounts in this row represent the value of accelerated vesting of shares of all PRSUs outstanding to Mr. Maffeo, including accrued dividends as of December 31, 2016 pursuant to the Equity and Deferred Compensation Plans. Since Mr. Maffeo has reached the mandatory retirement age, he would continue to vest in his PRSUs in all other termination scenarios except for an involuntary termination for cause. For more information regarding the number of shares of unvested stock units held by Mr. Maffeo, see the table under the caption “Outstanding Equity Awards at Year-End.”</w:t>
      </w:r>
    </w:p>
    <w:p>
      <w:pPr>
        <w:spacing w:after="0" w:line="108" w:lineRule="exact"/>
        <w:rPr>
          <w:rFonts w:ascii="Arial" w:cs="Arial" w:eastAsia="Arial" w:hAnsi="Arial"/>
          <w:sz w:val="18"/>
          <w:szCs w:val="18"/>
          <w:color w:val="auto"/>
        </w:rPr>
      </w:pPr>
    </w:p>
    <w:p>
      <w:pPr>
        <w:ind w:left="460" w:right="60" w:hanging="452"/>
        <w:spacing w:after="0" w:line="238" w:lineRule="auto"/>
        <w:tabs>
          <w:tab w:leader="none" w:pos="4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For a termination in connection with a new CIC, death and disability, amounts represent the value of accelerated vesting of shares of all stock options as of December 31, 2016 pursuant the 2006 Equity Incentive Plan. Since Mr. Maffeo has reached the mandatory retirement age, he would continue to vest in his RSUs in all other termination scenarios except for an involuntary termination for cause. For more information regarding the number of shares of unvested stock units held by Mr. Maffeo, see the table under the caption “Outstanding Equity Awards at Year-End.”</w:t>
      </w:r>
    </w:p>
    <w:p>
      <w:pPr>
        <w:spacing w:after="0" w:line="108" w:lineRule="exact"/>
        <w:rPr>
          <w:rFonts w:ascii="Arial" w:cs="Arial" w:eastAsia="Arial" w:hAnsi="Arial"/>
          <w:sz w:val="18"/>
          <w:szCs w:val="18"/>
          <w:color w:val="auto"/>
        </w:rPr>
      </w:pPr>
    </w:p>
    <w:p>
      <w:pPr>
        <w:jc w:val="both"/>
        <w:ind w:left="460" w:right="140" w:hanging="452"/>
        <w:spacing w:after="0"/>
        <w:tabs>
          <w:tab w:leader="none" w:pos="4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Amounts represent the value of Mr. Maffeo’s 2014 performance share grant earned based on actual performance and a pro-rata amount of his 2015 and 2016 performance share awards, including accrued cash dividends as of December 30, 2016. The 2015 grant assumes performance at 137% of target levels and the 2016 grant assumes performance at 100% of target levels.</w:t>
      </w:r>
    </w:p>
    <w:p>
      <w:pPr>
        <w:spacing w:after="0" w:line="108" w:lineRule="exact"/>
        <w:rPr>
          <w:rFonts w:ascii="Arial" w:cs="Arial" w:eastAsia="Arial" w:hAnsi="Arial"/>
          <w:sz w:val="18"/>
          <w:szCs w:val="18"/>
          <w:color w:val="auto"/>
        </w:rPr>
      </w:pPr>
    </w:p>
    <w:p>
      <w:pPr>
        <w:ind w:left="460" w:right="800" w:hanging="452"/>
        <w:spacing w:after="0" w:line="246" w:lineRule="auto"/>
        <w:tabs>
          <w:tab w:leader="none" w:pos="4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Amounts in this row represent the estimated value of life insurance, disability, medical, dental, vision and hospitalization benefits Mr. Maffeo would receive for 30 months following termination.</w:t>
      </w:r>
    </w:p>
    <w:p>
      <w:pPr>
        <w:spacing w:after="0" w:line="102" w:lineRule="exact"/>
        <w:rPr>
          <w:rFonts w:ascii="Arial" w:cs="Arial" w:eastAsia="Arial" w:hAnsi="Arial"/>
          <w:sz w:val="18"/>
          <w:szCs w:val="18"/>
          <w:color w:val="auto"/>
        </w:rPr>
      </w:pPr>
    </w:p>
    <w:p>
      <w:pPr>
        <w:ind w:left="460" w:right="940" w:hanging="452"/>
        <w:spacing w:after="0" w:line="246" w:lineRule="auto"/>
        <w:tabs>
          <w:tab w:leader="none" w:pos="4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Amounts in this row represent the estimated value of outplacement counseling services to be provided for 12 months following termination.</w:t>
      </w:r>
    </w:p>
    <w:p>
      <w:pPr>
        <w:spacing w:after="0" w:line="102" w:lineRule="exact"/>
        <w:rPr>
          <w:rFonts w:ascii="Arial" w:cs="Arial" w:eastAsia="Arial" w:hAnsi="Arial"/>
          <w:sz w:val="18"/>
          <w:szCs w:val="18"/>
          <w:color w:val="auto"/>
        </w:rPr>
      </w:pPr>
    </w:p>
    <w:p>
      <w:pPr>
        <w:ind w:left="460" w:right="540" w:hanging="452"/>
        <w:spacing w:after="0" w:line="246" w:lineRule="auto"/>
        <w:tabs>
          <w:tab w:leader="none" w:pos="4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This row provides an estimate of the amount that severance protection benefits would need to be reduced or “scaled back” to avoid excise taxes pursuant to Section 280G of the Internal Revenue Code.</w:t>
      </w:r>
    </w:p>
    <w:p>
      <w:pPr>
        <w:spacing w:after="0" w:line="102" w:lineRule="exact"/>
        <w:rPr>
          <w:rFonts w:ascii="Arial" w:cs="Arial" w:eastAsia="Arial" w:hAnsi="Arial"/>
          <w:sz w:val="18"/>
          <w:szCs w:val="18"/>
          <w:color w:val="auto"/>
        </w:rPr>
      </w:pPr>
    </w:p>
    <w:p>
      <w:pPr>
        <w:jc w:val="both"/>
        <w:ind w:left="460" w:right="320" w:hanging="452"/>
        <w:spacing w:after="0"/>
        <w:tabs>
          <w:tab w:leader="none" w:pos="4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Amounts in this row represent the gross amount of benefits to be received, without reflecting any federal and/or state income taxes or golden parachute excise taxes payable with respect to such amounts. In addition to the amounts set forth in the row, Mr. Maffeo would also be entitled to be paid for any unused comprehensive leave time he had accrued.</w:t>
      </w:r>
    </w:p>
    <w:p>
      <w:pPr>
        <w:spacing w:after="0" w:line="118" w:lineRule="exact"/>
        <w:rPr>
          <w:sz w:val="20"/>
          <w:szCs w:val="20"/>
          <w:color w:val="auto"/>
        </w:rPr>
      </w:pPr>
    </w:p>
    <w:p>
      <w:pPr>
        <w:jc w:val="right"/>
        <w:spacing w:after="0"/>
        <w:tabs>
          <w:tab w:leader="none" w:pos="380" w:val="left"/>
          <w:tab w:leader="none" w:pos="160" w:val="left"/>
        </w:tabs>
        <w:rPr>
          <w:sz w:val="20"/>
          <w:szCs w:val="20"/>
          <w:color w:val="auto"/>
        </w:rPr>
      </w:pPr>
      <w:r>
        <w:rPr>
          <w:rFonts w:ascii="Arial" w:cs="Arial" w:eastAsia="Arial" w:hAnsi="Arial"/>
          <w:sz w:val="16"/>
          <w:szCs w:val="16"/>
          <w:b w:val="1"/>
          <w:bCs w:val="1"/>
          <w:color w:val="483E65"/>
        </w:rPr>
        <w:t>2017 Proxy Statement</w:t>
        <w:tab/>
        <w:t>|</w:t>
        <w:tab/>
        <w:t>51</w:t>
      </w:r>
    </w:p>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8" w:lineRule="exact"/>
        <w:rPr>
          <w:sz w:val="20"/>
          <w:szCs w:val="20"/>
          <w:color w:val="auto"/>
        </w:rPr>
      </w:pPr>
    </w:p>
    <w:p>
      <w:pPr>
        <w:spacing w:after="0"/>
        <w:rPr>
          <w:sz w:val="20"/>
          <w:szCs w:val="20"/>
          <w:color w:val="auto"/>
        </w:rPr>
      </w:pPr>
      <w:r>
        <w:rPr>
          <w:rFonts w:ascii="Arial" w:cs="Arial" w:eastAsia="Arial" w:hAnsi="Arial"/>
          <w:sz w:val="32"/>
          <w:szCs w:val="32"/>
          <w:color w:val="483E65"/>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149860</wp:posOffset>
            </wp:positionV>
            <wp:extent cx="724662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96"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483E65"/>
        </w:rPr>
        <w:t>Ms. Allen</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On August 16, 2016, Sarah Allen’s employment with Leidos was terminated and she received the following severance benefits: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380" w:type="dxa"/>
            <w:vAlign w:val="bottom"/>
            <w:tcBorders>
              <w:bottom w:val="single" w:sz="8" w:color="483E65"/>
            </w:tcBorders>
          </w:tcPr>
          <w:p>
            <w:pPr>
              <w:ind w:left="100"/>
              <w:spacing w:after="0"/>
              <w:rPr>
                <w:sz w:val="20"/>
                <w:szCs w:val="20"/>
                <w:color w:val="auto"/>
              </w:rPr>
            </w:pPr>
            <w:r>
              <w:rPr>
                <w:rFonts w:ascii="Arial" w:cs="Arial" w:eastAsia="Arial" w:hAnsi="Arial"/>
                <w:sz w:val="18"/>
                <w:szCs w:val="18"/>
                <w:color w:val="483E65"/>
              </w:rPr>
              <w:t>Component</w:t>
            </w:r>
          </w:p>
        </w:tc>
        <w:tc>
          <w:tcPr>
            <w:tcW w:w="5040" w:type="dxa"/>
            <w:vAlign w:val="bottom"/>
            <w:tcBorders>
              <w:bottom w:val="single" w:sz="8" w:color="483E65"/>
            </w:tcBorders>
          </w:tcPr>
          <w:p>
            <w:pPr>
              <w:jc w:val="right"/>
              <w:ind w:right="250"/>
              <w:spacing w:after="0"/>
              <w:rPr>
                <w:sz w:val="20"/>
                <w:szCs w:val="20"/>
                <w:color w:val="auto"/>
              </w:rPr>
            </w:pPr>
            <w:r>
              <w:rPr>
                <w:rFonts w:ascii="Arial" w:cs="Arial" w:eastAsia="Arial" w:hAnsi="Arial"/>
                <w:sz w:val="18"/>
                <w:szCs w:val="18"/>
                <w:color w:val="483E65"/>
              </w:rPr>
              <w:t>Amount ($)</w:t>
            </w:r>
          </w:p>
        </w:tc>
      </w:tr>
      <w:tr>
        <w:trPr>
          <w:trHeight w:val="196"/>
        </w:trPr>
        <w:tc>
          <w:tcPr>
            <w:tcW w:w="6380" w:type="dxa"/>
            <w:vAlign w:val="bottom"/>
          </w:tcPr>
          <w:p>
            <w:pPr>
              <w:ind w:left="100"/>
              <w:spacing w:after="0" w:line="196" w:lineRule="exact"/>
              <w:rPr>
                <w:sz w:val="20"/>
                <w:szCs w:val="20"/>
                <w:color w:val="auto"/>
              </w:rPr>
            </w:pPr>
            <w:r>
              <w:rPr>
                <w:rFonts w:ascii="Arial" w:cs="Arial" w:eastAsia="Arial" w:hAnsi="Arial"/>
                <w:sz w:val="18"/>
                <w:szCs w:val="18"/>
                <w:color w:val="auto"/>
              </w:rPr>
              <w:t>Severance (Salary and Bonus)</w:t>
            </w:r>
          </w:p>
        </w:tc>
        <w:tc>
          <w:tcPr>
            <w:tcW w:w="5040" w:type="dxa"/>
            <w:vAlign w:val="bottom"/>
          </w:tcPr>
          <w:p>
            <w:pPr>
              <w:jc w:val="right"/>
              <w:ind w:right="70"/>
              <w:spacing w:after="0" w:line="196" w:lineRule="exact"/>
              <w:rPr>
                <w:sz w:val="20"/>
                <w:szCs w:val="20"/>
                <w:color w:val="auto"/>
              </w:rPr>
            </w:pPr>
            <w:r>
              <w:rPr>
                <w:rFonts w:ascii="Arial" w:cs="Arial" w:eastAsia="Arial" w:hAnsi="Arial"/>
                <w:sz w:val="18"/>
                <w:szCs w:val="18"/>
                <w:color w:val="auto"/>
              </w:rPr>
              <w:t>1,562,400</w:t>
            </w:r>
            <w:r>
              <w:rPr>
                <w:rFonts w:ascii="Arial" w:cs="Arial" w:eastAsia="Arial" w:hAnsi="Arial"/>
                <w:sz w:val="15"/>
                <w:szCs w:val="15"/>
                <w:color w:val="auto"/>
              </w:rPr>
              <w:t>(1)</w:t>
            </w:r>
          </w:p>
        </w:tc>
      </w:tr>
      <w:tr>
        <w:trPr>
          <w:trHeight w:val="203"/>
        </w:trPr>
        <w:tc>
          <w:tcPr>
            <w:tcW w:w="6380" w:type="dxa"/>
            <w:vAlign w:val="bottom"/>
            <w:shd w:val="clear" w:color="auto" w:fill="ACABA7"/>
          </w:tcPr>
          <w:p>
            <w:pPr>
              <w:ind w:left="100"/>
              <w:spacing w:after="0" w:line="202" w:lineRule="exact"/>
              <w:rPr>
                <w:sz w:val="20"/>
                <w:szCs w:val="20"/>
                <w:color w:val="auto"/>
              </w:rPr>
            </w:pPr>
            <w:r>
              <w:rPr>
                <w:rFonts w:ascii="Arial" w:cs="Arial" w:eastAsia="Arial" w:hAnsi="Arial"/>
                <w:sz w:val="18"/>
                <w:szCs w:val="18"/>
                <w:color w:val="auto"/>
              </w:rPr>
              <w:t>Pro-rata Bonus</w:t>
            </w:r>
          </w:p>
        </w:tc>
        <w:tc>
          <w:tcPr>
            <w:tcW w:w="5040" w:type="dxa"/>
            <w:vAlign w:val="bottom"/>
            <w:shd w:val="clear" w:color="auto" w:fill="ACABA7"/>
          </w:tcPr>
          <w:p>
            <w:pPr>
              <w:jc w:val="right"/>
              <w:ind w:right="70"/>
              <w:spacing w:after="0" w:line="202" w:lineRule="exact"/>
              <w:rPr>
                <w:sz w:val="20"/>
                <w:szCs w:val="20"/>
                <w:color w:val="auto"/>
              </w:rPr>
            </w:pPr>
            <w:r>
              <w:rPr>
                <w:rFonts w:ascii="Arial" w:cs="Arial" w:eastAsia="Arial" w:hAnsi="Arial"/>
                <w:sz w:val="18"/>
                <w:szCs w:val="18"/>
                <w:color w:val="auto"/>
              </w:rPr>
              <w:t>148,044</w:t>
            </w:r>
            <w:r>
              <w:rPr>
                <w:rFonts w:ascii="Arial" w:cs="Arial" w:eastAsia="Arial" w:hAnsi="Arial"/>
                <w:sz w:val="15"/>
                <w:szCs w:val="15"/>
                <w:color w:val="auto"/>
              </w:rPr>
              <w:t>(1)</w:t>
            </w:r>
          </w:p>
        </w:tc>
      </w:tr>
      <w:tr>
        <w:trPr>
          <w:trHeight w:val="203"/>
        </w:trPr>
        <w:tc>
          <w:tcPr>
            <w:tcW w:w="6380" w:type="dxa"/>
            <w:vAlign w:val="bottom"/>
          </w:tcPr>
          <w:p>
            <w:pPr>
              <w:ind w:left="100"/>
              <w:spacing w:after="0" w:line="202" w:lineRule="exact"/>
              <w:rPr>
                <w:sz w:val="20"/>
                <w:szCs w:val="20"/>
                <w:color w:val="auto"/>
              </w:rPr>
            </w:pPr>
            <w:r>
              <w:rPr>
                <w:rFonts w:ascii="Arial" w:cs="Arial" w:eastAsia="Arial" w:hAnsi="Arial"/>
                <w:sz w:val="18"/>
                <w:szCs w:val="18"/>
                <w:color w:val="auto"/>
              </w:rPr>
              <w:t>Performance Share Awards</w:t>
            </w:r>
          </w:p>
        </w:tc>
        <w:tc>
          <w:tcPr>
            <w:tcW w:w="5040" w:type="dxa"/>
            <w:vAlign w:val="bottom"/>
          </w:tcPr>
          <w:p>
            <w:pPr>
              <w:jc w:val="right"/>
              <w:ind w:right="250"/>
              <w:spacing w:after="0" w:line="202" w:lineRule="exact"/>
              <w:rPr>
                <w:sz w:val="20"/>
                <w:szCs w:val="20"/>
                <w:color w:val="auto"/>
              </w:rPr>
            </w:pPr>
            <w:r>
              <w:rPr>
                <w:rFonts w:ascii="Arial" w:cs="Arial" w:eastAsia="Arial" w:hAnsi="Arial"/>
                <w:sz w:val="18"/>
                <w:szCs w:val="18"/>
                <w:color w:val="auto"/>
              </w:rPr>
              <w:t>356,946</w:t>
            </w:r>
          </w:p>
        </w:tc>
      </w:tr>
      <w:tr>
        <w:trPr>
          <w:trHeight w:val="203"/>
        </w:trPr>
        <w:tc>
          <w:tcPr>
            <w:tcW w:w="6380" w:type="dxa"/>
            <w:vAlign w:val="bottom"/>
            <w:tcBorders>
              <w:bottom w:val="single" w:sz="8" w:color="483E65"/>
            </w:tcBorders>
            <w:shd w:val="clear" w:color="auto" w:fill="ACABA7"/>
          </w:tcPr>
          <w:p>
            <w:pPr>
              <w:ind w:left="100"/>
              <w:spacing w:after="0" w:line="202" w:lineRule="exact"/>
              <w:rPr>
                <w:sz w:val="20"/>
                <w:szCs w:val="20"/>
                <w:color w:val="auto"/>
              </w:rPr>
            </w:pPr>
            <w:r>
              <w:rPr>
                <w:rFonts w:ascii="Arial" w:cs="Arial" w:eastAsia="Arial" w:hAnsi="Arial"/>
                <w:sz w:val="18"/>
                <w:szCs w:val="18"/>
                <w:color w:val="auto"/>
              </w:rPr>
              <w:t>Additional Severance Payment</w:t>
            </w:r>
          </w:p>
        </w:tc>
        <w:tc>
          <w:tcPr>
            <w:tcW w:w="5040" w:type="dxa"/>
            <w:vAlign w:val="bottom"/>
            <w:tcBorders>
              <w:bottom w:val="single" w:sz="8" w:color="483E65"/>
            </w:tcBorders>
            <w:shd w:val="clear" w:color="auto" w:fill="ACABA7"/>
          </w:tcPr>
          <w:p>
            <w:pPr>
              <w:jc w:val="right"/>
              <w:ind w:right="250"/>
              <w:spacing w:after="0" w:line="202" w:lineRule="exact"/>
              <w:rPr>
                <w:sz w:val="20"/>
                <w:szCs w:val="20"/>
                <w:color w:val="auto"/>
              </w:rPr>
            </w:pPr>
            <w:r>
              <w:rPr>
                <w:rFonts w:ascii="Arial" w:cs="Arial" w:eastAsia="Arial" w:hAnsi="Arial"/>
                <w:sz w:val="18"/>
                <w:szCs w:val="18"/>
                <w:color w:val="auto"/>
              </w:rPr>
              <w:t>1,350,000</w:t>
            </w:r>
          </w:p>
        </w:tc>
      </w:tr>
      <w:tr>
        <w:trPr>
          <w:trHeight w:val="210"/>
        </w:trPr>
        <w:tc>
          <w:tcPr>
            <w:tcW w:w="6380" w:type="dxa"/>
            <w:vAlign w:val="bottom"/>
          </w:tcPr>
          <w:p>
            <w:pPr>
              <w:ind w:left="100"/>
              <w:spacing w:after="0"/>
              <w:rPr>
                <w:sz w:val="20"/>
                <w:szCs w:val="20"/>
                <w:color w:val="auto"/>
              </w:rPr>
            </w:pPr>
            <w:r>
              <w:rPr>
                <w:rFonts w:ascii="Arial" w:cs="Arial" w:eastAsia="Arial" w:hAnsi="Arial"/>
                <w:sz w:val="18"/>
                <w:szCs w:val="18"/>
                <w:color w:val="auto"/>
              </w:rPr>
              <w:t>Total</w:t>
            </w:r>
          </w:p>
        </w:tc>
        <w:tc>
          <w:tcPr>
            <w:tcW w:w="5040" w:type="dxa"/>
            <w:vAlign w:val="bottom"/>
          </w:tcPr>
          <w:p>
            <w:pPr>
              <w:jc w:val="right"/>
              <w:ind w:right="250"/>
              <w:spacing w:after="0"/>
              <w:rPr>
                <w:sz w:val="20"/>
                <w:szCs w:val="20"/>
                <w:color w:val="auto"/>
              </w:rPr>
            </w:pPr>
            <w:r>
              <w:rPr>
                <w:rFonts w:ascii="Arial" w:cs="Arial" w:eastAsia="Arial" w:hAnsi="Arial"/>
                <w:sz w:val="18"/>
                <w:szCs w:val="18"/>
                <w:color w:val="auto"/>
              </w:rPr>
              <w:t>3,417,389</w:t>
            </w:r>
          </w:p>
        </w:tc>
      </w:tr>
    </w:tbl>
    <w:p>
      <w:pPr>
        <w:spacing w:after="0" w:line="106" w:lineRule="exact"/>
        <w:rPr>
          <w:sz w:val="20"/>
          <w:szCs w:val="20"/>
          <w:color w:val="auto"/>
        </w:rPr>
      </w:pPr>
    </w:p>
    <w:p>
      <w:pPr>
        <w:ind w:left="460" w:hanging="452"/>
        <w:spacing w:after="0"/>
        <w:tabs>
          <w:tab w:leader="none" w:pos="4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These payments were made pursuant to the SPA between Ms. Allen and the company.</w:t>
      </w:r>
    </w:p>
    <w:p>
      <w:pPr>
        <w:spacing w:after="0" w:line="190"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483E65"/>
        </w:rPr>
        <w:t>Mr. Reardon</w:t>
      </w:r>
    </w:p>
    <w:p>
      <w:pPr>
        <w:spacing w:after="0" w:line="234"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We have agreed to provide Mr. Reardon with severance benefits pursuant to the terms of the EMA we entered into with Lockheed Martin prior to the merger Transaction. Under the terms of the EMA, we agreed to maintain the same level of severance benefits offered by Lockheed Martin to Mr. Reardon for a period of one-year following the Transaction. To accomplish this commitment, we adopted the Leidos Innovations Corporation Executive Severance Plan, effective August 18, 2016. The chart below provides the amounts that Mr. Reardon would be entitled to under various termination scenarios.</w:t>
      </w:r>
    </w:p>
    <w:p>
      <w:pPr>
        <w:spacing w:after="0" w:line="181"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483E65"/>
        </w:rPr>
        <w:t>Post-employment Payments — Mr. Reardon</w:t>
      </w:r>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80"/>
        <w:spacing w:after="0"/>
        <w:rPr>
          <w:sz w:val="20"/>
          <w:szCs w:val="20"/>
          <w:color w:val="auto"/>
        </w:rPr>
      </w:pPr>
      <w:r>
        <w:rPr>
          <w:rFonts w:ascii="Arial" w:cs="Arial" w:eastAsia="Arial" w:hAnsi="Arial"/>
          <w:sz w:val="14"/>
          <w:szCs w:val="14"/>
          <w:color w:val="483E65"/>
        </w:rPr>
        <w:t>Executive Payments and</w:t>
      </w:r>
    </w:p>
    <w:p>
      <w:pPr>
        <w:spacing w:after="0" w:line="1" w:lineRule="exact"/>
        <w:rPr>
          <w:sz w:val="20"/>
          <w:szCs w:val="20"/>
          <w:color w:val="auto"/>
        </w:rPr>
      </w:pPr>
    </w:p>
    <w:p>
      <w:pPr>
        <w:ind w:left="80"/>
        <w:spacing w:after="0"/>
        <w:rPr>
          <w:sz w:val="20"/>
          <w:szCs w:val="20"/>
          <w:color w:val="auto"/>
        </w:rPr>
      </w:pPr>
      <w:r>
        <w:rPr>
          <w:rFonts w:ascii="Arial" w:cs="Arial" w:eastAsia="Arial" w:hAnsi="Arial"/>
          <w:sz w:val="14"/>
          <w:szCs w:val="14"/>
          <w:color w:val="483E65"/>
        </w:rPr>
        <w:t>Benefits upon Termination or</w:t>
      </w:r>
    </w:p>
    <w:p>
      <w:pPr>
        <w:spacing w:after="0" w:line="1" w:lineRule="exact"/>
        <w:rPr>
          <w:sz w:val="20"/>
          <w:szCs w:val="20"/>
          <w:color w:val="auto"/>
        </w:rPr>
      </w:pPr>
    </w:p>
    <w:p>
      <w:pPr>
        <w:ind w:left="80"/>
        <w:spacing w:after="0"/>
        <w:rPr>
          <w:sz w:val="20"/>
          <w:szCs w:val="20"/>
          <w:color w:val="auto"/>
        </w:rPr>
      </w:pPr>
      <w:r>
        <w:rPr>
          <w:rFonts w:ascii="Arial" w:cs="Arial" w:eastAsia="Arial" w:hAnsi="Arial"/>
          <w:sz w:val="14"/>
          <w:szCs w:val="14"/>
          <w:color w:val="483E65"/>
        </w:rPr>
        <w:t>Change in Control</w:t>
      </w:r>
    </w:p>
    <w:p>
      <w:pPr>
        <w:spacing w:after="0" w:line="20" w:lineRule="exact"/>
        <w:rPr>
          <w:sz w:val="20"/>
          <w:szCs w:val="20"/>
          <w:color w:val="auto"/>
        </w:rPr>
      </w:pPr>
      <w:r>
        <w:rPr>
          <w:sz w:val="20"/>
          <w:szCs w:val="20"/>
          <w:color w:val="auto"/>
        </w:rPr>
        <w:br w:type="column"/>
      </w:r>
    </w:p>
    <w:p>
      <w:pPr>
        <w:spacing w:after="0" w:line="24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300" w:type="dxa"/>
            <w:vAlign w:val="bottom"/>
          </w:tcPr>
          <w:p>
            <w:pPr>
              <w:spacing w:after="0"/>
              <w:rPr>
                <w:sz w:val="13"/>
                <w:szCs w:val="13"/>
                <w:color w:val="auto"/>
              </w:rPr>
            </w:pPr>
          </w:p>
        </w:tc>
        <w:tc>
          <w:tcPr>
            <w:tcW w:w="3540" w:type="dxa"/>
            <w:vAlign w:val="bottom"/>
            <w:tcBorders>
              <w:bottom w:val="single" w:sz="8" w:color="483E65"/>
            </w:tcBorders>
            <w:gridSpan w:val="4"/>
          </w:tcPr>
          <w:p>
            <w:pPr>
              <w:ind w:left="540"/>
              <w:spacing w:after="0"/>
              <w:rPr>
                <w:sz w:val="20"/>
                <w:szCs w:val="20"/>
                <w:color w:val="auto"/>
              </w:rPr>
            </w:pPr>
            <w:r>
              <w:rPr>
                <w:rFonts w:ascii="Arial" w:cs="Arial" w:eastAsia="Arial" w:hAnsi="Arial"/>
                <w:sz w:val="14"/>
                <w:szCs w:val="14"/>
                <w:color w:val="483E65"/>
              </w:rPr>
              <w:t>Involuntary Termination/ Good Reason</w:t>
            </w:r>
          </w:p>
        </w:tc>
        <w:tc>
          <w:tcPr>
            <w:tcW w:w="1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3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80" w:type="dxa"/>
            <w:vAlign w:val="bottom"/>
          </w:tcPr>
          <w:p>
            <w:pPr>
              <w:jc w:val="center"/>
              <w:spacing w:after="0"/>
              <w:rPr>
                <w:sz w:val="20"/>
                <w:szCs w:val="20"/>
                <w:color w:val="auto"/>
              </w:rPr>
            </w:pPr>
            <w:r>
              <w:rPr>
                <w:rFonts w:ascii="Arial" w:cs="Arial" w:eastAsia="Arial" w:hAnsi="Arial"/>
                <w:sz w:val="14"/>
                <w:szCs w:val="14"/>
                <w:color w:val="483E65"/>
              </w:rPr>
              <w:t>With Change in</w:t>
            </w:r>
          </w:p>
        </w:tc>
        <w:tc>
          <w:tcPr>
            <w:tcW w:w="1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300" w:type="dxa"/>
            <w:vAlign w:val="bottom"/>
          </w:tcPr>
          <w:p>
            <w:pPr>
              <w:spacing w:after="0"/>
              <w:rPr>
                <w:sz w:val="13"/>
                <w:szCs w:val="13"/>
                <w:color w:val="auto"/>
              </w:rPr>
            </w:pPr>
          </w:p>
        </w:tc>
        <w:tc>
          <w:tcPr>
            <w:tcW w:w="2240" w:type="dxa"/>
            <w:vAlign w:val="bottom"/>
            <w:tcBorders>
              <w:bottom w:val="single" w:sz="8" w:color="483E65"/>
            </w:tcBorders>
            <w:gridSpan w:val="2"/>
          </w:tcPr>
          <w:p>
            <w:pPr>
              <w:ind w:left="280"/>
              <w:spacing w:after="0" w:line="157" w:lineRule="exact"/>
              <w:rPr>
                <w:sz w:val="20"/>
                <w:szCs w:val="20"/>
                <w:color w:val="auto"/>
              </w:rPr>
            </w:pPr>
            <w:r>
              <w:rPr>
                <w:rFonts w:ascii="Arial" w:cs="Arial" w:eastAsia="Arial" w:hAnsi="Arial"/>
                <w:sz w:val="14"/>
                <w:szCs w:val="14"/>
                <w:color w:val="483E65"/>
              </w:rPr>
              <w:t>Without Change in Control</w:t>
            </w:r>
          </w:p>
        </w:tc>
        <w:tc>
          <w:tcPr>
            <w:tcW w:w="320" w:type="dxa"/>
            <w:vAlign w:val="bottom"/>
          </w:tcPr>
          <w:p>
            <w:pPr>
              <w:spacing w:after="0"/>
              <w:rPr>
                <w:sz w:val="13"/>
                <w:szCs w:val="13"/>
                <w:color w:val="auto"/>
              </w:rPr>
            </w:pPr>
          </w:p>
        </w:tc>
        <w:tc>
          <w:tcPr>
            <w:tcW w:w="980" w:type="dxa"/>
            <w:vAlign w:val="bottom"/>
            <w:tcBorders>
              <w:bottom w:val="single" w:sz="8" w:color="483E65"/>
            </w:tcBorders>
          </w:tcPr>
          <w:p>
            <w:pPr>
              <w:jc w:val="center"/>
              <w:spacing w:after="0" w:line="157" w:lineRule="exact"/>
              <w:rPr>
                <w:sz w:val="20"/>
                <w:szCs w:val="20"/>
                <w:color w:val="auto"/>
              </w:rPr>
            </w:pPr>
            <w:r>
              <w:rPr>
                <w:rFonts w:ascii="Arial" w:cs="Arial" w:eastAsia="Arial" w:hAnsi="Arial"/>
                <w:sz w:val="14"/>
                <w:szCs w:val="14"/>
                <w:color w:val="483E65"/>
              </w:rPr>
              <w:t>Control</w:t>
            </w:r>
          </w:p>
        </w:tc>
        <w:tc>
          <w:tcPr>
            <w:tcW w:w="1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3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500" w:type="dxa"/>
            <w:vAlign w:val="bottom"/>
            <w:gridSpan w:val="2"/>
          </w:tcPr>
          <w:p>
            <w:pPr>
              <w:jc w:val="center"/>
              <w:ind w:right="160"/>
              <w:spacing w:after="0"/>
              <w:rPr>
                <w:sz w:val="20"/>
                <w:szCs w:val="20"/>
                <w:color w:val="auto"/>
              </w:rPr>
            </w:pPr>
            <w:r>
              <w:rPr>
                <w:rFonts w:ascii="Arial" w:cs="Arial" w:eastAsia="Arial" w:hAnsi="Arial"/>
                <w:sz w:val="14"/>
                <w:szCs w:val="14"/>
                <w:color w:val="483E65"/>
              </w:rPr>
              <w:t>Without</w:t>
            </w:r>
          </w:p>
        </w:tc>
        <w:tc>
          <w:tcPr>
            <w:tcW w:w="980" w:type="dxa"/>
            <w:vAlign w:val="bottom"/>
            <w:vMerge w:val="restart"/>
          </w:tcPr>
          <w:p>
            <w:pPr>
              <w:jc w:val="center"/>
              <w:spacing w:after="0"/>
              <w:rPr>
                <w:sz w:val="20"/>
                <w:szCs w:val="20"/>
                <w:color w:val="auto"/>
              </w:rPr>
            </w:pPr>
            <w:r>
              <w:rPr>
                <w:rFonts w:ascii="Arial" w:cs="Arial" w:eastAsia="Arial" w:hAnsi="Arial"/>
                <w:sz w:val="14"/>
                <w:szCs w:val="14"/>
                <w:color w:val="483E65"/>
              </w:rPr>
              <w:t>New Change</w:t>
            </w:r>
          </w:p>
        </w:tc>
        <w:tc>
          <w:tcPr>
            <w:tcW w:w="1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1300" w:type="dxa"/>
            <w:vAlign w:val="bottom"/>
          </w:tcPr>
          <w:p>
            <w:pPr>
              <w:jc w:val="center"/>
              <w:ind w:right="268"/>
              <w:spacing w:after="0" w:line="141" w:lineRule="exact"/>
              <w:rPr>
                <w:sz w:val="20"/>
                <w:szCs w:val="20"/>
                <w:color w:val="auto"/>
              </w:rPr>
            </w:pPr>
            <w:r>
              <w:rPr>
                <w:rFonts w:ascii="Arial" w:cs="Arial" w:eastAsia="Arial" w:hAnsi="Arial"/>
                <w:sz w:val="14"/>
                <w:szCs w:val="14"/>
                <w:color w:val="483E65"/>
              </w:rPr>
              <w:t>Voluntary</w:t>
            </w:r>
          </w:p>
        </w:tc>
        <w:tc>
          <w:tcPr>
            <w:tcW w:w="1060" w:type="dxa"/>
            <w:vAlign w:val="bottom"/>
          </w:tcPr>
          <w:p>
            <w:pPr>
              <w:spacing w:after="0"/>
              <w:rPr>
                <w:sz w:val="12"/>
                <w:szCs w:val="12"/>
                <w:color w:val="auto"/>
              </w:rPr>
            </w:pPr>
          </w:p>
        </w:tc>
        <w:tc>
          <w:tcPr>
            <w:tcW w:w="1500" w:type="dxa"/>
            <w:vAlign w:val="bottom"/>
            <w:gridSpan w:val="2"/>
          </w:tcPr>
          <w:p>
            <w:pPr>
              <w:jc w:val="center"/>
              <w:ind w:right="160"/>
              <w:spacing w:after="0" w:line="141" w:lineRule="exact"/>
              <w:rPr>
                <w:sz w:val="20"/>
                <w:szCs w:val="20"/>
                <w:color w:val="auto"/>
              </w:rPr>
            </w:pPr>
            <w:r>
              <w:rPr>
                <w:rFonts w:ascii="Arial" w:cs="Arial" w:eastAsia="Arial" w:hAnsi="Arial"/>
                <w:sz w:val="14"/>
                <w:szCs w:val="14"/>
                <w:color w:val="483E65"/>
              </w:rPr>
              <w:t>Cause/for Good</w:t>
            </w:r>
          </w:p>
        </w:tc>
        <w:tc>
          <w:tcPr>
            <w:tcW w:w="980" w:type="dxa"/>
            <w:vAlign w:val="bottom"/>
            <w:vMerge w:val="continue"/>
          </w:tcPr>
          <w:p>
            <w:pPr>
              <w:spacing w:after="0"/>
              <w:rPr>
                <w:sz w:val="12"/>
                <w:szCs w:val="12"/>
                <w:color w:val="auto"/>
              </w:rPr>
            </w:pPr>
          </w:p>
        </w:tc>
        <w:tc>
          <w:tcPr>
            <w:tcW w:w="1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1300" w:type="dxa"/>
            <w:vAlign w:val="bottom"/>
          </w:tcPr>
          <w:p>
            <w:pPr>
              <w:jc w:val="center"/>
              <w:ind w:right="268"/>
              <w:spacing w:after="0"/>
              <w:rPr>
                <w:sz w:val="20"/>
                <w:szCs w:val="20"/>
                <w:color w:val="auto"/>
              </w:rPr>
            </w:pPr>
            <w:r>
              <w:rPr>
                <w:rFonts w:ascii="Arial" w:cs="Arial" w:eastAsia="Arial" w:hAnsi="Arial"/>
                <w:sz w:val="14"/>
                <w:szCs w:val="14"/>
                <w:color w:val="483E65"/>
              </w:rPr>
              <w:t>Termination ($)</w:t>
            </w:r>
          </w:p>
        </w:tc>
        <w:tc>
          <w:tcPr>
            <w:tcW w:w="1060" w:type="dxa"/>
            <w:vAlign w:val="bottom"/>
          </w:tcPr>
          <w:p>
            <w:pPr>
              <w:spacing w:after="0"/>
              <w:rPr>
                <w:sz w:val="20"/>
                <w:szCs w:val="20"/>
                <w:color w:val="auto"/>
              </w:rPr>
            </w:pPr>
            <w:r>
              <w:rPr>
                <w:rFonts w:ascii="Arial" w:cs="Arial" w:eastAsia="Arial" w:hAnsi="Arial"/>
                <w:sz w:val="14"/>
                <w:szCs w:val="14"/>
                <w:color w:val="483E65"/>
              </w:rPr>
              <w:t>For Cause ($)</w:t>
            </w:r>
          </w:p>
        </w:tc>
        <w:tc>
          <w:tcPr>
            <w:tcW w:w="1500" w:type="dxa"/>
            <w:vAlign w:val="bottom"/>
            <w:gridSpan w:val="2"/>
          </w:tcPr>
          <w:p>
            <w:pPr>
              <w:jc w:val="center"/>
              <w:ind w:right="160"/>
              <w:spacing w:after="0" w:line="179" w:lineRule="exact"/>
              <w:rPr>
                <w:sz w:val="20"/>
                <w:szCs w:val="20"/>
                <w:color w:val="auto"/>
              </w:rPr>
            </w:pPr>
            <w:r>
              <w:rPr>
                <w:rFonts w:ascii="Arial" w:cs="Arial" w:eastAsia="Arial" w:hAnsi="Arial"/>
                <w:sz w:val="12"/>
                <w:szCs w:val="12"/>
                <w:color w:val="483E65"/>
              </w:rPr>
              <w:t>Reason ($)</w:t>
            </w:r>
            <w:r>
              <w:rPr>
                <w:rFonts w:ascii="Arial" w:cs="Arial" w:eastAsia="Arial" w:hAnsi="Arial"/>
                <w:sz w:val="20"/>
                <w:szCs w:val="20"/>
                <w:color w:val="483E65"/>
                <w:vertAlign w:val="superscript"/>
              </w:rPr>
              <w:t>(1)</w:t>
            </w:r>
          </w:p>
        </w:tc>
        <w:tc>
          <w:tcPr>
            <w:tcW w:w="980" w:type="dxa"/>
            <w:vAlign w:val="bottom"/>
          </w:tcPr>
          <w:p>
            <w:pPr>
              <w:jc w:val="center"/>
              <w:spacing w:after="0" w:line="179" w:lineRule="exact"/>
              <w:rPr>
                <w:sz w:val="20"/>
                <w:szCs w:val="20"/>
                <w:color w:val="auto"/>
              </w:rPr>
            </w:pPr>
            <w:r>
              <w:rPr>
                <w:rFonts w:ascii="Arial" w:cs="Arial" w:eastAsia="Arial" w:hAnsi="Arial"/>
                <w:sz w:val="12"/>
                <w:szCs w:val="12"/>
                <w:color w:val="483E65"/>
              </w:rPr>
              <w:t>in Control ($)</w:t>
            </w:r>
            <w:r>
              <w:rPr>
                <w:rFonts w:ascii="Arial" w:cs="Arial" w:eastAsia="Arial" w:hAnsi="Arial"/>
                <w:sz w:val="20"/>
                <w:szCs w:val="20"/>
                <w:color w:val="483E65"/>
                <w:vertAlign w:val="superscript"/>
              </w:rPr>
              <w:t>(2)</w:t>
            </w:r>
          </w:p>
        </w:tc>
        <w:tc>
          <w:tcPr>
            <w:tcW w:w="1280" w:type="dxa"/>
            <w:vAlign w:val="bottom"/>
          </w:tcPr>
          <w:p>
            <w:pPr>
              <w:ind w:left="460"/>
              <w:spacing w:after="0"/>
              <w:rPr>
                <w:sz w:val="20"/>
                <w:szCs w:val="20"/>
                <w:color w:val="auto"/>
              </w:rPr>
            </w:pPr>
            <w:r>
              <w:rPr>
                <w:rFonts w:ascii="Arial" w:cs="Arial" w:eastAsia="Arial" w:hAnsi="Arial"/>
                <w:sz w:val="14"/>
                <w:szCs w:val="14"/>
                <w:color w:val="483E65"/>
              </w:rPr>
              <w:t>Death ($)</w:t>
            </w:r>
          </w:p>
        </w:tc>
        <w:tc>
          <w:tcPr>
            <w:tcW w:w="980" w:type="dxa"/>
            <w:vAlign w:val="bottom"/>
          </w:tcPr>
          <w:p>
            <w:pPr>
              <w:ind w:left="200"/>
              <w:spacing w:after="0"/>
              <w:rPr>
                <w:sz w:val="20"/>
                <w:szCs w:val="20"/>
                <w:color w:val="auto"/>
              </w:rPr>
            </w:pPr>
            <w:r>
              <w:rPr>
                <w:rFonts w:ascii="Arial" w:cs="Arial" w:eastAsia="Arial" w:hAnsi="Arial"/>
                <w:sz w:val="14"/>
                <w:szCs w:val="14"/>
                <w:color w:val="483E65"/>
                <w:w w:val="98"/>
              </w:rPr>
              <w:t>Disability ($)</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2">
            <w:col w:w="3460" w:space="720"/>
            <w:col w:w="7240"/>
          </w:cols>
          <w:pgMar w:left="240" w:top="459" w:right="239" w:bottom="1440" w:gutter="0" w:footer="0" w:header="0"/>
          <w:type w:val="continuous"/>
        </w:sectPr>
      </w:pPr>
    </w:p>
    <w:tbl>
      <w:tblPr>
        <w:tblLayout w:type="fixed"/>
        <w:tblInd w:w="0" w:type="dxa"/>
        <w:tblCellMar>
          <w:top w:w="0" w:type="dxa"/>
          <w:left w:w="0" w:type="dxa"/>
          <w:bottom w:w="0" w:type="dxa"/>
          <w:right w:w="0" w:type="dxa"/>
        </w:tblCellMar>
      </w:tblPr>
      <w:tr>
        <w:trPr>
          <w:trHeight w:val="196"/>
        </w:trPr>
        <w:tc>
          <w:tcPr>
            <w:tcW w:w="3840" w:type="dxa"/>
            <w:vAlign w:val="bottom"/>
            <w:tcBorders>
              <w:top w:val="single" w:sz="8" w:color="483E65"/>
            </w:tcBorders>
          </w:tcPr>
          <w:p>
            <w:pPr>
              <w:ind w:left="80"/>
              <w:spacing w:after="0" w:line="196" w:lineRule="exact"/>
              <w:rPr>
                <w:sz w:val="20"/>
                <w:szCs w:val="20"/>
                <w:color w:val="auto"/>
              </w:rPr>
            </w:pPr>
            <w:r>
              <w:rPr>
                <w:rFonts w:ascii="Arial" w:cs="Arial" w:eastAsia="Arial" w:hAnsi="Arial"/>
                <w:sz w:val="18"/>
                <w:szCs w:val="18"/>
                <w:b w:val="1"/>
                <w:bCs w:val="1"/>
                <w:color w:val="auto"/>
              </w:rPr>
              <w:t>Compensation:</w:t>
            </w:r>
          </w:p>
        </w:tc>
        <w:tc>
          <w:tcPr>
            <w:tcW w:w="1840" w:type="dxa"/>
            <w:vAlign w:val="bottom"/>
            <w:tcBorders>
              <w:top w:val="single" w:sz="8" w:color="483E65"/>
            </w:tcBorders>
          </w:tcPr>
          <w:p>
            <w:pPr>
              <w:spacing w:after="0"/>
              <w:rPr>
                <w:sz w:val="17"/>
                <w:szCs w:val="17"/>
                <w:color w:val="auto"/>
              </w:rPr>
            </w:pPr>
          </w:p>
        </w:tc>
        <w:tc>
          <w:tcPr>
            <w:tcW w:w="960" w:type="dxa"/>
            <w:vAlign w:val="bottom"/>
            <w:tcBorders>
              <w:top w:val="single" w:sz="8" w:color="483E65"/>
            </w:tcBorders>
          </w:tcPr>
          <w:p>
            <w:pPr>
              <w:spacing w:after="0"/>
              <w:rPr>
                <w:sz w:val="17"/>
                <w:szCs w:val="17"/>
                <w:color w:val="auto"/>
              </w:rPr>
            </w:pPr>
          </w:p>
        </w:tc>
        <w:tc>
          <w:tcPr>
            <w:tcW w:w="1340" w:type="dxa"/>
            <w:vAlign w:val="bottom"/>
            <w:tcBorders>
              <w:top w:val="single" w:sz="8" w:color="483E65"/>
            </w:tcBorders>
          </w:tcPr>
          <w:p>
            <w:pPr>
              <w:spacing w:after="0"/>
              <w:rPr>
                <w:sz w:val="17"/>
                <w:szCs w:val="17"/>
                <w:color w:val="auto"/>
              </w:rPr>
            </w:pPr>
          </w:p>
        </w:tc>
        <w:tc>
          <w:tcPr>
            <w:tcW w:w="1240" w:type="dxa"/>
            <w:vAlign w:val="bottom"/>
            <w:tcBorders>
              <w:top w:val="single" w:sz="8" w:color="483E65"/>
            </w:tcBorders>
          </w:tcPr>
          <w:p>
            <w:pPr>
              <w:spacing w:after="0"/>
              <w:rPr>
                <w:sz w:val="17"/>
                <w:szCs w:val="17"/>
                <w:color w:val="auto"/>
              </w:rPr>
            </w:pPr>
          </w:p>
        </w:tc>
        <w:tc>
          <w:tcPr>
            <w:tcW w:w="1160" w:type="dxa"/>
            <w:vAlign w:val="bottom"/>
            <w:tcBorders>
              <w:top w:val="single" w:sz="8" w:color="483E65"/>
            </w:tcBorders>
          </w:tcPr>
          <w:p>
            <w:pPr>
              <w:spacing w:after="0"/>
              <w:rPr>
                <w:sz w:val="17"/>
                <w:szCs w:val="17"/>
                <w:color w:val="auto"/>
              </w:rPr>
            </w:pPr>
          </w:p>
        </w:tc>
        <w:tc>
          <w:tcPr>
            <w:tcW w:w="1040" w:type="dxa"/>
            <w:vAlign w:val="bottom"/>
            <w:tcBorders>
              <w:top w:val="single" w:sz="8" w:color="483E65"/>
            </w:tcBorders>
          </w:tcPr>
          <w:p>
            <w:pPr>
              <w:spacing w:after="0"/>
              <w:rPr>
                <w:sz w:val="17"/>
                <w:szCs w:val="17"/>
                <w:color w:val="auto"/>
              </w:rPr>
            </w:pPr>
          </w:p>
        </w:tc>
      </w:tr>
      <w:tr>
        <w:trPr>
          <w:trHeight w:val="203"/>
        </w:trPr>
        <w:tc>
          <w:tcPr>
            <w:tcW w:w="3840" w:type="dxa"/>
            <w:vAlign w:val="bottom"/>
            <w:shd w:val="clear" w:color="auto" w:fill="ACABA7"/>
          </w:tcPr>
          <w:p>
            <w:pPr>
              <w:ind w:left="80"/>
              <w:spacing w:after="0" w:line="202" w:lineRule="exact"/>
              <w:rPr>
                <w:sz w:val="20"/>
                <w:szCs w:val="20"/>
                <w:color w:val="auto"/>
              </w:rPr>
            </w:pPr>
            <w:r>
              <w:rPr>
                <w:rFonts w:ascii="Arial" w:cs="Arial" w:eastAsia="Arial" w:hAnsi="Arial"/>
                <w:sz w:val="18"/>
                <w:szCs w:val="18"/>
                <w:color w:val="auto"/>
              </w:rPr>
              <w:t>Severance (Salary and Bonus)</w:t>
            </w:r>
            <w:r>
              <w:rPr>
                <w:rFonts w:ascii="Arial" w:cs="Arial" w:eastAsia="Arial" w:hAnsi="Arial"/>
                <w:sz w:val="15"/>
                <w:szCs w:val="15"/>
                <w:color w:val="auto"/>
              </w:rPr>
              <w:t>(3)</w:t>
            </w:r>
          </w:p>
        </w:tc>
        <w:tc>
          <w:tcPr>
            <w:tcW w:w="1840" w:type="dxa"/>
            <w:vAlign w:val="bottom"/>
            <w:shd w:val="clear" w:color="auto" w:fill="ACABA7"/>
          </w:tcPr>
          <w:p>
            <w:pPr>
              <w:jc w:val="right"/>
              <w:ind w:right="430"/>
              <w:spacing w:after="0" w:line="202" w:lineRule="exact"/>
              <w:rPr>
                <w:sz w:val="20"/>
                <w:szCs w:val="20"/>
                <w:color w:val="auto"/>
              </w:rPr>
            </w:pPr>
            <w:r>
              <w:rPr>
                <w:rFonts w:ascii="Arial" w:cs="Arial" w:eastAsia="Arial" w:hAnsi="Arial"/>
                <w:sz w:val="18"/>
                <w:szCs w:val="18"/>
                <w:color w:val="auto"/>
              </w:rPr>
              <w:t>—</w:t>
            </w:r>
          </w:p>
        </w:tc>
        <w:tc>
          <w:tcPr>
            <w:tcW w:w="960" w:type="dxa"/>
            <w:vAlign w:val="bottom"/>
            <w:shd w:val="clear" w:color="auto" w:fill="ACABA7"/>
          </w:tcPr>
          <w:p>
            <w:pPr>
              <w:jc w:val="right"/>
              <w:ind w:right="190"/>
              <w:spacing w:after="0" w:line="202" w:lineRule="exact"/>
              <w:rPr>
                <w:sz w:val="20"/>
                <w:szCs w:val="20"/>
                <w:color w:val="auto"/>
              </w:rPr>
            </w:pPr>
            <w:r>
              <w:rPr>
                <w:rFonts w:ascii="Arial" w:cs="Arial" w:eastAsia="Arial" w:hAnsi="Arial"/>
                <w:sz w:val="18"/>
                <w:szCs w:val="18"/>
                <w:color w:val="auto"/>
              </w:rPr>
              <w:t>—</w:t>
            </w:r>
          </w:p>
        </w:tc>
        <w:tc>
          <w:tcPr>
            <w:tcW w:w="1340" w:type="dxa"/>
            <w:vAlign w:val="bottom"/>
            <w:shd w:val="clear" w:color="auto" w:fill="ACABA7"/>
          </w:tcPr>
          <w:p>
            <w:pPr>
              <w:jc w:val="right"/>
              <w:ind w:right="170"/>
              <w:spacing w:after="0" w:line="202" w:lineRule="exact"/>
              <w:rPr>
                <w:sz w:val="20"/>
                <w:szCs w:val="20"/>
                <w:color w:val="auto"/>
              </w:rPr>
            </w:pPr>
            <w:r>
              <w:rPr>
                <w:rFonts w:ascii="Arial" w:cs="Arial" w:eastAsia="Arial" w:hAnsi="Arial"/>
                <w:sz w:val="18"/>
                <w:szCs w:val="18"/>
                <w:color w:val="auto"/>
              </w:rPr>
              <w:t>817,077</w:t>
            </w:r>
          </w:p>
        </w:tc>
        <w:tc>
          <w:tcPr>
            <w:tcW w:w="1240" w:type="dxa"/>
            <w:vAlign w:val="bottom"/>
            <w:shd w:val="clear" w:color="auto" w:fill="ACABA7"/>
          </w:tcPr>
          <w:p>
            <w:pPr>
              <w:jc w:val="right"/>
              <w:ind w:right="110"/>
              <w:spacing w:after="0" w:line="202" w:lineRule="exact"/>
              <w:rPr>
                <w:sz w:val="20"/>
                <w:szCs w:val="20"/>
                <w:color w:val="auto"/>
              </w:rPr>
            </w:pPr>
            <w:r>
              <w:rPr>
                <w:rFonts w:ascii="Arial" w:cs="Arial" w:eastAsia="Arial" w:hAnsi="Arial"/>
                <w:sz w:val="18"/>
                <w:szCs w:val="18"/>
                <w:color w:val="auto"/>
              </w:rPr>
              <w:t>817,077</w:t>
            </w:r>
          </w:p>
        </w:tc>
        <w:tc>
          <w:tcPr>
            <w:tcW w:w="1160" w:type="dxa"/>
            <w:vAlign w:val="bottom"/>
            <w:shd w:val="clear" w:color="auto" w:fill="ACABA7"/>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1040" w:type="dxa"/>
            <w:vAlign w:val="bottom"/>
            <w:shd w:val="clear" w:color="auto" w:fill="ACABA7"/>
          </w:tcPr>
          <w:p>
            <w:pPr>
              <w:jc w:val="right"/>
              <w:ind w:right="10"/>
              <w:spacing w:after="0" w:line="202" w:lineRule="exact"/>
              <w:rPr>
                <w:sz w:val="20"/>
                <w:szCs w:val="20"/>
                <w:color w:val="auto"/>
              </w:rPr>
            </w:pPr>
            <w:r>
              <w:rPr>
                <w:rFonts w:ascii="Arial" w:cs="Arial" w:eastAsia="Arial" w:hAnsi="Arial"/>
                <w:sz w:val="18"/>
                <w:szCs w:val="18"/>
                <w:color w:val="auto"/>
              </w:rPr>
              <w:t>—</w:t>
            </w:r>
          </w:p>
        </w:tc>
      </w:tr>
      <w:tr>
        <w:trPr>
          <w:trHeight w:val="203"/>
        </w:trPr>
        <w:tc>
          <w:tcPr>
            <w:tcW w:w="3840" w:type="dxa"/>
            <w:vAlign w:val="bottom"/>
          </w:tcPr>
          <w:p>
            <w:pPr>
              <w:ind w:left="80"/>
              <w:spacing w:after="0" w:line="202" w:lineRule="exact"/>
              <w:rPr>
                <w:sz w:val="20"/>
                <w:szCs w:val="20"/>
                <w:color w:val="auto"/>
              </w:rPr>
            </w:pPr>
            <w:r>
              <w:rPr>
                <w:rFonts w:ascii="Arial" w:cs="Arial" w:eastAsia="Arial" w:hAnsi="Arial"/>
                <w:sz w:val="18"/>
                <w:szCs w:val="18"/>
                <w:color w:val="auto"/>
              </w:rPr>
              <w:t>Pro-rata Bonus</w:t>
            </w:r>
          </w:p>
        </w:tc>
        <w:tc>
          <w:tcPr>
            <w:tcW w:w="1840" w:type="dxa"/>
            <w:vAlign w:val="bottom"/>
          </w:tcPr>
          <w:p>
            <w:pPr>
              <w:jc w:val="right"/>
              <w:ind w:right="430"/>
              <w:spacing w:after="0" w:line="202" w:lineRule="exact"/>
              <w:rPr>
                <w:sz w:val="20"/>
                <w:szCs w:val="20"/>
                <w:color w:val="auto"/>
              </w:rPr>
            </w:pPr>
            <w:r>
              <w:rPr>
                <w:rFonts w:ascii="Arial" w:cs="Arial" w:eastAsia="Arial" w:hAnsi="Arial"/>
                <w:sz w:val="18"/>
                <w:szCs w:val="18"/>
                <w:color w:val="auto"/>
              </w:rPr>
              <w:t>—</w:t>
            </w:r>
          </w:p>
        </w:tc>
        <w:tc>
          <w:tcPr>
            <w:tcW w:w="96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w:t>
            </w:r>
          </w:p>
        </w:tc>
        <w:tc>
          <w:tcPr>
            <w:tcW w:w="134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124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160" w:type="dxa"/>
            <w:vAlign w:val="bottom"/>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r>
      <w:tr>
        <w:trPr>
          <w:trHeight w:val="203"/>
        </w:trPr>
        <w:tc>
          <w:tcPr>
            <w:tcW w:w="3840" w:type="dxa"/>
            <w:vAlign w:val="bottom"/>
            <w:shd w:val="clear" w:color="auto" w:fill="ACABA7"/>
          </w:tcPr>
          <w:p>
            <w:pPr>
              <w:ind w:left="80"/>
              <w:spacing w:after="0" w:line="202" w:lineRule="exact"/>
              <w:rPr>
                <w:sz w:val="20"/>
                <w:szCs w:val="20"/>
                <w:color w:val="auto"/>
              </w:rPr>
            </w:pPr>
            <w:r>
              <w:rPr>
                <w:rFonts w:ascii="Arial" w:cs="Arial" w:eastAsia="Arial" w:hAnsi="Arial"/>
                <w:sz w:val="18"/>
                <w:szCs w:val="18"/>
                <w:b w:val="1"/>
                <w:bCs w:val="1"/>
                <w:color w:val="auto"/>
              </w:rPr>
              <w:t>Long-term Incentives:</w:t>
            </w:r>
          </w:p>
        </w:tc>
        <w:tc>
          <w:tcPr>
            <w:tcW w:w="1840" w:type="dxa"/>
            <w:vAlign w:val="bottom"/>
            <w:shd w:val="clear" w:color="auto" w:fill="ACABA7"/>
          </w:tcPr>
          <w:p>
            <w:pPr>
              <w:spacing w:after="0"/>
              <w:rPr>
                <w:sz w:val="17"/>
                <w:szCs w:val="17"/>
                <w:color w:val="auto"/>
              </w:rPr>
            </w:pPr>
          </w:p>
        </w:tc>
        <w:tc>
          <w:tcPr>
            <w:tcW w:w="960" w:type="dxa"/>
            <w:vAlign w:val="bottom"/>
            <w:shd w:val="clear" w:color="auto" w:fill="ACABA7"/>
          </w:tcPr>
          <w:p>
            <w:pPr>
              <w:spacing w:after="0"/>
              <w:rPr>
                <w:sz w:val="17"/>
                <w:szCs w:val="17"/>
                <w:color w:val="auto"/>
              </w:rPr>
            </w:pPr>
          </w:p>
        </w:tc>
        <w:tc>
          <w:tcPr>
            <w:tcW w:w="1340" w:type="dxa"/>
            <w:vAlign w:val="bottom"/>
            <w:shd w:val="clear" w:color="auto" w:fill="ACABA7"/>
          </w:tcPr>
          <w:p>
            <w:pPr>
              <w:spacing w:after="0"/>
              <w:rPr>
                <w:sz w:val="17"/>
                <w:szCs w:val="17"/>
                <w:color w:val="auto"/>
              </w:rPr>
            </w:pPr>
          </w:p>
        </w:tc>
        <w:tc>
          <w:tcPr>
            <w:tcW w:w="1240" w:type="dxa"/>
            <w:vAlign w:val="bottom"/>
            <w:shd w:val="clear" w:color="auto" w:fill="ACABA7"/>
          </w:tcPr>
          <w:p>
            <w:pPr>
              <w:spacing w:after="0"/>
              <w:rPr>
                <w:sz w:val="17"/>
                <w:szCs w:val="17"/>
                <w:color w:val="auto"/>
              </w:rPr>
            </w:pPr>
          </w:p>
        </w:tc>
        <w:tc>
          <w:tcPr>
            <w:tcW w:w="1160" w:type="dxa"/>
            <w:vAlign w:val="bottom"/>
            <w:shd w:val="clear" w:color="auto" w:fill="ACABA7"/>
          </w:tcPr>
          <w:p>
            <w:pPr>
              <w:spacing w:after="0"/>
              <w:rPr>
                <w:sz w:val="17"/>
                <w:szCs w:val="17"/>
                <w:color w:val="auto"/>
              </w:rPr>
            </w:pPr>
          </w:p>
        </w:tc>
        <w:tc>
          <w:tcPr>
            <w:tcW w:w="1040" w:type="dxa"/>
            <w:vAlign w:val="bottom"/>
            <w:shd w:val="clear" w:color="auto" w:fill="ACABA7"/>
          </w:tcPr>
          <w:p>
            <w:pPr>
              <w:spacing w:after="0"/>
              <w:rPr>
                <w:sz w:val="17"/>
                <w:szCs w:val="17"/>
                <w:color w:val="auto"/>
              </w:rPr>
            </w:pPr>
          </w:p>
        </w:tc>
      </w:tr>
      <w:tr>
        <w:trPr>
          <w:trHeight w:val="203"/>
        </w:trPr>
        <w:tc>
          <w:tcPr>
            <w:tcW w:w="3840" w:type="dxa"/>
            <w:vAlign w:val="bottom"/>
          </w:tcPr>
          <w:p>
            <w:pPr>
              <w:ind w:left="80"/>
              <w:spacing w:after="0" w:line="202" w:lineRule="exact"/>
              <w:rPr>
                <w:sz w:val="20"/>
                <w:szCs w:val="20"/>
                <w:color w:val="auto"/>
              </w:rPr>
            </w:pPr>
            <w:r>
              <w:rPr>
                <w:rFonts w:ascii="Arial" w:cs="Arial" w:eastAsia="Arial" w:hAnsi="Arial"/>
                <w:sz w:val="18"/>
                <w:szCs w:val="18"/>
                <w:color w:val="auto"/>
              </w:rPr>
              <w:t>Restricted Stock Units</w:t>
            </w:r>
            <w:r>
              <w:rPr>
                <w:rFonts w:ascii="Arial" w:cs="Arial" w:eastAsia="Arial" w:hAnsi="Arial"/>
                <w:sz w:val="15"/>
                <w:szCs w:val="15"/>
                <w:color w:val="auto"/>
              </w:rPr>
              <w:t>(4)</w:t>
            </w:r>
          </w:p>
        </w:tc>
        <w:tc>
          <w:tcPr>
            <w:tcW w:w="1840" w:type="dxa"/>
            <w:vAlign w:val="bottom"/>
          </w:tcPr>
          <w:p>
            <w:pPr>
              <w:jc w:val="right"/>
              <w:ind w:right="430"/>
              <w:spacing w:after="0" w:line="202" w:lineRule="exact"/>
              <w:rPr>
                <w:sz w:val="20"/>
                <w:szCs w:val="20"/>
                <w:color w:val="auto"/>
              </w:rPr>
            </w:pPr>
            <w:r>
              <w:rPr>
                <w:rFonts w:ascii="Arial" w:cs="Arial" w:eastAsia="Arial" w:hAnsi="Arial"/>
                <w:sz w:val="18"/>
                <w:szCs w:val="18"/>
                <w:color w:val="auto"/>
              </w:rPr>
              <w:t>—</w:t>
            </w:r>
          </w:p>
        </w:tc>
        <w:tc>
          <w:tcPr>
            <w:tcW w:w="96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w:t>
            </w:r>
          </w:p>
        </w:tc>
        <w:tc>
          <w:tcPr>
            <w:tcW w:w="134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1,766,570</w:t>
            </w:r>
          </w:p>
        </w:tc>
        <w:tc>
          <w:tcPr>
            <w:tcW w:w="124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2,092,680</w:t>
            </w:r>
          </w:p>
        </w:tc>
        <w:tc>
          <w:tcPr>
            <w:tcW w:w="1160" w:type="dxa"/>
            <w:vAlign w:val="bottom"/>
          </w:tcPr>
          <w:p>
            <w:pPr>
              <w:jc w:val="right"/>
              <w:ind w:right="70"/>
              <w:spacing w:after="0" w:line="202" w:lineRule="exact"/>
              <w:rPr>
                <w:sz w:val="20"/>
                <w:szCs w:val="20"/>
                <w:color w:val="auto"/>
              </w:rPr>
            </w:pPr>
            <w:r>
              <w:rPr>
                <w:rFonts w:ascii="Arial" w:cs="Arial" w:eastAsia="Arial" w:hAnsi="Arial"/>
                <w:sz w:val="18"/>
                <w:szCs w:val="18"/>
                <w:color w:val="auto"/>
              </w:rPr>
              <w:t>2,092,680</w:t>
            </w:r>
          </w:p>
        </w:tc>
        <w:tc>
          <w:tcPr>
            <w:tcW w:w="10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2,092,680</w:t>
            </w:r>
          </w:p>
        </w:tc>
      </w:tr>
      <w:tr>
        <w:trPr>
          <w:trHeight w:val="203"/>
        </w:trPr>
        <w:tc>
          <w:tcPr>
            <w:tcW w:w="3840" w:type="dxa"/>
            <w:vAlign w:val="bottom"/>
            <w:shd w:val="clear" w:color="auto" w:fill="ACABA7"/>
          </w:tcPr>
          <w:p>
            <w:pPr>
              <w:ind w:left="80"/>
              <w:spacing w:after="0" w:line="202" w:lineRule="exact"/>
              <w:rPr>
                <w:sz w:val="20"/>
                <w:szCs w:val="20"/>
                <w:color w:val="auto"/>
              </w:rPr>
            </w:pPr>
            <w:r>
              <w:rPr>
                <w:rFonts w:ascii="Arial" w:cs="Arial" w:eastAsia="Arial" w:hAnsi="Arial"/>
                <w:sz w:val="18"/>
                <w:szCs w:val="18"/>
                <w:color w:val="auto"/>
              </w:rPr>
              <w:t>- Stock Options</w:t>
            </w:r>
            <w:r>
              <w:rPr>
                <w:rFonts w:ascii="Arial" w:cs="Arial" w:eastAsia="Arial" w:hAnsi="Arial"/>
                <w:sz w:val="15"/>
                <w:szCs w:val="15"/>
                <w:color w:val="auto"/>
              </w:rPr>
              <w:t>(5)</w:t>
            </w:r>
          </w:p>
        </w:tc>
        <w:tc>
          <w:tcPr>
            <w:tcW w:w="1840" w:type="dxa"/>
            <w:vAlign w:val="bottom"/>
            <w:shd w:val="clear" w:color="auto" w:fill="ACABA7"/>
          </w:tcPr>
          <w:p>
            <w:pPr>
              <w:jc w:val="right"/>
              <w:ind w:right="430"/>
              <w:spacing w:after="0" w:line="202" w:lineRule="exact"/>
              <w:rPr>
                <w:sz w:val="20"/>
                <w:szCs w:val="20"/>
                <w:color w:val="auto"/>
              </w:rPr>
            </w:pPr>
            <w:r>
              <w:rPr>
                <w:rFonts w:ascii="Arial" w:cs="Arial" w:eastAsia="Arial" w:hAnsi="Arial"/>
                <w:sz w:val="18"/>
                <w:szCs w:val="18"/>
                <w:color w:val="auto"/>
              </w:rPr>
              <w:t>—</w:t>
            </w:r>
          </w:p>
        </w:tc>
        <w:tc>
          <w:tcPr>
            <w:tcW w:w="960" w:type="dxa"/>
            <w:vAlign w:val="bottom"/>
            <w:shd w:val="clear" w:color="auto" w:fill="ACABA7"/>
          </w:tcPr>
          <w:p>
            <w:pPr>
              <w:jc w:val="right"/>
              <w:ind w:right="190"/>
              <w:spacing w:after="0" w:line="202" w:lineRule="exact"/>
              <w:rPr>
                <w:sz w:val="20"/>
                <w:szCs w:val="20"/>
                <w:color w:val="auto"/>
              </w:rPr>
            </w:pPr>
            <w:r>
              <w:rPr>
                <w:rFonts w:ascii="Arial" w:cs="Arial" w:eastAsia="Arial" w:hAnsi="Arial"/>
                <w:sz w:val="18"/>
                <w:szCs w:val="18"/>
                <w:color w:val="auto"/>
              </w:rPr>
              <w:t>—</w:t>
            </w:r>
          </w:p>
        </w:tc>
        <w:tc>
          <w:tcPr>
            <w:tcW w:w="1340" w:type="dxa"/>
            <w:vAlign w:val="bottom"/>
            <w:shd w:val="clear" w:color="auto" w:fill="ACABA7"/>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1240" w:type="dxa"/>
            <w:vAlign w:val="bottom"/>
            <w:shd w:val="clear" w:color="auto" w:fill="ACABA7"/>
          </w:tcPr>
          <w:p>
            <w:pPr>
              <w:jc w:val="right"/>
              <w:ind w:right="110"/>
              <w:spacing w:after="0" w:line="202" w:lineRule="exact"/>
              <w:rPr>
                <w:sz w:val="20"/>
                <w:szCs w:val="20"/>
                <w:color w:val="auto"/>
              </w:rPr>
            </w:pPr>
            <w:r>
              <w:rPr>
                <w:rFonts w:ascii="Arial" w:cs="Arial" w:eastAsia="Arial" w:hAnsi="Arial"/>
                <w:sz w:val="18"/>
                <w:szCs w:val="18"/>
                <w:color w:val="auto"/>
              </w:rPr>
              <w:t>272,100</w:t>
            </w:r>
          </w:p>
        </w:tc>
        <w:tc>
          <w:tcPr>
            <w:tcW w:w="1160" w:type="dxa"/>
            <w:vAlign w:val="bottom"/>
            <w:shd w:val="clear" w:color="auto" w:fill="ACABA7"/>
          </w:tcPr>
          <w:p>
            <w:pPr>
              <w:jc w:val="right"/>
              <w:ind w:right="70"/>
              <w:spacing w:after="0" w:line="202" w:lineRule="exact"/>
              <w:rPr>
                <w:sz w:val="20"/>
                <w:szCs w:val="20"/>
                <w:color w:val="auto"/>
              </w:rPr>
            </w:pPr>
            <w:r>
              <w:rPr>
                <w:rFonts w:ascii="Arial" w:cs="Arial" w:eastAsia="Arial" w:hAnsi="Arial"/>
                <w:sz w:val="18"/>
                <w:szCs w:val="18"/>
                <w:color w:val="auto"/>
              </w:rPr>
              <w:t>272,100</w:t>
            </w:r>
          </w:p>
        </w:tc>
        <w:tc>
          <w:tcPr>
            <w:tcW w:w="1040" w:type="dxa"/>
            <w:vAlign w:val="bottom"/>
            <w:shd w:val="clear" w:color="auto" w:fill="ACABA7"/>
          </w:tcPr>
          <w:p>
            <w:pPr>
              <w:jc w:val="right"/>
              <w:ind w:right="10"/>
              <w:spacing w:after="0" w:line="202" w:lineRule="exact"/>
              <w:rPr>
                <w:sz w:val="20"/>
                <w:szCs w:val="20"/>
                <w:color w:val="auto"/>
              </w:rPr>
            </w:pPr>
            <w:r>
              <w:rPr>
                <w:rFonts w:ascii="Arial" w:cs="Arial" w:eastAsia="Arial" w:hAnsi="Arial"/>
                <w:sz w:val="18"/>
                <w:szCs w:val="18"/>
                <w:color w:val="auto"/>
              </w:rPr>
              <w:t>272,100</w:t>
            </w:r>
          </w:p>
        </w:tc>
      </w:tr>
      <w:tr>
        <w:trPr>
          <w:trHeight w:val="203"/>
        </w:trPr>
        <w:tc>
          <w:tcPr>
            <w:tcW w:w="3840" w:type="dxa"/>
            <w:vAlign w:val="bottom"/>
          </w:tcPr>
          <w:p>
            <w:pPr>
              <w:ind w:left="80"/>
              <w:spacing w:after="0" w:line="202" w:lineRule="exact"/>
              <w:rPr>
                <w:sz w:val="20"/>
                <w:szCs w:val="20"/>
                <w:color w:val="auto"/>
              </w:rPr>
            </w:pPr>
            <w:r>
              <w:rPr>
                <w:rFonts w:ascii="Arial" w:cs="Arial" w:eastAsia="Arial" w:hAnsi="Arial"/>
                <w:sz w:val="18"/>
                <w:szCs w:val="18"/>
                <w:b w:val="1"/>
                <w:bCs w:val="1"/>
                <w:color w:val="auto"/>
              </w:rPr>
              <w:t>Benefits &amp; Perquisites:</w:t>
            </w:r>
          </w:p>
        </w:tc>
        <w:tc>
          <w:tcPr>
            <w:tcW w:w="18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3"/>
        </w:trPr>
        <w:tc>
          <w:tcPr>
            <w:tcW w:w="3840" w:type="dxa"/>
            <w:vAlign w:val="bottom"/>
            <w:shd w:val="clear" w:color="auto" w:fill="ACABA7"/>
          </w:tcPr>
          <w:p>
            <w:pPr>
              <w:ind w:left="80"/>
              <w:spacing w:after="0" w:line="202" w:lineRule="exact"/>
              <w:rPr>
                <w:sz w:val="20"/>
                <w:szCs w:val="20"/>
                <w:color w:val="auto"/>
              </w:rPr>
            </w:pPr>
            <w:r>
              <w:rPr>
                <w:rFonts w:ascii="Arial" w:cs="Arial" w:eastAsia="Arial" w:hAnsi="Arial"/>
                <w:sz w:val="18"/>
                <w:szCs w:val="18"/>
                <w:color w:val="auto"/>
              </w:rPr>
              <w:t>Healthcare</w:t>
            </w:r>
            <w:r>
              <w:rPr>
                <w:rFonts w:ascii="Arial" w:cs="Arial" w:eastAsia="Arial" w:hAnsi="Arial"/>
                <w:sz w:val="15"/>
                <w:szCs w:val="15"/>
                <w:color w:val="auto"/>
              </w:rPr>
              <w:t>(6)</w:t>
            </w:r>
          </w:p>
        </w:tc>
        <w:tc>
          <w:tcPr>
            <w:tcW w:w="1840" w:type="dxa"/>
            <w:vAlign w:val="bottom"/>
            <w:shd w:val="clear" w:color="auto" w:fill="ACABA7"/>
          </w:tcPr>
          <w:p>
            <w:pPr>
              <w:jc w:val="right"/>
              <w:ind w:right="430"/>
              <w:spacing w:after="0" w:line="202" w:lineRule="exact"/>
              <w:rPr>
                <w:sz w:val="20"/>
                <w:szCs w:val="20"/>
                <w:color w:val="auto"/>
              </w:rPr>
            </w:pPr>
            <w:r>
              <w:rPr>
                <w:rFonts w:ascii="Arial" w:cs="Arial" w:eastAsia="Arial" w:hAnsi="Arial"/>
                <w:sz w:val="18"/>
                <w:szCs w:val="18"/>
                <w:color w:val="auto"/>
              </w:rPr>
              <w:t>—</w:t>
            </w:r>
          </w:p>
        </w:tc>
        <w:tc>
          <w:tcPr>
            <w:tcW w:w="960" w:type="dxa"/>
            <w:vAlign w:val="bottom"/>
            <w:shd w:val="clear" w:color="auto" w:fill="ACABA7"/>
          </w:tcPr>
          <w:p>
            <w:pPr>
              <w:jc w:val="right"/>
              <w:ind w:right="190"/>
              <w:spacing w:after="0" w:line="202" w:lineRule="exact"/>
              <w:rPr>
                <w:sz w:val="20"/>
                <w:szCs w:val="20"/>
                <w:color w:val="auto"/>
              </w:rPr>
            </w:pPr>
            <w:r>
              <w:rPr>
                <w:rFonts w:ascii="Arial" w:cs="Arial" w:eastAsia="Arial" w:hAnsi="Arial"/>
                <w:sz w:val="18"/>
                <w:szCs w:val="18"/>
                <w:color w:val="auto"/>
              </w:rPr>
              <w:t>—</w:t>
            </w:r>
          </w:p>
        </w:tc>
        <w:tc>
          <w:tcPr>
            <w:tcW w:w="1340" w:type="dxa"/>
            <w:vAlign w:val="bottom"/>
            <w:shd w:val="clear" w:color="auto" w:fill="ACABA7"/>
          </w:tcPr>
          <w:p>
            <w:pPr>
              <w:jc w:val="right"/>
              <w:ind w:right="170"/>
              <w:spacing w:after="0" w:line="202" w:lineRule="exact"/>
              <w:rPr>
                <w:sz w:val="20"/>
                <w:szCs w:val="20"/>
                <w:color w:val="auto"/>
              </w:rPr>
            </w:pPr>
            <w:r>
              <w:rPr>
                <w:rFonts w:ascii="Arial" w:cs="Arial" w:eastAsia="Arial" w:hAnsi="Arial"/>
                <w:sz w:val="18"/>
                <w:szCs w:val="18"/>
                <w:color w:val="auto"/>
              </w:rPr>
              <w:t>22,210</w:t>
            </w:r>
          </w:p>
        </w:tc>
        <w:tc>
          <w:tcPr>
            <w:tcW w:w="1240" w:type="dxa"/>
            <w:vAlign w:val="bottom"/>
            <w:shd w:val="clear" w:color="auto" w:fill="ACABA7"/>
          </w:tcPr>
          <w:p>
            <w:pPr>
              <w:jc w:val="right"/>
              <w:ind w:right="110"/>
              <w:spacing w:after="0" w:line="202" w:lineRule="exact"/>
              <w:rPr>
                <w:sz w:val="20"/>
                <w:szCs w:val="20"/>
                <w:color w:val="auto"/>
              </w:rPr>
            </w:pPr>
            <w:r>
              <w:rPr>
                <w:rFonts w:ascii="Arial" w:cs="Arial" w:eastAsia="Arial" w:hAnsi="Arial"/>
                <w:sz w:val="18"/>
                <w:szCs w:val="18"/>
                <w:color w:val="auto"/>
              </w:rPr>
              <w:t>22,210</w:t>
            </w:r>
          </w:p>
        </w:tc>
        <w:tc>
          <w:tcPr>
            <w:tcW w:w="1160" w:type="dxa"/>
            <w:vAlign w:val="bottom"/>
            <w:shd w:val="clear" w:color="auto" w:fill="ACABA7"/>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1040" w:type="dxa"/>
            <w:vAlign w:val="bottom"/>
            <w:shd w:val="clear" w:color="auto" w:fill="ACABA7"/>
          </w:tcPr>
          <w:p>
            <w:pPr>
              <w:jc w:val="right"/>
              <w:ind w:right="10"/>
              <w:spacing w:after="0" w:line="202" w:lineRule="exact"/>
              <w:rPr>
                <w:sz w:val="20"/>
                <w:szCs w:val="20"/>
                <w:color w:val="auto"/>
              </w:rPr>
            </w:pPr>
            <w:r>
              <w:rPr>
                <w:rFonts w:ascii="Arial" w:cs="Arial" w:eastAsia="Arial" w:hAnsi="Arial"/>
                <w:sz w:val="18"/>
                <w:szCs w:val="18"/>
                <w:color w:val="auto"/>
              </w:rPr>
              <w:t>—</w:t>
            </w:r>
          </w:p>
        </w:tc>
      </w:tr>
      <w:tr>
        <w:trPr>
          <w:trHeight w:val="203"/>
        </w:trPr>
        <w:tc>
          <w:tcPr>
            <w:tcW w:w="3840" w:type="dxa"/>
            <w:vAlign w:val="bottom"/>
          </w:tcPr>
          <w:p>
            <w:pPr>
              <w:ind w:left="80"/>
              <w:spacing w:after="0" w:line="202" w:lineRule="exact"/>
              <w:rPr>
                <w:sz w:val="20"/>
                <w:szCs w:val="20"/>
                <w:color w:val="auto"/>
              </w:rPr>
            </w:pPr>
            <w:r>
              <w:rPr>
                <w:rFonts w:ascii="Arial" w:cs="Arial" w:eastAsia="Arial" w:hAnsi="Arial"/>
                <w:sz w:val="18"/>
                <w:szCs w:val="18"/>
                <w:color w:val="auto"/>
              </w:rPr>
              <w:t>Outplacement Services</w:t>
            </w:r>
            <w:r>
              <w:rPr>
                <w:rFonts w:ascii="Arial" w:cs="Arial" w:eastAsia="Arial" w:hAnsi="Arial"/>
                <w:sz w:val="15"/>
                <w:szCs w:val="15"/>
                <w:color w:val="auto"/>
              </w:rPr>
              <w:t>(7)</w:t>
            </w:r>
          </w:p>
        </w:tc>
        <w:tc>
          <w:tcPr>
            <w:tcW w:w="1840" w:type="dxa"/>
            <w:vAlign w:val="bottom"/>
          </w:tcPr>
          <w:p>
            <w:pPr>
              <w:jc w:val="right"/>
              <w:ind w:right="430"/>
              <w:spacing w:after="0" w:line="202" w:lineRule="exact"/>
              <w:rPr>
                <w:sz w:val="20"/>
                <w:szCs w:val="20"/>
                <w:color w:val="auto"/>
              </w:rPr>
            </w:pPr>
            <w:r>
              <w:rPr>
                <w:rFonts w:ascii="Arial" w:cs="Arial" w:eastAsia="Arial" w:hAnsi="Arial"/>
                <w:sz w:val="18"/>
                <w:szCs w:val="18"/>
                <w:color w:val="auto"/>
              </w:rPr>
              <w:t>—</w:t>
            </w:r>
          </w:p>
        </w:tc>
        <w:tc>
          <w:tcPr>
            <w:tcW w:w="96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w:t>
            </w:r>
          </w:p>
        </w:tc>
        <w:tc>
          <w:tcPr>
            <w:tcW w:w="134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15,000</w:t>
            </w:r>
          </w:p>
        </w:tc>
        <w:tc>
          <w:tcPr>
            <w:tcW w:w="124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15,000</w:t>
            </w:r>
          </w:p>
        </w:tc>
        <w:tc>
          <w:tcPr>
            <w:tcW w:w="1160" w:type="dxa"/>
            <w:vAlign w:val="bottom"/>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r>
      <w:tr>
        <w:trPr>
          <w:trHeight w:val="203"/>
        </w:trPr>
        <w:tc>
          <w:tcPr>
            <w:tcW w:w="3840" w:type="dxa"/>
            <w:vAlign w:val="bottom"/>
            <w:tcBorders>
              <w:bottom w:val="single" w:sz="8" w:color="483E65"/>
            </w:tcBorders>
            <w:shd w:val="clear" w:color="auto" w:fill="ACABA7"/>
          </w:tcPr>
          <w:p>
            <w:pPr>
              <w:ind w:left="80"/>
              <w:spacing w:after="0" w:line="202" w:lineRule="exact"/>
              <w:rPr>
                <w:sz w:val="20"/>
                <w:szCs w:val="20"/>
                <w:color w:val="auto"/>
              </w:rPr>
            </w:pPr>
            <w:r>
              <w:rPr>
                <w:rFonts w:ascii="Arial" w:cs="Arial" w:eastAsia="Arial" w:hAnsi="Arial"/>
                <w:sz w:val="18"/>
                <w:szCs w:val="18"/>
                <w:color w:val="auto"/>
              </w:rPr>
              <w:t>Applicable Scaleback</w:t>
            </w:r>
            <w:r>
              <w:rPr>
                <w:rFonts w:ascii="Arial" w:cs="Arial" w:eastAsia="Arial" w:hAnsi="Arial"/>
                <w:sz w:val="15"/>
                <w:szCs w:val="15"/>
                <w:color w:val="auto"/>
              </w:rPr>
              <w:t>(8)</w:t>
            </w:r>
          </w:p>
        </w:tc>
        <w:tc>
          <w:tcPr>
            <w:tcW w:w="1840" w:type="dxa"/>
            <w:vAlign w:val="bottom"/>
            <w:tcBorders>
              <w:bottom w:val="single" w:sz="8" w:color="483E65"/>
            </w:tcBorders>
            <w:shd w:val="clear" w:color="auto" w:fill="ACABA7"/>
          </w:tcPr>
          <w:p>
            <w:pPr>
              <w:jc w:val="right"/>
              <w:ind w:right="430"/>
              <w:spacing w:after="0" w:line="202" w:lineRule="exact"/>
              <w:rPr>
                <w:sz w:val="20"/>
                <w:szCs w:val="20"/>
                <w:color w:val="auto"/>
              </w:rPr>
            </w:pPr>
            <w:r>
              <w:rPr>
                <w:rFonts w:ascii="Arial" w:cs="Arial" w:eastAsia="Arial" w:hAnsi="Arial"/>
                <w:sz w:val="18"/>
                <w:szCs w:val="18"/>
                <w:color w:val="auto"/>
              </w:rPr>
              <w:t>—</w:t>
            </w:r>
          </w:p>
        </w:tc>
        <w:tc>
          <w:tcPr>
            <w:tcW w:w="960" w:type="dxa"/>
            <w:vAlign w:val="bottom"/>
            <w:tcBorders>
              <w:bottom w:val="single" w:sz="8" w:color="483E65"/>
            </w:tcBorders>
            <w:shd w:val="clear" w:color="auto" w:fill="ACABA7"/>
          </w:tcPr>
          <w:p>
            <w:pPr>
              <w:jc w:val="right"/>
              <w:ind w:right="190"/>
              <w:spacing w:after="0" w:line="202" w:lineRule="exact"/>
              <w:rPr>
                <w:sz w:val="20"/>
                <w:szCs w:val="20"/>
                <w:color w:val="auto"/>
              </w:rPr>
            </w:pPr>
            <w:r>
              <w:rPr>
                <w:rFonts w:ascii="Arial" w:cs="Arial" w:eastAsia="Arial" w:hAnsi="Arial"/>
                <w:sz w:val="18"/>
                <w:szCs w:val="18"/>
                <w:color w:val="auto"/>
              </w:rPr>
              <w:t>—</w:t>
            </w:r>
          </w:p>
        </w:tc>
        <w:tc>
          <w:tcPr>
            <w:tcW w:w="1340" w:type="dxa"/>
            <w:vAlign w:val="bottom"/>
            <w:tcBorders>
              <w:bottom w:val="single" w:sz="8" w:color="483E65"/>
            </w:tcBorders>
            <w:shd w:val="clear" w:color="auto" w:fill="ACABA7"/>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1240" w:type="dxa"/>
            <w:vAlign w:val="bottom"/>
            <w:tcBorders>
              <w:bottom w:val="single" w:sz="8" w:color="483E65"/>
            </w:tcBorders>
            <w:shd w:val="clear" w:color="auto" w:fill="ACABA7"/>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160" w:type="dxa"/>
            <w:vAlign w:val="bottom"/>
            <w:tcBorders>
              <w:bottom w:val="single" w:sz="8" w:color="483E65"/>
            </w:tcBorders>
            <w:shd w:val="clear" w:color="auto" w:fill="ACABA7"/>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1040" w:type="dxa"/>
            <w:vAlign w:val="bottom"/>
            <w:tcBorders>
              <w:bottom w:val="single" w:sz="8" w:color="483E65"/>
            </w:tcBorders>
            <w:shd w:val="clear" w:color="auto" w:fill="ACABA7"/>
          </w:tcPr>
          <w:p>
            <w:pPr>
              <w:jc w:val="right"/>
              <w:ind w:right="10"/>
              <w:spacing w:after="0" w:line="202" w:lineRule="exact"/>
              <w:rPr>
                <w:sz w:val="20"/>
                <w:szCs w:val="20"/>
                <w:color w:val="auto"/>
              </w:rPr>
            </w:pPr>
            <w:r>
              <w:rPr>
                <w:rFonts w:ascii="Arial" w:cs="Arial" w:eastAsia="Arial" w:hAnsi="Arial"/>
                <w:sz w:val="18"/>
                <w:szCs w:val="18"/>
                <w:color w:val="auto"/>
              </w:rPr>
              <w:t>—</w:t>
            </w:r>
          </w:p>
        </w:tc>
      </w:tr>
      <w:tr>
        <w:trPr>
          <w:trHeight w:val="196"/>
        </w:trPr>
        <w:tc>
          <w:tcPr>
            <w:tcW w:w="3840" w:type="dxa"/>
            <w:vAlign w:val="bottom"/>
            <w:tcBorders>
              <w:bottom w:val="single" w:sz="8" w:color="483E65"/>
            </w:tcBorders>
          </w:tcPr>
          <w:p>
            <w:pPr>
              <w:ind w:left="80"/>
              <w:spacing w:after="0" w:line="196" w:lineRule="exact"/>
              <w:rPr>
                <w:sz w:val="20"/>
                <w:szCs w:val="20"/>
                <w:color w:val="auto"/>
              </w:rPr>
            </w:pPr>
            <w:r>
              <w:rPr>
                <w:rFonts w:ascii="Arial" w:cs="Arial" w:eastAsia="Arial" w:hAnsi="Arial"/>
                <w:sz w:val="18"/>
                <w:szCs w:val="18"/>
                <w:color w:val="auto"/>
              </w:rPr>
              <w:t>Total</w:t>
            </w:r>
            <w:r>
              <w:rPr>
                <w:rFonts w:ascii="Arial" w:cs="Arial" w:eastAsia="Arial" w:hAnsi="Arial"/>
                <w:sz w:val="15"/>
                <w:szCs w:val="15"/>
                <w:color w:val="auto"/>
              </w:rPr>
              <w:t>(9)</w:t>
            </w:r>
          </w:p>
        </w:tc>
        <w:tc>
          <w:tcPr>
            <w:tcW w:w="1840" w:type="dxa"/>
            <w:vAlign w:val="bottom"/>
            <w:tcBorders>
              <w:bottom w:val="single" w:sz="8" w:color="483E65"/>
            </w:tcBorders>
          </w:tcPr>
          <w:p>
            <w:pPr>
              <w:jc w:val="right"/>
              <w:ind w:right="430"/>
              <w:spacing w:after="0" w:line="196" w:lineRule="exact"/>
              <w:rPr>
                <w:sz w:val="20"/>
                <w:szCs w:val="20"/>
                <w:color w:val="auto"/>
              </w:rPr>
            </w:pPr>
            <w:r>
              <w:rPr>
                <w:rFonts w:ascii="Arial" w:cs="Arial" w:eastAsia="Arial" w:hAnsi="Arial"/>
                <w:sz w:val="18"/>
                <w:szCs w:val="18"/>
                <w:color w:val="auto"/>
              </w:rPr>
              <w:t>0</w:t>
            </w:r>
          </w:p>
        </w:tc>
        <w:tc>
          <w:tcPr>
            <w:tcW w:w="960" w:type="dxa"/>
            <w:vAlign w:val="bottom"/>
            <w:tcBorders>
              <w:bottom w:val="single" w:sz="8" w:color="483E65"/>
            </w:tcBorders>
          </w:tcPr>
          <w:p>
            <w:pPr>
              <w:jc w:val="right"/>
              <w:ind w:right="190"/>
              <w:spacing w:after="0" w:line="196" w:lineRule="exact"/>
              <w:rPr>
                <w:sz w:val="20"/>
                <w:szCs w:val="20"/>
                <w:color w:val="auto"/>
              </w:rPr>
            </w:pPr>
            <w:r>
              <w:rPr>
                <w:rFonts w:ascii="Arial" w:cs="Arial" w:eastAsia="Arial" w:hAnsi="Arial"/>
                <w:sz w:val="18"/>
                <w:szCs w:val="18"/>
                <w:color w:val="auto"/>
              </w:rPr>
              <w:t>0</w:t>
            </w:r>
          </w:p>
        </w:tc>
        <w:tc>
          <w:tcPr>
            <w:tcW w:w="1340" w:type="dxa"/>
            <w:vAlign w:val="bottom"/>
            <w:tcBorders>
              <w:bottom w:val="single" w:sz="8" w:color="483E65"/>
            </w:tcBorders>
          </w:tcPr>
          <w:p>
            <w:pPr>
              <w:jc w:val="right"/>
              <w:ind w:right="170"/>
              <w:spacing w:after="0" w:line="196" w:lineRule="exact"/>
              <w:rPr>
                <w:sz w:val="20"/>
                <w:szCs w:val="20"/>
                <w:color w:val="auto"/>
              </w:rPr>
            </w:pPr>
            <w:r>
              <w:rPr>
                <w:rFonts w:ascii="Arial" w:cs="Arial" w:eastAsia="Arial" w:hAnsi="Arial"/>
                <w:sz w:val="18"/>
                <w:szCs w:val="18"/>
                <w:color w:val="auto"/>
              </w:rPr>
              <w:t>2,620,857</w:t>
            </w:r>
          </w:p>
        </w:tc>
        <w:tc>
          <w:tcPr>
            <w:tcW w:w="1240" w:type="dxa"/>
            <w:vAlign w:val="bottom"/>
            <w:tcBorders>
              <w:bottom w:val="single" w:sz="8" w:color="483E65"/>
            </w:tcBorders>
          </w:tcPr>
          <w:p>
            <w:pPr>
              <w:jc w:val="right"/>
              <w:ind w:right="110"/>
              <w:spacing w:after="0" w:line="196" w:lineRule="exact"/>
              <w:rPr>
                <w:sz w:val="20"/>
                <w:szCs w:val="20"/>
                <w:color w:val="auto"/>
              </w:rPr>
            </w:pPr>
            <w:r>
              <w:rPr>
                <w:rFonts w:ascii="Arial" w:cs="Arial" w:eastAsia="Arial" w:hAnsi="Arial"/>
                <w:sz w:val="18"/>
                <w:szCs w:val="18"/>
                <w:color w:val="auto"/>
              </w:rPr>
              <w:t>3,219,068</w:t>
            </w:r>
          </w:p>
        </w:tc>
        <w:tc>
          <w:tcPr>
            <w:tcW w:w="1160" w:type="dxa"/>
            <w:vAlign w:val="bottom"/>
            <w:tcBorders>
              <w:bottom w:val="single" w:sz="8" w:color="483E65"/>
            </w:tcBorders>
          </w:tcPr>
          <w:p>
            <w:pPr>
              <w:jc w:val="right"/>
              <w:ind w:right="70"/>
              <w:spacing w:after="0" w:line="196" w:lineRule="exact"/>
              <w:rPr>
                <w:sz w:val="20"/>
                <w:szCs w:val="20"/>
                <w:color w:val="auto"/>
              </w:rPr>
            </w:pPr>
            <w:r>
              <w:rPr>
                <w:rFonts w:ascii="Arial" w:cs="Arial" w:eastAsia="Arial" w:hAnsi="Arial"/>
                <w:sz w:val="18"/>
                <w:szCs w:val="18"/>
                <w:color w:val="auto"/>
              </w:rPr>
              <w:t>2,364,781</w:t>
            </w:r>
          </w:p>
        </w:tc>
        <w:tc>
          <w:tcPr>
            <w:tcW w:w="1040" w:type="dxa"/>
            <w:vAlign w:val="bottom"/>
            <w:tcBorders>
              <w:bottom w:val="single" w:sz="8" w:color="483E65"/>
            </w:tcBorders>
          </w:tcPr>
          <w:p>
            <w:pPr>
              <w:jc w:val="right"/>
              <w:ind w:right="10"/>
              <w:spacing w:after="0" w:line="196" w:lineRule="exact"/>
              <w:rPr>
                <w:sz w:val="20"/>
                <w:szCs w:val="20"/>
                <w:color w:val="auto"/>
              </w:rPr>
            </w:pPr>
            <w:r>
              <w:rPr>
                <w:rFonts w:ascii="Arial" w:cs="Arial" w:eastAsia="Arial" w:hAnsi="Arial"/>
                <w:sz w:val="18"/>
                <w:szCs w:val="18"/>
                <w:color w:val="auto"/>
              </w:rPr>
              <w:t>2,364,781</w:t>
            </w:r>
          </w:p>
        </w:tc>
      </w:tr>
    </w:tbl>
    <w:p>
      <w:pPr>
        <w:spacing w:after="0" w:line="121" w:lineRule="exact"/>
        <w:rPr>
          <w:sz w:val="20"/>
          <w:szCs w:val="20"/>
          <w:color w:val="auto"/>
        </w:rPr>
      </w:pPr>
    </w:p>
    <w:p>
      <w:pPr>
        <w:ind w:left="460" w:right="100" w:hanging="452"/>
        <w:spacing w:after="0" w:line="275" w:lineRule="auto"/>
        <w:tabs>
          <w:tab w:leader="none" w:pos="460" w:val="left"/>
        </w:tabs>
        <w:numPr>
          <w:ilvl w:val="0"/>
          <w:numId w:val="58"/>
        </w:numPr>
        <w:rPr>
          <w:rFonts w:ascii="Arial" w:cs="Arial" w:eastAsia="Arial" w:hAnsi="Arial"/>
          <w:sz w:val="17"/>
          <w:szCs w:val="17"/>
          <w:color w:val="auto"/>
        </w:rPr>
      </w:pPr>
      <w:r>
        <w:rPr>
          <w:rFonts w:ascii="Arial" w:cs="Arial" w:eastAsia="Arial" w:hAnsi="Arial"/>
          <w:sz w:val="17"/>
          <w:szCs w:val="17"/>
          <w:color w:val="auto"/>
        </w:rPr>
        <w:t>Amounts in this column represent the benefits Mr. Reardon would be entitled to in the event a qualifying termination on December 30, 2016 under the Leidos Innovations Corporation Executive Severance Plan and the company’s Equity and Deferred Compensation Plans.</w:t>
      </w:r>
    </w:p>
    <w:p>
      <w:pPr>
        <w:spacing w:after="0" w:line="78" w:lineRule="exact"/>
        <w:rPr>
          <w:rFonts w:ascii="Arial" w:cs="Arial" w:eastAsia="Arial" w:hAnsi="Arial"/>
          <w:sz w:val="17"/>
          <w:szCs w:val="17"/>
          <w:color w:val="auto"/>
        </w:rPr>
      </w:pPr>
    </w:p>
    <w:p>
      <w:pPr>
        <w:ind w:left="460" w:right="120" w:hanging="452"/>
        <w:spacing w:after="0"/>
        <w:tabs>
          <w:tab w:leader="none" w:pos="4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Amounts in this column represent the benefits Mr. Reardon would be entitled to in the event a new CIC had occurred on December 30, 2016 that constituted a CIC under the terms of the Leidos Equity and Deferred Compensation Plans, in addition to the benefits under the Leidos Innovations Corporation Executive Severance Plan.</w:t>
      </w:r>
    </w:p>
    <w:p>
      <w:pPr>
        <w:spacing w:after="0" w:line="118" w:lineRule="exact"/>
        <w:rPr>
          <w:sz w:val="20"/>
          <w:szCs w:val="20"/>
          <w:color w:val="auto"/>
        </w:rPr>
      </w:pPr>
    </w:p>
    <w:p>
      <w:pPr>
        <w:spacing w:after="0"/>
        <w:tabs>
          <w:tab w:leader="none" w:pos="340" w:val="left"/>
          <w:tab w:leader="none" w:pos="580" w:val="left"/>
        </w:tabs>
        <w:rPr>
          <w:sz w:val="20"/>
          <w:szCs w:val="20"/>
          <w:color w:val="auto"/>
        </w:rPr>
      </w:pPr>
      <w:r>
        <w:rPr>
          <w:rFonts w:ascii="Arial" w:cs="Arial" w:eastAsia="Arial" w:hAnsi="Arial"/>
          <w:sz w:val="16"/>
          <w:szCs w:val="16"/>
          <w:b w:val="1"/>
          <w:bCs w:val="1"/>
          <w:color w:val="483E65"/>
        </w:rPr>
        <w:t>52</w:t>
        <w:tab/>
        <w:t>|</w:t>
        <w:tab/>
        <w:t>2017 Proxy Statement</w:t>
      </w:r>
    </w:p>
    <w:p>
      <w:pPr>
        <w:sectPr>
          <w:pgSz w:w="11900" w:h="16838" w:orient="portrait"/>
          <w:cols w:equalWidth="0" w:num="1">
            <w:col w:w="11420"/>
          </w:cols>
          <w:pgMar w:left="240" w:top="459" w:right="239" w:bottom="1440" w:gutter="0" w:footer="0" w:header="0"/>
          <w:type w:val="continuous"/>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8" w:lineRule="exact"/>
        <w:rPr>
          <w:sz w:val="20"/>
          <w:szCs w:val="20"/>
          <w:color w:val="auto"/>
        </w:rPr>
      </w:pPr>
    </w:p>
    <w:p>
      <w:pPr>
        <w:spacing w:after="0"/>
        <w:rPr>
          <w:sz w:val="20"/>
          <w:szCs w:val="20"/>
          <w:color w:val="auto"/>
        </w:rPr>
      </w:pPr>
      <w:r>
        <w:rPr>
          <w:rFonts w:ascii="Arial" w:cs="Arial" w:eastAsia="Arial" w:hAnsi="Arial"/>
          <w:sz w:val="32"/>
          <w:szCs w:val="32"/>
          <w:color w:val="483E65"/>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149860</wp:posOffset>
            </wp:positionV>
            <wp:extent cx="724662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39" w:lineRule="exact"/>
        <w:rPr>
          <w:sz w:val="20"/>
          <w:szCs w:val="20"/>
          <w:color w:val="auto"/>
        </w:rPr>
      </w:pPr>
    </w:p>
    <w:p>
      <w:pPr>
        <w:jc w:val="both"/>
        <w:ind w:left="460" w:hanging="452"/>
        <w:spacing w:after="0"/>
        <w:tabs>
          <w:tab w:leader="none" w:pos="4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Amounts in this row represent a lump sum severance benefit equal to the sum of two components: (a) a Basic Severance Benefit equal to two weeks of Mr. Reardon’s base salary and (b) a Supplemental Severance Benefit equal to one times the sum of Mr. Reardon’s year-end salary and target annual bonus.</w:t>
      </w:r>
    </w:p>
    <w:p>
      <w:pPr>
        <w:spacing w:after="0" w:line="108" w:lineRule="exact"/>
        <w:rPr>
          <w:rFonts w:ascii="Arial" w:cs="Arial" w:eastAsia="Arial" w:hAnsi="Arial"/>
          <w:sz w:val="18"/>
          <w:szCs w:val="18"/>
          <w:color w:val="auto"/>
        </w:rPr>
      </w:pPr>
    </w:p>
    <w:p>
      <w:pPr>
        <w:ind w:left="460" w:right="60" w:hanging="452"/>
        <w:spacing w:after="0" w:line="238" w:lineRule="auto"/>
        <w:tabs>
          <w:tab w:leader="none" w:pos="4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For a termination in connection with a new CIC, or death or disability, amounts in this row represent the value of the accelerated vesting of shares of all RSUs we have granted to Mr. Reardon, including accrued dividends as of December 30, 2016 pursuant the Equity Plan. Mr. Reardon’s RSUs granted on August 16, 2016 continue to vest upon an involuntary termination absent a CIC. For more information regarding the number of shares of unvested stock units held by Mr. Reardon, see the table under the caption “Outstanding Equity Awards at Year-End.”</w:t>
      </w:r>
    </w:p>
    <w:p>
      <w:pPr>
        <w:spacing w:after="0" w:line="108" w:lineRule="exact"/>
        <w:rPr>
          <w:rFonts w:ascii="Arial" w:cs="Arial" w:eastAsia="Arial" w:hAnsi="Arial"/>
          <w:sz w:val="18"/>
          <w:szCs w:val="18"/>
          <w:color w:val="auto"/>
        </w:rPr>
      </w:pPr>
    </w:p>
    <w:p>
      <w:pPr>
        <w:jc w:val="both"/>
        <w:ind w:left="460" w:right="100" w:hanging="452"/>
        <w:spacing w:after="0" w:line="261" w:lineRule="auto"/>
        <w:tabs>
          <w:tab w:leader="none" w:pos="460" w:val="left"/>
        </w:tabs>
        <w:numPr>
          <w:ilvl w:val="0"/>
          <w:numId w:val="59"/>
        </w:numPr>
        <w:rPr>
          <w:rFonts w:ascii="Arial" w:cs="Arial" w:eastAsia="Arial" w:hAnsi="Arial"/>
          <w:sz w:val="17"/>
          <w:szCs w:val="17"/>
          <w:color w:val="auto"/>
        </w:rPr>
      </w:pPr>
      <w:r>
        <w:rPr>
          <w:rFonts w:ascii="Arial" w:cs="Arial" w:eastAsia="Arial" w:hAnsi="Arial"/>
          <w:sz w:val="17"/>
          <w:szCs w:val="17"/>
          <w:color w:val="auto"/>
        </w:rPr>
        <w:t>For a termination with a new CIC, or death or disability, amounts in this row represent the value of the accelerated vesting of all unvested options held by Mr. Reardon as of December 30, 2016 issued pursuant to the Equity Plan. For more information regarding the number of shares and exercise prices underlying unvested options held see the table under the caption “Outstanding Equity Awards at Year-End.”</w:t>
      </w:r>
    </w:p>
    <w:p>
      <w:pPr>
        <w:spacing w:after="0" w:line="91" w:lineRule="exact"/>
        <w:rPr>
          <w:rFonts w:ascii="Arial" w:cs="Arial" w:eastAsia="Arial" w:hAnsi="Arial"/>
          <w:sz w:val="17"/>
          <w:szCs w:val="17"/>
          <w:color w:val="auto"/>
        </w:rPr>
      </w:pPr>
    </w:p>
    <w:p>
      <w:pPr>
        <w:ind w:left="460" w:right="400" w:hanging="452"/>
        <w:spacing w:after="0" w:line="246" w:lineRule="auto"/>
        <w:tabs>
          <w:tab w:leader="none" w:pos="4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Amounts in this row represent the lump sum cash value of medical, dental, vision and hospitalization benefits for 12 months following termination.</w:t>
      </w:r>
    </w:p>
    <w:p>
      <w:pPr>
        <w:spacing w:after="0" w:line="102" w:lineRule="exact"/>
        <w:rPr>
          <w:rFonts w:ascii="Arial" w:cs="Arial" w:eastAsia="Arial" w:hAnsi="Arial"/>
          <w:sz w:val="18"/>
          <w:szCs w:val="18"/>
          <w:color w:val="auto"/>
        </w:rPr>
      </w:pPr>
    </w:p>
    <w:p>
      <w:pPr>
        <w:ind w:left="460" w:right="940" w:hanging="452"/>
        <w:spacing w:after="0" w:line="246" w:lineRule="auto"/>
        <w:tabs>
          <w:tab w:leader="none" w:pos="4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Amounts in this row represent the estimated value of outplacement counseling services to be provided for 12 months following termination.</w:t>
      </w:r>
    </w:p>
    <w:p>
      <w:pPr>
        <w:spacing w:after="0" w:line="102" w:lineRule="exact"/>
        <w:rPr>
          <w:rFonts w:ascii="Arial" w:cs="Arial" w:eastAsia="Arial" w:hAnsi="Arial"/>
          <w:sz w:val="18"/>
          <w:szCs w:val="18"/>
          <w:color w:val="auto"/>
        </w:rPr>
      </w:pPr>
    </w:p>
    <w:p>
      <w:pPr>
        <w:ind w:left="460" w:right="480" w:hanging="452"/>
        <w:spacing w:after="0" w:line="246" w:lineRule="auto"/>
        <w:tabs>
          <w:tab w:leader="none" w:pos="4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Amounts in this row estimate the amounts under the Leidos Innovations Corporation Executive Severance Plan that may need to be reduced to avoid the payment of excess parachute payments pursuant to Section 280G of the Internal Revenue Code.</w:t>
      </w:r>
    </w:p>
    <w:p>
      <w:pPr>
        <w:spacing w:after="0" w:line="102" w:lineRule="exact"/>
        <w:rPr>
          <w:rFonts w:ascii="Arial" w:cs="Arial" w:eastAsia="Arial" w:hAnsi="Arial"/>
          <w:sz w:val="18"/>
          <w:szCs w:val="18"/>
          <w:color w:val="auto"/>
        </w:rPr>
      </w:pPr>
    </w:p>
    <w:p>
      <w:pPr>
        <w:ind w:left="460" w:right="380" w:hanging="452"/>
        <w:spacing w:after="0"/>
        <w:tabs>
          <w:tab w:leader="none" w:pos="4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Amounts in this row represent the gross amount of benefits to be received by Mr. Reardon without reflecting any federal and/or state income taxes or golden parachute excise taxes payable with respect to such amounts. In addition to the amounts set forth in this row, Mr. Reardon would also be entitled to be paid for any unused comprehensive leave time he had accrued.</w:t>
      </w:r>
    </w:p>
    <w:p>
      <w:pPr>
        <w:spacing w:after="0" w:line="181"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483E65"/>
        </w:rPr>
        <w:t>Executive Severance Plan, Effective January 1, 2017.</w:t>
      </w:r>
    </w:p>
    <w:p>
      <w:pPr>
        <w:spacing w:after="0" w:line="234"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The SPAs described above for Mr. Reagan, Mr. Leiter, Mr. Maffeo and Ms. Allen were designed to be renewed for successive one-year terms by the Committee, unless either the Committee or the executive officer decides not to renew the term. In September 2016, the Committee decided not to renew the severance protection agreements, and instead, to establish a new severance plan, effective January 1, 2017 (after the end of the reported fiscal year). The new plan is designed to cover executive officers in certain cases where they terminate involuntarily from employment not for cause, with a separate schedule of benefits applicable if the termination occurs following a change of control of the company after January 1, 2017. Mr. Krone is not covered by the new Plan, as he continues to be covered under the terms of his employment agreement. Similarly, Mr. Reardon is not covered under the new Plan while he is eligible for severance benefits under the Leidos Innovations Corporation Executive Severance Plan, through August 16, 2017. After such date he will be entitled to severance benefits under the new Plan.</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Key differences between the SPAs and the new Plan are summarized below:</w:t>
      </w:r>
    </w:p>
    <w:p>
      <w:pPr>
        <w:spacing w:after="0" w:line="239" w:lineRule="exact"/>
        <w:rPr>
          <w:sz w:val="20"/>
          <w:szCs w:val="20"/>
          <w:color w:val="auto"/>
        </w:rPr>
      </w:pPr>
    </w:p>
    <w:p>
      <w:pPr>
        <w:ind w:left="460" w:right="220" w:hanging="452"/>
        <w:spacing w:after="0" w:line="246" w:lineRule="auto"/>
        <w:tabs>
          <w:tab w:leader="none" w:pos="460" w:val="left"/>
        </w:tabs>
        <w:numPr>
          <w:ilvl w:val="0"/>
          <w:numId w:val="60"/>
        </w:numPr>
        <w:rPr>
          <w:rFonts w:ascii="Arial" w:cs="Arial" w:eastAsia="Arial" w:hAnsi="Arial"/>
          <w:sz w:val="15"/>
          <w:szCs w:val="15"/>
          <w:color w:val="77387A"/>
        </w:rPr>
      </w:pPr>
      <w:r>
        <w:rPr>
          <w:rFonts w:ascii="Arial" w:cs="Arial" w:eastAsia="Arial" w:hAnsi="Arial"/>
          <w:sz w:val="18"/>
          <w:szCs w:val="18"/>
          <w:color w:val="auto"/>
        </w:rPr>
        <w:t>A decrease in the amount of the cash lump sum severance benefit calculation from 2.5 times base salary plus target bonus to 1.5 times base salary plus target bonus;</w:t>
      </w:r>
    </w:p>
    <w:p>
      <w:pPr>
        <w:spacing w:after="0" w:line="102" w:lineRule="exact"/>
        <w:rPr>
          <w:rFonts w:ascii="Arial" w:cs="Arial" w:eastAsia="Arial" w:hAnsi="Arial"/>
          <w:sz w:val="15"/>
          <w:szCs w:val="15"/>
          <w:color w:val="77387A"/>
        </w:rPr>
      </w:pPr>
    </w:p>
    <w:p>
      <w:pPr>
        <w:ind w:left="460" w:right="100" w:hanging="452"/>
        <w:spacing w:after="0" w:line="246" w:lineRule="auto"/>
        <w:tabs>
          <w:tab w:leader="none" w:pos="460" w:val="left"/>
        </w:tabs>
        <w:numPr>
          <w:ilvl w:val="0"/>
          <w:numId w:val="60"/>
        </w:numPr>
        <w:rPr>
          <w:rFonts w:ascii="Arial" w:cs="Arial" w:eastAsia="Arial" w:hAnsi="Arial"/>
          <w:sz w:val="15"/>
          <w:szCs w:val="15"/>
          <w:color w:val="77387A"/>
        </w:rPr>
      </w:pPr>
      <w:r>
        <w:rPr>
          <w:rFonts w:ascii="Arial" w:cs="Arial" w:eastAsia="Arial" w:hAnsi="Arial"/>
          <w:sz w:val="18"/>
          <w:szCs w:val="18"/>
          <w:color w:val="auto"/>
        </w:rPr>
        <w:t>The medical benefit is the cash value of premiums for 18 months, not actual continued coverage in Leidos plans at company expense for 30 months.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483E65"/>
        </w:rPr>
        <w:t>Treatment of Equity Awards upon Termination</w:t>
      </w:r>
    </w:p>
    <w:p>
      <w:pPr>
        <w:spacing w:after="0" w:line="234" w:lineRule="exact"/>
        <w:rPr>
          <w:sz w:val="20"/>
          <w:szCs w:val="20"/>
          <w:color w:val="auto"/>
        </w:rPr>
      </w:pPr>
    </w:p>
    <w:p>
      <w:pPr>
        <w:ind w:right="100"/>
        <w:spacing w:after="0" w:line="246" w:lineRule="auto"/>
        <w:rPr>
          <w:sz w:val="20"/>
          <w:szCs w:val="20"/>
          <w:color w:val="auto"/>
        </w:rPr>
      </w:pPr>
      <w:r>
        <w:rPr>
          <w:rFonts w:ascii="Arial" w:cs="Arial" w:eastAsia="Arial" w:hAnsi="Arial"/>
          <w:sz w:val="18"/>
          <w:szCs w:val="18"/>
          <w:color w:val="auto"/>
        </w:rPr>
        <w:t>With respect to outstanding equity awards, our executive officers are generally treated in the same way as all other employee award recipients if their employment is terminated due to death, disability, retirement or voluntary departure.</w:t>
      </w:r>
    </w:p>
    <w:p>
      <w:pPr>
        <w:spacing w:after="0" w:line="197"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In the case of death or disability, restricted stock, restricted stock units and options will vest immediately and options would remain exercisable for a period of time, depending on the nature of the event and the plan under which the awards were issued. Under our performance share award program, shares earned would be paid out on a pro rata basis promptly upon death or at the end of the three-year performance period in case of disability.</w:t>
      </w:r>
    </w:p>
    <w:p>
      <w:pPr>
        <w:spacing w:after="0" w:line="117" w:lineRule="exact"/>
        <w:rPr>
          <w:sz w:val="20"/>
          <w:szCs w:val="20"/>
          <w:color w:val="auto"/>
        </w:rPr>
      </w:pPr>
    </w:p>
    <w:p>
      <w:pPr>
        <w:jc w:val="right"/>
        <w:spacing w:after="0"/>
        <w:tabs>
          <w:tab w:leader="none" w:pos="380" w:val="left"/>
          <w:tab w:leader="none" w:pos="160" w:val="left"/>
        </w:tabs>
        <w:rPr>
          <w:sz w:val="20"/>
          <w:szCs w:val="20"/>
          <w:color w:val="auto"/>
        </w:rPr>
      </w:pPr>
      <w:r>
        <w:rPr>
          <w:rFonts w:ascii="Arial" w:cs="Arial" w:eastAsia="Arial" w:hAnsi="Arial"/>
          <w:sz w:val="16"/>
          <w:szCs w:val="16"/>
          <w:b w:val="1"/>
          <w:bCs w:val="1"/>
          <w:color w:val="483E65"/>
        </w:rPr>
        <w:t>2017 Proxy Statement</w:t>
        <w:tab/>
        <w:t>|</w:t>
        <w:tab/>
        <w:t>53</w:t>
      </w:r>
    </w:p>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8" w:lineRule="exact"/>
        <w:rPr>
          <w:sz w:val="20"/>
          <w:szCs w:val="20"/>
          <w:color w:val="auto"/>
        </w:rPr>
      </w:pPr>
    </w:p>
    <w:p>
      <w:pPr>
        <w:spacing w:after="0"/>
        <w:rPr>
          <w:sz w:val="20"/>
          <w:szCs w:val="20"/>
          <w:color w:val="auto"/>
        </w:rPr>
      </w:pPr>
      <w:r>
        <w:rPr>
          <w:rFonts w:ascii="Arial" w:cs="Arial" w:eastAsia="Arial" w:hAnsi="Arial"/>
          <w:sz w:val="32"/>
          <w:szCs w:val="32"/>
          <w:color w:val="483E65"/>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149860</wp:posOffset>
            </wp:positionV>
            <wp:extent cx="724662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18"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Under our continued vesting program, employees who retire, including our executive officers, may generally continue holding and vesting in their stock options and PRSUs if they have held such awards for at least 12 months prior to retirement and they retire (i) after age 59 1/2 with at least ten years of service or (ii) after age 59 1/2 when age at termination plus years of service equals at least 70. Our executive officers who retire after reaching the applicable mandatory retirement age, however, will be allowed to continue to vest in such awards without regard to the 12 month holding requirement. Retirees meeting these qualifications who hold performance share awards will receive a pro rata number of shares after the end of the applicable three-year performance period, based on actual company performance over the full period. We have the right to terminate continued vesting if a retiree violates confidentiality, non-solicitation or similar obligations to us.</w:t>
      </w:r>
    </w:p>
    <w:p>
      <w:pPr>
        <w:spacing w:after="0" w:line="203" w:lineRule="exact"/>
        <w:rPr>
          <w:sz w:val="20"/>
          <w:szCs w:val="20"/>
          <w:color w:val="auto"/>
        </w:rPr>
      </w:pPr>
    </w:p>
    <w:p>
      <w:pPr>
        <w:ind w:right="240"/>
        <w:spacing w:after="0"/>
        <w:rPr>
          <w:sz w:val="20"/>
          <w:szCs w:val="20"/>
          <w:color w:val="auto"/>
        </w:rPr>
      </w:pPr>
      <w:r>
        <w:rPr>
          <w:rFonts w:ascii="Arial" w:cs="Arial" w:eastAsia="Arial" w:hAnsi="Arial"/>
          <w:sz w:val="18"/>
          <w:szCs w:val="18"/>
          <w:color w:val="auto"/>
        </w:rPr>
        <w:t>In any other case, if the employment of an equity award recipient, including an executive officer, is terminated for any reason, all unvested restricted stock, restricted stock units, options and performance share awards are forfeited. Vested options remain exercisable for 90 days or until the option expiration date, if earlier.</w:t>
      </w:r>
    </w:p>
    <w:p>
      <w:pPr>
        <w:spacing w:after="0" w:line="118" w:lineRule="exact"/>
        <w:rPr>
          <w:sz w:val="20"/>
          <w:szCs w:val="20"/>
          <w:color w:val="auto"/>
        </w:rPr>
      </w:pPr>
    </w:p>
    <w:p>
      <w:pPr>
        <w:spacing w:after="0"/>
        <w:tabs>
          <w:tab w:leader="none" w:pos="340" w:val="left"/>
          <w:tab w:leader="none" w:pos="580" w:val="left"/>
        </w:tabs>
        <w:rPr>
          <w:sz w:val="20"/>
          <w:szCs w:val="20"/>
          <w:color w:val="auto"/>
        </w:rPr>
      </w:pPr>
      <w:r>
        <w:rPr>
          <w:rFonts w:ascii="Arial" w:cs="Arial" w:eastAsia="Arial" w:hAnsi="Arial"/>
          <w:sz w:val="16"/>
          <w:szCs w:val="16"/>
          <w:b w:val="1"/>
          <w:bCs w:val="1"/>
          <w:color w:val="483E65"/>
        </w:rPr>
        <w:t>54</w:t>
        <w:tab/>
        <w:t>|</w:t>
        <w:tab/>
        <w:t>2017 Proxy Statement</w:t>
      </w:r>
    </w:p>
    <w:p>
      <w:pPr>
        <w:sectPr>
          <w:pgSz w:w="11900" w:h="16838" w:orient="portrait"/>
          <w:cols w:equalWidth="0" w:num="1">
            <w:col w:w="11420"/>
          </w:cols>
          <w:pgMar w:left="240" w:top="45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8" w:lineRule="exact"/>
        <w:rPr>
          <w:sz w:val="20"/>
          <w:szCs w:val="20"/>
          <w:color w:val="auto"/>
        </w:rPr>
      </w:pPr>
    </w:p>
    <w:p>
      <w:pPr>
        <w:spacing w:after="0"/>
        <w:rPr>
          <w:sz w:val="20"/>
          <w:szCs w:val="20"/>
          <w:color w:val="auto"/>
        </w:rPr>
      </w:pPr>
      <w:r>
        <w:rPr>
          <w:rFonts w:ascii="Arial" w:cs="Arial" w:eastAsia="Arial" w:hAnsi="Arial"/>
          <w:sz w:val="32"/>
          <w:szCs w:val="32"/>
          <w:color w:val="483E65"/>
        </w:rPr>
        <w:t>Proposal 3 — Advisory Vote on Frequency of Vote on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149860</wp:posOffset>
            </wp:positionV>
            <wp:extent cx="724662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right="280"/>
        <w:spacing w:after="0" w:line="246" w:lineRule="auto"/>
        <w:rPr>
          <w:sz w:val="20"/>
          <w:szCs w:val="20"/>
          <w:color w:val="auto"/>
        </w:rPr>
      </w:pPr>
      <w:r>
        <w:rPr>
          <w:rFonts w:ascii="Arial" w:cs="Arial" w:eastAsia="Arial" w:hAnsi="Arial"/>
          <w:sz w:val="18"/>
          <w:szCs w:val="18"/>
          <w:color w:val="auto"/>
        </w:rPr>
        <w:t>We are asking stockholders to vote on whether future advisory votes on executive compensation of the nature reflected in Proposal 2 above should occur every year, every two years or every three years.</w:t>
      </w:r>
    </w:p>
    <w:p>
      <w:pPr>
        <w:spacing w:after="0" w:line="197" w:lineRule="exact"/>
        <w:rPr>
          <w:sz w:val="20"/>
          <w:szCs w:val="20"/>
          <w:color w:val="auto"/>
        </w:rPr>
      </w:pPr>
    </w:p>
    <w:p>
      <w:pPr>
        <w:ind w:right="80"/>
        <w:spacing w:after="0"/>
        <w:rPr>
          <w:sz w:val="20"/>
          <w:szCs w:val="20"/>
          <w:color w:val="auto"/>
        </w:rPr>
      </w:pPr>
      <w:r>
        <w:rPr>
          <w:rFonts w:ascii="Arial" w:cs="Arial" w:eastAsia="Arial" w:hAnsi="Arial"/>
          <w:sz w:val="18"/>
          <w:szCs w:val="18"/>
          <w:color w:val="auto"/>
        </w:rPr>
        <w:t>After careful consideration of the frequency alternatives, the Board believes that holding an advisory vote on executive compensation every year is the most appropriate policy for the company at this time, and recommends that stockholders vote for future advisory votes on executive compensation to occur every year.</w:t>
      </w:r>
    </w:p>
    <w:p>
      <w:pPr>
        <w:spacing w:after="0" w:line="203" w:lineRule="exact"/>
        <w:rPr>
          <w:sz w:val="20"/>
          <w:szCs w:val="20"/>
          <w:color w:val="auto"/>
        </w:rPr>
      </w:pPr>
    </w:p>
    <w:p>
      <w:pPr>
        <w:ind w:right="120"/>
        <w:spacing w:after="0" w:line="236" w:lineRule="auto"/>
        <w:rPr>
          <w:sz w:val="20"/>
          <w:szCs w:val="20"/>
          <w:color w:val="auto"/>
        </w:rPr>
      </w:pPr>
      <w:r>
        <w:rPr>
          <w:rFonts w:ascii="Arial" w:cs="Arial" w:eastAsia="Arial" w:hAnsi="Arial"/>
          <w:sz w:val="18"/>
          <w:szCs w:val="18"/>
          <w:color w:val="auto"/>
        </w:rPr>
        <w:t>While our executive compensation programs are designed to promote a long-term connection between pay and performance, the Board recognizes that executive compensation decisions and disclosures are made annually and that an annual advisory vote on executive compensation would provide us with more direct and immediate feedback. Stockholders should note, however, that because the advisory vote on executive compensation occurs well after the beginning of the compensation year, it may not be appropriate or even feasible to change our current annual or multi-year executive compensation programs in response to any one year’s advisory vote before the following year’s annual meeting of stockholders. If we decide that responsive changes are appropriate, but immediate implementation is not practical, the impact of those changes may not be fully reflected in the following year’s proxy statement. In addition, the different elements of our executive compensation programs are designed to operate in an integrated manner and to complement one another, which may affect our ability to consider and implement responsive changes.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483E65"/>
        </w:rPr>
        <w:t>Vote Required</w:t>
      </w:r>
    </w:p>
    <w:p>
      <w:pPr>
        <w:spacing w:after="0" w:line="234"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This advisory vote on the frequency of future advisory votes on executive compensation is non-binding on the Board. Stockholders will be able to specify one of four choices for this proposal on the proxy card: one year, two years, three years or abstain. The affirmative vote of a majority of the shares present or represented either in person or by proxy and entitled to vote is required to approve this proposal. Broker non-votes are not entitled to vote on this proposal and will not be counted in evaluating the results of the vote. If none of the three frequency choices receives a majority, the Board will consider the frequency choice that received the most votes to be the choice selected by stockholders. We currently expect to conduct an annual advisory vote on executive compensation, unless the voting results indicate a stockholder preference for a less frequent vote. In any case, our Board may vary its practice in future years based on factors such as discussions with stockholders and the adoption of material changes to compensation programs.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483E65"/>
        </w:rPr>
        <w:t>Recommendation of the Board</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483E65"/>
        </w:rPr>
        <w:t>The Board of Directors recommends stockholders vote to conduct future advisory votes on executive compensation every year.</w:t>
      </w:r>
    </w:p>
    <w:p>
      <w:pPr>
        <w:spacing w:after="0" w:line="149" w:lineRule="exact"/>
        <w:rPr>
          <w:sz w:val="20"/>
          <w:szCs w:val="20"/>
          <w:color w:val="auto"/>
        </w:rPr>
      </w:pPr>
    </w:p>
    <w:p>
      <w:pPr>
        <w:jc w:val="right"/>
        <w:spacing w:after="0"/>
        <w:tabs>
          <w:tab w:leader="none" w:pos="380" w:val="left"/>
          <w:tab w:leader="none" w:pos="160" w:val="left"/>
        </w:tabs>
        <w:rPr>
          <w:sz w:val="20"/>
          <w:szCs w:val="20"/>
          <w:color w:val="auto"/>
        </w:rPr>
      </w:pPr>
      <w:r>
        <w:rPr>
          <w:rFonts w:ascii="Arial" w:cs="Arial" w:eastAsia="Arial" w:hAnsi="Arial"/>
          <w:sz w:val="16"/>
          <w:szCs w:val="16"/>
          <w:b w:val="1"/>
          <w:bCs w:val="1"/>
          <w:color w:val="483E65"/>
        </w:rPr>
        <w:t>2017 Proxy Statement</w:t>
        <w:tab/>
        <w:t>|</w:t>
        <w:tab/>
        <w:t>55</w:t>
      </w:r>
    </w:p>
    <w:p>
      <w:pPr>
        <w:sectPr>
          <w:pgSz w:w="11900" w:h="16838" w:orient="portrait"/>
          <w:cols w:equalWidth="0" w:num="1">
            <w:col w:w="11420"/>
          </w:cols>
          <w:pgMar w:left="240" w:top="45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8" w:lineRule="exact"/>
        <w:rPr>
          <w:sz w:val="20"/>
          <w:szCs w:val="20"/>
          <w:color w:val="auto"/>
        </w:rPr>
      </w:pPr>
    </w:p>
    <w:p>
      <w:pPr>
        <w:spacing w:after="0"/>
        <w:rPr>
          <w:sz w:val="20"/>
          <w:szCs w:val="20"/>
          <w:color w:val="auto"/>
        </w:rPr>
      </w:pPr>
      <w:r>
        <w:rPr>
          <w:rFonts w:ascii="Arial" w:cs="Arial" w:eastAsia="Arial" w:hAnsi="Arial"/>
          <w:sz w:val="32"/>
          <w:szCs w:val="32"/>
          <w:color w:val="483E65"/>
        </w:rPr>
        <w:t>Proposal 4 — Amended and Restated 2006 Employee Stock Purchase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149860</wp:posOffset>
            </wp:positionV>
            <wp:extent cx="724662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The amended and restated 2006 Employee Stock Purchase Plan (the “ESPP”) was adopted by the Human Resources and Compensation Committee of our Board (the “Committee”), subject to stockholder approval. The ESPP provides employees of Leidos, and any of our majority-owned subsidiaries designated by the Committee, with an opportunity to purchase common stock through accumulated payroll deductions at a discounted purchase price. The ESPP will become effective upon stockholder approval. Leidos seeks stockholder approval of the ESPP in order to qualify the ESPP and the right of participants to purchase shares under Section 423 of the Internal Revenue Code. In addition, the ESPP authorizes the purchase of shares under a non-Section 423 qualified component of the plan by employees of international subsidiaries in situations where a qualified plan creates adverse tax consequences in a particular jurisdiction.</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The ESPP provides that an aggregate of up to 5,000,000 shares of our stock will be available for issuance under the ESPP.</w:t>
      </w:r>
    </w:p>
    <w:p>
      <w:pPr>
        <w:spacing w:after="0" w:line="212" w:lineRule="exact"/>
        <w:rPr>
          <w:sz w:val="20"/>
          <w:szCs w:val="20"/>
          <w:color w:val="auto"/>
        </w:rPr>
      </w:pPr>
    </w:p>
    <w:p>
      <w:pPr>
        <w:ind w:right="680"/>
        <w:spacing w:after="0" w:line="246" w:lineRule="auto"/>
        <w:rPr>
          <w:sz w:val="20"/>
          <w:szCs w:val="20"/>
          <w:color w:val="auto"/>
        </w:rPr>
      </w:pPr>
      <w:r>
        <w:rPr>
          <w:rFonts w:ascii="Arial" w:cs="Arial" w:eastAsia="Arial" w:hAnsi="Arial"/>
          <w:sz w:val="18"/>
          <w:szCs w:val="18"/>
          <w:color w:val="auto"/>
        </w:rPr>
        <w:t>A copy of the ESPP is attached to this proxy statement as Annex A. The following description of the ESPP is only a summary and so is qualified by reference to the complete text of the ESPP.</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483E65"/>
        </w:rPr>
        <w:t>Administration</w:t>
      </w:r>
    </w:p>
    <w:p>
      <w:pPr>
        <w:spacing w:after="0" w:line="234" w:lineRule="exact"/>
        <w:rPr>
          <w:sz w:val="20"/>
          <w:szCs w:val="20"/>
          <w:color w:val="auto"/>
        </w:rPr>
      </w:pPr>
    </w:p>
    <w:p>
      <w:pPr>
        <w:ind w:right="1000"/>
        <w:spacing w:after="0" w:line="246" w:lineRule="auto"/>
        <w:rPr>
          <w:sz w:val="20"/>
          <w:szCs w:val="20"/>
          <w:color w:val="auto"/>
        </w:rPr>
      </w:pPr>
      <w:r>
        <w:rPr>
          <w:rFonts w:ascii="Arial" w:cs="Arial" w:eastAsia="Arial" w:hAnsi="Arial"/>
          <w:sz w:val="18"/>
          <w:szCs w:val="18"/>
          <w:color w:val="auto"/>
        </w:rPr>
        <w:t>The ESPP will be administered by the Committee or a committee consisting of management employees which has been delegated administrative responsibilities.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483E65"/>
        </w:rPr>
        <w:t>Eligibility</w:t>
      </w:r>
    </w:p>
    <w:p>
      <w:pPr>
        <w:spacing w:after="0" w:line="234" w:lineRule="exact"/>
        <w:rPr>
          <w:sz w:val="20"/>
          <w:szCs w:val="20"/>
          <w:color w:val="auto"/>
        </w:rPr>
      </w:pPr>
    </w:p>
    <w:p>
      <w:pPr>
        <w:ind w:right="60"/>
        <w:spacing w:after="0"/>
        <w:rPr>
          <w:sz w:val="20"/>
          <w:szCs w:val="20"/>
          <w:color w:val="auto"/>
        </w:rPr>
      </w:pPr>
      <w:r>
        <w:rPr>
          <w:rFonts w:ascii="Arial" w:cs="Arial" w:eastAsia="Arial" w:hAnsi="Arial"/>
          <w:sz w:val="18"/>
          <w:szCs w:val="18"/>
          <w:color w:val="auto"/>
        </w:rPr>
        <w:t>Generally, any person who is employed by Leidos or any of our majority-owned subsidiaries designated by the Committee is eligible to participate in the ESPP, provided that the employee is employed on the first day of an offering period and subject to certain limitations imposed by Section 423(b) of the Internal Revenue Code. Approximately 32,000 employees are expected to be eligible to participate.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483E65"/>
        </w:rPr>
        <w:t>Participation</w:t>
      </w:r>
    </w:p>
    <w:p>
      <w:pPr>
        <w:spacing w:after="0" w:line="234" w:lineRule="exact"/>
        <w:rPr>
          <w:sz w:val="20"/>
          <w:szCs w:val="20"/>
          <w:color w:val="auto"/>
        </w:rPr>
      </w:pPr>
    </w:p>
    <w:p>
      <w:pPr>
        <w:ind w:right="40"/>
        <w:spacing w:after="0" w:line="246" w:lineRule="auto"/>
        <w:rPr>
          <w:sz w:val="20"/>
          <w:szCs w:val="20"/>
          <w:color w:val="auto"/>
        </w:rPr>
      </w:pPr>
      <w:r>
        <w:rPr>
          <w:rFonts w:ascii="Arial" w:cs="Arial" w:eastAsia="Arial" w:hAnsi="Arial"/>
          <w:sz w:val="18"/>
          <w:szCs w:val="18"/>
          <w:color w:val="auto"/>
        </w:rPr>
        <w:t>Eligible employees may participate in the ESPP by completing a subscription agreement in the form provided by Leidos and filing it with Leidos prior to the first business day of the applicable offering period or such other date as specified by the Committee.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483E65"/>
        </w:rPr>
        <w:t>Plan Characterization</w:t>
      </w:r>
    </w:p>
    <w:p>
      <w:pPr>
        <w:spacing w:after="0" w:line="234" w:lineRule="exact"/>
        <w:rPr>
          <w:sz w:val="20"/>
          <w:szCs w:val="20"/>
          <w:color w:val="auto"/>
        </w:rPr>
      </w:pPr>
    </w:p>
    <w:p>
      <w:pPr>
        <w:ind w:right="100"/>
        <w:spacing w:after="0" w:line="246" w:lineRule="auto"/>
        <w:rPr>
          <w:sz w:val="20"/>
          <w:szCs w:val="20"/>
          <w:color w:val="auto"/>
        </w:rPr>
      </w:pPr>
      <w:r>
        <w:rPr>
          <w:rFonts w:ascii="Arial" w:cs="Arial" w:eastAsia="Arial" w:hAnsi="Arial"/>
          <w:sz w:val="18"/>
          <w:szCs w:val="18"/>
          <w:color w:val="auto"/>
        </w:rPr>
        <w:t>The ESPP is not subject to the provisions of the Employment Retirement Income Security Act of 1974, as amended, and is not qualified under Section 401(a) of the Internal Revenue Code.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483E65"/>
        </w:rPr>
        <w:t>Nonassignability of Options</w:t>
      </w:r>
    </w:p>
    <w:p>
      <w:pPr>
        <w:spacing w:after="0" w:line="234" w:lineRule="exact"/>
        <w:rPr>
          <w:sz w:val="20"/>
          <w:szCs w:val="20"/>
          <w:color w:val="auto"/>
        </w:rPr>
      </w:pPr>
    </w:p>
    <w:p>
      <w:pPr>
        <w:ind w:right="60"/>
        <w:spacing w:after="0" w:line="246" w:lineRule="auto"/>
        <w:rPr>
          <w:sz w:val="20"/>
          <w:szCs w:val="20"/>
          <w:color w:val="auto"/>
        </w:rPr>
      </w:pPr>
      <w:r>
        <w:rPr>
          <w:rFonts w:ascii="Arial" w:cs="Arial" w:eastAsia="Arial" w:hAnsi="Arial"/>
          <w:sz w:val="18"/>
          <w:szCs w:val="18"/>
          <w:color w:val="auto"/>
        </w:rPr>
        <w:t>Neither payroll deductions credited to a participant’s account nor any rights with regard to the exercise of an option or to receive shares under the ESPP may be assigned, transferred, pledged or otherwise disposed of in any way other than by will or the laws of descent and distribution.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483E65"/>
        </w:rPr>
        <w:t>New Plan Benefits</w:t>
      </w:r>
    </w:p>
    <w:p>
      <w:pPr>
        <w:spacing w:after="0" w:line="234" w:lineRule="exact"/>
        <w:rPr>
          <w:sz w:val="20"/>
          <w:szCs w:val="20"/>
          <w:color w:val="auto"/>
        </w:rPr>
      </w:pPr>
    </w:p>
    <w:p>
      <w:pPr>
        <w:ind w:right="240"/>
        <w:spacing w:after="0" w:line="246" w:lineRule="auto"/>
        <w:rPr>
          <w:sz w:val="20"/>
          <w:szCs w:val="20"/>
          <w:color w:val="auto"/>
        </w:rPr>
      </w:pPr>
      <w:r>
        <w:rPr>
          <w:rFonts w:ascii="Arial" w:cs="Arial" w:eastAsia="Arial" w:hAnsi="Arial"/>
          <w:sz w:val="18"/>
          <w:szCs w:val="18"/>
          <w:color w:val="auto"/>
        </w:rPr>
        <w:t>Because benefits under the ESPP will depend on the fair market value of our stock at various future dates, it is not possible to determine the benefits that will be received by employees if the ESPP is approved by the stockholders.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483E65"/>
        </w:rPr>
        <w:t>Offering Periods</w:t>
      </w:r>
    </w:p>
    <w:p>
      <w:pPr>
        <w:spacing w:after="0" w:line="234"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Unless and until the Committee determines to implement longer periods, each offering period will have a duration of three months and shall commence on April 1, July 1, October 1 or January 1 and each offering period shall have only one purchase period which shall run simultaneously with the offering period during which payroll deductions of the participants are accumulated. In no event shall an offering period exceed 24 months in duration or consist of more than eight purchase periods.</w:t>
      </w:r>
    </w:p>
    <w:p>
      <w:pPr>
        <w:spacing w:after="0" w:line="117" w:lineRule="exact"/>
        <w:rPr>
          <w:sz w:val="20"/>
          <w:szCs w:val="20"/>
          <w:color w:val="auto"/>
        </w:rPr>
      </w:pPr>
    </w:p>
    <w:p>
      <w:pPr>
        <w:spacing w:after="0"/>
        <w:tabs>
          <w:tab w:leader="none" w:pos="340" w:val="left"/>
          <w:tab w:leader="none" w:pos="580" w:val="left"/>
        </w:tabs>
        <w:rPr>
          <w:sz w:val="20"/>
          <w:szCs w:val="20"/>
          <w:color w:val="auto"/>
        </w:rPr>
      </w:pPr>
      <w:r>
        <w:rPr>
          <w:rFonts w:ascii="Arial" w:cs="Arial" w:eastAsia="Arial" w:hAnsi="Arial"/>
          <w:sz w:val="16"/>
          <w:szCs w:val="16"/>
          <w:b w:val="1"/>
          <w:bCs w:val="1"/>
          <w:color w:val="483E65"/>
        </w:rPr>
        <w:t>56</w:t>
        <w:tab/>
        <w:t>|</w:t>
        <w:tab/>
        <w:t>2017 Proxy Statement</w:t>
      </w:r>
    </w:p>
    <w:p>
      <w:pPr>
        <w:sectPr>
          <w:pgSz w:w="11900" w:h="16838" w:orient="portrait"/>
          <w:cols w:equalWidth="0" w:num="1">
            <w:col w:w="11400"/>
          </w:cols>
          <w:pgMar w:left="240" w:top="459" w:right="25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8" w:lineRule="exact"/>
        <w:rPr>
          <w:sz w:val="20"/>
          <w:szCs w:val="20"/>
          <w:color w:val="auto"/>
        </w:rPr>
      </w:pPr>
    </w:p>
    <w:p>
      <w:pPr>
        <w:spacing w:after="0"/>
        <w:rPr>
          <w:sz w:val="20"/>
          <w:szCs w:val="20"/>
          <w:color w:val="auto"/>
        </w:rPr>
      </w:pPr>
      <w:r>
        <w:rPr>
          <w:rFonts w:ascii="Arial" w:cs="Arial" w:eastAsia="Arial" w:hAnsi="Arial"/>
          <w:sz w:val="32"/>
          <w:szCs w:val="32"/>
          <w:color w:val="483E65"/>
        </w:rPr>
        <w:t>Proposal 4 — Amended and Restated 2006 Employee Stock Purchase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149860</wp:posOffset>
            </wp:positionV>
            <wp:extent cx="724662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483E65"/>
        </w:rPr>
        <w:t>Purchase Price</w:t>
      </w:r>
    </w:p>
    <w:p>
      <w:pPr>
        <w:spacing w:after="0" w:line="234" w:lineRule="exact"/>
        <w:rPr>
          <w:sz w:val="20"/>
          <w:szCs w:val="20"/>
          <w:color w:val="auto"/>
        </w:rPr>
      </w:pPr>
    </w:p>
    <w:p>
      <w:pPr>
        <w:ind w:right="220"/>
        <w:spacing w:after="0" w:line="246" w:lineRule="auto"/>
        <w:rPr>
          <w:sz w:val="20"/>
          <w:szCs w:val="20"/>
          <w:color w:val="auto"/>
        </w:rPr>
      </w:pPr>
      <w:r>
        <w:rPr>
          <w:rFonts w:ascii="Arial" w:cs="Arial" w:eastAsia="Arial" w:hAnsi="Arial"/>
          <w:sz w:val="18"/>
          <w:szCs w:val="18"/>
          <w:color w:val="auto"/>
        </w:rPr>
        <w:t>The purchase price per share at which a share shall be sold in any offering period shall be as determined by the Committee, but no less than 85% of the lesser of the fair market value of the shares on the offering date or the fair market value of the shares on the purchase date.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483E65"/>
        </w:rPr>
        <w:t>Payment of Purchase Price; Payroll Deductions</w:t>
      </w:r>
    </w:p>
    <w:p>
      <w:pPr>
        <w:spacing w:after="0" w:line="234"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The purchase price of the shares is paid with payroll deductions accumulated during the applicable offering period. The deductions are made as a percentage of the participant’s compensation in 1% increments, not less than 1%, nor greater than 10%, or such lower limit set by the Committee. If payroll deductions are not permitted in a jurisdiction, participants in that jurisdiction may contribute via check or pursuant to another method approved by the Committee. A participant may increase or decrease the rate of his or her payroll deductions during an ongoing offering period by completing and filing a new authorization for payroll deductions. Payroll deductions will commence on the first payday following the offering date and will end on the last payday on or prior to the last purchase date of the offering period to which the subscription agreement is applicable, unless sooner terminated by the participant. No interest accrues on the payroll deductions of a participant in the ESPP unless required by local law.</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483E65"/>
        </w:rPr>
        <w:t>Purchase of Stock; Exercise of Option</w:t>
      </w:r>
    </w:p>
    <w:p>
      <w:pPr>
        <w:spacing w:after="0" w:line="234"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By executing a subscription agreement to participate in the ESPP, the participant accepts the grant of a ESPP option to purchase shares during an offering period. Shares will be purchased at a discount determined by the Committee, but no more than 15% of the lesser of the fair market value of the stock on the offering date or the fair market value of the stock on the purchase date. The number of shares purchased by a participant will be determined by dividing the amount of the participant’s total payroll deductions for the offering period accumulated prior to the purchase date by the purchase price as determined by the Committee for the applicable purchase period. Unless the participant’s participation is discontinued, each participant’s option for the purchase of shares will be exercised automatically on each purchase date at the applicable price.</w:t>
      </w:r>
    </w:p>
    <w:p>
      <w:pPr>
        <w:spacing w:after="0" w:line="203"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No participant will be permitted to subscribe for shares under the ESPP: if immediately after the grant of the option, the participant would own 5% or more of the combined voting power of all classes of stock of Leidos or of a parent or subsidiary of Leidos (including stock which may be purchased under the ESPP or pursuant to any other options); if and to the extent the fair market value of the shares (plus the fair market value of all rights to purchase stock under all similar stock plans of Leidos or of a parent or subsidiary of Leidos) would exceed $25,000 (determined as of the offering date of the offering period in which the participant is participating) for each calendar year in which an option to purchase stock under the ESPP is outstanding; or if and to the extent immediately after the grant of the option, the participant would have the right to purchase in excess of 1,500 shares during an offering period, which limit is subject to adjustment by the Committee if the new limit is announced prior to the scheduled beginning of the first offering period to be affected.</w:t>
      </w:r>
    </w:p>
    <w:p>
      <w:pPr>
        <w:spacing w:after="0" w:line="208"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color w:val="auto"/>
        </w:rPr>
        <w:t>In addition, if the number of shares to be purchased on a purchase date by all participating employees exceeds the number of shares then available under the ESPP, a pro rata allocation of the available shares will be made in as equitable a manner as is practicable. Any payroll deductions accumulated in a participant’s account which are not used to purchase stock due to the limitations described above will be returned to the participant as soon as practicable after the end of the applicable purchase period, without interest unless required by local law.</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483E65"/>
        </w:rPr>
        <w:t>Holding Period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The Committee has the authority to establish a minimum holding period for shares purchased under the ESPP.</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483E65"/>
        </w:rPr>
        <w:t>Withdrawal</w:t>
      </w:r>
    </w:p>
    <w:p>
      <w:pPr>
        <w:spacing w:after="0" w:line="234" w:lineRule="exact"/>
        <w:rPr>
          <w:sz w:val="20"/>
          <w:szCs w:val="20"/>
          <w:color w:val="auto"/>
        </w:rPr>
      </w:pPr>
    </w:p>
    <w:p>
      <w:pPr>
        <w:ind w:right="280"/>
        <w:spacing w:after="0" w:line="246" w:lineRule="auto"/>
        <w:rPr>
          <w:sz w:val="20"/>
          <w:szCs w:val="20"/>
          <w:color w:val="auto"/>
        </w:rPr>
      </w:pPr>
      <w:r>
        <w:rPr>
          <w:rFonts w:ascii="Arial" w:cs="Arial" w:eastAsia="Arial" w:hAnsi="Arial"/>
          <w:sz w:val="18"/>
          <w:szCs w:val="18"/>
          <w:color w:val="auto"/>
        </w:rPr>
        <w:t>A participant may withdraw from an offering period by signing and delivering to Leidos a notice of withdrawal from the ESPP. The withdrawal may be elected at any time prior to the end of an offering period or such other time as specified by the Committee.</w:t>
      </w:r>
    </w:p>
    <w:p>
      <w:pPr>
        <w:spacing w:after="0" w:line="112" w:lineRule="exact"/>
        <w:rPr>
          <w:sz w:val="20"/>
          <w:szCs w:val="20"/>
          <w:color w:val="auto"/>
        </w:rPr>
      </w:pPr>
    </w:p>
    <w:p>
      <w:pPr>
        <w:jc w:val="right"/>
        <w:spacing w:after="0"/>
        <w:tabs>
          <w:tab w:leader="none" w:pos="380" w:val="left"/>
          <w:tab w:leader="none" w:pos="160" w:val="left"/>
        </w:tabs>
        <w:rPr>
          <w:sz w:val="20"/>
          <w:szCs w:val="20"/>
          <w:color w:val="auto"/>
        </w:rPr>
      </w:pPr>
      <w:r>
        <w:rPr>
          <w:rFonts w:ascii="Arial" w:cs="Arial" w:eastAsia="Arial" w:hAnsi="Arial"/>
          <w:sz w:val="16"/>
          <w:szCs w:val="16"/>
          <w:b w:val="1"/>
          <w:bCs w:val="1"/>
          <w:color w:val="483E65"/>
        </w:rPr>
        <w:t>2017 Proxy Statement</w:t>
        <w:tab/>
        <w:t>|</w:t>
        <w:tab/>
        <w:t>57</w:t>
      </w:r>
    </w:p>
    <w:p>
      <w:pPr>
        <w:sectPr>
          <w:pgSz w:w="11900" w:h="16838" w:orient="portrait"/>
          <w:cols w:equalWidth="0" w:num="1">
            <w:col w:w="11420"/>
          </w:cols>
          <w:pgMar w:left="240" w:top="45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8" w:lineRule="exact"/>
        <w:rPr>
          <w:sz w:val="20"/>
          <w:szCs w:val="20"/>
          <w:color w:val="auto"/>
        </w:rPr>
      </w:pPr>
    </w:p>
    <w:p>
      <w:pPr>
        <w:spacing w:after="0"/>
        <w:rPr>
          <w:sz w:val="20"/>
          <w:szCs w:val="20"/>
          <w:color w:val="auto"/>
        </w:rPr>
      </w:pPr>
      <w:r>
        <w:rPr>
          <w:rFonts w:ascii="Arial" w:cs="Arial" w:eastAsia="Arial" w:hAnsi="Arial"/>
          <w:sz w:val="32"/>
          <w:szCs w:val="32"/>
          <w:color w:val="483E65"/>
        </w:rPr>
        <w:t>Proposal 4 — Amended and Restated 2006 Employee Stock Purchase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149860</wp:posOffset>
            </wp:positionV>
            <wp:extent cx="724662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18" w:lineRule="exact"/>
        <w:rPr>
          <w:sz w:val="20"/>
          <w:szCs w:val="20"/>
          <w:color w:val="auto"/>
        </w:rPr>
      </w:pPr>
    </w:p>
    <w:p>
      <w:pPr>
        <w:ind w:right="360"/>
        <w:spacing w:after="0" w:line="238" w:lineRule="auto"/>
        <w:rPr>
          <w:sz w:val="20"/>
          <w:szCs w:val="20"/>
          <w:color w:val="auto"/>
        </w:rPr>
      </w:pPr>
      <w:r>
        <w:rPr>
          <w:rFonts w:ascii="Arial" w:cs="Arial" w:eastAsia="Arial" w:hAnsi="Arial"/>
          <w:sz w:val="18"/>
          <w:szCs w:val="18"/>
          <w:color w:val="auto"/>
        </w:rPr>
        <w:t>Any withdrawal by the participant of accumulated payroll deductions for a given offering period automatically terminates the participant’s interest in that offering period. All of the participant’s contributions credited to his or her account will be paid to him or her without interest. A participant’s withdrawal from an offering period does not have an effect upon the participant’s eligibility to participate in subsequent offering periods under the ESPP by filing a new authorization for payroll deductions. However, a participant may not re-enroll in the same offering period after withdrawal.</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483E65"/>
        </w:rPr>
        <w:t>Termination of Employment</w:t>
      </w:r>
    </w:p>
    <w:p>
      <w:pPr>
        <w:spacing w:after="0" w:line="234"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Termination of a participant’s employment for any reason, including retirement, death or the failure of a participant to remain an eligible employee of Leidos or of a participating subsidiary, will immediately terminate the participant’s participation in the ESPP. Any payroll deductions credited to the participant’s account will be returned to the participant, or, in the case of the participant’s death, to the participant’s legal representative, without interest.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483E65"/>
        </w:rPr>
        <w:t>Amendment and Termination</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The ESPP will terminate ten years from approval by our stockholders, unless it is terminated earlier pursuant to its terms.</w:t>
      </w:r>
    </w:p>
    <w:p>
      <w:pPr>
        <w:spacing w:after="0" w:line="212"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auto"/>
        </w:rPr>
        <w:t>Our board may amend or terminate the ESPP, but Leidos will obtain stockholder approval for any amendment to the ESPP to the extent required by applicable laws and New York Stock Exchange listing requirements. Unless approved by the stockholders of Leidos, our board will not make any amendment that would increase the maximum number of shares that may be issued under the ESPP or change the designation or class of persons eligible to participate under the ESPP. In addition, no action by the board or the stockholders may impair any outstanding option without the written consent of the participant except as set forth below.</w:t>
      </w:r>
    </w:p>
    <w:p>
      <w:pPr>
        <w:spacing w:after="0" w:line="203" w:lineRule="exact"/>
        <w:rPr>
          <w:sz w:val="20"/>
          <w:szCs w:val="20"/>
          <w:color w:val="auto"/>
        </w:rPr>
      </w:pPr>
    </w:p>
    <w:p>
      <w:pPr>
        <w:ind w:right="160"/>
        <w:spacing w:after="0"/>
        <w:rPr>
          <w:sz w:val="20"/>
          <w:szCs w:val="20"/>
          <w:color w:val="auto"/>
        </w:rPr>
      </w:pPr>
      <w:r>
        <w:rPr>
          <w:rFonts w:ascii="Arial" w:cs="Arial" w:eastAsia="Arial" w:hAnsi="Arial"/>
          <w:sz w:val="18"/>
          <w:szCs w:val="18"/>
          <w:color w:val="auto"/>
        </w:rPr>
        <w:t>Our board may make amendments to the ESPP as it determines to be advisable, including changes with respect to current offering periods or purchase periods, if the continuation of the ESPP or any offering period would result in financial accounting treatment for the ESPP that is different from the financial accounting treatment in effect on the date our board of directors adopted the ESPP.</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483E65"/>
        </w:rPr>
        <w:t>Adjustments upon Changes in Capitalization, Change of Control or Dissolution</w:t>
      </w:r>
    </w:p>
    <w:p>
      <w:pPr>
        <w:spacing w:after="0" w:line="234"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Subject to any required action by Leidos’ stockholders, (1) the number and type of shares covered by each outstanding option, (2) the price per share subject to each outstanding option and (3) the number and type of shares which have been authorized for issuance under the ESPP (including the maximum number in the evergreen feature) will each be proportionately adjusted for any increase or decrease in the number or kind of issued and outstanding shares resulting from a stock split, stock dividend or any other increase or decrease in the number of issued and outstanding shares of the class of Leidos’ stock subject to the ESPP effected without receipt of consideration by Leidos or other change in the corporate structure or capitalization affecting the class of Leidos’ stock subject to the ESPP.</w:t>
      </w:r>
    </w:p>
    <w:p>
      <w:pPr>
        <w:spacing w:after="0" w:line="205"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In the event of a change in control transaction of Leidos, the ESPP will continue with regard to offering periods that commenced prior to the closing of the proposed transaction and shares will be purchased based on the fair market value of the successor entity’s stock on each purchase date, unless otherwise provided by the Committee. In addition, in the event that Leidos effects a reorganization, recapitalization, rights offering or other increase or reduction of shares of its outstanding stock, or in the event of Leidos’ being consolidated with or merged into any other corporation, the Committee may, in its sole discretion, also make provision for adjusting the number and type of shares which have been authorized for issuance under the ESPP, as well as the price per share of the stock covered by each outstanding option.</w:t>
      </w:r>
    </w:p>
    <w:p>
      <w:pPr>
        <w:spacing w:after="0" w:line="205" w:lineRule="exact"/>
        <w:rPr>
          <w:sz w:val="20"/>
          <w:szCs w:val="20"/>
          <w:color w:val="auto"/>
        </w:rPr>
      </w:pPr>
    </w:p>
    <w:p>
      <w:pPr>
        <w:ind w:right="100"/>
        <w:spacing w:after="0" w:line="239" w:lineRule="auto"/>
        <w:rPr>
          <w:sz w:val="20"/>
          <w:szCs w:val="20"/>
          <w:color w:val="auto"/>
        </w:rPr>
      </w:pPr>
      <w:r>
        <w:rPr>
          <w:rFonts w:ascii="Arial" w:cs="Arial" w:eastAsia="Arial" w:hAnsi="Arial"/>
          <w:sz w:val="18"/>
          <w:szCs w:val="18"/>
          <w:color w:val="auto"/>
        </w:rPr>
        <w:t>In the event of a dissolution or liquidation of Leidos, each offering period under the ESPP then in progress will terminate immediately prior to the consummation of the dissolution or liquidation, unless otherwise provided by the Committee. In addition, in the event of a dissolution or liquidation, the Committee may terminate the ESPP as of a date fixed by the Committee and give each participant the right to purchase shares under the ESPP prior to the termination.</w:t>
      </w:r>
    </w:p>
    <w:p>
      <w:pPr>
        <w:spacing w:after="0" w:line="117" w:lineRule="exact"/>
        <w:rPr>
          <w:sz w:val="20"/>
          <w:szCs w:val="20"/>
          <w:color w:val="auto"/>
        </w:rPr>
      </w:pPr>
    </w:p>
    <w:p>
      <w:pPr>
        <w:spacing w:after="0"/>
        <w:tabs>
          <w:tab w:leader="none" w:pos="340" w:val="left"/>
          <w:tab w:leader="none" w:pos="580" w:val="left"/>
        </w:tabs>
        <w:rPr>
          <w:sz w:val="20"/>
          <w:szCs w:val="20"/>
          <w:color w:val="auto"/>
        </w:rPr>
      </w:pPr>
      <w:r>
        <w:rPr>
          <w:rFonts w:ascii="Arial" w:cs="Arial" w:eastAsia="Arial" w:hAnsi="Arial"/>
          <w:sz w:val="16"/>
          <w:szCs w:val="16"/>
          <w:b w:val="1"/>
          <w:bCs w:val="1"/>
          <w:color w:val="483E65"/>
        </w:rPr>
        <w:t>58</w:t>
        <w:tab/>
        <w:t>|</w:t>
        <w:tab/>
        <w:t>2017 Proxy Statement</w:t>
      </w:r>
    </w:p>
    <w:p>
      <w:pPr>
        <w:sectPr>
          <w:pgSz w:w="11900" w:h="16838" w:orient="portrait"/>
          <w:cols w:equalWidth="0" w:num="1">
            <w:col w:w="11420"/>
          </w:cols>
          <w:pgMar w:left="240" w:top="45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8" w:lineRule="exact"/>
        <w:rPr>
          <w:sz w:val="20"/>
          <w:szCs w:val="20"/>
          <w:color w:val="auto"/>
        </w:rPr>
      </w:pPr>
    </w:p>
    <w:p>
      <w:pPr>
        <w:spacing w:after="0"/>
        <w:rPr>
          <w:sz w:val="20"/>
          <w:szCs w:val="20"/>
          <w:color w:val="auto"/>
        </w:rPr>
      </w:pPr>
      <w:r>
        <w:rPr>
          <w:rFonts w:ascii="Arial" w:cs="Arial" w:eastAsia="Arial" w:hAnsi="Arial"/>
          <w:sz w:val="32"/>
          <w:szCs w:val="32"/>
          <w:color w:val="483E65"/>
        </w:rPr>
        <w:t>Proposal 4 — Amended and Restated 2006 Employee Stock Purchase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149860</wp:posOffset>
            </wp:positionV>
            <wp:extent cx="724662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483E65"/>
        </w:rPr>
        <w:t>Federal Income Tax Consequences</w:t>
      </w:r>
    </w:p>
    <w:p>
      <w:pPr>
        <w:spacing w:after="0" w:line="234" w:lineRule="exact"/>
        <w:rPr>
          <w:sz w:val="20"/>
          <w:szCs w:val="20"/>
          <w:color w:val="auto"/>
        </w:rPr>
      </w:pPr>
    </w:p>
    <w:p>
      <w:pPr>
        <w:jc w:val="both"/>
        <w:ind w:right="420"/>
        <w:spacing w:after="0"/>
        <w:rPr>
          <w:sz w:val="20"/>
          <w:szCs w:val="20"/>
          <w:color w:val="auto"/>
        </w:rPr>
      </w:pPr>
      <w:r>
        <w:rPr>
          <w:rFonts w:ascii="Arial" w:cs="Arial" w:eastAsia="Arial" w:hAnsi="Arial"/>
          <w:sz w:val="18"/>
          <w:szCs w:val="18"/>
          <w:color w:val="auto"/>
        </w:rPr>
        <w:t>THE FOLLOWING IS A GENERAL SUMMARY OF THE TYPICAL FEDERAL INCOME TAX CONSEQUENCES OF THE PURCHASE OF SHARES UNDER THE ESPP. IT DOES NOT DESCRIBE STATE OR OTHER TAX CONSEQUENCES OF THE PURCHASE OF SHARES UNDER THE ESPP.</w:t>
      </w:r>
    </w:p>
    <w:p>
      <w:pPr>
        <w:spacing w:after="0" w:line="203"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The ESPP, and the right of participants to make purchases under the plan, is intended to qualify for the federal income tax treatment provided to employee stock purchase plans and their participants under the provisions of Sections 421 and 423 of the Internal Revenue Code. Under these provisions, no income will be taxable to a participant until the shares purchased under the ESPP are sold or otherwise disposed of. Upon sale or other disposition of the shares, the participant will generally be subject to tax in a manner that depends upon the holding period of the shares. If the shares are sold or otherwise disposed of (including by gift) more than two years from the first day of the offering period and more than one year from the date the shares are purchased, the participant will recognize ordinary income measured as the lesser of (1) the excess of the fair market value of the shares at the time of the sale or disposition over the purchase price, or (2) an amount equal to 15% of the fair market value of the shares as of the first day of the offering period. Any additional gain or loss will be treated as long-term capital gain or loss. If the shares are sold or otherwise disposed of (including by gift) before the expiration of either of these holding periods, the participant will recognize ordinary income generally measured as the excess of the fair market value of the shares on the date the shares are purchased over the purchase price. Any additional gain or loss on the sale or disposition will be long-term or short-term capital gain or loss, depending on whether or not the disposition occurs more than one year after the date the shares are purchased. Leidos is not entitled to a deduction for amounts taxed as ordinary income or capital gain to a participant except to the extent of ordinary income recognized by a participant upon a sale or disposition of shares prior to the expiration of the holding periods described above.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483E65"/>
        </w:rPr>
        <w:t>Accounting Treatment</w:t>
      </w:r>
    </w:p>
    <w:p>
      <w:pPr>
        <w:spacing w:after="0" w:line="234"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Based on an application of FASB ASC Topic 718, Leidos will recognize compensation expense in connection with the ESPP. So long as Leidos continues issuing shares under the ESPP with a purchase price at a discount to the fair market value of its stock, Leidos will recognize compensation expense which will be determined by the level of participation in the ESPP and the amount of the discount. However, in certain cases where the purchase price is greater than 95% of the fair market value of the stock subject to the ESPP, there would be no compensation expense under FASB ASC Topic 718.</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483E65"/>
        </w:rPr>
        <w:t>Vote Required</w:t>
      </w:r>
    </w:p>
    <w:p>
      <w:pPr>
        <w:spacing w:after="0" w:line="234"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auto"/>
        </w:rPr>
        <w:t>The affirmative vote of the holders of a majority of the voting power of common stock present or represented and entitled to vote at the Annual Meeting is required to approve the proposal. Abstentions have the effect of a vote against the proposal, and broker “non-votes” have no effect on the outcome of the proposal. Shares of common stock represented by properly executed, timely received and unrevoked proxies will be voted in accordance with the instructions indicated thereon. In the absence of specific instructions, properly executed, timely received and unrevoked proxies will be voted “FOR” the proposal.</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483E65"/>
        </w:rPr>
        <w:t>Recommendation of the Board</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483E65"/>
        </w:rPr>
        <w:t>The Board of Directors recommends stockholders vote FOR the Amended and Restated 2006 Employee Stock Purchase Plan.</w:t>
      </w:r>
    </w:p>
    <w:p>
      <w:pPr>
        <w:spacing w:after="0" w:line="149" w:lineRule="exact"/>
        <w:rPr>
          <w:sz w:val="20"/>
          <w:szCs w:val="20"/>
          <w:color w:val="auto"/>
        </w:rPr>
      </w:pPr>
    </w:p>
    <w:p>
      <w:pPr>
        <w:jc w:val="right"/>
        <w:spacing w:after="0"/>
        <w:tabs>
          <w:tab w:leader="none" w:pos="380" w:val="left"/>
          <w:tab w:leader="none" w:pos="160" w:val="left"/>
        </w:tabs>
        <w:rPr>
          <w:sz w:val="20"/>
          <w:szCs w:val="20"/>
          <w:color w:val="auto"/>
        </w:rPr>
      </w:pPr>
      <w:r>
        <w:rPr>
          <w:rFonts w:ascii="Arial" w:cs="Arial" w:eastAsia="Arial" w:hAnsi="Arial"/>
          <w:sz w:val="16"/>
          <w:szCs w:val="16"/>
          <w:b w:val="1"/>
          <w:bCs w:val="1"/>
          <w:color w:val="483E65"/>
        </w:rPr>
        <w:t>2017 Proxy Statement</w:t>
        <w:tab/>
        <w:t>|</w:t>
        <w:tab/>
        <w:t>59</w:t>
      </w:r>
    </w:p>
    <w:p>
      <w:pPr>
        <w:sectPr>
          <w:pgSz w:w="11900" w:h="16838" w:orient="portrait"/>
          <w:cols w:equalWidth="0" w:num="1">
            <w:col w:w="11420"/>
          </w:cols>
          <w:pgMar w:left="240" w:top="459"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8" w:lineRule="exact"/>
        <w:rPr>
          <w:sz w:val="20"/>
          <w:szCs w:val="20"/>
          <w:color w:val="auto"/>
        </w:rPr>
      </w:pPr>
    </w:p>
    <w:p>
      <w:pPr>
        <w:spacing w:after="0"/>
        <w:rPr>
          <w:sz w:val="20"/>
          <w:szCs w:val="20"/>
          <w:color w:val="auto"/>
        </w:rPr>
      </w:pPr>
      <w:r>
        <w:rPr>
          <w:rFonts w:ascii="Arial" w:cs="Arial" w:eastAsia="Arial" w:hAnsi="Arial"/>
          <w:sz w:val="32"/>
          <w:szCs w:val="32"/>
          <w:color w:val="483E65"/>
        </w:rPr>
        <w:t>Proposal 5 — 2017 Omnibus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149860</wp:posOffset>
            </wp:positionV>
            <wp:extent cx="724662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On March 17, 2017, the Committee approved, subject to stockholder approval, the Leidos Holdings, Inc. 2017 Omnibus Incentive Plan (the “2017 Plan”). If the 2017 Plan is approved by our stockholders, it will authorize the issuance of a number of shares of our common stock equal to 7,500,000 shares, plus approximately 1,441,000 shares remaining available for grant under the Leidos Holdings, Inc. 2006 Equity Incentive Plan (the “Predecessor Plan”) previously approved by stockholders. The 2017 Plan will replace the Predecessor Plan, and no new awards will be granted under the Predecessor Plan. Any awards outstanding under the Predecessor Plan on the date of stockholder approval of the 2017 Plan will remain subject to and be paid under the Predecessor Plan, and any shares subject to outstanding awards under the Predecessor Plan that subsequently expire, terminate, or are surrendered or forfeited for any reason without issuance of shares will automatically become available for issuance under the 2017 Plan.</w:t>
      </w:r>
    </w:p>
    <w:p>
      <w:pPr>
        <w:spacing w:after="0" w:line="208"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The purpose of the 2017 Plan is to enhance the company’s ability to attract and retain highly qualified officers, non-employee directors, key employees, and consultants, and to motivate such service providers to serve the company and to expend maximum effort to improve the business results and earnings of the company, by providing to such persons an opportunity to acquire or increase a direct proprietary interest in the operations and future success of the company. The 2017 Plan also allows the company to promote greater ownership in the company by such service providers in order to align their interests more closely with the interests of our stockholders. Stockholder approval of the 2017 Plan will also enable the company to grant awards under the 2017 Plan that are designed to qualify for special tax treatment under Section 422 of the Internal Revenue Code, and to design both cash-based and equity-based awards intended to be fully deductible as “performance-based compensation” under Section 162(m) of the Internal Revenue Code (“Section 162(m)”).</w:t>
      </w:r>
    </w:p>
    <w:p>
      <w:pPr>
        <w:spacing w:after="0" w:line="208"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Under Section 162(m), we are generally prohibited from deducting compensation paid to “covered employees” in excess of $1 million per person in any year. “Covered employees” are defined as the chief executive officer and the three other most highly compensated named executive officers (excluding the chief financial officer). Compensation that qualifies as “performance-based” is not subject to the $1 million limit. In general, one of the requirements that must be satisfied to qualify as “performance-based” compensation is that the material terms of the performance goals under which the compensation may be paid must be disclosed to and approved by a majority vote of our stockholders, generally at least once every five years. For purposes of Section 162(m), the material terms of the performance goals generally include (a) the individuals eligible to receive compensation upon achievement of performance goals, (b) a description of the business criteria on which the performance goals may be based, and (c) the maximum amount that can be paid to an individual upon attainment of the performance goals. By approving the 2017 Plan, stockholders also will be approving the material terms of the performance goals under the 2017 Plan. The material terms of the performance goals for the 2017 Plan are disclosed below. Although stockholder approval of the 2017 Plan will provide flexibility to grant awards under the 2017 Plan that qualify as “performance-based” compensation under Section 162(m), we retain the ability to grant awards under the 2017 Plan that do not qualify as “performance-based” compensation under Section 162(m).</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483E65"/>
        </w:rPr>
        <w:t>Key Features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features of the 2017 Plan will protect the interests of our stockholders:</w:t>
      </w:r>
    </w:p>
    <w:p>
      <w:pPr>
        <w:spacing w:after="0" w:line="99" w:lineRule="exact"/>
        <w:rPr>
          <w:sz w:val="20"/>
          <w:szCs w:val="20"/>
          <w:color w:val="auto"/>
        </w:rPr>
      </w:pPr>
    </w:p>
    <w:p>
      <w:pPr>
        <w:ind w:left="560" w:right="100" w:hanging="444"/>
        <w:spacing w:after="0" w:line="267" w:lineRule="auto"/>
        <w:tabs>
          <w:tab w:leader="none" w:pos="560" w:val="left"/>
        </w:tabs>
        <w:numPr>
          <w:ilvl w:val="0"/>
          <w:numId w:val="61"/>
        </w:numPr>
        <w:rPr>
          <w:rFonts w:ascii="Arial" w:cs="Arial" w:eastAsia="Arial" w:hAnsi="Arial"/>
          <w:sz w:val="15"/>
          <w:szCs w:val="15"/>
          <w:color w:val="77387A"/>
        </w:rPr>
      </w:pPr>
      <w:r>
        <w:rPr>
          <w:rFonts w:ascii="Arial" w:cs="Arial" w:eastAsia="Arial" w:hAnsi="Arial"/>
          <w:sz w:val="18"/>
          <w:szCs w:val="18"/>
          <w:i w:val="1"/>
          <w:iCs w:val="1"/>
          <w:color w:val="483E65"/>
        </w:rPr>
        <w:t xml:space="preserve">Limitation on terms of stock options and stock appreciation rights. </w:t>
      </w:r>
      <w:r>
        <w:rPr>
          <w:rFonts w:ascii="Arial" w:cs="Arial" w:eastAsia="Arial" w:hAnsi="Arial"/>
          <w:sz w:val="18"/>
          <w:szCs w:val="18"/>
          <w:color w:val="000000"/>
        </w:rPr>
        <w:t>The maximum term of each stock option and stock appreciation right,</w:t>
      </w:r>
      <w:r>
        <w:rPr>
          <w:rFonts w:ascii="Arial" w:cs="Arial" w:eastAsia="Arial" w:hAnsi="Arial"/>
          <w:sz w:val="18"/>
          <w:szCs w:val="18"/>
          <w:i w:val="1"/>
          <w:iCs w:val="1"/>
          <w:color w:val="483E65"/>
        </w:rPr>
        <w:t xml:space="preserve"> </w:t>
      </w:r>
      <w:r>
        <w:rPr>
          <w:rFonts w:ascii="Arial" w:cs="Arial" w:eastAsia="Arial" w:hAnsi="Arial"/>
          <w:sz w:val="18"/>
          <w:szCs w:val="18"/>
          <w:color w:val="000000"/>
        </w:rPr>
        <w:t>or SARs, is ten years.</w:t>
      </w:r>
    </w:p>
    <w:p>
      <w:pPr>
        <w:spacing w:after="0" w:line="66" w:lineRule="exact"/>
        <w:rPr>
          <w:rFonts w:ascii="Arial" w:cs="Arial" w:eastAsia="Arial" w:hAnsi="Arial"/>
          <w:sz w:val="15"/>
          <w:szCs w:val="15"/>
          <w:color w:val="77387A"/>
        </w:rPr>
      </w:pPr>
    </w:p>
    <w:p>
      <w:pPr>
        <w:ind w:left="560" w:right="360" w:hanging="444"/>
        <w:spacing w:after="0" w:line="251" w:lineRule="auto"/>
        <w:tabs>
          <w:tab w:leader="none" w:pos="560" w:val="left"/>
        </w:tabs>
        <w:numPr>
          <w:ilvl w:val="0"/>
          <w:numId w:val="61"/>
        </w:numPr>
        <w:rPr>
          <w:rFonts w:ascii="Arial" w:cs="Arial" w:eastAsia="Arial" w:hAnsi="Arial"/>
          <w:sz w:val="15"/>
          <w:szCs w:val="15"/>
          <w:color w:val="77387A"/>
        </w:rPr>
      </w:pPr>
      <w:r>
        <w:rPr>
          <w:rFonts w:ascii="Arial" w:cs="Arial" w:eastAsia="Arial" w:hAnsi="Arial"/>
          <w:sz w:val="18"/>
          <w:szCs w:val="18"/>
          <w:i w:val="1"/>
          <w:iCs w:val="1"/>
          <w:color w:val="483E65"/>
        </w:rPr>
        <w:t xml:space="preserve">No repricing or grant of discounted stock options. </w:t>
      </w:r>
      <w:r>
        <w:rPr>
          <w:rFonts w:ascii="Arial" w:cs="Arial" w:eastAsia="Arial" w:hAnsi="Arial"/>
          <w:sz w:val="18"/>
          <w:szCs w:val="18"/>
          <w:color w:val="000000"/>
        </w:rPr>
        <w:t>The 2017 Plan does not permit the repricing of options or stock appreciation rights</w:t>
      </w:r>
      <w:r>
        <w:rPr>
          <w:rFonts w:ascii="Arial" w:cs="Arial" w:eastAsia="Arial" w:hAnsi="Arial"/>
          <w:sz w:val="18"/>
          <w:szCs w:val="18"/>
          <w:i w:val="1"/>
          <w:iCs w:val="1"/>
          <w:color w:val="483E65"/>
        </w:rPr>
        <w:t xml:space="preserve"> </w:t>
      </w:r>
      <w:r>
        <w:rPr>
          <w:rFonts w:ascii="Arial" w:cs="Arial" w:eastAsia="Arial" w:hAnsi="Arial"/>
          <w:sz w:val="18"/>
          <w:szCs w:val="18"/>
          <w:color w:val="000000"/>
        </w:rPr>
        <w:t>either by amending an existing award or by substituting a new award at a lower price. The 2017 Plan prohibits the granting of stock options or stock appreciation rights with an exercise price less than the fair market value of the common stock on the date of grant.</w:t>
      </w:r>
    </w:p>
    <w:p>
      <w:pPr>
        <w:spacing w:after="0" w:line="79" w:lineRule="exact"/>
        <w:rPr>
          <w:rFonts w:ascii="Arial" w:cs="Arial" w:eastAsia="Arial" w:hAnsi="Arial"/>
          <w:sz w:val="15"/>
          <w:szCs w:val="15"/>
          <w:color w:val="77387A"/>
        </w:rPr>
      </w:pPr>
    </w:p>
    <w:p>
      <w:pPr>
        <w:ind w:left="560" w:hanging="444"/>
        <w:spacing w:after="0"/>
        <w:tabs>
          <w:tab w:leader="none" w:pos="560" w:val="left"/>
        </w:tabs>
        <w:numPr>
          <w:ilvl w:val="0"/>
          <w:numId w:val="61"/>
        </w:numPr>
        <w:rPr>
          <w:rFonts w:ascii="Arial" w:cs="Arial" w:eastAsia="Arial" w:hAnsi="Arial"/>
          <w:sz w:val="15"/>
          <w:szCs w:val="15"/>
          <w:color w:val="77387A"/>
        </w:rPr>
      </w:pPr>
      <w:r>
        <w:rPr>
          <w:rFonts w:ascii="Arial" w:cs="Arial" w:eastAsia="Arial" w:hAnsi="Arial"/>
          <w:sz w:val="18"/>
          <w:szCs w:val="18"/>
          <w:i w:val="1"/>
          <w:iCs w:val="1"/>
          <w:color w:val="483E65"/>
        </w:rPr>
        <w:t xml:space="preserve">Clawback. </w:t>
      </w:r>
      <w:r>
        <w:rPr>
          <w:rFonts w:ascii="Arial" w:cs="Arial" w:eastAsia="Arial" w:hAnsi="Arial"/>
          <w:sz w:val="18"/>
          <w:szCs w:val="18"/>
          <w:color w:val="000000"/>
        </w:rPr>
        <w:t>Awards granted under the 2017 Plan are subject to the company’s compensation recovery policy.</w:t>
      </w:r>
    </w:p>
    <w:p>
      <w:pPr>
        <w:spacing w:after="0" w:line="130" w:lineRule="exact"/>
        <w:rPr>
          <w:rFonts w:ascii="Arial" w:cs="Arial" w:eastAsia="Arial" w:hAnsi="Arial"/>
          <w:sz w:val="15"/>
          <w:szCs w:val="15"/>
          <w:color w:val="77387A"/>
        </w:rPr>
      </w:pPr>
    </w:p>
    <w:p>
      <w:pPr>
        <w:jc w:val="both"/>
        <w:ind w:left="560" w:right="120" w:hanging="444"/>
        <w:spacing w:after="0" w:line="251" w:lineRule="auto"/>
        <w:tabs>
          <w:tab w:leader="none" w:pos="560" w:val="left"/>
        </w:tabs>
        <w:numPr>
          <w:ilvl w:val="0"/>
          <w:numId w:val="61"/>
        </w:numPr>
        <w:rPr>
          <w:rFonts w:ascii="Arial" w:cs="Arial" w:eastAsia="Arial" w:hAnsi="Arial"/>
          <w:sz w:val="15"/>
          <w:szCs w:val="15"/>
          <w:color w:val="77387A"/>
        </w:rPr>
      </w:pPr>
      <w:r>
        <w:rPr>
          <w:rFonts w:ascii="Arial" w:cs="Arial" w:eastAsia="Arial" w:hAnsi="Arial"/>
          <w:sz w:val="18"/>
          <w:szCs w:val="18"/>
          <w:i w:val="1"/>
          <w:iCs w:val="1"/>
          <w:color w:val="483E65"/>
        </w:rPr>
        <w:t xml:space="preserve">Double-trigger acceleration. </w:t>
      </w:r>
      <w:r>
        <w:rPr>
          <w:rFonts w:ascii="Arial" w:cs="Arial" w:eastAsia="Arial" w:hAnsi="Arial"/>
          <w:sz w:val="18"/>
          <w:szCs w:val="18"/>
          <w:color w:val="000000"/>
        </w:rPr>
        <w:t>Under the 2017 Plan we do not accelerate vesting of awards that are assumed or replaced by the resulting</w:t>
      </w:r>
      <w:r>
        <w:rPr>
          <w:rFonts w:ascii="Arial" w:cs="Arial" w:eastAsia="Arial" w:hAnsi="Arial"/>
          <w:sz w:val="18"/>
          <w:szCs w:val="18"/>
          <w:i w:val="1"/>
          <w:iCs w:val="1"/>
          <w:color w:val="483E65"/>
        </w:rPr>
        <w:t xml:space="preserve"> </w:t>
      </w:r>
      <w:r>
        <w:rPr>
          <w:rFonts w:ascii="Arial" w:cs="Arial" w:eastAsia="Arial" w:hAnsi="Arial"/>
          <w:sz w:val="18"/>
          <w:szCs w:val="18"/>
          <w:color w:val="000000"/>
        </w:rPr>
        <w:t>entity after a change in control unless an employee’s employment is also involuntarily terminated by the company within two years after the change in control.</w:t>
      </w:r>
    </w:p>
    <w:p>
      <w:pPr>
        <w:spacing w:after="0" w:line="79" w:lineRule="exact"/>
        <w:rPr>
          <w:rFonts w:ascii="Arial" w:cs="Arial" w:eastAsia="Arial" w:hAnsi="Arial"/>
          <w:sz w:val="15"/>
          <w:szCs w:val="15"/>
          <w:color w:val="77387A"/>
        </w:rPr>
      </w:pPr>
    </w:p>
    <w:p>
      <w:pPr>
        <w:ind w:left="560" w:right="640" w:hanging="444"/>
        <w:spacing w:after="0" w:line="267" w:lineRule="auto"/>
        <w:tabs>
          <w:tab w:leader="none" w:pos="560" w:val="left"/>
        </w:tabs>
        <w:numPr>
          <w:ilvl w:val="0"/>
          <w:numId w:val="61"/>
        </w:numPr>
        <w:rPr>
          <w:rFonts w:ascii="Arial" w:cs="Arial" w:eastAsia="Arial" w:hAnsi="Arial"/>
          <w:sz w:val="15"/>
          <w:szCs w:val="15"/>
          <w:color w:val="77387A"/>
        </w:rPr>
      </w:pPr>
      <w:r>
        <w:rPr>
          <w:rFonts w:ascii="Arial" w:cs="Arial" w:eastAsia="Arial" w:hAnsi="Arial"/>
          <w:sz w:val="18"/>
          <w:szCs w:val="18"/>
          <w:i w:val="1"/>
          <w:iCs w:val="1"/>
          <w:color w:val="483E65"/>
        </w:rPr>
        <w:t xml:space="preserve">Dividends. </w:t>
      </w:r>
      <w:r>
        <w:rPr>
          <w:rFonts w:ascii="Arial" w:cs="Arial" w:eastAsia="Arial" w:hAnsi="Arial"/>
          <w:sz w:val="18"/>
          <w:szCs w:val="18"/>
          <w:color w:val="000000"/>
        </w:rPr>
        <w:t>We do not pay dividends or dividend equivalents on stock options, stock appreciation rights or unearned performance</w:t>
      </w:r>
      <w:r>
        <w:rPr>
          <w:rFonts w:ascii="Arial" w:cs="Arial" w:eastAsia="Arial" w:hAnsi="Arial"/>
          <w:sz w:val="18"/>
          <w:szCs w:val="18"/>
          <w:i w:val="1"/>
          <w:iCs w:val="1"/>
          <w:color w:val="483E65"/>
        </w:rPr>
        <w:t xml:space="preserve"> </w:t>
      </w:r>
      <w:r>
        <w:rPr>
          <w:rFonts w:ascii="Arial" w:cs="Arial" w:eastAsia="Arial" w:hAnsi="Arial"/>
          <w:sz w:val="18"/>
          <w:szCs w:val="18"/>
          <w:color w:val="000000"/>
        </w:rPr>
        <w:t>awards.</w:t>
      </w:r>
    </w:p>
    <w:p>
      <w:pPr>
        <w:spacing w:after="0" w:line="94" w:lineRule="exact"/>
        <w:rPr>
          <w:sz w:val="20"/>
          <w:szCs w:val="20"/>
          <w:color w:val="auto"/>
        </w:rPr>
      </w:pPr>
    </w:p>
    <w:p>
      <w:pPr>
        <w:spacing w:after="0"/>
        <w:tabs>
          <w:tab w:leader="none" w:pos="340" w:val="left"/>
          <w:tab w:leader="none" w:pos="580" w:val="left"/>
        </w:tabs>
        <w:rPr>
          <w:sz w:val="20"/>
          <w:szCs w:val="20"/>
          <w:color w:val="auto"/>
        </w:rPr>
      </w:pPr>
      <w:r>
        <w:rPr>
          <w:rFonts w:ascii="Arial" w:cs="Arial" w:eastAsia="Arial" w:hAnsi="Arial"/>
          <w:sz w:val="16"/>
          <w:szCs w:val="16"/>
          <w:b w:val="1"/>
          <w:bCs w:val="1"/>
          <w:color w:val="483E65"/>
        </w:rPr>
        <w:t>60</w:t>
        <w:tab/>
        <w:t>|</w:t>
        <w:tab/>
        <w:t>2017 Proxy Statement</w:t>
      </w:r>
    </w:p>
    <w:p>
      <w:pPr>
        <w:sectPr>
          <w:pgSz w:w="11900" w:h="16838" w:orient="portrait"/>
          <w:cols w:equalWidth="0" w:num="1">
            <w:col w:w="11420"/>
          </w:cols>
          <w:pgMar w:left="240" w:top="45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8" w:lineRule="exact"/>
        <w:rPr>
          <w:sz w:val="20"/>
          <w:szCs w:val="20"/>
          <w:color w:val="auto"/>
        </w:rPr>
      </w:pPr>
    </w:p>
    <w:p>
      <w:pPr>
        <w:spacing w:after="0"/>
        <w:rPr>
          <w:sz w:val="20"/>
          <w:szCs w:val="20"/>
          <w:color w:val="auto"/>
        </w:rPr>
      </w:pPr>
      <w:r>
        <w:rPr>
          <w:rFonts w:ascii="Arial" w:cs="Arial" w:eastAsia="Arial" w:hAnsi="Arial"/>
          <w:sz w:val="32"/>
          <w:szCs w:val="32"/>
          <w:color w:val="483E65"/>
        </w:rPr>
        <w:t>Proposal 5 — 2017 Omnibus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149860</wp:posOffset>
            </wp:positionV>
            <wp:extent cx="724662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483E65"/>
        </w:rPr>
        <w:t>Summary of the 2017 Plan</w:t>
      </w:r>
    </w:p>
    <w:p>
      <w:pPr>
        <w:spacing w:after="0" w:line="234" w:lineRule="exact"/>
        <w:rPr>
          <w:sz w:val="20"/>
          <w:szCs w:val="20"/>
          <w:color w:val="auto"/>
        </w:rPr>
      </w:pPr>
    </w:p>
    <w:p>
      <w:pPr>
        <w:jc w:val="both"/>
        <w:ind w:right="420"/>
        <w:spacing w:after="0"/>
        <w:rPr>
          <w:sz w:val="20"/>
          <w:szCs w:val="20"/>
          <w:color w:val="auto"/>
        </w:rPr>
      </w:pPr>
      <w:r>
        <w:rPr>
          <w:rFonts w:ascii="Arial" w:cs="Arial" w:eastAsia="Arial" w:hAnsi="Arial"/>
          <w:sz w:val="18"/>
          <w:szCs w:val="18"/>
          <w:color w:val="auto"/>
        </w:rPr>
        <w:t>The principal features of the 2017 Plan are summarized below. The following summary of the 2017 Plan does not purport to be a complete description of all of the provisions of the 2017 Plan. It is qualified in its entirety by reference to the complete text of the 2017 Plan, which is attached to this proxy statement as Annex B.</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483E65"/>
        </w:rPr>
        <w:t>Eligibility</w:t>
      </w:r>
    </w:p>
    <w:p>
      <w:pPr>
        <w:spacing w:after="0" w:line="234" w:lineRule="exact"/>
        <w:rPr>
          <w:sz w:val="20"/>
          <w:szCs w:val="20"/>
          <w:color w:val="auto"/>
        </w:rPr>
      </w:pPr>
    </w:p>
    <w:p>
      <w:pPr>
        <w:jc w:val="both"/>
        <w:ind w:right="80"/>
        <w:spacing w:after="0"/>
        <w:rPr>
          <w:sz w:val="20"/>
          <w:szCs w:val="20"/>
          <w:color w:val="auto"/>
        </w:rPr>
      </w:pPr>
      <w:r>
        <w:rPr>
          <w:rFonts w:ascii="Arial" w:cs="Arial" w:eastAsia="Arial" w:hAnsi="Arial"/>
          <w:sz w:val="18"/>
          <w:szCs w:val="18"/>
          <w:color w:val="auto"/>
        </w:rPr>
        <w:t>Awards may be granted under the 2017 Plan to officers, employees, and consultants of the company and its subsidiaries and to non-employee directors of the company. Incentive stock options may be granted only to employees of the company or its subsidiaries. Approximately 32,000 individuals are expected to be eligible to receive awards under the 2017 Plan, including 11 executive officers and 11 non-employee directors.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483E65"/>
        </w:rPr>
        <w:t>Administration</w:t>
      </w:r>
    </w:p>
    <w:p>
      <w:pPr>
        <w:spacing w:after="0" w:line="234" w:lineRule="exact"/>
        <w:rPr>
          <w:sz w:val="20"/>
          <w:szCs w:val="20"/>
          <w:color w:val="auto"/>
        </w:rPr>
      </w:pPr>
    </w:p>
    <w:p>
      <w:pPr>
        <w:ind w:right="420"/>
        <w:spacing w:after="0" w:line="246" w:lineRule="auto"/>
        <w:rPr>
          <w:sz w:val="20"/>
          <w:szCs w:val="20"/>
          <w:color w:val="auto"/>
        </w:rPr>
      </w:pPr>
      <w:r>
        <w:rPr>
          <w:rFonts w:ascii="Arial" w:cs="Arial" w:eastAsia="Arial" w:hAnsi="Arial"/>
          <w:sz w:val="18"/>
          <w:szCs w:val="18"/>
          <w:color w:val="auto"/>
        </w:rPr>
        <w:t>The 2017 Plan may be administered by our board of directors or the Committee. The Committee, in its discretion, selects the individuals to whom awards may be granted, the time or times at which such awards are granted, and the terms of such awards.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483E65"/>
        </w:rPr>
        <w:t>Number of Authorized Shares</w:t>
      </w:r>
    </w:p>
    <w:p>
      <w:pPr>
        <w:spacing w:after="0" w:line="234"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color w:val="auto"/>
        </w:rPr>
        <w:t>The number of shares of common stock authorized for issuance under the 2017 Plan is 7,500,000 shares, plus approximately 1,441,000 shares remaining available for grant of awards under our 2006 Equity Incentive Plan. In addition, as of the date of stockholder approval of the 2017 Plan, any awards then outstanding under the Predecessor Plan will remain subject to and be paid under the Predecessor Plan and any shares then subject to outstanding awards under the Predecessor Plan that subsequently expire, terminate, or are surrendered or forfeited for any reason without issuance of shares will automatically become available for issuance under the 2017 Plan. Up to 7,500,000 shares may be granted as incentive stock options under Section 422 of the Internal Revenue Code. The shares of common stock issuable under the 2017 Plan will consist of authorized and unissued shares, treasury shares, or shares purchased on the open market or otherwise.</w:t>
      </w:r>
    </w:p>
    <w:p>
      <w:pPr>
        <w:spacing w:after="0" w:line="203"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If any award is canceled, terminates, expires or lapses for any reason prior to the issuance of shares or if shares are issued under the 2017 Plan and thereafter are forfeited to the company, the shares subject to such awards and the forfeited shares will again be available for grant under the 2017 Plan. In addition, the following items will not count against the aggregate number of shares of common stock available for grant under the 2017 Plan: (a) the payment in cash of dividends or dividend equivalents under any outstanding award, (b) any award that is settled in cash rather than by issuance of shares of common stock, (c) shares surrendered or tendered in payment of the option price or purchase price of an award or any taxes required to be withheld in respect of an award, or (d) awards granted in assumption of or in substitution for awards previously granted by an acquired company.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483E65"/>
        </w:rPr>
        <w:t>Awards to Non-employee Directors</w:t>
      </w:r>
    </w:p>
    <w:p>
      <w:pPr>
        <w:spacing w:after="0" w:line="234" w:lineRule="exact"/>
        <w:rPr>
          <w:sz w:val="20"/>
          <w:szCs w:val="20"/>
          <w:color w:val="auto"/>
        </w:rPr>
      </w:pPr>
    </w:p>
    <w:p>
      <w:pPr>
        <w:ind w:right="240"/>
        <w:spacing w:after="0" w:line="239" w:lineRule="auto"/>
        <w:rPr>
          <w:sz w:val="20"/>
          <w:szCs w:val="20"/>
          <w:color w:val="auto"/>
        </w:rPr>
      </w:pPr>
      <w:r>
        <w:rPr>
          <w:rFonts w:ascii="Arial" w:cs="Arial" w:eastAsia="Arial" w:hAnsi="Arial"/>
          <w:sz w:val="18"/>
          <w:szCs w:val="18"/>
          <w:color w:val="auto"/>
        </w:rPr>
        <w:t>No share-based awards may be granted under the 2017 Plan during any one year to a non-employee director that exceed, together with any cash compensation received for such service, $750,000, based on the grant date fair value for accounting purposes in the case of stock options or stock appreciation rights and based on the fair market value of the common stock underlying the award on the grant date for other equity-based awards.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483E65"/>
        </w:rPr>
        <w:t>Adjustments</w:t>
      </w:r>
    </w:p>
    <w:p>
      <w:pPr>
        <w:spacing w:after="0" w:line="234"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If certain changes in the common stock occur by reason of any recapitalization, reclassification, stock split, reverse split, combination of shares, exchange of shares, stock dividend or other distribution payable in stock, or other increase or decrease in the common stock without receipt of consideration by the company, or if there occurs any spin-off, split-up, extraordinary cash dividend or other distribution of assets by the company, the number and kind of securities for which stock options and other stock-based awards may be made under the 2017 Plan, including the individual award limits for “performance-based” compensation under Section 162(m), will be equitably adjusted by the company. In addition, if there occurs any spin-off, split-up, extraordinary cash dividend or other distribution of assets by the company, the number and kind of securities subject to any outstanding awards and the exercise price of any outstanding stock options or SARs will be equitably adjusted by the company.</w:t>
      </w:r>
    </w:p>
    <w:p>
      <w:pPr>
        <w:spacing w:after="0" w:line="124" w:lineRule="exact"/>
        <w:rPr>
          <w:sz w:val="20"/>
          <w:szCs w:val="20"/>
          <w:color w:val="auto"/>
        </w:rPr>
      </w:pPr>
    </w:p>
    <w:p>
      <w:pPr>
        <w:jc w:val="right"/>
        <w:spacing w:after="0"/>
        <w:tabs>
          <w:tab w:leader="none" w:pos="380" w:val="left"/>
          <w:tab w:leader="none" w:pos="160" w:val="left"/>
        </w:tabs>
        <w:rPr>
          <w:sz w:val="20"/>
          <w:szCs w:val="20"/>
          <w:color w:val="auto"/>
        </w:rPr>
      </w:pPr>
      <w:r>
        <w:rPr>
          <w:rFonts w:ascii="Arial" w:cs="Arial" w:eastAsia="Arial" w:hAnsi="Arial"/>
          <w:sz w:val="16"/>
          <w:szCs w:val="16"/>
          <w:b w:val="1"/>
          <w:bCs w:val="1"/>
          <w:color w:val="483E65"/>
        </w:rPr>
        <w:t>2017 Proxy Statement</w:t>
        <w:tab/>
        <w:t>|</w:t>
        <w:tab/>
        <w:t>61</w:t>
      </w:r>
    </w:p>
    <w:p>
      <w:pPr>
        <w:sectPr>
          <w:pgSz w:w="11900" w:h="16838" w:orient="portrait"/>
          <w:cols w:equalWidth="0" w:num="1">
            <w:col w:w="11420"/>
          </w:cols>
          <w:pgMar w:left="240" w:top="45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8" w:lineRule="exact"/>
        <w:rPr>
          <w:sz w:val="20"/>
          <w:szCs w:val="20"/>
          <w:color w:val="auto"/>
        </w:rPr>
      </w:pPr>
    </w:p>
    <w:p>
      <w:pPr>
        <w:spacing w:after="0"/>
        <w:rPr>
          <w:sz w:val="20"/>
          <w:szCs w:val="20"/>
          <w:color w:val="auto"/>
        </w:rPr>
      </w:pPr>
      <w:r>
        <w:rPr>
          <w:rFonts w:ascii="Arial" w:cs="Arial" w:eastAsia="Arial" w:hAnsi="Arial"/>
          <w:sz w:val="32"/>
          <w:szCs w:val="32"/>
          <w:color w:val="483E65"/>
        </w:rPr>
        <w:t>Proposal 5 — 2017 Omnibus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149860</wp:posOffset>
            </wp:positionV>
            <wp:extent cx="724662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483E65"/>
        </w:rPr>
        <w:t>Types of Awards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The 2017 Plan permits the granting of any or all of the following types of awards:</w:t>
      </w:r>
    </w:p>
    <w:p>
      <w:pPr>
        <w:spacing w:after="0" w:line="99" w:lineRule="exact"/>
        <w:rPr>
          <w:sz w:val="20"/>
          <w:szCs w:val="20"/>
          <w:color w:val="auto"/>
        </w:rPr>
      </w:pPr>
    </w:p>
    <w:p>
      <w:pPr>
        <w:ind w:left="560" w:right="20" w:hanging="444"/>
        <w:spacing w:after="0" w:line="239" w:lineRule="auto"/>
        <w:tabs>
          <w:tab w:leader="none" w:pos="560" w:val="left"/>
        </w:tabs>
        <w:numPr>
          <w:ilvl w:val="0"/>
          <w:numId w:val="62"/>
        </w:numPr>
        <w:rPr>
          <w:rFonts w:ascii="Arial" w:cs="Arial" w:eastAsia="Arial" w:hAnsi="Arial"/>
          <w:sz w:val="15"/>
          <w:szCs w:val="15"/>
          <w:color w:val="77387A"/>
        </w:rPr>
      </w:pPr>
      <w:r>
        <w:rPr>
          <w:rFonts w:ascii="Arial" w:cs="Arial" w:eastAsia="Arial" w:hAnsi="Arial"/>
          <w:sz w:val="18"/>
          <w:szCs w:val="18"/>
          <w:i w:val="1"/>
          <w:iCs w:val="1"/>
          <w:color w:val="483E65"/>
        </w:rPr>
        <w:t xml:space="preserve">Stock Options. </w:t>
      </w:r>
      <w:r>
        <w:rPr>
          <w:rFonts w:ascii="Arial" w:cs="Arial" w:eastAsia="Arial" w:hAnsi="Arial"/>
          <w:sz w:val="18"/>
          <w:szCs w:val="18"/>
          <w:color w:val="000000"/>
        </w:rPr>
        <w:t>Stock options entitle the holder to purchase a specified number of shares of common stock at a specified price (the</w:t>
      </w:r>
      <w:r>
        <w:rPr>
          <w:rFonts w:ascii="Arial" w:cs="Arial" w:eastAsia="Arial" w:hAnsi="Arial"/>
          <w:sz w:val="18"/>
          <w:szCs w:val="18"/>
          <w:i w:val="1"/>
          <w:iCs w:val="1"/>
          <w:color w:val="483E65"/>
        </w:rPr>
        <w:t xml:space="preserve"> </w:t>
      </w:r>
      <w:r>
        <w:rPr>
          <w:rFonts w:ascii="Arial" w:cs="Arial" w:eastAsia="Arial" w:hAnsi="Arial"/>
          <w:sz w:val="18"/>
          <w:szCs w:val="18"/>
          <w:color w:val="000000"/>
        </w:rPr>
        <w:t>exercise price), subject to the terms and conditions of the stock option grant. The Committee may grant either incentive stock options, which must comply with Section 422 of the Internal Revenue Code, or nonqualified stock options. The Committee sets exercise prices and terms, except that stock options must be granted with an exercise price not less than 100% of the fair market value of the common stock on the date of grant (excluding stock options granted in connection with assuming or substituting stock options in acquisition transactions). Unless the Committee determines otherwise, fair market value means, as of a given date, the closing price of the common stock on the immediately preceding trading day. (The fair market value of a share of our common stock as of March 13, 2017 was $53.95.) At the time of grant, the Committee determines the terms and conditions of stock options, including the quantity, exercise price, vesting periods, term (which cannot exceed ten years) and other conditions on exercise.</w:t>
      </w:r>
    </w:p>
    <w:p>
      <w:pPr>
        <w:spacing w:after="0" w:line="89" w:lineRule="exact"/>
        <w:rPr>
          <w:rFonts w:ascii="Arial" w:cs="Arial" w:eastAsia="Arial" w:hAnsi="Arial"/>
          <w:sz w:val="15"/>
          <w:szCs w:val="15"/>
          <w:color w:val="77387A"/>
        </w:rPr>
      </w:pPr>
    </w:p>
    <w:p>
      <w:pPr>
        <w:ind w:left="560" w:hanging="444"/>
        <w:spacing w:after="0" w:line="239" w:lineRule="auto"/>
        <w:tabs>
          <w:tab w:leader="none" w:pos="560" w:val="left"/>
        </w:tabs>
        <w:numPr>
          <w:ilvl w:val="0"/>
          <w:numId w:val="62"/>
        </w:numPr>
        <w:rPr>
          <w:rFonts w:ascii="Arial" w:cs="Arial" w:eastAsia="Arial" w:hAnsi="Arial"/>
          <w:sz w:val="15"/>
          <w:szCs w:val="15"/>
          <w:color w:val="77387A"/>
        </w:rPr>
      </w:pPr>
      <w:r>
        <w:rPr>
          <w:rFonts w:ascii="Arial" w:cs="Arial" w:eastAsia="Arial" w:hAnsi="Arial"/>
          <w:sz w:val="18"/>
          <w:szCs w:val="18"/>
          <w:i w:val="1"/>
          <w:iCs w:val="1"/>
          <w:color w:val="483E65"/>
        </w:rPr>
        <w:t xml:space="preserve">Stock Appreciation Rights. </w:t>
      </w:r>
      <w:r>
        <w:rPr>
          <w:rFonts w:ascii="Arial" w:cs="Arial" w:eastAsia="Arial" w:hAnsi="Arial"/>
          <w:sz w:val="18"/>
          <w:szCs w:val="18"/>
          <w:color w:val="000000"/>
        </w:rPr>
        <w:t>The Committee may grant SARs, as a right in tandem with the number of shares underlying stock options</w:t>
      </w:r>
      <w:r>
        <w:rPr>
          <w:rFonts w:ascii="Arial" w:cs="Arial" w:eastAsia="Arial" w:hAnsi="Arial"/>
          <w:sz w:val="18"/>
          <w:szCs w:val="18"/>
          <w:i w:val="1"/>
          <w:iCs w:val="1"/>
          <w:color w:val="483E65"/>
        </w:rPr>
        <w:t xml:space="preserve"> </w:t>
      </w:r>
      <w:r>
        <w:rPr>
          <w:rFonts w:ascii="Arial" w:cs="Arial" w:eastAsia="Arial" w:hAnsi="Arial"/>
          <w:sz w:val="18"/>
          <w:szCs w:val="18"/>
          <w:color w:val="000000"/>
        </w:rPr>
        <w:t>granted under the 2017 Plan or as a freestanding award. Upon exercise, SARs entitle the holder to receive payment per share in stock or cash, or in a combination of stock and cash, equal to the excess of the share’s fair market value on the date of exercise over the grant price of the SAR. The grant price of a tandem SAR is equal to the exercise price of the related stock option and the grant price for a freestanding SAR is determined by the Committee in accordance with the procedures described above for stock options. Exercise of a SAR issued in tandem with a stock option will reduce the number of shares underlying the related stock option to the extent of the SAR exercised. The term of a freestanding SAR cannot exceed ten years, and the term of a tandem SAR cannot exceed the term of the related stock option.</w:t>
      </w:r>
    </w:p>
    <w:p>
      <w:pPr>
        <w:spacing w:after="0" w:line="93" w:lineRule="exact"/>
        <w:rPr>
          <w:rFonts w:ascii="Arial" w:cs="Arial" w:eastAsia="Arial" w:hAnsi="Arial"/>
          <w:sz w:val="15"/>
          <w:szCs w:val="15"/>
          <w:color w:val="77387A"/>
        </w:rPr>
      </w:pPr>
    </w:p>
    <w:p>
      <w:pPr>
        <w:ind w:left="560" w:right="20" w:hanging="444"/>
        <w:spacing w:after="0"/>
        <w:tabs>
          <w:tab w:leader="none" w:pos="560" w:val="left"/>
        </w:tabs>
        <w:numPr>
          <w:ilvl w:val="0"/>
          <w:numId w:val="62"/>
        </w:numPr>
        <w:rPr>
          <w:rFonts w:ascii="Arial" w:cs="Arial" w:eastAsia="Arial" w:hAnsi="Arial"/>
          <w:sz w:val="15"/>
          <w:szCs w:val="15"/>
          <w:color w:val="77387A"/>
        </w:rPr>
      </w:pPr>
      <w:r>
        <w:rPr>
          <w:rFonts w:ascii="Arial" w:cs="Arial" w:eastAsia="Arial" w:hAnsi="Arial"/>
          <w:sz w:val="18"/>
          <w:szCs w:val="18"/>
          <w:i w:val="1"/>
          <w:iCs w:val="1"/>
          <w:color w:val="483E65"/>
        </w:rPr>
        <w:t xml:space="preserve">Restricted Stock, Restricted Stock Units and Other Stock-Based Awards. </w:t>
      </w:r>
      <w:r>
        <w:rPr>
          <w:rFonts w:ascii="Arial" w:cs="Arial" w:eastAsia="Arial" w:hAnsi="Arial"/>
          <w:sz w:val="18"/>
          <w:szCs w:val="18"/>
          <w:color w:val="000000"/>
        </w:rPr>
        <w:t>The Committee may grant awards of restricted stock, which</w:t>
      </w:r>
      <w:r>
        <w:rPr>
          <w:rFonts w:ascii="Arial" w:cs="Arial" w:eastAsia="Arial" w:hAnsi="Arial"/>
          <w:sz w:val="18"/>
          <w:szCs w:val="18"/>
          <w:i w:val="1"/>
          <w:iCs w:val="1"/>
          <w:color w:val="483E65"/>
        </w:rPr>
        <w:t xml:space="preserve"> </w:t>
      </w:r>
      <w:r>
        <w:rPr>
          <w:rFonts w:ascii="Arial" w:cs="Arial" w:eastAsia="Arial" w:hAnsi="Arial"/>
          <w:sz w:val="18"/>
          <w:szCs w:val="18"/>
          <w:color w:val="000000"/>
        </w:rPr>
        <w:t>are shares of common stock subject to specified restrictions, and restricted stock units, which represent the right to receive shares of the common stock in the future. These awards may be made subject to repurchase, forfeiture or vesting restrictions at the Committee’s discretion. The restrictions may be based on continuous service with the company or the attainment of specified performance goals, as determined by the Committee. Stock units may be paid in stock or cash or a combination of stock and cash, as determined by the Committee. The Committee may also grant other types of equity or equity-based awards subject to the terms of the 2017 Plan and any other terms and conditions determined by the Committee.</w:t>
      </w:r>
    </w:p>
    <w:p>
      <w:pPr>
        <w:spacing w:after="0" w:line="90" w:lineRule="exact"/>
        <w:rPr>
          <w:rFonts w:ascii="Arial" w:cs="Arial" w:eastAsia="Arial" w:hAnsi="Arial"/>
          <w:sz w:val="15"/>
          <w:szCs w:val="15"/>
          <w:color w:val="77387A"/>
        </w:rPr>
      </w:pPr>
    </w:p>
    <w:p>
      <w:pPr>
        <w:ind w:left="560" w:hanging="444"/>
        <w:spacing w:after="0" w:line="245" w:lineRule="auto"/>
        <w:tabs>
          <w:tab w:leader="none" w:pos="560" w:val="left"/>
        </w:tabs>
        <w:numPr>
          <w:ilvl w:val="0"/>
          <w:numId w:val="62"/>
        </w:numPr>
        <w:rPr>
          <w:rFonts w:ascii="Arial" w:cs="Arial" w:eastAsia="Arial" w:hAnsi="Arial"/>
          <w:sz w:val="15"/>
          <w:szCs w:val="15"/>
          <w:color w:val="77387A"/>
        </w:rPr>
      </w:pPr>
      <w:r>
        <w:rPr>
          <w:rFonts w:ascii="Arial" w:cs="Arial" w:eastAsia="Arial" w:hAnsi="Arial"/>
          <w:sz w:val="18"/>
          <w:szCs w:val="18"/>
          <w:i w:val="1"/>
          <w:iCs w:val="1"/>
          <w:color w:val="483E65"/>
        </w:rPr>
        <w:t xml:space="preserve">Performance Awards. </w:t>
      </w:r>
      <w:r>
        <w:rPr>
          <w:rFonts w:ascii="Arial" w:cs="Arial" w:eastAsia="Arial" w:hAnsi="Arial"/>
          <w:sz w:val="18"/>
          <w:szCs w:val="18"/>
          <w:color w:val="000000"/>
        </w:rPr>
        <w:t>The Committee may grant performance awards, which entitle participants to receive a payment from the company,</w:t>
      </w:r>
      <w:r>
        <w:rPr>
          <w:rFonts w:ascii="Arial" w:cs="Arial" w:eastAsia="Arial" w:hAnsi="Arial"/>
          <w:sz w:val="18"/>
          <w:szCs w:val="18"/>
          <w:i w:val="1"/>
          <w:iCs w:val="1"/>
          <w:color w:val="483E65"/>
        </w:rPr>
        <w:t xml:space="preserve"> </w:t>
      </w:r>
      <w:r>
        <w:rPr>
          <w:rFonts w:ascii="Arial" w:cs="Arial" w:eastAsia="Arial" w:hAnsi="Arial"/>
          <w:sz w:val="18"/>
          <w:szCs w:val="18"/>
          <w:color w:val="000000"/>
        </w:rPr>
        <w:t>the amount of which is based on the attainment of performance goals established by the Committee over a specified award period. Performance awards may be denominated in shares of common stock or in cash, and may be paid in stock or cash or a combination of stock and cash, as determined by the Committee. Cash-based performance awards include annual incentive awards.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483E65"/>
        </w:rPr>
        <w:t>No Repricing</w:t>
      </w:r>
    </w:p>
    <w:p>
      <w:pPr>
        <w:spacing w:after="0" w:line="234" w:lineRule="exact"/>
        <w:rPr>
          <w:sz w:val="20"/>
          <w:szCs w:val="20"/>
          <w:color w:val="auto"/>
        </w:rPr>
      </w:pPr>
    </w:p>
    <w:p>
      <w:pPr>
        <w:ind w:right="320"/>
        <w:spacing w:after="0" w:line="234" w:lineRule="auto"/>
        <w:rPr>
          <w:sz w:val="20"/>
          <w:szCs w:val="20"/>
          <w:color w:val="auto"/>
        </w:rPr>
      </w:pPr>
      <w:r>
        <w:rPr>
          <w:rFonts w:ascii="Arial" w:cs="Arial" w:eastAsia="Arial" w:hAnsi="Arial"/>
          <w:sz w:val="18"/>
          <w:szCs w:val="18"/>
          <w:color w:val="auto"/>
        </w:rPr>
        <w:t>Without stockholder approval, the Committee is not authorized to (a) lower the exercise or grant price of a stock option or SAR after it is granted, except in connection with certain adjustments to our corporate or capital structure permitted by the 2017 Plan, such as stock splits,</w:t>
      </w:r>
    </w:p>
    <w:p>
      <w:pPr>
        <w:spacing w:after="0" w:line="2" w:lineRule="exact"/>
        <w:rPr>
          <w:sz w:val="20"/>
          <w:szCs w:val="20"/>
          <w:color w:val="auto"/>
        </w:rPr>
      </w:pPr>
    </w:p>
    <w:p>
      <w:pPr>
        <w:ind w:right="120" w:firstLine="8"/>
        <w:spacing w:after="0" w:line="239" w:lineRule="auto"/>
        <w:tabs>
          <w:tab w:leader="none" w:pos="27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take any other action that is treated as a repricing under generally accepted accounting principles or (c) cancel a stock option or SAR at a time when its exercise or grant price exceeds the fair market value of the underlying stock, in exchange for cash, another stock option or SAR, restricted stock, restricted stock units or other equity award, unless the cancellation and exchange occur in connection with a change in capitalization or other similar change.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483E65"/>
        </w:rPr>
        <w:t>Clawback</w:t>
      </w:r>
    </w:p>
    <w:p>
      <w:pPr>
        <w:spacing w:after="0" w:line="234" w:lineRule="exact"/>
        <w:rPr>
          <w:sz w:val="20"/>
          <w:szCs w:val="20"/>
          <w:color w:val="auto"/>
        </w:rPr>
      </w:pPr>
    </w:p>
    <w:p>
      <w:pPr>
        <w:ind w:right="240"/>
        <w:spacing w:after="0" w:line="239" w:lineRule="auto"/>
        <w:rPr>
          <w:sz w:val="20"/>
          <w:szCs w:val="20"/>
          <w:color w:val="auto"/>
        </w:rPr>
      </w:pPr>
      <w:r>
        <w:rPr>
          <w:rFonts w:ascii="Arial" w:cs="Arial" w:eastAsia="Arial" w:hAnsi="Arial"/>
          <w:sz w:val="18"/>
          <w:szCs w:val="18"/>
          <w:color w:val="auto"/>
        </w:rPr>
        <w:t>All cash and equity awards granted under the 2017 Plan will be subject to the requirements of Section 954 of the Dodd-Frank Wall Street Reform and Consumer Protection Act regarding the recovery of erroneously awarded compensation, any implementing rules and regulations under such act, any policies adopted by the company to implement such requirements, the company’s compensation recoupment policy and any other compensation recovery policies as may be adopted from time to time by the company.</w:t>
      </w:r>
    </w:p>
    <w:p>
      <w:pPr>
        <w:spacing w:after="0" w:line="117" w:lineRule="exact"/>
        <w:rPr>
          <w:sz w:val="20"/>
          <w:szCs w:val="20"/>
          <w:color w:val="auto"/>
        </w:rPr>
      </w:pPr>
    </w:p>
    <w:p>
      <w:pPr>
        <w:spacing w:after="0"/>
        <w:tabs>
          <w:tab w:leader="none" w:pos="340" w:val="left"/>
          <w:tab w:leader="none" w:pos="580" w:val="left"/>
        </w:tabs>
        <w:rPr>
          <w:sz w:val="20"/>
          <w:szCs w:val="20"/>
          <w:color w:val="auto"/>
        </w:rPr>
      </w:pPr>
      <w:r>
        <w:rPr>
          <w:rFonts w:ascii="Arial" w:cs="Arial" w:eastAsia="Arial" w:hAnsi="Arial"/>
          <w:sz w:val="16"/>
          <w:szCs w:val="16"/>
          <w:b w:val="1"/>
          <w:bCs w:val="1"/>
          <w:color w:val="483E65"/>
        </w:rPr>
        <w:t>62</w:t>
        <w:tab/>
        <w:t>|</w:t>
        <w:tab/>
        <w:t>2017 Proxy Statement</w:t>
      </w:r>
    </w:p>
    <w:p>
      <w:pPr>
        <w:sectPr>
          <w:pgSz w:w="11900" w:h="16838" w:orient="portrait"/>
          <w:cols w:equalWidth="0" w:num="1">
            <w:col w:w="11420"/>
          </w:cols>
          <w:pgMar w:left="240" w:top="459"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8" w:lineRule="exact"/>
        <w:rPr>
          <w:sz w:val="20"/>
          <w:szCs w:val="20"/>
          <w:color w:val="auto"/>
        </w:rPr>
      </w:pPr>
    </w:p>
    <w:p>
      <w:pPr>
        <w:spacing w:after="0"/>
        <w:rPr>
          <w:sz w:val="20"/>
          <w:szCs w:val="20"/>
          <w:color w:val="auto"/>
        </w:rPr>
      </w:pPr>
      <w:r>
        <w:rPr>
          <w:rFonts w:ascii="Arial" w:cs="Arial" w:eastAsia="Arial" w:hAnsi="Arial"/>
          <w:sz w:val="32"/>
          <w:szCs w:val="32"/>
          <w:color w:val="483E65"/>
        </w:rPr>
        <w:t>Proposal 5 — 2017 Omnibus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149860</wp:posOffset>
            </wp:positionV>
            <wp:extent cx="724662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483E65"/>
        </w:rPr>
        <w:t>Performance-Based Compensation under Section 162(m)</w:t>
      </w:r>
    </w:p>
    <w:p>
      <w:pPr>
        <w:spacing w:after="0" w:line="216" w:lineRule="exact"/>
        <w:rPr>
          <w:sz w:val="20"/>
          <w:szCs w:val="20"/>
          <w:color w:val="auto"/>
        </w:rPr>
      </w:pPr>
    </w:p>
    <w:p>
      <w:pPr>
        <w:ind w:right="220"/>
        <w:spacing w:after="0" w:line="251" w:lineRule="auto"/>
        <w:rPr>
          <w:sz w:val="20"/>
          <w:szCs w:val="20"/>
          <w:color w:val="auto"/>
        </w:rPr>
      </w:pPr>
      <w:r>
        <w:rPr>
          <w:rFonts w:ascii="Arial" w:cs="Arial" w:eastAsia="Arial" w:hAnsi="Arial"/>
          <w:sz w:val="18"/>
          <w:szCs w:val="18"/>
          <w:i w:val="1"/>
          <w:iCs w:val="1"/>
          <w:color w:val="483E65"/>
        </w:rPr>
        <w:t xml:space="preserve">Performance Goals and Criteria. </w:t>
      </w:r>
      <w:r>
        <w:rPr>
          <w:rFonts w:ascii="Arial" w:cs="Arial" w:eastAsia="Arial" w:hAnsi="Arial"/>
          <w:sz w:val="18"/>
          <w:szCs w:val="18"/>
          <w:color w:val="000000"/>
        </w:rPr>
        <w:t>Under Section 162(m), we generally are prohibited from deducting compensation paid to our principal</w:t>
      </w:r>
      <w:r>
        <w:rPr>
          <w:rFonts w:ascii="Arial" w:cs="Arial" w:eastAsia="Arial" w:hAnsi="Arial"/>
          <w:sz w:val="18"/>
          <w:szCs w:val="18"/>
          <w:i w:val="1"/>
          <w:iCs w:val="1"/>
          <w:color w:val="483E65"/>
        </w:rPr>
        <w:t xml:space="preserve"> </w:t>
      </w:r>
      <w:r>
        <w:rPr>
          <w:rFonts w:ascii="Arial" w:cs="Arial" w:eastAsia="Arial" w:hAnsi="Arial"/>
          <w:sz w:val="18"/>
          <w:szCs w:val="18"/>
          <w:color w:val="000000"/>
        </w:rPr>
        <w:t>executive officer and our three other most highly compensated executive officers (other than our chief financial officer) in excess of $1 million per person in any year. However, compensation that qualifies as “performance-based” is not subject to the $1 million limit.</w:t>
      </w:r>
    </w:p>
    <w:p>
      <w:pPr>
        <w:spacing w:after="0" w:line="192" w:lineRule="exact"/>
        <w:rPr>
          <w:sz w:val="20"/>
          <w:szCs w:val="20"/>
          <w:color w:val="auto"/>
        </w:rPr>
      </w:pPr>
    </w:p>
    <w:p>
      <w:pPr>
        <w:ind w:right="180"/>
        <w:spacing w:after="0" w:line="234" w:lineRule="auto"/>
        <w:rPr>
          <w:sz w:val="20"/>
          <w:szCs w:val="20"/>
          <w:color w:val="auto"/>
        </w:rPr>
      </w:pPr>
      <w:r>
        <w:rPr>
          <w:rFonts w:ascii="Arial" w:cs="Arial" w:eastAsia="Arial" w:hAnsi="Arial"/>
          <w:sz w:val="18"/>
          <w:szCs w:val="18"/>
          <w:color w:val="auto"/>
        </w:rPr>
        <w:t>If the Committee intends to qualify an award under the 2017 Plan as “performance-based” compensation under Section 162(m), the performance goals selected by the Committee may be based on the attainment of specified levels of one, or any combination, of the following performance criteria: (i) cash flow; (ii) earnings per share; (iii) earnings or income measures (including EBITDA)); (iv) return measures (including return on assets, capital, invested capital, equity, sales, or revenue); (v) total shareholder return; (vi) share price performance;</w:t>
      </w:r>
    </w:p>
    <w:p>
      <w:pPr>
        <w:spacing w:after="0" w:line="3" w:lineRule="exact"/>
        <w:rPr>
          <w:sz w:val="20"/>
          <w:szCs w:val="20"/>
          <w:color w:val="auto"/>
        </w:rPr>
      </w:pPr>
    </w:p>
    <w:p>
      <w:pPr>
        <w:ind w:right="60" w:firstLine="8"/>
        <w:spacing w:after="0" w:line="236" w:lineRule="auto"/>
        <w:tabs>
          <w:tab w:leader="none" w:pos="3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revenue; (viii) profit margin; (ix) net order dollars; (x) contract bookings; (xi) contract awards; (xii) book-to-bill; (xiii) backlog; (xiv) customer metrics (including customer satisfaction, customer retention, or customer profitability); (xv) productivity; (xvi) expense targets; (xvii) market share; (xviii) cost control measures; (xix) balance sheet metrics; (xx) strategic initiatives; (xxi) implementation, completion or attainment of measurable objectives with respect to recruitment or retention of personnel or employee satisfaction; (xxii) successful completion of, or achievement of milestones or objectives related to, financing or capital raising transactions, strategic acquisitions or divestitures, joint ventures, partnerships, collaborations, or other transactions; (xxiii) debt levels or reduction or debt ratios; (xxiv) operating efficiency; (xxv) working capital targets; (xvi) quantifiable, objective measures of individual performance relevant to the particular individual’s job responsibilities or (xvii) any combination of the forgoing business criteria. The Committee can also select any derivations of these business criteria (e.g., income includes pre-tax income, net income, or operating income).</w:t>
      </w:r>
    </w:p>
    <w:p>
      <w:pPr>
        <w:spacing w:after="0" w:line="207" w:lineRule="exact"/>
        <w:rPr>
          <w:sz w:val="20"/>
          <w:szCs w:val="20"/>
          <w:color w:val="auto"/>
        </w:rPr>
      </w:pPr>
    </w:p>
    <w:p>
      <w:pPr>
        <w:jc w:val="both"/>
        <w:ind w:right="100"/>
        <w:spacing w:after="0"/>
        <w:rPr>
          <w:sz w:val="20"/>
          <w:szCs w:val="20"/>
          <w:color w:val="auto"/>
        </w:rPr>
      </w:pPr>
      <w:r>
        <w:rPr>
          <w:rFonts w:ascii="Arial" w:cs="Arial" w:eastAsia="Arial" w:hAnsi="Arial"/>
          <w:sz w:val="18"/>
          <w:szCs w:val="18"/>
          <w:color w:val="auto"/>
        </w:rPr>
        <w:t>Performance goals may, in the discretion of the Committee, be established on a company- wide basis, or with respect to one or more business units, divisions, subsidiaries or business segments, as applicable. Performance goals may be absolute or relative to the performance of one or more comparable companies or indices or based on year-over-year growth.</w:t>
      </w:r>
    </w:p>
    <w:p>
      <w:pPr>
        <w:spacing w:after="0" w:line="203" w:lineRule="exact"/>
        <w:rPr>
          <w:sz w:val="20"/>
          <w:szCs w:val="20"/>
          <w:color w:val="auto"/>
        </w:rPr>
      </w:pPr>
    </w:p>
    <w:p>
      <w:pPr>
        <w:ind w:right="140"/>
        <w:spacing w:after="0" w:line="239" w:lineRule="auto"/>
        <w:rPr>
          <w:sz w:val="20"/>
          <w:szCs w:val="20"/>
          <w:color w:val="auto"/>
        </w:rPr>
      </w:pPr>
      <w:r>
        <w:rPr>
          <w:rFonts w:ascii="Arial" w:cs="Arial" w:eastAsia="Arial" w:hAnsi="Arial"/>
          <w:sz w:val="18"/>
          <w:szCs w:val="18"/>
          <w:color w:val="auto"/>
        </w:rPr>
        <w:t>The Committee may determine at the time that the performance goals are established the extent to which measurement of performance goals may exclude the impact of may exclude the impact of charges for restructuring, discontinued operations, debt redemption or retirement, asset write downs, litigation or claim judgments or settlements, acquisitions or divestitures, foreign exchange gains and losses, and other unusual non-recurring items, and the cumulative effects of tax or accounting changes.</w:t>
      </w:r>
    </w:p>
    <w:p>
      <w:pPr>
        <w:spacing w:after="0" w:line="202"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In addition, compensation realized from the exercise of options and SARs granted under the 2017 Plan is intended to meet the requirements of the performance-based compensation exception under Section 162(m). These awards must have an exercise price equal at least to fair market value at the date of grant, are granted to covered individuals by a Committee consisting of at least two outside directors, and the 2017 Plan limits the number of shares that may be the subject of awards granted to any individual during any calendar year.</w:t>
      </w:r>
    </w:p>
    <w:p>
      <w:pPr>
        <w:spacing w:after="0" w:line="184" w:lineRule="exact"/>
        <w:rPr>
          <w:sz w:val="20"/>
          <w:szCs w:val="20"/>
          <w:color w:val="auto"/>
        </w:rPr>
      </w:pPr>
    </w:p>
    <w:p>
      <w:pPr>
        <w:ind w:right="140"/>
        <w:spacing w:after="0" w:line="241" w:lineRule="auto"/>
        <w:rPr>
          <w:sz w:val="20"/>
          <w:szCs w:val="20"/>
          <w:color w:val="auto"/>
        </w:rPr>
      </w:pPr>
      <w:r>
        <w:rPr>
          <w:rFonts w:ascii="Arial" w:cs="Arial" w:eastAsia="Arial" w:hAnsi="Arial"/>
          <w:sz w:val="18"/>
          <w:szCs w:val="18"/>
          <w:i w:val="1"/>
          <w:iCs w:val="1"/>
          <w:color w:val="483E65"/>
        </w:rPr>
        <w:t xml:space="preserve">Limitations. </w:t>
      </w:r>
      <w:r>
        <w:rPr>
          <w:rFonts w:ascii="Arial" w:cs="Arial" w:eastAsia="Arial" w:hAnsi="Arial"/>
          <w:sz w:val="18"/>
          <w:szCs w:val="18"/>
          <w:color w:val="000000"/>
        </w:rPr>
        <w:t>Subject to certain adjustments for changes in our corporate or capital structure described above, a participant may not be granted</w:t>
      </w:r>
      <w:r>
        <w:rPr>
          <w:rFonts w:ascii="Arial" w:cs="Arial" w:eastAsia="Arial" w:hAnsi="Arial"/>
          <w:sz w:val="18"/>
          <w:szCs w:val="18"/>
          <w:i w:val="1"/>
          <w:iCs w:val="1"/>
          <w:color w:val="483E65"/>
        </w:rPr>
        <w:t xml:space="preserve"> </w:t>
      </w:r>
      <w:r>
        <w:rPr>
          <w:rFonts w:ascii="Arial" w:cs="Arial" w:eastAsia="Arial" w:hAnsi="Arial"/>
          <w:sz w:val="18"/>
          <w:szCs w:val="18"/>
          <w:color w:val="000000"/>
        </w:rPr>
        <w:t>in any calendar year (i) stock options or stock appreciation rights for more than 750,000 shares or (ii) share-based performance awards (including performance-based restricted stock, restricted stock units and other stock-based awards) that are intended to qualify as “performance-based” compensation under Section 162(m) for more than 750,000 shares. The maximum amount of cash-based performance awards intended to qualify as “performance-based compensation” under Section 162(m) granted to a participant in any calendar year may not exceed the following: (i) annual incentive award: $10,000,000; and (ii) all other cash-based performance awards: $10,000,000.</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483E65"/>
        </w:rPr>
        <w:t>Transferability</w:t>
      </w:r>
    </w:p>
    <w:p>
      <w:pPr>
        <w:spacing w:after="0" w:line="234" w:lineRule="exact"/>
        <w:rPr>
          <w:sz w:val="20"/>
          <w:szCs w:val="20"/>
          <w:color w:val="auto"/>
        </w:rPr>
      </w:pPr>
    </w:p>
    <w:p>
      <w:pPr>
        <w:ind w:right="60"/>
        <w:spacing w:after="0" w:line="246" w:lineRule="auto"/>
        <w:rPr>
          <w:sz w:val="20"/>
          <w:szCs w:val="20"/>
          <w:color w:val="auto"/>
        </w:rPr>
      </w:pPr>
      <w:r>
        <w:rPr>
          <w:rFonts w:ascii="Arial" w:cs="Arial" w:eastAsia="Arial" w:hAnsi="Arial"/>
          <w:sz w:val="18"/>
          <w:szCs w:val="18"/>
          <w:color w:val="auto"/>
        </w:rPr>
        <w:t>Awards are not transferable other than by will or the laws of descent and distribution, except that in certain instances transfers may be made to or for the benefit of designated family members of the participant for no value.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483E65"/>
        </w:rPr>
        <w:t>Change in Control</w:t>
      </w:r>
    </w:p>
    <w:p>
      <w:pPr>
        <w:spacing w:after="0" w:line="234" w:lineRule="exact"/>
        <w:rPr>
          <w:sz w:val="20"/>
          <w:szCs w:val="20"/>
          <w:color w:val="auto"/>
        </w:rPr>
      </w:pPr>
    </w:p>
    <w:p>
      <w:pPr>
        <w:ind w:right="500"/>
        <w:spacing w:after="0" w:line="246" w:lineRule="auto"/>
        <w:rPr>
          <w:sz w:val="20"/>
          <w:szCs w:val="20"/>
          <w:color w:val="auto"/>
        </w:rPr>
      </w:pPr>
      <w:r>
        <w:rPr>
          <w:rFonts w:ascii="Arial" w:cs="Arial" w:eastAsia="Arial" w:hAnsi="Arial"/>
          <w:sz w:val="18"/>
          <w:szCs w:val="18"/>
          <w:color w:val="auto"/>
        </w:rPr>
        <w:t>Under the 2017 Plan, in the event of a change in control, outstanding awards will be treated in accordance with the applicable transaction agreement. If no treatment is provided for in the transaction agreement, each award holder will be</w:t>
      </w:r>
    </w:p>
    <w:p>
      <w:pPr>
        <w:spacing w:after="0" w:line="112" w:lineRule="exact"/>
        <w:rPr>
          <w:sz w:val="20"/>
          <w:szCs w:val="20"/>
          <w:color w:val="auto"/>
        </w:rPr>
      </w:pPr>
    </w:p>
    <w:p>
      <w:pPr>
        <w:jc w:val="right"/>
        <w:spacing w:after="0"/>
        <w:tabs>
          <w:tab w:leader="none" w:pos="380" w:val="left"/>
          <w:tab w:leader="none" w:pos="160" w:val="left"/>
        </w:tabs>
        <w:rPr>
          <w:sz w:val="20"/>
          <w:szCs w:val="20"/>
          <w:color w:val="auto"/>
        </w:rPr>
      </w:pPr>
      <w:r>
        <w:rPr>
          <w:rFonts w:ascii="Arial" w:cs="Arial" w:eastAsia="Arial" w:hAnsi="Arial"/>
          <w:sz w:val="16"/>
          <w:szCs w:val="16"/>
          <w:b w:val="1"/>
          <w:bCs w:val="1"/>
          <w:color w:val="483E65"/>
        </w:rPr>
        <w:t>2017 Proxy Statement</w:t>
        <w:tab/>
        <w:t>|</w:t>
        <w:tab/>
        <w:t>63</w:t>
      </w:r>
    </w:p>
    <w:p>
      <w:pPr>
        <w:sectPr>
          <w:pgSz w:w="11900" w:h="16838" w:orient="portrait"/>
          <w:cols w:equalWidth="0" w:num="1">
            <w:col w:w="11420"/>
          </w:cols>
          <w:pgMar w:left="240" w:top="459" w:right="2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8" w:lineRule="exact"/>
        <w:rPr>
          <w:sz w:val="20"/>
          <w:szCs w:val="20"/>
          <w:color w:val="auto"/>
        </w:rPr>
      </w:pPr>
    </w:p>
    <w:p>
      <w:pPr>
        <w:spacing w:after="0"/>
        <w:rPr>
          <w:sz w:val="20"/>
          <w:szCs w:val="20"/>
          <w:color w:val="auto"/>
        </w:rPr>
      </w:pPr>
      <w:r>
        <w:rPr>
          <w:rFonts w:ascii="Arial" w:cs="Arial" w:eastAsia="Arial" w:hAnsi="Arial"/>
          <w:sz w:val="32"/>
          <w:szCs w:val="32"/>
          <w:color w:val="483E65"/>
        </w:rPr>
        <w:t>Proposal 5 — 2017 Omnibus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149860</wp:posOffset>
            </wp:positionV>
            <wp:extent cx="724662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18"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auto"/>
        </w:rPr>
        <w:t>entitled to receive the same consideration that stockholders receive in the change in control for each share of stock subject to the award holder’s awards, upon the exercise, payment or transfer of the awards, but the awards will remain subject to the same terms, conditions, and performance criteria applicable to the awards before the change in control, unless otherwise determined by the Committee. In connection with a change in control, outstanding stock options and SARs can be cancelled in exchange for the excess of the per share consideration paid to stockholders in the transaction, minus the option or SARs exercise price.</w:t>
      </w:r>
    </w:p>
    <w:p>
      <w:pPr>
        <w:spacing w:after="0" w:line="203" w:lineRule="exact"/>
        <w:rPr>
          <w:sz w:val="20"/>
          <w:szCs w:val="20"/>
          <w:color w:val="auto"/>
        </w:rPr>
      </w:pPr>
    </w:p>
    <w:p>
      <w:pPr>
        <w:ind w:right="380"/>
        <w:spacing w:after="0" w:line="246" w:lineRule="auto"/>
        <w:rPr>
          <w:sz w:val="20"/>
          <w:szCs w:val="20"/>
          <w:color w:val="auto"/>
        </w:rPr>
      </w:pPr>
      <w:r>
        <w:rPr>
          <w:rFonts w:ascii="Arial" w:cs="Arial" w:eastAsia="Arial" w:hAnsi="Arial"/>
          <w:sz w:val="18"/>
          <w:szCs w:val="18"/>
          <w:color w:val="auto"/>
        </w:rPr>
        <w:t>Subject to the terms of the applicable award agreements, vesting of awards will depend on whether the awards are assumed, converted or replaced by the resulting entity.</w:t>
      </w:r>
    </w:p>
    <w:p>
      <w:pPr>
        <w:spacing w:after="0" w:line="102" w:lineRule="exact"/>
        <w:rPr>
          <w:sz w:val="20"/>
          <w:szCs w:val="20"/>
          <w:color w:val="auto"/>
        </w:rPr>
      </w:pPr>
    </w:p>
    <w:p>
      <w:pPr>
        <w:ind w:left="560" w:right="120" w:hanging="444"/>
        <w:spacing w:after="0"/>
        <w:tabs>
          <w:tab w:leader="none" w:pos="560" w:val="left"/>
        </w:tabs>
        <w:numPr>
          <w:ilvl w:val="0"/>
          <w:numId w:val="65"/>
        </w:numPr>
        <w:rPr>
          <w:rFonts w:ascii="Arial" w:cs="Arial" w:eastAsia="Arial" w:hAnsi="Arial"/>
          <w:sz w:val="15"/>
          <w:szCs w:val="15"/>
          <w:color w:val="77387A"/>
        </w:rPr>
      </w:pPr>
      <w:r>
        <w:rPr>
          <w:rFonts w:ascii="Arial" w:cs="Arial" w:eastAsia="Arial" w:hAnsi="Arial"/>
          <w:sz w:val="18"/>
          <w:szCs w:val="18"/>
          <w:color w:val="auto"/>
        </w:rPr>
        <w:t>For awards that are not assumed, converted or replaced, the awards will vest upon the change in control. For performance awards, the amount vesting will be based on the greater of (1) achievement of all performance goals at the “target” level or (2) the actual level of achievement of performance goals as of the company’s fiscal quarter end preceding the change in control.</w:t>
      </w:r>
    </w:p>
    <w:p>
      <w:pPr>
        <w:spacing w:after="0" w:line="108" w:lineRule="exact"/>
        <w:rPr>
          <w:rFonts w:ascii="Arial" w:cs="Arial" w:eastAsia="Arial" w:hAnsi="Arial"/>
          <w:sz w:val="15"/>
          <w:szCs w:val="15"/>
          <w:color w:val="77387A"/>
        </w:rPr>
      </w:pPr>
    </w:p>
    <w:p>
      <w:pPr>
        <w:jc w:val="both"/>
        <w:ind w:left="560" w:right="160" w:hanging="444"/>
        <w:spacing w:after="0" w:line="248" w:lineRule="auto"/>
        <w:tabs>
          <w:tab w:leader="none" w:pos="560" w:val="left"/>
        </w:tabs>
        <w:numPr>
          <w:ilvl w:val="0"/>
          <w:numId w:val="65"/>
        </w:numPr>
        <w:rPr>
          <w:rFonts w:ascii="Arial" w:cs="Arial" w:eastAsia="Arial" w:hAnsi="Arial"/>
          <w:sz w:val="14"/>
          <w:szCs w:val="14"/>
          <w:color w:val="77387A"/>
        </w:rPr>
      </w:pPr>
      <w:r>
        <w:rPr>
          <w:rFonts w:ascii="Arial" w:cs="Arial" w:eastAsia="Arial" w:hAnsi="Arial"/>
          <w:sz w:val="17"/>
          <w:szCs w:val="17"/>
          <w:color w:val="auto"/>
        </w:rPr>
        <w:t>For awards that are assumed, converted or replaced by the resulting entity, no automatic vesting will occur upon the change in control. Instead, the awards, as adjusted in connection with the transaction, will continue to vest in accordance with their terms. In addition, the awards will vest if the award recipient has a separation from service within two years after the change in control by the company other than for “cause” (as defined in the applicable award agreement) and which may include a termination by the award recipient for “good reason” if provided in the applicable award agreement. For performance awards, the amount vesting will be based on the greater of</w:t>
      </w:r>
    </w:p>
    <w:p>
      <w:pPr>
        <w:spacing w:after="0" w:line="2" w:lineRule="exact"/>
        <w:rPr>
          <w:rFonts w:ascii="Arial" w:cs="Arial" w:eastAsia="Arial" w:hAnsi="Arial"/>
          <w:sz w:val="14"/>
          <w:szCs w:val="14"/>
          <w:color w:val="77387A"/>
        </w:rPr>
      </w:pPr>
    </w:p>
    <w:p>
      <w:pPr>
        <w:ind w:left="560" w:right="540"/>
        <w:spacing w:after="0" w:line="246" w:lineRule="auto"/>
        <w:rPr>
          <w:rFonts w:ascii="Arial" w:cs="Arial" w:eastAsia="Arial" w:hAnsi="Arial"/>
          <w:sz w:val="14"/>
          <w:szCs w:val="14"/>
          <w:color w:val="77387A"/>
        </w:rPr>
      </w:pPr>
      <w:r>
        <w:rPr>
          <w:rFonts w:ascii="Arial" w:cs="Arial" w:eastAsia="Arial" w:hAnsi="Arial"/>
          <w:sz w:val="18"/>
          <w:szCs w:val="18"/>
          <w:color w:val="auto"/>
        </w:rPr>
        <w:t>(1) achievement of all performance goals at the “target” level or (2) the actual level of achievement of performance goals as of the company’s fiscal quarter end preceding the change in control.</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“Change in control” is defined under the Plan and requires consummation of the applicable transaction.</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483E65"/>
        </w:rPr>
        <w:t>Term, Termination and Amendment of the 2017 Plan</w:t>
      </w:r>
    </w:p>
    <w:p>
      <w:pPr>
        <w:spacing w:after="0" w:line="234"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Unless earlier terminated by the Board, the 2017 Plan will terminate, and no further awards may be granted, ten years after the date on which it is approved by stockholders. The Board may amend, suspend or terminate the 2017 Plan at any time, except that, if required by applicable law, regulation or stock exchange rule, stockholder approval will be required for any amendment. The amendment, suspension or termination of the 2017 Plan or the amendment of an outstanding award generally may not, without a participant’s consent, materially impair the participant’s rights under an outstanding award.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483E65"/>
        </w:rPr>
        <w:t>New Plan Benefits</w:t>
      </w:r>
    </w:p>
    <w:p>
      <w:pPr>
        <w:spacing w:after="0" w:line="234"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A new plan benefits table for the 2017 Plan and the benefits or amounts that would have been received by or allocated to participants for the last completed fiscal year under the 2017 Plan if the 2017 Plan was then in effect, as described in the federal proxy rules, are not provided because all awards made under the 2017 Plan will be made at the Committee’s discretion, subject to the terms of the 2017 Plan. Therefore, the benefits and amounts that will be received or allocated under the 2017 Plan are not determinable at this time. The equity grant program for our non-employee directors is described under the Director Compensation section in this proxy statement.</w:t>
      </w:r>
    </w:p>
    <w:p>
      <w:pPr>
        <w:spacing w:after="0" w:line="118" w:lineRule="exact"/>
        <w:rPr>
          <w:sz w:val="20"/>
          <w:szCs w:val="20"/>
          <w:color w:val="auto"/>
        </w:rPr>
      </w:pPr>
    </w:p>
    <w:p>
      <w:pPr>
        <w:spacing w:after="0"/>
        <w:tabs>
          <w:tab w:leader="none" w:pos="340" w:val="left"/>
          <w:tab w:leader="none" w:pos="580" w:val="left"/>
        </w:tabs>
        <w:rPr>
          <w:sz w:val="20"/>
          <w:szCs w:val="20"/>
          <w:color w:val="auto"/>
        </w:rPr>
      </w:pPr>
      <w:r>
        <w:rPr>
          <w:rFonts w:ascii="Arial" w:cs="Arial" w:eastAsia="Arial" w:hAnsi="Arial"/>
          <w:sz w:val="16"/>
          <w:szCs w:val="16"/>
          <w:b w:val="1"/>
          <w:bCs w:val="1"/>
          <w:color w:val="483E65"/>
        </w:rPr>
        <w:t>64</w:t>
        <w:tab/>
        <w:t>|</w:t>
        <w:tab/>
        <w:t>2017 Proxy Statement</w:t>
      </w:r>
    </w:p>
    <w:p>
      <w:pPr>
        <w:sectPr>
          <w:pgSz w:w="11900" w:h="16838" w:orient="portrait"/>
          <w:cols w:equalWidth="0" w:num="1">
            <w:col w:w="11400"/>
          </w:cols>
          <w:pgMar w:left="240" w:top="459" w:right="25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8" w:lineRule="exact"/>
        <w:rPr>
          <w:sz w:val="20"/>
          <w:szCs w:val="20"/>
          <w:color w:val="auto"/>
        </w:rPr>
      </w:pPr>
    </w:p>
    <w:p>
      <w:pPr>
        <w:spacing w:after="0"/>
        <w:rPr>
          <w:sz w:val="20"/>
          <w:szCs w:val="20"/>
          <w:color w:val="auto"/>
        </w:rPr>
      </w:pPr>
      <w:r>
        <w:rPr>
          <w:rFonts w:ascii="Arial" w:cs="Arial" w:eastAsia="Arial" w:hAnsi="Arial"/>
          <w:sz w:val="32"/>
          <w:szCs w:val="32"/>
          <w:color w:val="483E65"/>
        </w:rPr>
        <w:t>Proposal 5 — 2017 Omnibus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149860</wp:posOffset>
            </wp:positionV>
            <wp:extent cx="724662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483E65"/>
        </w:rPr>
        <w:t>Equity Compensation Plan Table</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information on the company’s equity compensation plans at December 30, 2016:</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Information with respect to our equity compensation plans as of December 30, 2016, is set forth below:</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940" w:type="dxa"/>
            <w:vAlign w:val="bottom"/>
            <w:gridSpan w:val="2"/>
          </w:tcPr>
          <w:p>
            <w:pPr>
              <w:jc w:val="center"/>
              <w:ind w:right="600"/>
              <w:spacing w:after="0"/>
              <w:rPr>
                <w:sz w:val="20"/>
                <w:szCs w:val="20"/>
                <w:color w:val="auto"/>
              </w:rPr>
            </w:pPr>
            <w:r>
              <w:rPr>
                <w:rFonts w:ascii="Arial" w:cs="Arial" w:eastAsia="Arial" w:hAnsi="Arial"/>
                <w:sz w:val="14"/>
                <w:szCs w:val="14"/>
                <w:color w:val="483E65"/>
              </w:rPr>
              <w:t>(c)</w:t>
            </w:r>
          </w:p>
        </w:tc>
      </w:tr>
      <w:tr>
        <w:trPr>
          <w:trHeight w:val="162"/>
        </w:trPr>
        <w:tc>
          <w:tcPr>
            <w:tcW w:w="56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940" w:type="dxa"/>
            <w:vAlign w:val="bottom"/>
            <w:gridSpan w:val="2"/>
          </w:tcPr>
          <w:p>
            <w:pPr>
              <w:jc w:val="center"/>
              <w:ind w:right="600"/>
              <w:spacing w:after="0"/>
              <w:rPr>
                <w:sz w:val="20"/>
                <w:szCs w:val="20"/>
                <w:color w:val="auto"/>
              </w:rPr>
            </w:pPr>
            <w:r>
              <w:rPr>
                <w:rFonts w:ascii="Arial" w:cs="Arial" w:eastAsia="Arial" w:hAnsi="Arial"/>
                <w:sz w:val="14"/>
                <w:szCs w:val="14"/>
                <w:color w:val="483E65"/>
              </w:rPr>
              <w:t>Securities remaining</w:t>
            </w:r>
          </w:p>
        </w:tc>
      </w:tr>
      <w:tr>
        <w:trPr>
          <w:trHeight w:val="162"/>
        </w:trPr>
        <w:tc>
          <w:tcPr>
            <w:tcW w:w="5600" w:type="dxa"/>
            <w:vAlign w:val="bottom"/>
          </w:tcPr>
          <w:p>
            <w:pPr>
              <w:spacing w:after="0"/>
              <w:rPr>
                <w:sz w:val="14"/>
                <w:szCs w:val="14"/>
                <w:color w:val="auto"/>
              </w:rPr>
            </w:pPr>
          </w:p>
        </w:tc>
        <w:tc>
          <w:tcPr>
            <w:tcW w:w="1820" w:type="dxa"/>
            <w:vAlign w:val="bottom"/>
            <w:gridSpan w:val="2"/>
          </w:tcPr>
          <w:p>
            <w:pPr>
              <w:jc w:val="center"/>
              <w:ind w:right="420"/>
              <w:spacing w:after="0"/>
              <w:rPr>
                <w:sz w:val="20"/>
                <w:szCs w:val="20"/>
                <w:color w:val="auto"/>
              </w:rPr>
            </w:pPr>
            <w:r>
              <w:rPr>
                <w:rFonts w:ascii="Arial" w:cs="Arial" w:eastAsia="Arial" w:hAnsi="Arial"/>
                <w:sz w:val="14"/>
                <w:szCs w:val="14"/>
                <w:color w:val="483E65"/>
                <w:w w:val="93"/>
              </w:rPr>
              <w:t>(a)</w:t>
            </w:r>
          </w:p>
        </w:tc>
        <w:tc>
          <w:tcPr>
            <w:tcW w:w="2060" w:type="dxa"/>
            <w:vAlign w:val="bottom"/>
          </w:tcPr>
          <w:p>
            <w:pPr>
              <w:jc w:val="center"/>
              <w:ind w:right="322"/>
              <w:spacing w:after="0"/>
              <w:rPr>
                <w:sz w:val="20"/>
                <w:szCs w:val="20"/>
                <w:color w:val="auto"/>
              </w:rPr>
            </w:pPr>
            <w:r>
              <w:rPr>
                <w:rFonts w:ascii="Arial" w:cs="Arial" w:eastAsia="Arial" w:hAnsi="Arial"/>
                <w:sz w:val="14"/>
                <w:szCs w:val="14"/>
                <w:color w:val="483E65"/>
              </w:rPr>
              <w:t>(b)</w:t>
            </w:r>
          </w:p>
        </w:tc>
        <w:tc>
          <w:tcPr>
            <w:tcW w:w="1940" w:type="dxa"/>
            <w:vAlign w:val="bottom"/>
            <w:gridSpan w:val="2"/>
          </w:tcPr>
          <w:p>
            <w:pPr>
              <w:jc w:val="center"/>
              <w:ind w:right="600"/>
              <w:spacing w:after="0"/>
              <w:rPr>
                <w:sz w:val="20"/>
                <w:szCs w:val="20"/>
                <w:color w:val="auto"/>
              </w:rPr>
            </w:pPr>
            <w:r>
              <w:rPr>
                <w:rFonts w:ascii="Arial" w:cs="Arial" w:eastAsia="Arial" w:hAnsi="Arial"/>
                <w:sz w:val="14"/>
                <w:szCs w:val="14"/>
                <w:color w:val="483E65"/>
              </w:rPr>
              <w:t>available for future</w:t>
            </w:r>
          </w:p>
        </w:tc>
      </w:tr>
      <w:tr>
        <w:trPr>
          <w:trHeight w:val="162"/>
        </w:trPr>
        <w:tc>
          <w:tcPr>
            <w:tcW w:w="5600" w:type="dxa"/>
            <w:vAlign w:val="bottom"/>
          </w:tcPr>
          <w:p>
            <w:pPr>
              <w:spacing w:after="0"/>
              <w:rPr>
                <w:sz w:val="14"/>
                <w:szCs w:val="14"/>
                <w:color w:val="auto"/>
              </w:rPr>
            </w:pPr>
          </w:p>
        </w:tc>
        <w:tc>
          <w:tcPr>
            <w:tcW w:w="1820" w:type="dxa"/>
            <w:vAlign w:val="bottom"/>
            <w:gridSpan w:val="2"/>
          </w:tcPr>
          <w:p>
            <w:pPr>
              <w:jc w:val="center"/>
              <w:ind w:right="420"/>
              <w:spacing w:after="0"/>
              <w:rPr>
                <w:sz w:val="20"/>
                <w:szCs w:val="20"/>
                <w:color w:val="auto"/>
              </w:rPr>
            </w:pPr>
            <w:r>
              <w:rPr>
                <w:rFonts w:ascii="Arial" w:cs="Arial" w:eastAsia="Arial" w:hAnsi="Arial"/>
                <w:sz w:val="14"/>
                <w:szCs w:val="14"/>
                <w:color w:val="483E65"/>
              </w:rPr>
              <w:t>Securities to be</w:t>
            </w:r>
          </w:p>
        </w:tc>
        <w:tc>
          <w:tcPr>
            <w:tcW w:w="2060" w:type="dxa"/>
            <w:vAlign w:val="bottom"/>
          </w:tcPr>
          <w:p>
            <w:pPr>
              <w:jc w:val="center"/>
              <w:ind w:right="322"/>
              <w:spacing w:after="0"/>
              <w:rPr>
                <w:sz w:val="20"/>
                <w:szCs w:val="20"/>
                <w:color w:val="auto"/>
              </w:rPr>
            </w:pPr>
            <w:r>
              <w:rPr>
                <w:rFonts w:ascii="Arial" w:cs="Arial" w:eastAsia="Arial" w:hAnsi="Arial"/>
                <w:sz w:val="14"/>
                <w:szCs w:val="14"/>
                <w:color w:val="483E65"/>
              </w:rPr>
              <w:t>Weighted-average</w:t>
            </w:r>
          </w:p>
        </w:tc>
        <w:tc>
          <w:tcPr>
            <w:tcW w:w="1940" w:type="dxa"/>
            <w:vAlign w:val="bottom"/>
            <w:gridSpan w:val="2"/>
          </w:tcPr>
          <w:p>
            <w:pPr>
              <w:jc w:val="center"/>
              <w:ind w:right="600"/>
              <w:spacing w:after="0"/>
              <w:rPr>
                <w:sz w:val="20"/>
                <w:szCs w:val="20"/>
                <w:color w:val="auto"/>
              </w:rPr>
            </w:pPr>
            <w:r>
              <w:rPr>
                <w:rFonts w:ascii="Arial" w:cs="Arial" w:eastAsia="Arial" w:hAnsi="Arial"/>
                <w:sz w:val="14"/>
                <w:szCs w:val="14"/>
                <w:color w:val="483E65"/>
              </w:rPr>
              <w:t>issuance under</w:t>
            </w:r>
          </w:p>
        </w:tc>
      </w:tr>
      <w:tr>
        <w:trPr>
          <w:trHeight w:val="162"/>
        </w:trPr>
        <w:tc>
          <w:tcPr>
            <w:tcW w:w="5600" w:type="dxa"/>
            <w:vAlign w:val="bottom"/>
          </w:tcPr>
          <w:p>
            <w:pPr>
              <w:spacing w:after="0"/>
              <w:rPr>
                <w:sz w:val="14"/>
                <w:szCs w:val="14"/>
                <w:color w:val="auto"/>
              </w:rPr>
            </w:pPr>
          </w:p>
        </w:tc>
        <w:tc>
          <w:tcPr>
            <w:tcW w:w="1820" w:type="dxa"/>
            <w:vAlign w:val="bottom"/>
            <w:gridSpan w:val="2"/>
          </w:tcPr>
          <w:p>
            <w:pPr>
              <w:jc w:val="center"/>
              <w:ind w:right="420"/>
              <w:spacing w:after="0"/>
              <w:rPr>
                <w:sz w:val="20"/>
                <w:szCs w:val="20"/>
                <w:color w:val="auto"/>
              </w:rPr>
            </w:pPr>
            <w:r>
              <w:rPr>
                <w:rFonts w:ascii="Arial" w:cs="Arial" w:eastAsia="Arial" w:hAnsi="Arial"/>
                <w:sz w:val="14"/>
                <w:szCs w:val="14"/>
                <w:color w:val="483E65"/>
              </w:rPr>
              <w:t>issued upon</w:t>
            </w:r>
          </w:p>
        </w:tc>
        <w:tc>
          <w:tcPr>
            <w:tcW w:w="2060" w:type="dxa"/>
            <w:vAlign w:val="bottom"/>
          </w:tcPr>
          <w:p>
            <w:pPr>
              <w:jc w:val="center"/>
              <w:ind w:right="322"/>
              <w:spacing w:after="0"/>
              <w:rPr>
                <w:sz w:val="20"/>
                <w:szCs w:val="20"/>
                <w:color w:val="auto"/>
              </w:rPr>
            </w:pPr>
            <w:r>
              <w:rPr>
                <w:rFonts w:ascii="Arial" w:cs="Arial" w:eastAsia="Arial" w:hAnsi="Arial"/>
                <w:sz w:val="14"/>
                <w:szCs w:val="14"/>
                <w:color w:val="483E65"/>
              </w:rPr>
              <w:t>exercise price of</w:t>
            </w:r>
          </w:p>
        </w:tc>
        <w:tc>
          <w:tcPr>
            <w:tcW w:w="1940" w:type="dxa"/>
            <w:vAlign w:val="bottom"/>
            <w:gridSpan w:val="2"/>
          </w:tcPr>
          <w:p>
            <w:pPr>
              <w:jc w:val="center"/>
              <w:ind w:right="580"/>
              <w:spacing w:after="0"/>
              <w:rPr>
                <w:sz w:val="20"/>
                <w:szCs w:val="20"/>
                <w:color w:val="auto"/>
              </w:rPr>
            </w:pPr>
            <w:r>
              <w:rPr>
                <w:rFonts w:ascii="Arial" w:cs="Arial" w:eastAsia="Arial" w:hAnsi="Arial"/>
                <w:sz w:val="14"/>
                <w:szCs w:val="14"/>
                <w:color w:val="483E65"/>
              </w:rPr>
              <w:t>equity compensation</w:t>
            </w:r>
          </w:p>
        </w:tc>
      </w:tr>
      <w:tr>
        <w:trPr>
          <w:trHeight w:val="162"/>
        </w:trPr>
        <w:tc>
          <w:tcPr>
            <w:tcW w:w="5600" w:type="dxa"/>
            <w:vAlign w:val="bottom"/>
          </w:tcPr>
          <w:p>
            <w:pPr>
              <w:spacing w:after="0"/>
              <w:rPr>
                <w:sz w:val="14"/>
                <w:szCs w:val="14"/>
                <w:color w:val="auto"/>
              </w:rPr>
            </w:pPr>
          </w:p>
        </w:tc>
        <w:tc>
          <w:tcPr>
            <w:tcW w:w="1820" w:type="dxa"/>
            <w:vAlign w:val="bottom"/>
            <w:gridSpan w:val="2"/>
          </w:tcPr>
          <w:p>
            <w:pPr>
              <w:jc w:val="center"/>
              <w:ind w:right="420"/>
              <w:spacing w:after="0"/>
              <w:rPr>
                <w:sz w:val="20"/>
                <w:szCs w:val="20"/>
                <w:color w:val="auto"/>
              </w:rPr>
            </w:pPr>
            <w:r>
              <w:rPr>
                <w:rFonts w:ascii="Arial" w:cs="Arial" w:eastAsia="Arial" w:hAnsi="Arial"/>
                <w:sz w:val="14"/>
                <w:szCs w:val="14"/>
                <w:color w:val="483E65"/>
              </w:rPr>
              <w:t>exercise of</w:t>
            </w:r>
          </w:p>
        </w:tc>
        <w:tc>
          <w:tcPr>
            <w:tcW w:w="2060" w:type="dxa"/>
            <w:vAlign w:val="bottom"/>
          </w:tcPr>
          <w:p>
            <w:pPr>
              <w:jc w:val="center"/>
              <w:ind w:right="322"/>
              <w:spacing w:after="0"/>
              <w:rPr>
                <w:sz w:val="20"/>
                <w:szCs w:val="20"/>
                <w:color w:val="auto"/>
              </w:rPr>
            </w:pPr>
            <w:r>
              <w:rPr>
                <w:rFonts w:ascii="Arial" w:cs="Arial" w:eastAsia="Arial" w:hAnsi="Arial"/>
                <w:sz w:val="14"/>
                <w:szCs w:val="14"/>
                <w:color w:val="483E65"/>
              </w:rPr>
              <w:t>outstanding</w:t>
            </w:r>
          </w:p>
        </w:tc>
        <w:tc>
          <w:tcPr>
            <w:tcW w:w="1940" w:type="dxa"/>
            <w:vAlign w:val="bottom"/>
            <w:gridSpan w:val="2"/>
          </w:tcPr>
          <w:p>
            <w:pPr>
              <w:jc w:val="center"/>
              <w:ind w:right="580"/>
              <w:spacing w:after="0"/>
              <w:rPr>
                <w:sz w:val="20"/>
                <w:szCs w:val="20"/>
                <w:color w:val="auto"/>
              </w:rPr>
            </w:pPr>
            <w:r>
              <w:rPr>
                <w:rFonts w:ascii="Arial" w:cs="Arial" w:eastAsia="Arial" w:hAnsi="Arial"/>
                <w:sz w:val="14"/>
                <w:szCs w:val="14"/>
                <w:color w:val="483E65"/>
              </w:rPr>
              <w:t>plans (excluding</w:t>
            </w:r>
          </w:p>
        </w:tc>
      </w:tr>
      <w:tr>
        <w:trPr>
          <w:trHeight w:val="162"/>
        </w:trPr>
        <w:tc>
          <w:tcPr>
            <w:tcW w:w="5600" w:type="dxa"/>
            <w:vAlign w:val="bottom"/>
          </w:tcPr>
          <w:p>
            <w:pPr>
              <w:spacing w:after="0"/>
              <w:rPr>
                <w:sz w:val="14"/>
                <w:szCs w:val="14"/>
                <w:color w:val="auto"/>
              </w:rPr>
            </w:pPr>
          </w:p>
        </w:tc>
        <w:tc>
          <w:tcPr>
            <w:tcW w:w="1820" w:type="dxa"/>
            <w:vAlign w:val="bottom"/>
            <w:gridSpan w:val="2"/>
          </w:tcPr>
          <w:p>
            <w:pPr>
              <w:jc w:val="center"/>
              <w:ind w:right="420"/>
              <w:spacing w:after="0"/>
              <w:rPr>
                <w:sz w:val="20"/>
                <w:szCs w:val="20"/>
                <w:color w:val="auto"/>
              </w:rPr>
            </w:pPr>
            <w:r>
              <w:rPr>
                <w:rFonts w:ascii="Arial" w:cs="Arial" w:eastAsia="Arial" w:hAnsi="Arial"/>
                <w:sz w:val="14"/>
                <w:szCs w:val="14"/>
                <w:color w:val="483E65"/>
              </w:rPr>
              <w:t>outstanding options,</w:t>
            </w:r>
          </w:p>
        </w:tc>
        <w:tc>
          <w:tcPr>
            <w:tcW w:w="2060" w:type="dxa"/>
            <w:vAlign w:val="bottom"/>
          </w:tcPr>
          <w:p>
            <w:pPr>
              <w:jc w:val="center"/>
              <w:ind w:right="322"/>
              <w:spacing w:after="0"/>
              <w:rPr>
                <w:sz w:val="20"/>
                <w:szCs w:val="20"/>
                <w:color w:val="auto"/>
              </w:rPr>
            </w:pPr>
            <w:r>
              <w:rPr>
                <w:rFonts w:ascii="Arial" w:cs="Arial" w:eastAsia="Arial" w:hAnsi="Arial"/>
                <w:sz w:val="14"/>
                <w:szCs w:val="14"/>
                <w:color w:val="483E65"/>
              </w:rPr>
              <w:t>options, warrants</w:t>
            </w:r>
          </w:p>
        </w:tc>
        <w:tc>
          <w:tcPr>
            <w:tcW w:w="1940" w:type="dxa"/>
            <w:vAlign w:val="bottom"/>
            <w:gridSpan w:val="2"/>
          </w:tcPr>
          <w:p>
            <w:pPr>
              <w:jc w:val="center"/>
              <w:ind w:right="580"/>
              <w:spacing w:after="0"/>
              <w:rPr>
                <w:sz w:val="20"/>
                <w:szCs w:val="20"/>
                <w:color w:val="auto"/>
              </w:rPr>
            </w:pPr>
            <w:r>
              <w:rPr>
                <w:rFonts w:ascii="Arial" w:cs="Arial" w:eastAsia="Arial" w:hAnsi="Arial"/>
                <w:sz w:val="14"/>
                <w:szCs w:val="14"/>
                <w:color w:val="483E65"/>
              </w:rPr>
              <w:t>securities reflected</w:t>
            </w:r>
          </w:p>
        </w:tc>
      </w:tr>
      <w:tr>
        <w:trPr>
          <w:trHeight w:val="172"/>
        </w:trPr>
        <w:tc>
          <w:tcPr>
            <w:tcW w:w="5600" w:type="dxa"/>
            <w:vAlign w:val="bottom"/>
          </w:tcPr>
          <w:p>
            <w:pPr>
              <w:ind w:left="80"/>
              <w:spacing w:after="0"/>
              <w:rPr>
                <w:sz w:val="20"/>
                <w:szCs w:val="20"/>
                <w:color w:val="auto"/>
              </w:rPr>
            </w:pPr>
            <w:r>
              <w:rPr>
                <w:rFonts w:ascii="Arial" w:cs="Arial" w:eastAsia="Arial" w:hAnsi="Arial"/>
                <w:sz w:val="14"/>
                <w:szCs w:val="14"/>
                <w:color w:val="483E65"/>
              </w:rPr>
              <w:t>Plan Category</w:t>
            </w:r>
          </w:p>
        </w:tc>
        <w:tc>
          <w:tcPr>
            <w:tcW w:w="1820" w:type="dxa"/>
            <w:vAlign w:val="bottom"/>
            <w:gridSpan w:val="2"/>
          </w:tcPr>
          <w:p>
            <w:pPr>
              <w:jc w:val="center"/>
              <w:ind w:right="420"/>
              <w:spacing w:after="0"/>
              <w:rPr>
                <w:sz w:val="20"/>
                <w:szCs w:val="20"/>
                <w:color w:val="auto"/>
              </w:rPr>
            </w:pPr>
            <w:r>
              <w:rPr>
                <w:rFonts w:ascii="Arial" w:cs="Arial" w:eastAsia="Arial" w:hAnsi="Arial"/>
                <w:sz w:val="14"/>
                <w:szCs w:val="14"/>
                <w:color w:val="483E65"/>
              </w:rPr>
              <w:t>warrants and rights(#)</w:t>
            </w:r>
          </w:p>
        </w:tc>
        <w:tc>
          <w:tcPr>
            <w:tcW w:w="2060" w:type="dxa"/>
            <w:vAlign w:val="bottom"/>
          </w:tcPr>
          <w:p>
            <w:pPr>
              <w:jc w:val="center"/>
              <w:ind w:right="322"/>
              <w:spacing w:after="0"/>
              <w:rPr>
                <w:sz w:val="20"/>
                <w:szCs w:val="20"/>
                <w:color w:val="auto"/>
              </w:rPr>
            </w:pPr>
            <w:r>
              <w:rPr>
                <w:rFonts w:ascii="Arial" w:cs="Arial" w:eastAsia="Arial" w:hAnsi="Arial"/>
                <w:sz w:val="14"/>
                <w:szCs w:val="14"/>
                <w:color w:val="483E65"/>
              </w:rPr>
              <w:t>and rights($)</w:t>
            </w:r>
          </w:p>
        </w:tc>
        <w:tc>
          <w:tcPr>
            <w:tcW w:w="1940" w:type="dxa"/>
            <w:vAlign w:val="bottom"/>
            <w:gridSpan w:val="2"/>
          </w:tcPr>
          <w:p>
            <w:pPr>
              <w:jc w:val="center"/>
              <w:ind w:right="600"/>
              <w:spacing w:after="0"/>
              <w:rPr>
                <w:sz w:val="20"/>
                <w:szCs w:val="20"/>
                <w:color w:val="auto"/>
              </w:rPr>
            </w:pPr>
            <w:r>
              <w:rPr>
                <w:rFonts w:ascii="Arial" w:cs="Arial" w:eastAsia="Arial" w:hAnsi="Arial"/>
                <w:sz w:val="14"/>
                <w:szCs w:val="14"/>
                <w:color w:val="483E65"/>
              </w:rPr>
              <w:t>in column (a))(#)</w:t>
            </w:r>
          </w:p>
        </w:tc>
      </w:tr>
      <w:tr>
        <w:trPr>
          <w:trHeight w:val="39"/>
        </w:trPr>
        <w:tc>
          <w:tcPr>
            <w:tcW w:w="5600" w:type="dxa"/>
            <w:vAlign w:val="bottom"/>
            <w:tcBorders>
              <w:bottom w:val="single" w:sz="8" w:color="483E65"/>
            </w:tcBorders>
          </w:tcPr>
          <w:p>
            <w:pPr>
              <w:spacing w:after="0"/>
              <w:rPr>
                <w:sz w:val="3"/>
                <w:szCs w:val="3"/>
                <w:color w:val="auto"/>
              </w:rPr>
            </w:pPr>
          </w:p>
        </w:tc>
        <w:tc>
          <w:tcPr>
            <w:tcW w:w="1820" w:type="dxa"/>
            <w:vAlign w:val="bottom"/>
            <w:tcBorders>
              <w:bottom w:val="single" w:sz="8" w:color="483E65"/>
            </w:tcBorders>
            <w:gridSpan w:val="2"/>
          </w:tcPr>
          <w:p>
            <w:pPr>
              <w:spacing w:after="0"/>
              <w:rPr>
                <w:sz w:val="3"/>
                <w:szCs w:val="3"/>
                <w:color w:val="auto"/>
              </w:rPr>
            </w:pPr>
          </w:p>
        </w:tc>
        <w:tc>
          <w:tcPr>
            <w:tcW w:w="2060" w:type="dxa"/>
            <w:vAlign w:val="bottom"/>
            <w:tcBorders>
              <w:bottom w:val="single" w:sz="8" w:color="483E65"/>
            </w:tcBorders>
          </w:tcPr>
          <w:p>
            <w:pPr>
              <w:spacing w:after="0"/>
              <w:rPr>
                <w:sz w:val="3"/>
                <w:szCs w:val="3"/>
                <w:color w:val="auto"/>
              </w:rPr>
            </w:pPr>
          </w:p>
        </w:tc>
        <w:tc>
          <w:tcPr>
            <w:tcW w:w="1940" w:type="dxa"/>
            <w:vAlign w:val="bottom"/>
            <w:tcBorders>
              <w:bottom w:val="single" w:sz="8" w:color="483E65"/>
            </w:tcBorders>
            <w:gridSpan w:val="2"/>
          </w:tcPr>
          <w:p>
            <w:pPr>
              <w:spacing w:after="0"/>
              <w:rPr>
                <w:sz w:val="3"/>
                <w:szCs w:val="3"/>
                <w:color w:val="auto"/>
              </w:rPr>
            </w:pPr>
          </w:p>
        </w:tc>
      </w:tr>
      <w:tr>
        <w:trPr>
          <w:trHeight w:val="196"/>
        </w:trPr>
        <w:tc>
          <w:tcPr>
            <w:tcW w:w="5600" w:type="dxa"/>
            <w:vAlign w:val="bottom"/>
          </w:tcPr>
          <w:p>
            <w:pPr>
              <w:ind w:left="100"/>
              <w:spacing w:after="0" w:line="196" w:lineRule="exact"/>
              <w:rPr>
                <w:sz w:val="20"/>
                <w:szCs w:val="20"/>
                <w:color w:val="auto"/>
              </w:rPr>
            </w:pPr>
            <w:r>
              <w:rPr>
                <w:rFonts w:ascii="Arial" w:cs="Arial" w:eastAsia="Arial" w:hAnsi="Arial"/>
                <w:sz w:val="18"/>
                <w:szCs w:val="18"/>
                <w:color w:val="auto"/>
              </w:rPr>
              <w:t>Equity compensation plans approved by security holders</w:t>
            </w:r>
            <w:r>
              <w:rPr>
                <w:rFonts w:ascii="Arial" w:cs="Arial" w:eastAsia="Arial" w:hAnsi="Arial"/>
                <w:sz w:val="15"/>
                <w:szCs w:val="15"/>
                <w:color w:val="auto"/>
              </w:rPr>
              <w:t>(1)</w:t>
            </w:r>
          </w:p>
        </w:tc>
        <w:tc>
          <w:tcPr>
            <w:tcW w:w="182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6,120,946</w:t>
            </w:r>
            <w:r>
              <w:rPr>
                <w:rFonts w:ascii="Arial" w:cs="Arial" w:eastAsia="Arial" w:hAnsi="Arial"/>
                <w:sz w:val="15"/>
                <w:szCs w:val="15"/>
                <w:color w:val="auto"/>
              </w:rPr>
              <w:t>(2)</w:t>
            </w:r>
          </w:p>
        </w:tc>
        <w:tc>
          <w:tcPr>
            <w:tcW w:w="2060" w:type="dxa"/>
            <w:vAlign w:val="bottom"/>
          </w:tcPr>
          <w:p>
            <w:pPr>
              <w:jc w:val="right"/>
              <w:ind w:right="382"/>
              <w:spacing w:after="0" w:line="196" w:lineRule="exact"/>
              <w:rPr>
                <w:sz w:val="20"/>
                <w:szCs w:val="20"/>
                <w:color w:val="auto"/>
              </w:rPr>
            </w:pPr>
            <w:r>
              <w:rPr>
                <w:rFonts w:ascii="Arial" w:cs="Arial" w:eastAsia="Arial" w:hAnsi="Arial"/>
                <w:sz w:val="18"/>
                <w:szCs w:val="18"/>
                <w:color w:val="auto"/>
              </w:rPr>
              <w:t>29.77</w:t>
            </w:r>
            <w:r>
              <w:rPr>
                <w:rFonts w:ascii="Arial" w:cs="Arial" w:eastAsia="Arial" w:hAnsi="Arial"/>
                <w:sz w:val="15"/>
                <w:szCs w:val="15"/>
                <w:color w:val="auto"/>
              </w:rPr>
              <w:t>(3)</w:t>
            </w:r>
          </w:p>
        </w:tc>
        <w:tc>
          <w:tcPr>
            <w:tcW w:w="1940" w:type="dxa"/>
            <w:vAlign w:val="bottom"/>
            <w:gridSpan w:val="2"/>
          </w:tcPr>
          <w:p>
            <w:pPr>
              <w:jc w:val="right"/>
              <w:ind w:right="240"/>
              <w:spacing w:after="0" w:line="196" w:lineRule="exact"/>
              <w:rPr>
                <w:sz w:val="20"/>
                <w:szCs w:val="20"/>
                <w:color w:val="auto"/>
              </w:rPr>
            </w:pPr>
            <w:r>
              <w:rPr>
                <w:rFonts w:ascii="Arial" w:cs="Arial" w:eastAsia="Arial" w:hAnsi="Arial"/>
                <w:sz w:val="18"/>
                <w:szCs w:val="18"/>
                <w:color w:val="auto"/>
              </w:rPr>
              <w:t>2,502,109</w:t>
            </w:r>
            <w:r>
              <w:rPr>
                <w:rFonts w:ascii="Arial" w:cs="Arial" w:eastAsia="Arial" w:hAnsi="Arial"/>
                <w:sz w:val="15"/>
                <w:szCs w:val="15"/>
                <w:color w:val="auto"/>
              </w:rPr>
              <w:t>(4)(5)</w:t>
            </w:r>
          </w:p>
        </w:tc>
      </w:tr>
      <w:tr>
        <w:trPr>
          <w:trHeight w:val="199"/>
        </w:trPr>
        <w:tc>
          <w:tcPr>
            <w:tcW w:w="5600" w:type="dxa"/>
            <w:vAlign w:val="bottom"/>
            <w:shd w:val="clear" w:color="auto" w:fill="ACABA7"/>
          </w:tcPr>
          <w:p>
            <w:pPr>
              <w:ind w:left="100"/>
              <w:spacing w:after="0" w:line="199" w:lineRule="exact"/>
              <w:rPr>
                <w:sz w:val="20"/>
                <w:szCs w:val="20"/>
                <w:color w:val="auto"/>
              </w:rPr>
            </w:pPr>
            <w:r>
              <w:rPr>
                <w:rFonts w:ascii="Arial" w:cs="Arial" w:eastAsia="Arial" w:hAnsi="Arial"/>
                <w:sz w:val="18"/>
                <w:szCs w:val="18"/>
                <w:color w:val="auto"/>
              </w:rPr>
              <w:t>Equity compensation plans not approved by security</w:t>
            </w:r>
          </w:p>
        </w:tc>
        <w:tc>
          <w:tcPr>
            <w:tcW w:w="1400" w:type="dxa"/>
            <w:vAlign w:val="bottom"/>
            <w:shd w:val="clear" w:color="auto" w:fill="ACABA7"/>
          </w:tcPr>
          <w:p>
            <w:pPr>
              <w:spacing w:after="0"/>
              <w:rPr>
                <w:sz w:val="17"/>
                <w:szCs w:val="17"/>
                <w:color w:val="auto"/>
              </w:rPr>
            </w:pPr>
          </w:p>
        </w:tc>
        <w:tc>
          <w:tcPr>
            <w:tcW w:w="420" w:type="dxa"/>
            <w:vAlign w:val="bottom"/>
            <w:shd w:val="clear" w:color="auto" w:fill="ACABA7"/>
          </w:tcPr>
          <w:p>
            <w:pPr>
              <w:spacing w:after="0"/>
              <w:rPr>
                <w:sz w:val="17"/>
                <w:szCs w:val="17"/>
                <w:color w:val="auto"/>
              </w:rPr>
            </w:pPr>
          </w:p>
        </w:tc>
        <w:tc>
          <w:tcPr>
            <w:tcW w:w="2060" w:type="dxa"/>
            <w:vAlign w:val="bottom"/>
            <w:shd w:val="clear" w:color="auto" w:fill="ACABA7"/>
          </w:tcPr>
          <w:p>
            <w:pPr>
              <w:spacing w:after="0"/>
              <w:rPr>
                <w:sz w:val="17"/>
                <w:szCs w:val="17"/>
                <w:color w:val="auto"/>
              </w:rPr>
            </w:pPr>
          </w:p>
        </w:tc>
        <w:tc>
          <w:tcPr>
            <w:tcW w:w="1340" w:type="dxa"/>
            <w:vAlign w:val="bottom"/>
            <w:shd w:val="clear" w:color="auto" w:fill="ACABA7"/>
          </w:tcPr>
          <w:p>
            <w:pPr>
              <w:spacing w:after="0"/>
              <w:rPr>
                <w:sz w:val="17"/>
                <w:szCs w:val="17"/>
                <w:color w:val="auto"/>
              </w:rPr>
            </w:pPr>
          </w:p>
        </w:tc>
        <w:tc>
          <w:tcPr>
            <w:tcW w:w="600" w:type="dxa"/>
            <w:vAlign w:val="bottom"/>
            <w:shd w:val="clear" w:color="auto" w:fill="ACABA7"/>
          </w:tcPr>
          <w:p>
            <w:pPr>
              <w:spacing w:after="0"/>
              <w:rPr>
                <w:sz w:val="17"/>
                <w:szCs w:val="17"/>
                <w:color w:val="auto"/>
              </w:rPr>
            </w:pPr>
          </w:p>
        </w:tc>
      </w:tr>
      <w:tr>
        <w:trPr>
          <w:trHeight w:val="206"/>
        </w:trPr>
        <w:tc>
          <w:tcPr>
            <w:tcW w:w="5600" w:type="dxa"/>
            <w:vAlign w:val="bottom"/>
            <w:shd w:val="clear" w:color="auto" w:fill="ACABA7"/>
          </w:tcPr>
          <w:p>
            <w:pPr>
              <w:ind w:left="180"/>
              <w:spacing w:after="0"/>
              <w:rPr>
                <w:sz w:val="20"/>
                <w:szCs w:val="20"/>
                <w:color w:val="auto"/>
              </w:rPr>
            </w:pPr>
            <w:r>
              <w:rPr>
                <w:rFonts w:ascii="Arial" w:cs="Arial" w:eastAsia="Arial" w:hAnsi="Arial"/>
                <w:sz w:val="18"/>
                <w:szCs w:val="18"/>
                <w:color w:val="auto"/>
              </w:rPr>
              <w:t>holders</w:t>
            </w:r>
            <w:r>
              <w:rPr>
                <w:rFonts w:ascii="Arial" w:cs="Arial" w:eastAsia="Arial" w:hAnsi="Arial"/>
                <w:sz w:val="15"/>
                <w:szCs w:val="15"/>
                <w:color w:val="auto"/>
              </w:rPr>
              <w:t>(6)</w:t>
            </w:r>
          </w:p>
        </w:tc>
        <w:tc>
          <w:tcPr>
            <w:tcW w:w="1820" w:type="dxa"/>
            <w:vAlign w:val="bottom"/>
            <w:gridSpan w:val="2"/>
            <w:shd w:val="clear" w:color="auto" w:fill="ACABA7"/>
          </w:tcPr>
          <w:p>
            <w:pPr>
              <w:jc w:val="right"/>
              <w:ind w:right="420"/>
              <w:spacing w:after="0"/>
              <w:rPr>
                <w:sz w:val="20"/>
                <w:szCs w:val="20"/>
                <w:color w:val="auto"/>
              </w:rPr>
            </w:pPr>
            <w:r>
              <w:rPr>
                <w:rFonts w:ascii="Arial" w:cs="Arial" w:eastAsia="Arial" w:hAnsi="Arial"/>
                <w:sz w:val="18"/>
                <w:szCs w:val="18"/>
                <w:color w:val="auto"/>
              </w:rPr>
              <w:t>—</w:t>
            </w:r>
          </w:p>
        </w:tc>
        <w:tc>
          <w:tcPr>
            <w:tcW w:w="2060" w:type="dxa"/>
            <w:vAlign w:val="bottom"/>
            <w:shd w:val="clear" w:color="auto" w:fill="ACABA7"/>
          </w:tcPr>
          <w:p>
            <w:pPr>
              <w:jc w:val="right"/>
              <w:ind w:right="562"/>
              <w:spacing w:after="0"/>
              <w:rPr>
                <w:sz w:val="20"/>
                <w:szCs w:val="20"/>
                <w:color w:val="auto"/>
              </w:rPr>
            </w:pPr>
            <w:r>
              <w:rPr>
                <w:rFonts w:ascii="Arial" w:cs="Arial" w:eastAsia="Arial" w:hAnsi="Arial"/>
                <w:sz w:val="18"/>
                <w:szCs w:val="18"/>
                <w:color w:val="auto"/>
              </w:rPr>
              <w:t>—</w:t>
            </w:r>
          </w:p>
        </w:tc>
        <w:tc>
          <w:tcPr>
            <w:tcW w:w="1940" w:type="dxa"/>
            <w:vAlign w:val="bottom"/>
            <w:gridSpan w:val="2"/>
            <w:shd w:val="clear" w:color="auto" w:fill="ACABA7"/>
          </w:tcPr>
          <w:p>
            <w:pPr>
              <w:jc w:val="right"/>
              <w:ind w:right="600"/>
              <w:spacing w:after="0"/>
              <w:rPr>
                <w:sz w:val="20"/>
                <w:szCs w:val="20"/>
                <w:color w:val="auto"/>
              </w:rPr>
            </w:pPr>
            <w:r>
              <w:rPr>
                <w:rFonts w:ascii="Arial" w:cs="Arial" w:eastAsia="Arial" w:hAnsi="Arial"/>
                <w:sz w:val="18"/>
                <w:szCs w:val="18"/>
                <w:color w:val="auto"/>
              </w:rPr>
              <w:t>—</w:t>
            </w:r>
          </w:p>
        </w:tc>
      </w:tr>
      <w:tr>
        <w:trPr>
          <w:trHeight w:val="210"/>
        </w:trPr>
        <w:tc>
          <w:tcPr>
            <w:tcW w:w="5600" w:type="dxa"/>
            <w:vAlign w:val="bottom"/>
          </w:tcPr>
          <w:p>
            <w:pPr>
              <w:ind w:left="100"/>
              <w:spacing w:after="0"/>
              <w:rPr>
                <w:sz w:val="20"/>
                <w:szCs w:val="20"/>
                <w:color w:val="auto"/>
              </w:rPr>
            </w:pPr>
            <w:r>
              <w:rPr>
                <w:rFonts w:ascii="Arial" w:cs="Arial" w:eastAsia="Arial" w:hAnsi="Arial"/>
                <w:sz w:val="18"/>
                <w:szCs w:val="18"/>
                <w:color w:val="auto"/>
              </w:rPr>
              <w:t>Total</w:t>
            </w:r>
          </w:p>
        </w:tc>
        <w:tc>
          <w:tcPr>
            <w:tcW w:w="1400" w:type="dxa"/>
            <w:vAlign w:val="bottom"/>
            <w:tcBorders>
              <w:top w:val="single" w:sz="8" w:color="483E65"/>
              <w:bottom w:val="single" w:sz="8" w:color="483E65"/>
            </w:tcBorders>
          </w:tcPr>
          <w:p>
            <w:pPr>
              <w:jc w:val="right"/>
              <w:spacing w:after="0"/>
              <w:rPr>
                <w:sz w:val="20"/>
                <w:szCs w:val="20"/>
                <w:color w:val="auto"/>
              </w:rPr>
            </w:pPr>
            <w:r>
              <w:rPr>
                <w:rFonts w:ascii="Arial" w:cs="Arial" w:eastAsia="Arial" w:hAnsi="Arial"/>
                <w:sz w:val="18"/>
                <w:szCs w:val="18"/>
                <w:color w:val="auto"/>
              </w:rPr>
              <w:t>6,120,946</w:t>
            </w:r>
          </w:p>
        </w:tc>
        <w:tc>
          <w:tcPr>
            <w:tcW w:w="420" w:type="dxa"/>
            <w:vAlign w:val="bottom"/>
          </w:tcPr>
          <w:p>
            <w:pPr>
              <w:spacing w:after="0"/>
              <w:rPr>
                <w:sz w:val="18"/>
                <w:szCs w:val="18"/>
                <w:color w:val="auto"/>
              </w:rPr>
            </w:pPr>
          </w:p>
        </w:tc>
        <w:tc>
          <w:tcPr>
            <w:tcW w:w="2060" w:type="dxa"/>
            <w:vAlign w:val="bottom"/>
          </w:tcPr>
          <w:p>
            <w:pPr>
              <w:jc w:val="right"/>
              <w:ind w:right="562"/>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483E65"/>
              <w:bottom w:val="single" w:sz="8" w:color="483E65"/>
            </w:tcBorders>
          </w:tcPr>
          <w:p>
            <w:pPr>
              <w:jc w:val="right"/>
              <w:spacing w:after="0"/>
              <w:rPr>
                <w:sz w:val="20"/>
                <w:szCs w:val="20"/>
                <w:color w:val="auto"/>
              </w:rPr>
            </w:pPr>
            <w:r>
              <w:rPr>
                <w:rFonts w:ascii="Arial" w:cs="Arial" w:eastAsia="Arial" w:hAnsi="Arial"/>
                <w:sz w:val="18"/>
                <w:szCs w:val="18"/>
                <w:color w:val="auto"/>
              </w:rPr>
              <w:t>2,502,109</w:t>
            </w:r>
          </w:p>
        </w:tc>
        <w:tc>
          <w:tcPr>
            <w:tcW w:w="600" w:type="dxa"/>
            <w:vAlign w:val="bottom"/>
          </w:tcPr>
          <w:p>
            <w:pPr>
              <w:spacing w:after="0"/>
              <w:rPr>
                <w:sz w:val="18"/>
                <w:szCs w:val="18"/>
                <w:color w:val="auto"/>
              </w:rPr>
            </w:pPr>
          </w:p>
        </w:tc>
      </w:tr>
    </w:tbl>
    <w:p>
      <w:pPr>
        <w:spacing w:after="0" w:line="134" w:lineRule="exact"/>
        <w:rPr>
          <w:sz w:val="20"/>
          <w:szCs w:val="20"/>
          <w:color w:val="auto"/>
        </w:rPr>
      </w:pPr>
    </w:p>
    <w:p>
      <w:pPr>
        <w:ind w:left="460" w:right="160" w:hanging="452"/>
        <w:spacing w:after="0" w:line="246" w:lineRule="auto"/>
        <w:tabs>
          <w:tab w:leader="none" w:pos="4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following equity compensation plans approved by security holders are included in this plan category: the 2006 Equity Incentive Plan and the 2006 Employee Stock Purchase Plan, as amended.</w:t>
      </w:r>
    </w:p>
    <w:p>
      <w:pPr>
        <w:spacing w:after="0" w:line="102" w:lineRule="exact"/>
        <w:rPr>
          <w:rFonts w:ascii="Arial" w:cs="Arial" w:eastAsia="Arial" w:hAnsi="Arial"/>
          <w:sz w:val="18"/>
          <w:szCs w:val="18"/>
          <w:color w:val="auto"/>
        </w:rPr>
      </w:pPr>
    </w:p>
    <w:p>
      <w:pPr>
        <w:ind w:left="460" w:right="420" w:hanging="452"/>
        <w:spacing w:after="0" w:line="237" w:lineRule="auto"/>
        <w:tabs>
          <w:tab w:leader="none" w:pos="4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Represents (i) 2,502,676 shares of Leidos common stock reserved for future issuance for performance and market-based awards assuming achievement of the target level of performance for unearned performance and market-based awards (does not include an additional 171,267 shares if the maximum level of performance is achieved) and other stock awards under the 2006 Equity Incentive Plan, (ii) 359,090 shares of Leidos common stock issuable pursuant to dividend equivalent rights and (iii) 3,259,180 shares of Leidos common stock reserved for future issuance upon the exercise of outstanding options awarded under the 2006 Equity Incentive Plan. Does not include shares to be issued pursuant to purchase rights under the 2006 Employee Stock Purchase Plan.</w:t>
      </w:r>
    </w:p>
    <w:p>
      <w:pPr>
        <w:spacing w:after="0" w:line="110" w:lineRule="exact"/>
        <w:rPr>
          <w:rFonts w:ascii="Arial" w:cs="Arial" w:eastAsia="Arial" w:hAnsi="Arial"/>
          <w:sz w:val="18"/>
          <w:szCs w:val="18"/>
          <w:color w:val="auto"/>
        </w:rPr>
      </w:pPr>
    </w:p>
    <w:p>
      <w:pPr>
        <w:ind w:left="460" w:right="240" w:hanging="452"/>
        <w:spacing w:after="0" w:line="246" w:lineRule="auto"/>
        <w:tabs>
          <w:tab w:leader="none" w:pos="4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Does not include shares to be issued for performance-based and other stock awards and shares of stock issuable pursuant to dividend equivalent rights, which will not require any payment upon issuance of those shares.</w:t>
      </w:r>
    </w:p>
    <w:p>
      <w:pPr>
        <w:spacing w:after="0" w:line="102" w:lineRule="exact"/>
        <w:rPr>
          <w:rFonts w:ascii="Arial" w:cs="Arial" w:eastAsia="Arial" w:hAnsi="Arial"/>
          <w:sz w:val="18"/>
          <w:szCs w:val="18"/>
          <w:color w:val="auto"/>
        </w:rPr>
      </w:pPr>
    </w:p>
    <w:p>
      <w:pPr>
        <w:ind w:left="460" w:right="340" w:hanging="452"/>
        <w:spacing w:after="0" w:line="248" w:lineRule="auto"/>
        <w:tabs>
          <w:tab w:leader="none" w:pos="460" w:val="left"/>
        </w:tabs>
        <w:numPr>
          <w:ilvl w:val="0"/>
          <w:numId w:val="66"/>
        </w:numPr>
        <w:rPr>
          <w:rFonts w:ascii="Arial" w:cs="Arial" w:eastAsia="Arial" w:hAnsi="Arial"/>
          <w:sz w:val="17"/>
          <w:szCs w:val="17"/>
          <w:color w:val="auto"/>
        </w:rPr>
      </w:pPr>
      <w:r>
        <w:rPr>
          <w:rFonts w:ascii="Arial" w:cs="Arial" w:eastAsia="Arial" w:hAnsi="Arial"/>
          <w:sz w:val="17"/>
          <w:szCs w:val="17"/>
          <w:color w:val="auto"/>
        </w:rPr>
        <w:t>Entire amount represents shares of Leidos common stock under the 2006 Equity Incentive Plan. The 2006 Equity Incentive Plan was amended in June 2012 to provide that the maximum number of shares available for issuance thereunder is 12.5 million. Those shares</w:t>
      </w:r>
    </w:p>
    <w:p>
      <w:pPr>
        <w:spacing w:after="0" w:line="1" w:lineRule="exact"/>
        <w:rPr>
          <w:rFonts w:ascii="Arial" w:cs="Arial" w:eastAsia="Arial" w:hAnsi="Arial"/>
          <w:sz w:val="17"/>
          <w:szCs w:val="17"/>
          <w:color w:val="auto"/>
        </w:rPr>
      </w:pPr>
    </w:p>
    <w:p>
      <w:pPr>
        <w:ind w:left="460"/>
        <w:spacing w:after="0" w:line="238" w:lineRule="auto"/>
        <w:rPr>
          <w:rFonts w:ascii="Arial" w:cs="Arial" w:eastAsia="Arial" w:hAnsi="Arial"/>
          <w:sz w:val="17"/>
          <w:szCs w:val="17"/>
          <w:color w:val="auto"/>
        </w:rPr>
      </w:pPr>
      <w:r>
        <w:rPr>
          <w:rFonts w:ascii="Arial" w:cs="Arial" w:eastAsia="Arial" w:hAnsi="Arial"/>
          <w:sz w:val="18"/>
          <w:szCs w:val="18"/>
          <w:color w:val="auto"/>
        </w:rPr>
        <w:t>(i) that are issued under the 2006 Equity Incentive Plan that are forfeited or repurchased at the original purchase price or less or that are issuable upon exercise of awards granted under the plan that expire or become unexercisable for any reason after their grant date without having been exercised in full, (ii) that are withheld from an option or stock award pursuant to a Company-approved net exercise provision, or (iii) that are not delivered to or are award shares surrendered by a holder in consideration for applicable tax withholding will continue to be available for issuance under the plan.</w:t>
      </w:r>
    </w:p>
    <w:p>
      <w:pPr>
        <w:spacing w:after="0" w:line="108" w:lineRule="exact"/>
        <w:rPr>
          <w:rFonts w:ascii="Arial" w:cs="Arial" w:eastAsia="Arial" w:hAnsi="Arial"/>
          <w:sz w:val="17"/>
          <w:szCs w:val="17"/>
          <w:color w:val="auto"/>
        </w:rPr>
      </w:pPr>
    </w:p>
    <w:p>
      <w:pPr>
        <w:ind w:left="460" w:right="840" w:hanging="452"/>
        <w:spacing w:after="0" w:line="246" w:lineRule="auto"/>
        <w:tabs>
          <w:tab w:leader="none" w:pos="4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Does not include 5.0 million shares under our Amended and Restated 2006 Employee Stock Purchase Plan, which is subject to stockholder approval as reflected in proposal 4 above.</w:t>
      </w:r>
    </w:p>
    <w:p>
      <w:pPr>
        <w:spacing w:after="0" w:line="102" w:lineRule="exact"/>
        <w:rPr>
          <w:rFonts w:ascii="Arial" w:cs="Arial" w:eastAsia="Arial" w:hAnsi="Arial"/>
          <w:sz w:val="18"/>
          <w:szCs w:val="18"/>
          <w:color w:val="auto"/>
        </w:rPr>
      </w:pPr>
    </w:p>
    <w:p>
      <w:pPr>
        <w:ind w:left="460" w:right="220" w:hanging="452"/>
        <w:spacing w:after="0"/>
        <w:tabs>
          <w:tab w:leader="none" w:pos="4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Stock Compensation Plan and the Management Stock Compensation Plan have not been approved by security holders and are included in this plan category. These plans do not provide for a maximum number of shares available for future issuance. The company ceased granting awards under these plans in 2012 and no unvested awards remain outstanding under either plan.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483E65"/>
        </w:rPr>
        <w:t>Federal Income Tax Information</w:t>
      </w:r>
    </w:p>
    <w:p>
      <w:pPr>
        <w:spacing w:after="0" w:line="234"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The following is a brief summary of the U.S. federal income tax consequences of the 2017 Plan generally applicable to the company and to participants in the 2017 Plan who are subject to U.S. federal taxes. The summary is based on the Internal Revenue Code, applicable Treasury Regulations and administrative and judicial interpretations thereof, each as in effect on the date of this proxy statement, and is, therefore, subject to future changes in the law, possibly with retroactive effect. The summary is general in nature and does not purport to be legal or tax advice. Furthermore, the summary does not address issues relating to any U.S. gift or estate tax consequences or the consequences of any state, local or foreign tax laws.</w:t>
      </w:r>
    </w:p>
    <w:p>
      <w:pPr>
        <w:spacing w:after="0" w:line="187" w:lineRule="exact"/>
        <w:rPr>
          <w:sz w:val="20"/>
          <w:szCs w:val="20"/>
          <w:color w:val="auto"/>
        </w:rPr>
      </w:pPr>
    </w:p>
    <w:p>
      <w:pPr>
        <w:ind w:right="240"/>
        <w:spacing w:after="0" w:line="267" w:lineRule="auto"/>
        <w:rPr>
          <w:sz w:val="20"/>
          <w:szCs w:val="20"/>
          <w:color w:val="auto"/>
        </w:rPr>
      </w:pPr>
      <w:r>
        <w:rPr>
          <w:rFonts w:ascii="Arial" w:cs="Arial" w:eastAsia="Arial" w:hAnsi="Arial"/>
          <w:sz w:val="18"/>
          <w:szCs w:val="18"/>
          <w:i w:val="1"/>
          <w:iCs w:val="1"/>
          <w:color w:val="483E65"/>
        </w:rPr>
        <w:t xml:space="preserve">Nonqualified Stock Options. </w:t>
      </w:r>
      <w:r>
        <w:rPr>
          <w:rFonts w:ascii="Arial" w:cs="Arial" w:eastAsia="Arial" w:hAnsi="Arial"/>
          <w:sz w:val="18"/>
          <w:szCs w:val="18"/>
          <w:color w:val="000000"/>
        </w:rPr>
        <w:t>A participant generally will not recognize taxable income upon the grant or vesting of a nonqualified stock option</w:t>
      </w:r>
      <w:r>
        <w:rPr>
          <w:rFonts w:ascii="Arial" w:cs="Arial" w:eastAsia="Arial" w:hAnsi="Arial"/>
          <w:sz w:val="18"/>
          <w:szCs w:val="18"/>
          <w:i w:val="1"/>
          <w:iCs w:val="1"/>
          <w:color w:val="483E65"/>
        </w:rPr>
        <w:t xml:space="preserve"> </w:t>
      </w:r>
      <w:r>
        <w:rPr>
          <w:rFonts w:ascii="Arial" w:cs="Arial" w:eastAsia="Arial" w:hAnsi="Arial"/>
          <w:sz w:val="18"/>
          <w:szCs w:val="18"/>
          <w:color w:val="000000"/>
        </w:rPr>
        <w:t>with an exercise price at least equal to the fair market value of our common stock on the date of</w:t>
      </w:r>
    </w:p>
    <w:p>
      <w:pPr>
        <w:spacing w:after="0" w:line="94" w:lineRule="exact"/>
        <w:rPr>
          <w:sz w:val="20"/>
          <w:szCs w:val="20"/>
          <w:color w:val="auto"/>
        </w:rPr>
      </w:pPr>
    </w:p>
    <w:p>
      <w:pPr>
        <w:jc w:val="right"/>
        <w:spacing w:after="0"/>
        <w:tabs>
          <w:tab w:leader="none" w:pos="380" w:val="left"/>
          <w:tab w:leader="none" w:pos="160" w:val="left"/>
        </w:tabs>
        <w:rPr>
          <w:sz w:val="20"/>
          <w:szCs w:val="20"/>
          <w:color w:val="auto"/>
        </w:rPr>
      </w:pPr>
      <w:r>
        <w:rPr>
          <w:rFonts w:ascii="Arial" w:cs="Arial" w:eastAsia="Arial" w:hAnsi="Arial"/>
          <w:sz w:val="16"/>
          <w:szCs w:val="16"/>
          <w:b w:val="1"/>
          <w:bCs w:val="1"/>
          <w:color w:val="483E65"/>
        </w:rPr>
        <w:t>2017 Proxy Statement</w:t>
        <w:tab/>
        <w:t>|</w:t>
        <w:tab/>
        <w:t>65</w:t>
      </w:r>
    </w:p>
    <w:p>
      <w:pPr>
        <w:sectPr>
          <w:pgSz w:w="11900" w:h="16838" w:orient="portrait"/>
          <w:cols w:equalWidth="0" w:num="1">
            <w:col w:w="11420"/>
          </w:cols>
          <w:pgMar w:left="240" w:top="459"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8" w:lineRule="exact"/>
        <w:rPr>
          <w:sz w:val="20"/>
          <w:szCs w:val="20"/>
          <w:color w:val="auto"/>
        </w:rPr>
      </w:pPr>
    </w:p>
    <w:p>
      <w:pPr>
        <w:spacing w:after="0"/>
        <w:rPr>
          <w:sz w:val="20"/>
          <w:szCs w:val="20"/>
          <w:color w:val="auto"/>
        </w:rPr>
      </w:pPr>
      <w:r>
        <w:rPr>
          <w:rFonts w:ascii="Arial" w:cs="Arial" w:eastAsia="Arial" w:hAnsi="Arial"/>
          <w:sz w:val="32"/>
          <w:szCs w:val="32"/>
          <w:color w:val="483E65"/>
        </w:rPr>
        <w:t>Proposal 5 — 2017 Omnibus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149860</wp:posOffset>
            </wp:positionV>
            <wp:extent cx="724662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18"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grant and no additional deferral feature. Upon the exercise of a nonqualified stock option, a participant generally will recognize compensation taxable as ordinary income in an amount equal to the difference between the fair market value of the shares underlying the stock option on the date of exercise and the exercise price of the stock option. When a participant sells the shares, the participant will have short-term or long-term capital gain or loss, as the case may be, equal to the difference between the amount the participant received from the sale and the tax basis of the shares sold. The tax basis of the shares generally will be equal to the greater of the fair market value of the shares on the exercise date or the exercise price of the stock option.</w:t>
      </w:r>
    </w:p>
    <w:p>
      <w:pPr>
        <w:spacing w:after="0" w:line="187"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i w:val="1"/>
          <w:iCs w:val="1"/>
          <w:color w:val="483E65"/>
        </w:rPr>
        <w:t xml:space="preserve">Incentive Stock Options. </w:t>
      </w:r>
      <w:r>
        <w:rPr>
          <w:rFonts w:ascii="Arial" w:cs="Arial" w:eastAsia="Arial" w:hAnsi="Arial"/>
          <w:sz w:val="18"/>
          <w:szCs w:val="18"/>
          <w:color w:val="000000"/>
        </w:rPr>
        <w:t>A participant generally will not recognize taxable income upon the grant of an incentive stock option. If a participant</w:t>
      </w:r>
      <w:r>
        <w:rPr>
          <w:rFonts w:ascii="Arial" w:cs="Arial" w:eastAsia="Arial" w:hAnsi="Arial"/>
          <w:sz w:val="18"/>
          <w:szCs w:val="18"/>
          <w:i w:val="1"/>
          <w:iCs w:val="1"/>
          <w:color w:val="483E65"/>
        </w:rPr>
        <w:t xml:space="preserve"> </w:t>
      </w:r>
      <w:r>
        <w:rPr>
          <w:rFonts w:ascii="Arial" w:cs="Arial" w:eastAsia="Arial" w:hAnsi="Arial"/>
          <w:sz w:val="18"/>
          <w:szCs w:val="18"/>
          <w:color w:val="000000"/>
        </w:rPr>
        <w:t>exercises an incentive stock option during employment or within three months after employment ends (12 months in the case of permanent and total disability), the participant will not recognize taxable income at the time of exercise for regular U.S. federal income tax purposes (although the participant generally will have taxable income for alternative minimum tax purposes at that time as if the stock option were a nonqualified stock option). If a participant sells or otherwise disposes of the shares acquired upon exercise of an incentive stock option after the later of</w:t>
      </w:r>
    </w:p>
    <w:p>
      <w:pPr>
        <w:ind w:right="20" w:firstLine="8"/>
        <w:spacing w:after="0" w:line="236" w:lineRule="auto"/>
        <w:tabs>
          <w:tab w:leader="none" w:pos="270" w:val="left"/>
        </w:tabs>
        <w:numPr>
          <w:ilvl w:val="0"/>
          <w:numId w:val="67"/>
        </w:numPr>
        <w:rPr>
          <w:rFonts w:ascii="Arial" w:cs="Arial" w:eastAsia="Arial" w:hAnsi="Arial"/>
          <w:sz w:val="18"/>
          <w:szCs w:val="18"/>
          <w:color w:val="auto"/>
        </w:rPr>
      </w:pPr>
      <w:r>
        <w:rPr>
          <w:rFonts w:ascii="Arial" w:cs="Arial" w:eastAsia="Arial" w:hAnsi="Arial"/>
          <w:sz w:val="18"/>
          <w:szCs w:val="18"/>
          <w:color w:val="auto"/>
        </w:rPr>
        <w:t>one year from the date the participant exercised the option and (b) two years from the grant date of the stock option, the participant generally will recognize long-term capital gain or loss equal to the difference between the amount the participant received in the disposition and the exercise price of the stock option. If a participant sells or otherwise disposes of shares acquired upon exercise of an incentive stock option before these holding period requirements are satisfied, the disposition will constitute a “disqualifying disposition,” and the participant generally will recognize taxable ordinary income in the year of disposition equal to the excess of the fair market value of the shares on the date of exercise over the exercise price of the stock option (or, if less, the excess of the amount realized on the disposition of the shares over the exercise price of the stock option). The balance of the participant’s gain on a disqualifying disposition, if any, will be taxed as short-term or long-term capital gain, as the case may be.</w:t>
      </w:r>
    </w:p>
    <w:p>
      <w:pPr>
        <w:spacing w:after="0" w:line="208" w:lineRule="exact"/>
        <w:rPr>
          <w:sz w:val="20"/>
          <w:szCs w:val="20"/>
          <w:color w:val="auto"/>
        </w:rPr>
      </w:pPr>
    </w:p>
    <w:p>
      <w:pPr>
        <w:ind w:right="160"/>
        <w:spacing w:after="0"/>
        <w:rPr>
          <w:sz w:val="20"/>
          <w:szCs w:val="20"/>
          <w:color w:val="auto"/>
        </w:rPr>
      </w:pPr>
      <w:r>
        <w:rPr>
          <w:rFonts w:ascii="Arial" w:cs="Arial" w:eastAsia="Arial" w:hAnsi="Arial"/>
          <w:sz w:val="18"/>
          <w:szCs w:val="18"/>
          <w:color w:val="auto"/>
        </w:rPr>
        <w:t>With respect to both nonqualified stock options and incentive stock options, special rules apply if a participant uses shares of common stock already held by the participant to pay the exercise price or if the shares received upon exercise of the stock option are subject to a substantial risk of forfeiture by the participant.</w:t>
      </w:r>
    </w:p>
    <w:p>
      <w:pPr>
        <w:spacing w:after="0" w:line="185" w:lineRule="exact"/>
        <w:rPr>
          <w:sz w:val="20"/>
          <w:szCs w:val="20"/>
          <w:color w:val="auto"/>
        </w:rPr>
      </w:pPr>
    </w:p>
    <w:p>
      <w:pPr>
        <w:ind w:right="120"/>
        <w:spacing w:after="0" w:line="245" w:lineRule="auto"/>
        <w:rPr>
          <w:sz w:val="20"/>
          <w:szCs w:val="20"/>
          <w:color w:val="auto"/>
        </w:rPr>
      </w:pPr>
      <w:r>
        <w:rPr>
          <w:rFonts w:ascii="Arial" w:cs="Arial" w:eastAsia="Arial" w:hAnsi="Arial"/>
          <w:sz w:val="18"/>
          <w:szCs w:val="18"/>
          <w:i w:val="1"/>
          <w:iCs w:val="1"/>
          <w:color w:val="483E65"/>
        </w:rPr>
        <w:t xml:space="preserve">Stock Appreciation Rights. </w:t>
      </w:r>
      <w:r>
        <w:rPr>
          <w:rFonts w:ascii="Arial" w:cs="Arial" w:eastAsia="Arial" w:hAnsi="Arial"/>
          <w:sz w:val="18"/>
          <w:szCs w:val="18"/>
          <w:color w:val="000000"/>
        </w:rPr>
        <w:t>A participant generally will not recognize taxable income upon the grant or vesting of a SAR with a grant price at</w:t>
      </w:r>
      <w:r>
        <w:rPr>
          <w:rFonts w:ascii="Arial" w:cs="Arial" w:eastAsia="Arial" w:hAnsi="Arial"/>
          <w:sz w:val="18"/>
          <w:szCs w:val="18"/>
          <w:i w:val="1"/>
          <w:iCs w:val="1"/>
          <w:color w:val="483E65"/>
        </w:rPr>
        <w:t xml:space="preserve"> </w:t>
      </w:r>
      <w:r>
        <w:rPr>
          <w:rFonts w:ascii="Arial" w:cs="Arial" w:eastAsia="Arial" w:hAnsi="Arial"/>
          <w:sz w:val="18"/>
          <w:szCs w:val="18"/>
          <w:color w:val="000000"/>
        </w:rPr>
        <w:t>least equal to the fair market value of our common stock on the date of grant and no additional deferral feature. Upon the exercise of a SAR, a participant generally will recognize compensation taxable as ordinary income in an amount equal to the difference between the fair market value of the shares underlying the SAR on the date of exercise and the grant price of the SAR.</w:t>
      </w:r>
    </w:p>
    <w:p>
      <w:pPr>
        <w:spacing w:after="0" w:line="181" w:lineRule="exact"/>
        <w:rPr>
          <w:sz w:val="20"/>
          <w:szCs w:val="20"/>
          <w:color w:val="auto"/>
        </w:rPr>
      </w:pPr>
    </w:p>
    <w:p>
      <w:pPr>
        <w:jc w:val="both"/>
        <w:spacing w:after="0" w:line="245" w:lineRule="auto"/>
        <w:rPr>
          <w:sz w:val="20"/>
          <w:szCs w:val="20"/>
          <w:color w:val="auto"/>
        </w:rPr>
      </w:pPr>
      <w:r>
        <w:rPr>
          <w:rFonts w:ascii="Arial" w:cs="Arial" w:eastAsia="Arial" w:hAnsi="Arial"/>
          <w:sz w:val="18"/>
          <w:szCs w:val="18"/>
          <w:i w:val="1"/>
          <w:iCs w:val="1"/>
          <w:color w:val="483E65"/>
        </w:rPr>
        <w:t xml:space="preserve">Restricted Stock Awards, Restricted Stock Units and Performance Awards. </w:t>
      </w:r>
      <w:r>
        <w:rPr>
          <w:rFonts w:ascii="Arial" w:cs="Arial" w:eastAsia="Arial" w:hAnsi="Arial"/>
          <w:sz w:val="18"/>
          <w:szCs w:val="18"/>
          <w:color w:val="000000"/>
        </w:rPr>
        <w:t>A participant generally will not have taxable income upon the grant</w:t>
      </w:r>
      <w:r>
        <w:rPr>
          <w:rFonts w:ascii="Arial" w:cs="Arial" w:eastAsia="Arial" w:hAnsi="Arial"/>
          <w:sz w:val="18"/>
          <w:szCs w:val="18"/>
          <w:i w:val="1"/>
          <w:iCs w:val="1"/>
          <w:color w:val="483E65"/>
        </w:rPr>
        <w:t xml:space="preserve"> </w:t>
      </w:r>
      <w:r>
        <w:rPr>
          <w:rFonts w:ascii="Arial" w:cs="Arial" w:eastAsia="Arial" w:hAnsi="Arial"/>
          <w:sz w:val="18"/>
          <w:szCs w:val="18"/>
          <w:color w:val="000000"/>
        </w:rPr>
        <w:t>of restricted stock, restricted stock units or performance awards. Instead, the participant will recognize ordinary income at the time of vesting or payout equal to the fair market value (on the vesting or payout date) of the shares or cash received minus any amount paid. For restricted stock only, a participant may instead elect to be taxed at the time of grant.</w:t>
      </w:r>
    </w:p>
    <w:p>
      <w:pPr>
        <w:spacing w:after="0" w:line="181" w:lineRule="exact"/>
        <w:rPr>
          <w:sz w:val="20"/>
          <w:szCs w:val="20"/>
          <w:color w:val="auto"/>
        </w:rPr>
      </w:pPr>
    </w:p>
    <w:p>
      <w:pPr>
        <w:ind w:right="320"/>
        <w:spacing w:after="0" w:line="267" w:lineRule="auto"/>
        <w:rPr>
          <w:sz w:val="20"/>
          <w:szCs w:val="20"/>
          <w:color w:val="auto"/>
        </w:rPr>
      </w:pPr>
      <w:r>
        <w:rPr>
          <w:rFonts w:ascii="Arial" w:cs="Arial" w:eastAsia="Arial" w:hAnsi="Arial"/>
          <w:sz w:val="18"/>
          <w:szCs w:val="18"/>
          <w:i w:val="1"/>
          <w:iCs w:val="1"/>
          <w:color w:val="483E65"/>
        </w:rPr>
        <w:t xml:space="preserve">Other Stock or Cash-Based Awards. </w:t>
      </w:r>
      <w:r>
        <w:rPr>
          <w:rFonts w:ascii="Arial" w:cs="Arial" w:eastAsia="Arial" w:hAnsi="Arial"/>
          <w:sz w:val="18"/>
          <w:szCs w:val="18"/>
          <w:color w:val="000000"/>
        </w:rPr>
        <w:t>The U.S. federal income tax consequences of other stock or cash- based awards will depend upon the</w:t>
      </w:r>
      <w:r>
        <w:rPr>
          <w:rFonts w:ascii="Arial" w:cs="Arial" w:eastAsia="Arial" w:hAnsi="Arial"/>
          <w:sz w:val="18"/>
          <w:szCs w:val="18"/>
          <w:i w:val="1"/>
          <w:iCs w:val="1"/>
          <w:color w:val="483E65"/>
        </w:rPr>
        <w:t xml:space="preserve"> </w:t>
      </w:r>
      <w:r>
        <w:rPr>
          <w:rFonts w:ascii="Arial" w:cs="Arial" w:eastAsia="Arial" w:hAnsi="Arial"/>
          <w:sz w:val="18"/>
          <w:szCs w:val="18"/>
          <w:color w:val="000000"/>
        </w:rPr>
        <w:t>specific terms of each award.</w:t>
      </w:r>
    </w:p>
    <w:p>
      <w:pPr>
        <w:spacing w:after="0" w:line="161" w:lineRule="exact"/>
        <w:rPr>
          <w:sz w:val="20"/>
          <w:szCs w:val="20"/>
          <w:color w:val="auto"/>
        </w:rPr>
      </w:pPr>
    </w:p>
    <w:p>
      <w:pPr>
        <w:ind w:right="500"/>
        <w:spacing w:after="0" w:line="267" w:lineRule="auto"/>
        <w:rPr>
          <w:sz w:val="20"/>
          <w:szCs w:val="20"/>
          <w:color w:val="auto"/>
        </w:rPr>
      </w:pPr>
      <w:r>
        <w:rPr>
          <w:rFonts w:ascii="Arial" w:cs="Arial" w:eastAsia="Arial" w:hAnsi="Arial"/>
          <w:sz w:val="18"/>
          <w:szCs w:val="18"/>
          <w:i w:val="1"/>
          <w:iCs w:val="1"/>
          <w:color w:val="483E65"/>
        </w:rPr>
        <w:t xml:space="preserve">Tax Consequences to the company. </w:t>
      </w:r>
      <w:r>
        <w:rPr>
          <w:rFonts w:ascii="Arial" w:cs="Arial" w:eastAsia="Arial" w:hAnsi="Arial"/>
          <w:sz w:val="18"/>
          <w:szCs w:val="18"/>
          <w:color w:val="000000"/>
        </w:rPr>
        <w:t>In the foregoing cases, we generally will be entitled to a deduction at the same time, and in the same</w:t>
      </w:r>
      <w:r>
        <w:rPr>
          <w:rFonts w:ascii="Arial" w:cs="Arial" w:eastAsia="Arial" w:hAnsi="Arial"/>
          <w:sz w:val="18"/>
          <w:szCs w:val="18"/>
          <w:i w:val="1"/>
          <w:iCs w:val="1"/>
          <w:color w:val="483E65"/>
        </w:rPr>
        <w:t xml:space="preserve"> </w:t>
      </w:r>
      <w:r>
        <w:rPr>
          <w:rFonts w:ascii="Arial" w:cs="Arial" w:eastAsia="Arial" w:hAnsi="Arial"/>
          <w:sz w:val="18"/>
          <w:szCs w:val="18"/>
          <w:color w:val="000000"/>
        </w:rPr>
        <w:t>amount, as a participant recognizes ordinary income, subject to certain limitations imposed under the Internal Revenue Code.</w:t>
      </w:r>
    </w:p>
    <w:p>
      <w:pPr>
        <w:spacing w:after="0" w:line="161" w:lineRule="exact"/>
        <w:rPr>
          <w:sz w:val="20"/>
          <w:szCs w:val="20"/>
          <w:color w:val="auto"/>
        </w:rPr>
      </w:pPr>
    </w:p>
    <w:p>
      <w:pPr>
        <w:ind w:right="420"/>
        <w:spacing w:after="0" w:line="267" w:lineRule="auto"/>
        <w:rPr>
          <w:sz w:val="20"/>
          <w:szCs w:val="20"/>
          <w:color w:val="auto"/>
        </w:rPr>
      </w:pPr>
      <w:r>
        <w:rPr>
          <w:rFonts w:ascii="Arial" w:cs="Arial" w:eastAsia="Arial" w:hAnsi="Arial"/>
          <w:sz w:val="18"/>
          <w:szCs w:val="18"/>
          <w:i w:val="1"/>
          <w:iCs w:val="1"/>
          <w:color w:val="483E65"/>
        </w:rPr>
        <w:t xml:space="preserve">Section 409A. </w:t>
      </w:r>
      <w:r>
        <w:rPr>
          <w:rFonts w:ascii="Arial" w:cs="Arial" w:eastAsia="Arial" w:hAnsi="Arial"/>
          <w:sz w:val="18"/>
          <w:szCs w:val="18"/>
          <w:color w:val="000000"/>
        </w:rPr>
        <w:t>We intend that awards granted under the 2017 Plan comply with, or otherwise be exempt from, Section 409A of the Internal</w:t>
      </w:r>
      <w:r>
        <w:rPr>
          <w:rFonts w:ascii="Arial" w:cs="Arial" w:eastAsia="Arial" w:hAnsi="Arial"/>
          <w:sz w:val="18"/>
          <w:szCs w:val="18"/>
          <w:i w:val="1"/>
          <w:iCs w:val="1"/>
          <w:color w:val="483E65"/>
        </w:rPr>
        <w:t xml:space="preserve"> </w:t>
      </w:r>
      <w:r>
        <w:rPr>
          <w:rFonts w:ascii="Arial" w:cs="Arial" w:eastAsia="Arial" w:hAnsi="Arial"/>
          <w:sz w:val="18"/>
          <w:szCs w:val="18"/>
          <w:color w:val="000000"/>
        </w:rPr>
        <w:t>Revenue Code, but make no representation or warranty to that effect.</w:t>
      </w:r>
    </w:p>
    <w:p>
      <w:pPr>
        <w:spacing w:after="0" w:line="161" w:lineRule="exact"/>
        <w:rPr>
          <w:sz w:val="20"/>
          <w:szCs w:val="20"/>
          <w:color w:val="auto"/>
        </w:rPr>
      </w:pPr>
    </w:p>
    <w:p>
      <w:pPr>
        <w:jc w:val="both"/>
        <w:ind w:right="40"/>
        <w:spacing w:after="0" w:line="245" w:lineRule="auto"/>
        <w:rPr>
          <w:sz w:val="20"/>
          <w:szCs w:val="20"/>
          <w:color w:val="auto"/>
        </w:rPr>
      </w:pPr>
      <w:r>
        <w:rPr>
          <w:rFonts w:ascii="Arial" w:cs="Arial" w:eastAsia="Arial" w:hAnsi="Arial"/>
          <w:sz w:val="18"/>
          <w:szCs w:val="18"/>
          <w:i w:val="1"/>
          <w:iCs w:val="1"/>
          <w:color w:val="483E65"/>
        </w:rPr>
        <w:t xml:space="preserve">Tax Withholding. </w:t>
      </w:r>
      <w:r>
        <w:rPr>
          <w:rFonts w:ascii="Arial" w:cs="Arial" w:eastAsia="Arial" w:hAnsi="Arial"/>
          <w:sz w:val="18"/>
          <w:szCs w:val="18"/>
          <w:color w:val="000000"/>
        </w:rPr>
        <w:t>We are authorized to deduct or withhold from any award granted or payment due under the 2017 Plan, or require a participant</w:t>
      </w:r>
      <w:r>
        <w:rPr>
          <w:rFonts w:ascii="Arial" w:cs="Arial" w:eastAsia="Arial" w:hAnsi="Arial"/>
          <w:sz w:val="18"/>
          <w:szCs w:val="18"/>
          <w:i w:val="1"/>
          <w:iCs w:val="1"/>
          <w:color w:val="483E65"/>
        </w:rPr>
        <w:t xml:space="preserve"> </w:t>
      </w:r>
      <w:r>
        <w:rPr>
          <w:rFonts w:ascii="Arial" w:cs="Arial" w:eastAsia="Arial" w:hAnsi="Arial"/>
          <w:sz w:val="18"/>
          <w:szCs w:val="18"/>
          <w:color w:val="000000"/>
        </w:rPr>
        <w:t>to remit to us, the amount of any withholding taxes due in respect of the award or payment and to take such other action as may be necessary to satisfy all obligations for the payment of applicable withholding taxes. We are not required to issue any shares of common stock or otherwise settle an award under the 2017 Plan until all tax withholding obligations are satisfied.</w:t>
      </w:r>
    </w:p>
    <w:p>
      <w:pPr>
        <w:spacing w:after="0" w:line="114" w:lineRule="exact"/>
        <w:rPr>
          <w:sz w:val="20"/>
          <w:szCs w:val="20"/>
          <w:color w:val="auto"/>
        </w:rPr>
      </w:pPr>
    </w:p>
    <w:p>
      <w:pPr>
        <w:spacing w:after="0"/>
        <w:tabs>
          <w:tab w:leader="none" w:pos="340" w:val="left"/>
          <w:tab w:leader="none" w:pos="580" w:val="left"/>
        </w:tabs>
        <w:rPr>
          <w:sz w:val="20"/>
          <w:szCs w:val="20"/>
          <w:color w:val="auto"/>
        </w:rPr>
      </w:pPr>
      <w:r>
        <w:rPr>
          <w:rFonts w:ascii="Arial" w:cs="Arial" w:eastAsia="Arial" w:hAnsi="Arial"/>
          <w:sz w:val="16"/>
          <w:szCs w:val="16"/>
          <w:b w:val="1"/>
          <w:bCs w:val="1"/>
          <w:color w:val="483E65"/>
        </w:rPr>
        <w:t>66</w:t>
        <w:tab/>
        <w:t>|</w:t>
        <w:tab/>
        <w:t>2017 Proxy Statement</w:t>
      </w:r>
    </w:p>
    <w:p>
      <w:pPr>
        <w:sectPr>
          <w:pgSz w:w="11900" w:h="16838" w:orient="portrait"/>
          <w:cols w:equalWidth="0" w:num="1">
            <w:col w:w="11420"/>
          </w:cols>
          <w:pgMar w:left="240" w:top="459"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8" w:lineRule="exact"/>
        <w:rPr>
          <w:sz w:val="20"/>
          <w:szCs w:val="20"/>
          <w:color w:val="auto"/>
        </w:rPr>
      </w:pPr>
    </w:p>
    <w:p>
      <w:pPr>
        <w:spacing w:after="0"/>
        <w:rPr>
          <w:sz w:val="20"/>
          <w:szCs w:val="20"/>
          <w:color w:val="auto"/>
        </w:rPr>
      </w:pPr>
      <w:r>
        <w:rPr>
          <w:rFonts w:ascii="Arial" w:cs="Arial" w:eastAsia="Arial" w:hAnsi="Arial"/>
          <w:sz w:val="32"/>
          <w:szCs w:val="32"/>
          <w:color w:val="483E65"/>
        </w:rPr>
        <w:t>Proposal 5 — 2017 Omnibus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149860</wp:posOffset>
            </wp:positionV>
            <wp:extent cx="724662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483E65"/>
        </w:rPr>
        <w:t>Vote Required</w:t>
      </w:r>
    </w:p>
    <w:p>
      <w:pPr>
        <w:spacing w:after="0" w:line="234"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auto"/>
        </w:rPr>
        <w:t>The affirmative vote of the holders of a majority of the voting power of common stock present or represented and entitled to vote at the Annual Meeting is required to approve the proposal. Abstentions have the effect of a vote against the proposal, and broker “non-votes” have no effect on the outcome of the proposal. Shares of common stock represented by properly executed, timely received and unrevoked proxies will be voted in accordance with the instructions indicated thereon. In the absence of specific instructions, properly executed, timely received and unrevoked proxies will be voted “FOR” the proposal.</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483E65"/>
        </w:rPr>
        <w:t>Recommendation of the Board</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483E65"/>
        </w:rPr>
        <w:t>The Board of Directors recommends stockholders vote FOR the 2017 Omnibus Incentive Plan.</w:t>
      </w:r>
    </w:p>
    <w:p>
      <w:pPr>
        <w:spacing w:after="0" w:line="149" w:lineRule="exact"/>
        <w:rPr>
          <w:sz w:val="20"/>
          <w:szCs w:val="20"/>
          <w:color w:val="auto"/>
        </w:rPr>
      </w:pPr>
    </w:p>
    <w:p>
      <w:pPr>
        <w:jc w:val="right"/>
        <w:spacing w:after="0"/>
        <w:tabs>
          <w:tab w:leader="none" w:pos="380" w:val="left"/>
          <w:tab w:leader="none" w:pos="160" w:val="left"/>
        </w:tabs>
        <w:rPr>
          <w:sz w:val="20"/>
          <w:szCs w:val="20"/>
          <w:color w:val="auto"/>
        </w:rPr>
      </w:pPr>
      <w:r>
        <w:rPr>
          <w:rFonts w:ascii="Arial" w:cs="Arial" w:eastAsia="Arial" w:hAnsi="Arial"/>
          <w:sz w:val="16"/>
          <w:szCs w:val="16"/>
          <w:b w:val="1"/>
          <w:bCs w:val="1"/>
          <w:color w:val="483E65"/>
        </w:rPr>
        <w:t>2017 Proxy Statement</w:t>
        <w:tab/>
        <w:t>|</w:t>
        <w:tab/>
        <w:t>67</w:t>
      </w:r>
    </w:p>
    <w:p>
      <w:pPr>
        <w:sectPr>
          <w:pgSz w:w="11900" w:h="16838" w:orient="portrait"/>
          <w:cols w:equalWidth="0" w:num="1">
            <w:col w:w="11420"/>
          </w:cols>
          <w:pgMar w:left="240" w:top="459"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8" w:lineRule="exact"/>
        <w:rPr>
          <w:sz w:val="20"/>
          <w:szCs w:val="20"/>
          <w:color w:val="auto"/>
        </w:rPr>
      </w:pPr>
    </w:p>
    <w:p>
      <w:pPr>
        <w:ind w:right="560"/>
        <w:spacing w:after="0" w:line="260" w:lineRule="auto"/>
        <w:rPr>
          <w:sz w:val="20"/>
          <w:szCs w:val="20"/>
          <w:color w:val="auto"/>
        </w:rPr>
      </w:pPr>
      <w:r>
        <w:rPr>
          <w:rFonts w:ascii="Arial" w:cs="Arial" w:eastAsia="Arial" w:hAnsi="Arial"/>
          <w:sz w:val="32"/>
          <w:szCs w:val="32"/>
          <w:color w:val="483E65"/>
        </w:rPr>
        <w:t>Proposal 6 — Ratification of Appointment of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7"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The Audit Committee of the Board has appointed Deloitte &amp; Touche LLP as the independent registered public accounting firm to audit our consolidated financial statements for the fiscal year ending December 29, 2017. During the fiscal year ended December 30, 2016, Deloitte &amp; Touche LLP served as our independent registered public accounting firm and also provided certain tax and other audit-related services as set forth under the caption “Audit Matters” below. Representatives of Deloitte &amp; Touche LLP will be at the annual meeting to respond to appropriate questions and will have the opportunity to make a statement if they desire to do so.</w:t>
      </w:r>
    </w:p>
    <w:p>
      <w:pPr>
        <w:spacing w:after="0" w:line="203"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Stockholders are not required to ratify the appointment of Deloitte &amp; Touche LLP as our independent registered public accounting firm. However, we are submitting the appointment for ratification as a matter of good corporate practice. If stockholders fail to ratify the appointment, the Audit Committee will consider whether or not to retain Deloitte &amp; Touche LLP. Even if the appointment is ratified, the Audit Committee may direct the appointment of a different independent registered public accounting firm at any time during the year if it determines that such a change would be in our stockholders’ best interests.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483E65"/>
        </w:rPr>
        <w:t>Vote Required</w:t>
      </w:r>
    </w:p>
    <w:p>
      <w:pPr>
        <w:spacing w:after="0" w:line="234"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The affirmative vote of the holders of a majority of the voting power of common stock, present or represented and entitled to vote at the annual meeting is required to approve the proposal. Abstentions have the effect of a vote against the proposal, and broker “non-votes” have no effect on the outcome of the proposal. Shares of common stock represented by properly executed, timely received and unrevoked proxies will be voted in accordance with the instructions indicated thereon. In the absence of specific instructions, properly executed, timely received and unrevoked proxies will be voted “FOR” the proposal.</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483E65"/>
        </w:rPr>
        <w:t>Recommendation of the Board of Directors</w:t>
      </w:r>
    </w:p>
    <w:p>
      <w:pPr>
        <w:spacing w:after="0" w:line="212" w:lineRule="exact"/>
        <w:rPr>
          <w:sz w:val="20"/>
          <w:szCs w:val="20"/>
          <w:color w:val="auto"/>
        </w:rPr>
      </w:pPr>
    </w:p>
    <w:p>
      <w:pPr>
        <w:ind w:right="500"/>
        <w:spacing w:after="0" w:line="271" w:lineRule="auto"/>
        <w:rPr>
          <w:sz w:val="20"/>
          <w:szCs w:val="20"/>
          <w:color w:val="auto"/>
        </w:rPr>
      </w:pPr>
      <w:r>
        <w:rPr>
          <w:rFonts w:ascii="Arial" w:cs="Arial" w:eastAsia="Arial" w:hAnsi="Arial"/>
          <w:sz w:val="18"/>
          <w:szCs w:val="18"/>
          <w:b w:val="1"/>
          <w:bCs w:val="1"/>
          <w:i w:val="1"/>
          <w:iCs w:val="1"/>
          <w:color w:val="483E65"/>
        </w:rPr>
        <w:t>The Board of Directors recommends stockholders vote FOR the ratification of the appointment of Deloitte &amp; Touche LLP as our independent registered public accounting firm for the fiscal year ending December 29, 2017.</w:t>
      </w:r>
    </w:p>
    <w:p>
      <w:pPr>
        <w:spacing w:after="0" w:line="91" w:lineRule="exact"/>
        <w:rPr>
          <w:sz w:val="20"/>
          <w:szCs w:val="20"/>
          <w:color w:val="auto"/>
        </w:rPr>
      </w:pPr>
    </w:p>
    <w:p>
      <w:pPr>
        <w:spacing w:after="0"/>
        <w:tabs>
          <w:tab w:leader="none" w:pos="340" w:val="left"/>
          <w:tab w:leader="none" w:pos="580" w:val="left"/>
        </w:tabs>
        <w:rPr>
          <w:sz w:val="20"/>
          <w:szCs w:val="20"/>
          <w:color w:val="auto"/>
        </w:rPr>
      </w:pPr>
      <w:r>
        <w:rPr>
          <w:rFonts w:ascii="Arial" w:cs="Arial" w:eastAsia="Arial" w:hAnsi="Arial"/>
          <w:sz w:val="16"/>
          <w:szCs w:val="16"/>
          <w:b w:val="1"/>
          <w:bCs w:val="1"/>
          <w:color w:val="483E65"/>
        </w:rPr>
        <w:t>68</w:t>
        <w:tab/>
        <w:t>|</w:t>
        <w:tab/>
        <w:t>2017 Proxy Statement</w:t>
      </w:r>
    </w:p>
    <w:p>
      <w:pPr>
        <w:sectPr>
          <w:pgSz w:w="11900" w:h="16838" w:orient="portrait"/>
          <w:cols w:equalWidth="0" w:num="1">
            <w:col w:w="11380"/>
          </w:cols>
          <w:pgMar w:left="240" w:top="459" w:right="27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8" w:lineRule="exact"/>
        <w:rPr>
          <w:sz w:val="20"/>
          <w:szCs w:val="20"/>
          <w:color w:val="auto"/>
        </w:rPr>
      </w:pPr>
    </w:p>
    <w:p>
      <w:pPr>
        <w:spacing w:after="0"/>
        <w:rPr>
          <w:sz w:val="20"/>
          <w:szCs w:val="20"/>
          <w:color w:val="auto"/>
        </w:rPr>
      </w:pPr>
      <w:r>
        <w:rPr>
          <w:rFonts w:ascii="Arial" w:cs="Arial" w:eastAsia="Arial" w:hAnsi="Arial"/>
          <w:sz w:val="32"/>
          <w:szCs w:val="32"/>
          <w:color w:val="483E65"/>
        </w:rPr>
        <w:t>Audit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149860</wp:posOffset>
            </wp:positionV>
            <wp:extent cx="724662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483E65"/>
        </w:rPr>
        <w:t>Audit Committee Report</w:t>
      </w:r>
    </w:p>
    <w:p>
      <w:pPr>
        <w:spacing w:after="0" w:line="234"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The Audit Committee assists the Board in its oversight of: (i) the integrity of the company’s financial statements, including the financial reporting process, system of internal control over financial reporting and audit process; (ii) the company’s compliance with legal and regulatory requirements; (iii) the independent registered public accounting firm’s qualifications and independence; (iv) the performance of the company’s internal audit function and independent registered public accounting firm; and (v) financial reporting risk assessment and mitigation. The Audit Committee’s job is one of oversight and it recognizes that management is responsible for the preparation and certification of the company’s financial statements and that the independent registered public accounting firm is responsible for auditing those financial statements.</w:t>
      </w:r>
    </w:p>
    <w:p>
      <w:pPr>
        <w:spacing w:after="0" w:line="205"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The Audit Committee recognizes that financial management, including the internal audit staff, and the independent registered public accounting firm, have more time, knowledge, and detailed information on the company than do Audit Committee members. Consequently, in carrying out its oversight responsibilities, the Audit Committee is not providing any expert or special assurance as to the company’s financial statements or any professional certification as to the independent registered public accounting firm’s work.</w:t>
      </w:r>
    </w:p>
    <w:p>
      <w:pPr>
        <w:spacing w:after="0" w:line="202" w:lineRule="exact"/>
        <w:rPr>
          <w:sz w:val="20"/>
          <w:szCs w:val="20"/>
          <w:color w:val="auto"/>
        </w:rPr>
      </w:pPr>
    </w:p>
    <w:p>
      <w:pPr>
        <w:ind w:right="100"/>
        <w:spacing w:after="0" w:line="239" w:lineRule="auto"/>
        <w:rPr>
          <w:sz w:val="20"/>
          <w:szCs w:val="20"/>
          <w:color w:val="auto"/>
        </w:rPr>
      </w:pPr>
      <w:r>
        <w:rPr>
          <w:rFonts w:ascii="Arial" w:cs="Arial" w:eastAsia="Arial" w:hAnsi="Arial"/>
          <w:sz w:val="18"/>
          <w:szCs w:val="18"/>
          <w:color w:val="auto"/>
        </w:rPr>
        <w:t>The duties and responsibilities of the Audit Committee have been set forth in a written charter since 1975. A copy of the current Audit Committee charter is available on the company’s website at www.leidos.com by clicking on the links entitled “Corporate Governance” and then “Board Committees.” Each member of the Audit Committee meets the independence and financial literacy requirements of the SEC and the NYSE. In addition, all of the Committee members qualify as audit committee financial experts under SEC rules.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In the course of fulfilling its responsibilities, the Audit Committee has:</w:t>
      </w:r>
    </w:p>
    <w:p>
      <w:pPr>
        <w:spacing w:after="0" w:line="239" w:lineRule="exact"/>
        <w:rPr>
          <w:sz w:val="20"/>
          <w:szCs w:val="20"/>
          <w:color w:val="auto"/>
        </w:rPr>
      </w:pPr>
    </w:p>
    <w:p>
      <w:pPr>
        <w:ind w:left="780" w:right="20" w:hanging="326"/>
        <w:spacing w:after="0"/>
        <w:tabs>
          <w:tab w:leader="none" w:pos="780" w:val="left"/>
        </w:tabs>
        <w:numPr>
          <w:ilvl w:val="0"/>
          <w:numId w:val="68"/>
        </w:numPr>
        <w:rPr>
          <w:rFonts w:ascii="Arial" w:cs="Arial" w:eastAsia="Arial" w:hAnsi="Arial"/>
          <w:sz w:val="15"/>
          <w:szCs w:val="15"/>
          <w:color w:val="77387A"/>
        </w:rPr>
      </w:pPr>
      <w:r>
        <w:rPr>
          <w:rFonts w:ascii="Arial" w:cs="Arial" w:eastAsia="Arial" w:hAnsi="Arial"/>
          <w:sz w:val="18"/>
          <w:szCs w:val="18"/>
          <w:color w:val="auto"/>
        </w:rPr>
        <w:t>met with the internal auditor and the independent registered public accounting firm to discuss any matters that the internal auditor, the independent registered public accounting firm or the Committee believed should be discussed privately without members of management present;</w:t>
      </w:r>
    </w:p>
    <w:p>
      <w:pPr>
        <w:spacing w:after="0" w:line="108" w:lineRule="exact"/>
        <w:rPr>
          <w:rFonts w:ascii="Arial" w:cs="Arial" w:eastAsia="Arial" w:hAnsi="Arial"/>
          <w:sz w:val="15"/>
          <w:szCs w:val="15"/>
          <w:color w:val="77387A"/>
        </w:rPr>
      </w:pPr>
    </w:p>
    <w:p>
      <w:pPr>
        <w:ind w:left="780" w:right="100" w:hanging="326"/>
        <w:spacing w:after="0" w:line="246" w:lineRule="auto"/>
        <w:tabs>
          <w:tab w:leader="none" w:pos="780" w:val="left"/>
        </w:tabs>
        <w:numPr>
          <w:ilvl w:val="0"/>
          <w:numId w:val="68"/>
        </w:numPr>
        <w:rPr>
          <w:rFonts w:ascii="Arial" w:cs="Arial" w:eastAsia="Arial" w:hAnsi="Arial"/>
          <w:sz w:val="15"/>
          <w:szCs w:val="15"/>
          <w:color w:val="77387A"/>
        </w:rPr>
      </w:pPr>
      <w:r>
        <w:rPr>
          <w:rFonts w:ascii="Arial" w:cs="Arial" w:eastAsia="Arial" w:hAnsi="Arial"/>
          <w:sz w:val="18"/>
          <w:szCs w:val="18"/>
          <w:color w:val="auto"/>
        </w:rPr>
        <w:t>met with management of the company to discuss any matters management or the Committee believed should be discussed privately without the internal auditor or the independent registered public accounting firm present;</w:t>
      </w:r>
    </w:p>
    <w:p>
      <w:pPr>
        <w:spacing w:after="0" w:line="102" w:lineRule="exact"/>
        <w:rPr>
          <w:rFonts w:ascii="Arial" w:cs="Arial" w:eastAsia="Arial" w:hAnsi="Arial"/>
          <w:sz w:val="15"/>
          <w:szCs w:val="15"/>
          <w:color w:val="77387A"/>
        </w:rPr>
      </w:pPr>
    </w:p>
    <w:p>
      <w:pPr>
        <w:ind w:left="780" w:right="100" w:hanging="326"/>
        <w:spacing w:after="0" w:line="246" w:lineRule="auto"/>
        <w:tabs>
          <w:tab w:leader="none" w:pos="780" w:val="left"/>
        </w:tabs>
        <w:numPr>
          <w:ilvl w:val="0"/>
          <w:numId w:val="68"/>
        </w:numPr>
        <w:rPr>
          <w:rFonts w:ascii="Arial" w:cs="Arial" w:eastAsia="Arial" w:hAnsi="Arial"/>
          <w:sz w:val="15"/>
          <w:szCs w:val="15"/>
          <w:color w:val="77387A"/>
        </w:rPr>
      </w:pPr>
      <w:r>
        <w:rPr>
          <w:rFonts w:ascii="Arial" w:cs="Arial" w:eastAsia="Arial" w:hAnsi="Arial"/>
          <w:sz w:val="18"/>
          <w:szCs w:val="18"/>
          <w:color w:val="auto"/>
        </w:rPr>
        <w:t>reviewed and discussed with management and Deloitte &amp; Touche LLP, the company’s independent registered public accounting firm, the audited consolidated financial statements for the fiscal year ended December 30, 2016;</w:t>
      </w:r>
    </w:p>
    <w:p>
      <w:pPr>
        <w:spacing w:after="0" w:line="102" w:lineRule="exact"/>
        <w:rPr>
          <w:rFonts w:ascii="Arial" w:cs="Arial" w:eastAsia="Arial" w:hAnsi="Arial"/>
          <w:sz w:val="15"/>
          <w:szCs w:val="15"/>
          <w:color w:val="77387A"/>
        </w:rPr>
      </w:pPr>
    </w:p>
    <w:p>
      <w:pPr>
        <w:ind w:left="780" w:right="780" w:hanging="326"/>
        <w:spacing w:after="0" w:line="246" w:lineRule="auto"/>
        <w:tabs>
          <w:tab w:leader="none" w:pos="780" w:val="left"/>
        </w:tabs>
        <w:numPr>
          <w:ilvl w:val="0"/>
          <w:numId w:val="68"/>
        </w:numPr>
        <w:rPr>
          <w:rFonts w:ascii="Arial" w:cs="Arial" w:eastAsia="Arial" w:hAnsi="Arial"/>
          <w:sz w:val="15"/>
          <w:szCs w:val="15"/>
          <w:color w:val="77387A"/>
        </w:rPr>
      </w:pPr>
      <w:r>
        <w:rPr>
          <w:rFonts w:ascii="Arial" w:cs="Arial" w:eastAsia="Arial" w:hAnsi="Arial"/>
          <w:sz w:val="18"/>
          <w:szCs w:val="18"/>
          <w:color w:val="auto"/>
        </w:rPr>
        <w:t>discussed with Deloitte &amp; Touche LLP the matters required to be discussed by Public Company Accounting Oversight Board (PCAOB) Standards and Rule 2-07 of Regulation S-X (Communications with Audit Committees); and</w:t>
      </w:r>
    </w:p>
    <w:p>
      <w:pPr>
        <w:spacing w:after="0" w:line="102" w:lineRule="exact"/>
        <w:rPr>
          <w:rFonts w:ascii="Arial" w:cs="Arial" w:eastAsia="Arial" w:hAnsi="Arial"/>
          <w:sz w:val="15"/>
          <w:szCs w:val="15"/>
          <w:color w:val="77387A"/>
        </w:rPr>
      </w:pPr>
    </w:p>
    <w:p>
      <w:pPr>
        <w:ind w:left="780" w:right="260" w:hanging="326"/>
        <w:spacing w:after="0" w:line="246" w:lineRule="auto"/>
        <w:tabs>
          <w:tab w:leader="none" w:pos="780" w:val="left"/>
        </w:tabs>
        <w:numPr>
          <w:ilvl w:val="0"/>
          <w:numId w:val="68"/>
        </w:numPr>
        <w:rPr>
          <w:rFonts w:ascii="Arial" w:cs="Arial" w:eastAsia="Arial" w:hAnsi="Arial"/>
          <w:sz w:val="15"/>
          <w:szCs w:val="15"/>
          <w:color w:val="77387A"/>
        </w:rPr>
      </w:pPr>
      <w:r>
        <w:rPr>
          <w:rFonts w:ascii="Arial" w:cs="Arial" w:eastAsia="Arial" w:hAnsi="Arial"/>
          <w:sz w:val="18"/>
          <w:szCs w:val="18"/>
          <w:color w:val="auto"/>
        </w:rPr>
        <w:t>received the written disclosures and the letter required by the applicable PCAOB Standard (Communication with Audit Committees Concerning Independence).</w:t>
      </w:r>
    </w:p>
    <w:p>
      <w:pPr>
        <w:spacing w:after="0" w:line="197"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Based on the reviews and discussions summarized in this Report and subject to the limitations on our role and responsibilities referred to above and contained in the Audit Committee charter, the Audit Committee recommended to the Board that the company’s audited consolidated financial statements referred to above be included in the company’s Annual Report on Form 10-K for the fiscal year ended December 30, 2016 for filing with the SEC.</w:t>
      </w:r>
    </w:p>
    <w:p>
      <w:pPr>
        <w:spacing w:after="0" w:line="198"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Harry M.J. Kraemer, Jr. (Chair)</w:t>
      </w:r>
    </w:p>
    <w:p>
      <w:pPr>
        <w:ind w:left="7200"/>
        <w:spacing w:after="0" w:line="234" w:lineRule="auto"/>
        <w:rPr>
          <w:sz w:val="20"/>
          <w:szCs w:val="20"/>
          <w:color w:val="auto"/>
        </w:rPr>
      </w:pPr>
      <w:r>
        <w:rPr>
          <w:rFonts w:ascii="Arial" w:cs="Arial" w:eastAsia="Arial" w:hAnsi="Arial"/>
          <w:sz w:val="18"/>
          <w:szCs w:val="18"/>
          <w:color w:val="auto"/>
        </w:rPr>
        <w:t>Lawrence C. Nussdorf</w:t>
      </w:r>
    </w:p>
    <w:p>
      <w:pPr>
        <w:ind w:left="7200"/>
        <w:spacing w:after="0" w:line="235" w:lineRule="auto"/>
        <w:rPr>
          <w:sz w:val="20"/>
          <w:szCs w:val="20"/>
          <w:color w:val="auto"/>
        </w:rPr>
      </w:pPr>
      <w:r>
        <w:rPr>
          <w:rFonts w:ascii="Arial" w:cs="Arial" w:eastAsia="Arial" w:hAnsi="Arial"/>
          <w:sz w:val="18"/>
          <w:szCs w:val="18"/>
          <w:color w:val="auto"/>
        </w:rPr>
        <w:t>Robert S. Shapard</w:t>
      </w:r>
    </w:p>
    <w:p>
      <w:pPr>
        <w:spacing w:after="0" w:line="1"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Susan M. Stalnecker</w:t>
      </w:r>
    </w:p>
    <w:p>
      <w:pPr>
        <w:spacing w:after="0" w:line="127" w:lineRule="exact"/>
        <w:rPr>
          <w:sz w:val="20"/>
          <w:szCs w:val="20"/>
          <w:color w:val="auto"/>
        </w:rPr>
      </w:pPr>
    </w:p>
    <w:p>
      <w:pPr>
        <w:jc w:val="right"/>
        <w:spacing w:after="0"/>
        <w:tabs>
          <w:tab w:leader="none" w:pos="380" w:val="left"/>
          <w:tab w:leader="none" w:pos="160" w:val="left"/>
        </w:tabs>
        <w:rPr>
          <w:sz w:val="20"/>
          <w:szCs w:val="20"/>
          <w:color w:val="auto"/>
        </w:rPr>
      </w:pPr>
      <w:r>
        <w:rPr>
          <w:rFonts w:ascii="Arial" w:cs="Arial" w:eastAsia="Arial" w:hAnsi="Arial"/>
          <w:sz w:val="16"/>
          <w:szCs w:val="16"/>
          <w:b w:val="1"/>
          <w:bCs w:val="1"/>
          <w:color w:val="483E65"/>
        </w:rPr>
        <w:t>2017 Proxy Statement</w:t>
        <w:tab/>
        <w:t>|</w:t>
        <w:tab/>
        <w:t>69</w:t>
      </w:r>
    </w:p>
    <w:p>
      <w:pPr>
        <w:sectPr>
          <w:pgSz w:w="11900" w:h="16838" w:orient="portrait"/>
          <w:cols w:equalWidth="0" w:num="1">
            <w:col w:w="11420"/>
          </w:cols>
          <w:pgMar w:left="240" w:top="459" w:right="2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8" w:lineRule="exact"/>
        <w:rPr>
          <w:sz w:val="20"/>
          <w:szCs w:val="20"/>
          <w:color w:val="auto"/>
        </w:rPr>
      </w:pPr>
    </w:p>
    <w:p>
      <w:pPr>
        <w:spacing w:after="0"/>
        <w:rPr>
          <w:sz w:val="20"/>
          <w:szCs w:val="20"/>
          <w:color w:val="auto"/>
        </w:rPr>
      </w:pPr>
      <w:r>
        <w:rPr>
          <w:rFonts w:ascii="Arial" w:cs="Arial" w:eastAsia="Arial" w:hAnsi="Arial"/>
          <w:sz w:val="32"/>
          <w:szCs w:val="32"/>
          <w:color w:val="483E65"/>
        </w:rPr>
        <w:t>Audit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149860</wp:posOffset>
            </wp:positionV>
            <wp:extent cx="724662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483E65"/>
        </w:rPr>
        <w:t>Independent Registered Public Accounting Firm</w:t>
      </w:r>
    </w:p>
    <w:p>
      <w:pPr>
        <w:spacing w:after="0" w:line="234" w:lineRule="exact"/>
        <w:rPr>
          <w:sz w:val="20"/>
          <w:szCs w:val="20"/>
          <w:color w:val="auto"/>
        </w:rPr>
      </w:pPr>
    </w:p>
    <w:p>
      <w:pPr>
        <w:ind w:right="60"/>
        <w:spacing w:after="0"/>
        <w:rPr>
          <w:sz w:val="20"/>
          <w:szCs w:val="20"/>
          <w:color w:val="auto"/>
        </w:rPr>
      </w:pPr>
      <w:r>
        <w:rPr>
          <w:rFonts w:ascii="Arial" w:cs="Arial" w:eastAsia="Arial" w:hAnsi="Arial"/>
          <w:sz w:val="18"/>
          <w:szCs w:val="18"/>
          <w:color w:val="auto"/>
        </w:rPr>
        <w:t>The Audit Committee of the Board has appointed Deloitte &amp; Touche LLP as the independent registered public accounting firm to audit our financial statements for the fiscal year ending December 29, 2017. Stockholders are being asked to ratify the appointment of Deloitte &amp; Touche LLP at the annual meeting, as described above.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483E65"/>
        </w:rPr>
        <w:t>Audit and Non-Audit Fees</w:t>
      </w:r>
    </w:p>
    <w:p>
      <w:pPr>
        <w:spacing w:after="0" w:line="234" w:lineRule="exact"/>
        <w:rPr>
          <w:sz w:val="20"/>
          <w:szCs w:val="20"/>
          <w:color w:val="auto"/>
        </w:rPr>
      </w:pPr>
    </w:p>
    <w:p>
      <w:pPr>
        <w:ind w:right="180"/>
        <w:spacing w:after="0"/>
        <w:rPr>
          <w:sz w:val="20"/>
          <w:szCs w:val="20"/>
          <w:color w:val="auto"/>
        </w:rPr>
      </w:pPr>
      <w:r>
        <w:rPr>
          <w:rFonts w:ascii="Arial" w:cs="Arial" w:eastAsia="Arial" w:hAnsi="Arial"/>
          <w:sz w:val="18"/>
          <w:szCs w:val="18"/>
          <w:color w:val="auto"/>
        </w:rPr>
        <w:t>Aggregate fees billed for the fiscal year ended December 30, 2016 and the 11-month period ended January 1, 2016 by our independent registered public accounting firm, Deloitte &amp; Touche LLP, the member firms of Deloitte Touche Tohmatsu Limited and their respective affiliates (collectively, the “Deloitte Entities”), were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4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4080" w:type="dxa"/>
            <w:vAlign w:val="bottom"/>
          </w:tcPr>
          <w:p>
            <w:pPr>
              <w:jc w:val="right"/>
              <w:ind w:right="1150"/>
              <w:spacing w:after="0"/>
              <w:rPr>
                <w:sz w:val="20"/>
                <w:szCs w:val="20"/>
                <w:color w:val="auto"/>
              </w:rPr>
            </w:pPr>
            <w:r>
              <w:rPr>
                <w:rFonts w:ascii="Arial" w:cs="Arial" w:eastAsia="Arial" w:hAnsi="Arial"/>
                <w:sz w:val="18"/>
                <w:szCs w:val="18"/>
                <w:color w:val="483E65"/>
              </w:rPr>
              <w:t>11-month period ended</w:t>
            </w:r>
          </w:p>
        </w:tc>
      </w:tr>
      <w:tr>
        <w:trPr>
          <w:trHeight w:val="203"/>
        </w:trPr>
        <w:tc>
          <w:tcPr>
            <w:tcW w:w="3640" w:type="dxa"/>
            <w:vAlign w:val="bottom"/>
            <w:tcBorders>
              <w:bottom w:val="single" w:sz="8" w:color="483E65"/>
            </w:tcBorders>
          </w:tcPr>
          <w:p>
            <w:pPr>
              <w:spacing w:after="0"/>
              <w:rPr>
                <w:sz w:val="17"/>
                <w:szCs w:val="17"/>
                <w:color w:val="auto"/>
              </w:rPr>
            </w:pPr>
          </w:p>
        </w:tc>
        <w:tc>
          <w:tcPr>
            <w:tcW w:w="3700" w:type="dxa"/>
            <w:vAlign w:val="bottom"/>
            <w:tcBorders>
              <w:bottom w:val="single" w:sz="8" w:color="483E65"/>
            </w:tcBorders>
          </w:tcPr>
          <w:p>
            <w:pPr>
              <w:jc w:val="right"/>
              <w:ind w:right="970"/>
              <w:spacing w:after="0" w:line="203" w:lineRule="exact"/>
              <w:rPr>
                <w:sz w:val="20"/>
                <w:szCs w:val="20"/>
                <w:color w:val="auto"/>
              </w:rPr>
            </w:pPr>
            <w:r>
              <w:rPr>
                <w:rFonts w:ascii="Arial" w:cs="Arial" w:eastAsia="Arial" w:hAnsi="Arial"/>
                <w:sz w:val="18"/>
                <w:szCs w:val="18"/>
                <w:color w:val="483E65"/>
              </w:rPr>
              <w:t>2016 ($)</w:t>
            </w:r>
          </w:p>
        </w:tc>
        <w:tc>
          <w:tcPr>
            <w:tcW w:w="4080" w:type="dxa"/>
            <w:vAlign w:val="bottom"/>
            <w:tcBorders>
              <w:bottom w:val="single" w:sz="8" w:color="483E65"/>
            </w:tcBorders>
          </w:tcPr>
          <w:p>
            <w:pPr>
              <w:jc w:val="right"/>
              <w:ind w:right="1290"/>
              <w:spacing w:after="0" w:line="203" w:lineRule="exact"/>
              <w:rPr>
                <w:sz w:val="20"/>
                <w:szCs w:val="20"/>
                <w:color w:val="auto"/>
              </w:rPr>
            </w:pPr>
            <w:r>
              <w:rPr>
                <w:rFonts w:ascii="Arial" w:cs="Arial" w:eastAsia="Arial" w:hAnsi="Arial"/>
                <w:sz w:val="18"/>
                <w:szCs w:val="18"/>
                <w:color w:val="483E65"/>
              </w:rPr>
              <w:t>January 1, 2016 ($)</w:t>
            </w:r>
          </w:p>
        </w:tc>
      </w:tr>
      <w:tr>
        <w:trPr>
          <w:trHeight w:val="196"/>
        </w:trPr>
        <w:tc>
          <w:tcPr>
            <w:tcW w:w="3640" w:type="dxa"/>
            <w:vAlign w:val="bottom"/>
          </w:tcPr>
          <w:p>
            <w:pPr>
              <w:ind w:left="100"/>
              <w:spacing w:after="0" w:line="196" w:lineRule="exact"/>
              <w:rPr>
                <w:sz w:val="20"/>
                <w:szCs w:val="20"/>
                <w:color w:val="auto"/>
              </w:rPr>
            </w:pPr>
            <w:r>
              <w:rPr>
                <w:rFonts w:ascii="Arial" w:cs="Arial" w:eastAsia="Arial" w:hAnsi="Arial"/>
                <w:sz w:val="18"/>
                <w:szCs w:val="18"/>
                <w:color w:val="auto"/>
              </w:rPr>
              <w:t>Audit fees</w:t>
            </w:r>
            <w:r>
              <w:rPr>
                <w:rFonts w:ascii="Arial" w:cs="Arial" w:eastAsia="Arial" w:hAnsi="Arial"/>
                <w:sz w:val="15"/>
                <w:szCs w:val="15"/>
                <w:color w:val="auto"/>
              </w:rPr>
              <w:t>(1)</w:t>
            </w:r>
          </w:p>
        </w:tc>
        <w:tc>
          <w:tcPr>
            <w:tcW w:w="3700" w:type="dxa"/>
            <w:vAlign w:val="bottom"/>
          </w:tcPr>
          <w:p>
            <w:pPr>
              <w:jc w:val="right"/>
              <w:ind w:right="890"/>
              <w:spacing w:after="0" w:line="196" w:lineRule="exact"/>
              <w:rPr>
                <w:sz w:val="20"/>
                <w:szCs w:val="20"/>
                <w:color w:val="auto"/>
              </w:rPr>
            </w:pPr>
            <w:r>
              <w:rPr>
                <w:rFonts w:ascii="Arial" w:cs="Arial" w:eastAsia="Arial" w:hAnsi="Arial"/>
                <w:sz w:val="18"/>
                <w:szCs w:val="18"/>
                <w:color w:val="auto"/>
              </w:rPr>
              <w:t>5,957,900</w:t>
            </w:r>
          </w:p>
        </w:tc>
        <w:tc>
          <w:tcPr>
            <w:tcW w:w="4080" w:type="dxa"/>
            <w:vAlign w:val="bottom"/>
          </w:tcPr>
          <w:p>
            <w:pPr>
              <w:jc w:val="right"/>
              <w:ind w:right="1130"/>
              <w:spacing w:after="0" w:line="196" w:lineRule="exact"/>
              <w:rPr>
                <w:sz w:val="20"/>
                <w:szCs w:val="20"/>
                <w:color w:val="auto"/>
              </w:rPr>
            </w:pPr>
            <w:r>
              <w:rPr>
                <w:rFonts w:ascii="Arial" w:cs="Arial" w:eastAsia="Arial" w:hAnsi="Arial"/>
                <w:sz w:val="18"/>
                <w:szCs w:val="18"/>
                <w:color w:val="auto"/>
              </w:rPr>
              <w:t>4,368,000</w:t>
            </w:r>
          </w:p>
        </w:tc>
      </w:tr>
      <w:tr>
        <w:trPr>
          <w:trHeight w:val="203"/>
        </w:trPr>
        <w:tc>
          <w:tcPr>
            <w:tcW w:w="3640" w:type="dxa"/>
            <w:vAlign w:val="bottom"/>
            <w:shd w:val="clear" w:color="auto" w:fill="ACABA7"/>
          </w:tcPr>
          <w:p>
            <w:pPr>
              <w:ind w:left="100"/>
              <w:spacing w:after="0" w:line="202" w:lineRule="exact"/>
              <w:rPr>
                <w:sz w:val="20"/>
                <w:szCs w:val="20"/>
                <w:color w:val="auto"/>
              </w:rPr>
            </w:pPr>
            <w:r>
              <w:rPr>
                <w:rFonts w:ascii="Arial" w:cs="Arial" w:eastAsia="Arial" w:hAnsi="Arial"/>
                <w:sz w:val="18"/>
                <w:szCs w:val="18"/>
                <w:color w:val="auto"/>
              </w:rPr>
              <w:t>Audit-related fees</w:t>
            </w:r>
            <w:r>
              <w:rPr>
                <w:rFonts w:ascii="Arial" w:cs="Arial" w:eastAsia="Arial" w:hAnsi="Arial"/>
                <w:sz w:val="15"/>
                <w:szCs w:val="15"/>
                <w:color w:val="auto"/>
              </w:rPr>
              <w:t>(2)</w:t>
            </w:r>
          </w:p>
        </w:tc>
        <w:tc>
          <w:tcPr>
            <w:tcW w:w="3700" w:type="dxa"/>
            <w:vAlign w:val="bottom"/>
            <w:shd w:val="clear" w:color="auto" w:fill="ACABA7"/>
          </w:tcPr>
          <w:p>
            <w:pPr>
              <w:jc w:val="right"/>
              <w:ind w:right="890"/>
              <w:spacing w:after="0" w:line="202" w:lineRule="exact"/>
              <w:rPr>
                <w:sz w:val="20"/>
                <w:szCs w:val="20"/>
                <w:color w:val="auto"/>
              </w:rPr>
            </w:pPr>
            <w:r>
              <w:rPr>
                <w:rFonts w:ascii="Arial" w:cs="Arial" w:eastAsia="Arial" w:hAnsi="Arial"/>
                <w:sz w:val="18"/>
                <w:szCs w:val="18"/>
                <w:color w:val="auto"/>
              </w:rPr>
              <w:t>268,500</w:t>
            </w:r>
          </w:p>
        </w:tc>
        <w:tc>
          <w:tcPr>
            <w:tcW w:w="4080" w:type="dxa"/>
            <w:vAlign w:val="bottom"/>
            <w:shd w:val="clear" w:color="auto" w:fill="ACABA7"/>
          </w:tcPr>
          <w:p>
            <w:pPr>
              <w:jc w:val="right"/>
              <w:ind w:right="1130"/>
              <w:spacing w:after="0" w:line="202" w:lineRule="exact"/>
              <w:rPr>
                <w:sz w:val="20"/>
                <w:szCs w:val="20"/>
                <w:color w:val="auto"/>
              </w:rPr>
            </w:pPr>
            <w:r>
              <w:rPr>
                <w:rFonts w:ascii="Arial" w:cs="Arial" w:eastAsia="Arial" w:hAnsi="Arial"/>
                <w:sz w:val="18"/>
                <w:szCs w:val="18"/>
                <w:color w:val="auto"/>
              </w:rPr>
              <w:t>—</w:t>
            </w:r>
          </w:p>
        </w:tc>
      </w:tr>
      <w:tr>
        <w:trPr>
          <w:trHeight w:val="203"/>
        </w:trPr>
        <w:tc>
          <w:tcPr>
            <w:tcW w:w="3640" w:type="dxa"/>
            <w:vAlign w:val="bottom"/>
          </w:tcPr>
          <w:p>
            <w:pPr>
              <w:ind w:left="100"/>
              <w:spacing w:after="0" w:line="202" w:lineRule="exact"/>
              <w:rPr>
                <w:sz w:val="20"/>
                <w:szCs w:val="20"/>
                <w:color w:val="auto"/>
              </w:rPr>
            </w:pPr>
            <w:r>
              <w:rPr>
                <w:rFonts w:ascii="Arial" w:cs="Arial" w:eastAsia="Arial" w:hAnsi="Arial"/>
                <w:sz w:val="18"/>
                <w:szCs w:val="18"/>
                <w:color w:val="auto"/>
              </w:rPr>
              <w:t>Tax fees</w:t>
            </w:r>
            <w:r>
              <w:rPr>
                <w:rFonts w:ascii="Arial" w:cs="Arial" w:eastAsia="Arial" w:hAnsi="Arial"/>
                <w:sz w:val="15"/>
                <w:szCs w:val="15"/>
                <w:color w:val="auto"/>
              </w:rPr>
              <w:t>(3)</w:t>
            </w:r>
          </w:p>
        </w:tc>
        <w:tc>
          <w:tcPr>
            <w:tcW w:w="3700" w:type="dxa"/>
            <w:vAlign w:val="bottom"/>
          </w:tcPr>
          <w:p>
            <w:pPr>
              <w:jc w:val="right"/>
              <w:ind w:right="890"/>
              <w:spacing w:after="0" w:line="202" w:lineRule="exact"/>
              <w:rPr>
                <w:sz w:val="20"/>
                <w:szCs w:val="20"/>
                <w:color w:val="auto"/>
              </w:rPr>
            </w:pPr>
            <w:r>
              <w:rPr>
                <w:rFonts w:ascii="Arial" w:cs="Arial" w:eastAsia="Arial" w:hAnsi="Arial"/>
                <w:sz w:val="18"/>
                <w:szCs w:val="18"/>
                <w:color w:val="auto"/>
              </w:rPr>
              <w:t>106,800</w:t>
            </w:r>
          </w:p>
        </w:tc>
        <w:tc>
          <w:tcPr>
            <w:tcW w:w="4080" w:type="dxa"/>
            <w:vAlign w:val="bottom"/>
          </w:tcPr>
          <w:p>
            <w:pPr>
              <w:jc w:val="right"/>
              <w:ind w:right="1130"/>
              <w:spacing w:after="0" w:line="202" w:lineRule="exact"/>
              <w:rPr>
                <w:sz w:val="20"/>
                <w:szCs w:val="20"/>
                <w:color w:val="auto"/>
              </w:rPr>
            </w:pPr>
            <w:r>
              <w:rPr>
                <w:rFonts w:ascii="Arial" w:cs="Arial" w:eastAsia="Arial" w:hAnsi="Arial"/>
                <w:sz w:val="18"/>
                <w:szCs w:val="18"/>
                <w:color w:val="auto"/>
              </w:rPr>
              <w:t>73,600</w:t>
            </w:r>
          </w:p>
        </w:tc>
      </w:tr>
      <w:tr>
        <w:trPr>
          <w:trHeight w:val="203"/>
        </w:trPr>
        <w:tc>
          <w:tcPr>
            <w:tcW w:w="3640" w:type="dxa"/>
            <w:vAlign w:val="bottom"/>
            <w:shd w:val="clear" w:color="auto" w:fill="ACABA7"/>
          </w:tcPr>
          <w:p>
            <w:pPr>
              <w:ind w:left="100"/>
              <w:spacing w:after="0" w:line="202" w:lineRule="exact"/>
              <w:rPr>
                <w:sz w:val="20"/>
                <w:szCs w:val="20"/>
                <w:color w:val="auto"/>
              </w:rPr>
            </w:pPr>
            <w:r>
              <w:rPr>
                <w:rFonts w:ascii="Arial" w:cs="Arial" w:eastAsia="Arial" w:hAnsi="Arial"/>
                <w:sz w:val="18"/>
                <w:szCs w:val="18"/>
                <w:color w:val="auto"/>
              </w:rPr>
              <w:t>All other fees</w:t>
            </w:r>
            <w:r>
              <w:rPr>
                <w:rFonts w:ascii="Arial" w:cs="Arial" w:eastAsia="Arial" w:hAnsi="Arial"/>
                <w:sz w:val="15"/>
                <w:szCs w:val="15"/>
                <w:color w:val="auto"/>
              </w:rPr>
              <w:t>(4)</w:t>
            </w:r>
          </w:p>
        </w:tc>
        <w:tc>
          <w:tcPr>
            <w:tcW w:w="3700" w:type="dxa"/>
            <w:vAlign w:val="bottom"/>
            <w:shd w:val="clear" w:color="auto" w:fill="ACABA7"/>
          </w:tcPr>
          <w:p>
            <w:pPr>
              <w:jc w:val="right"/>
              <w:ind w:right="890"/>
              <w:spacing w:after="0" w:line="202" w:lineRule="exact"/>
              <w:rPr>
                <w:sz w:val="20"/>
                <w:szCs w:val="20"/>
                <w:color w:val="auto"/>
              </w:rPr>
            </w:pPr>
            <w:r>
              <w:rPr>
                <w:rFonts w:ascii="Arial" w:cs="Arial" w:eastAsia="Arial" w:hAnsi="Arial"/>
                <w:sz w:val="18"/>
                <w:szCs w:val="18"/>
                <w:color w:val="auto"/>
              </w:rPr>
              <w:t>7,500</w:t>
            </w:r>
          </w:p>
        </w:tc>
        <w:tc>
          <w:tcPr>
            <w:tcW w:w="4080" w:type="dxa"/>
            <w:vAlign w:val="bottom"/>
            <w:shd w:val="clear" w:color="auto" w:fill="ACABA7"/>
          </w:tcPr>
          <w:p>
            <w:pPr>
              <w:jc w:val="right"/>
              <w:ind w:right="1130"/>
              <w:spacing w:after="0" w:line="202" w:lineRule="exact"/>
              <w:rPr>
                <w:sz w:val="20"/>
                <w:szCs w:val="20"/>
                <w:color w:val="auto"/>
              </w:rPr>
            </w:pPr>
            <w:r>
              <w:rPr>
                <w:rFonts w:ascii="Arial" w:cs="Arial" w:eastAsia="Arial" w:hAnsi="Arial"/>
                <w:sz w:val="18"/>
                <w:szCs w:val="18"/>
                <w:color w:val="auto"/>
              </w:rPr>
              <w:t>7,500</w:t>
            </w:r>
          </w:p>
        </w:tc>
      </w:tr>
      <w:tr>
        <w:trPr>
          <w:trHeight w:val="239"/>
        </w:trPr>
        <w:tc>
          <w:tcPr>
            <w:tcW w:w="3640" w:type="dxa"/>
            <w:vAlign w:val="bottom"/>
          </w:tcPr>
          <w:p>
            <w:pPr>
              <w:ind w:left="380"/>
              <w:spacing w:after="0"/>
              <w:rPr>
                <w:sz w:val="20"/>
                <w:szCs w:val="20"/>
                <w:color w:val="auto"/>
              </w:rPr>
            </w:pPr>
            <w:r>
              <w:rPr>
                <w:rFonts w:ascii="Arial" w:cs="Arial" w:eastAsia="Arial" w:hAnsi="Arial"/>
                <w:sz w:val="18"/>
                <w:szCs w:val="18"/>
                <w:b w:val="1"/>
                <w:bCs w:val="1"/>
                <w:color w:val="auto"/>
              </w:rPr>
              <w:t>Total fees</w:t>
            </w:r>
          </w:p>
        </w:tc>
        <w:tc>
          <w:tcPr>
            <w:tcW w:w="3700" w:type="dxa"/>
            <w:vAlign w:val="bottom"/>
          </w:tcPr>
          <w:p>
            <w:pPr>
              <w:jc w:val="right"/>
              <w:ind w:right="890"/>
              <w:spacing w:after="0"/>
              <w:rPr>
                <w:sz w:val="20"/>
                <w:szCs w:val="20"/>
                <w:color w:val="auto"/>
              </w:rPr>
            </w:pPr>
            <w:r>
              <w:rPr>
                <w:rFonts w:ascii="Arial" w:cs="Arial" w:eastAsia="Arial" w:hAnsi="Arial"/>
                <w:sz w:val="18"/>
                <w:szCs w:val="18"/>
                <w:color w:val="auto"/>
              </w:rPr>
              <w:t>6,340,700</w:t>
            </w:r>
          </w:p>
        </w:tc>
        <w:tc>
          <w:tcPr>
            <w:tcW w:w="4080" w:type="dxa"/>
            <w:vAlign w:val="bottom"/>
          </w:tcPr>
          <w:p>
            <w:pPr>
              <w:jc w:val="right"/>
              <w:ind w:right="1130"/>
              <w:spacing w:after="0"/>
              <w:rPr>
                <w:sz w:val="20"/>
                <w:szCs w:val="20"/>
                <w:color w:val="auto"/>
              </w:rPr>
            </w:pPr>
            <w:r>
              <w:rPr>
                <w:rFonts w:ascii="Arial" w:cs="Arial" w:eastAsia="Arial" w:hAnsi="Arial"/>
                <w:sz w:val="18"/>
                <w:szCs w:val="18"/>
                <w:color w:val="auto"/>
              </w:rPr>
              <w:t>4,449,100</w:t>
            </w:r>
          </w:p>
        </w:tc>
      </w:tr>
    </w:tbl>
    <w:p>
      <w:pPr>
        <w:spacing w:after="0" w:line="206" w:lineRule="exact"/>
        <w:rPr>
          <w:sz w:val="20"/>
          <w:szCs w:val="20"/>
          <w:color w:val="auto"/>
        </w:rPr>
      </w:pPr>
    </w:p>
    <w:p>
      <w:pPr>
        <w:ind w:left="460" w:right="20" w:hanging="452"/>
        <w:spacing w:after="0" w:line="239" w:lineRule="auto"/>
        <w:tabs>
          <w:tab w:leader="none" w:pos="4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Audit fees include professional services rendered for the audit of the annual consolidated financial statements (including services incurred with rendering an opinion under Section 404 of the Sarbanes-Oxley Act of 2002) and review of quarterly consolidated financial statements. Audit fees also include services that are normally provided by the accountant in connection with statutory and regulatory filings or engagements, including statutory audits.</w:t>
      </w:r>
    </w:p>
    <w:p>
      <w:pPr>
        <w:spacing w:after="0" w:line="107" w:lineRule="exact"/>
        <w:rPr>
          <w:rFonts w:ascii="Arial" w:cs="Arial" w:eastAsia="Arial" w:hAnsi="Arial"/>
          <w:sz w:val="18"/>
          <w:szCs w:val="18"/>
          <w:color w:val="auto"/>
        </w:rPr>
      </w:pPr>
    </w:p>
    <w:p>
      <w:pPr>
        <w:ind w:left="460" w:right="340" w:hanging="452"/>
        <w:spacing w:after="0" w:line="246" w:lineRule="auto"/>
        <w:tabs>
          <w:tab w:leader="none" w:pos="4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Audit-related fees for Fiscal 2016 include services performed with respect to Form S-4 in connection with the acquisition of the IS&amp;GS Business.</w:t>
      </w:r>
    </w:p>
    <w:p>
      <w:pPr>
        <w:spacing w:after="0" w:line="102" w:lineRule="exact"/>
        <w:rPr>
          <w:rFonts w:ascii="Arial" w:cs="Arial" w:eastAsia="Arial" w:hAnsi="Arial"/>
          <w:sz w:val="18"/>
          <w:szCs w:val="18"/>
          <w:color w:val="auto"/>
        </w:rPr>
      </w:pPr>
    </w:p>
    <w:p>
      <w:pPr>
        <w:ind w:left="460" w:right="80" w:hanging="452"/>
        <w:spacing w:after="0"/>
        <w:tabs>
          <w:tab w:leader="none" w:pos="4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Tax fees include a variety of permissible tax services related to preparation and/or review of statutory tax filings within U.S., foreign and state jurisdictions, general tax advisory services (including research and discussions related to tax compliance matters), tax planning and assistance with transfer pricing documentation and dispositions.</w:t>
      </w:r>
    </w:p>
    <w:p>
      <w:pPr>
        <w:spacing w:after="0" w:line="108" w:lineRule="exact"/>
        <w:rPr>
          <w:rFonts w:ascii="Arial" w:cs="Arial" w:eastAsia="Arial" w:hAnsi="Arial"/>
          <w:sz w:val="18"/>
          <w:szCs w:val="18"/>
          <w:color w:val="auto"/>
        </w:rPr>
      </w:pPr>
    </w:p>
    <w:p>
      <w:pPr>
        <w:ind w:left="460" w:hanging="452"/>
        <w:spacing w:after="0"/>
        <w:tabs>
          <w:tab w:leader="none" w:pos="4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All other fees relate to the purchase of accounting-related research software.</w:t>
      </w:r>
    </w:p>
    <w:p>
      <w:pPr>
        <w:spacing w:after="0" w:line="212"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The Audit Committee has considered whether the above services provided by the Deloitte Entities are compatible with maintaining the independence of the Deloitte Entities. The Audit Committee has the responsibility to pre-approve all audit and non-audit services to be performed by the independent registered public accounting firm in advance. Further, the Chair of the Audit Committee has the authority to pre-approve audit and non-audit services, as necessary, between regular meetings of the Audit Committee, provided that any such services so pre-approved shall be disclosed to the full Audit Committee at its next scheduled meeting. All of the Audit, Audit-Related, Tax and All Other Fees set forth above were pre-approved by one of these means.</w:t>
      </w:r>
    </w:p>
    <w:p>
      <w:pPr>
        <w:spacing w:after="0" w:line="120" w:lineRule="exact"/>
        <w:rPr>
          <w:sz w:val="20"/>
          <w:szCs w:val="20"/>
          <w:color w:val="auto"/>
        </w:rPr>
      </w:pPr>
    </w:p>
    <w:p>
      <w:pPr>
        <w:spacing w:after="0"/>
        <w:tabs>
          <w:tab w:leader="none" w:pos="340" w:val="left"/>
          <w:tab w:leader="none" w:pos="580" w:val="left"/>
        </w:tabs>
        <w:rPr>
          <w:sz w:val="20"/>
          <w:szCs w:val="20"/>
          <w:color w:val="auto"/>
        </w:rPr>
      </w:pPr>
      <w:r>
        <w:rPr>
          <w:rFonts w:ascii="Arial" w:cs="Arial" w:eastAsia="Arial" w:hAnsi="Arial"/>
          <w:sz w:val="16"/>
          <w:szCs w:val="16"/>
          <w:b w:val="1"/>
          <w:bCs w:val="1"/>
          <w:color w:val="483E65"/>
        </w:rPr>
        <w:t>70</w:t>
        <w:tab/>
        <w:t>|</w:t>
        <w:tab/>
        <w:t>2017 Proxy Statement</w:t>
      </w:r>
    </w:p>
    <w:p>
      <w:pPr>
        <w:sectPr>
          <w:pgSz w:w="11900" w:h="16838" w:orient="portrait"/>
          <w:cols w:equalWidth="0" w:num="1">
            <w:col w:w="11420"/>
          </w:cols>
          <w:pgMar w:left="240" w:top="459"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8" w:lineRule="exact"/>
        <w:rPr>
          <w:sz w:val="20"/>
          <w:szCs w:val="20"/>
          <w:color w:val="auto"/>
        </w:rPr>
      </w:pPr>
    </w:p>
    <w:p>
      <w:pPr>
        <w:spacing w:after="0"/>
        <w:rPr>
          <w:sz w:val="20"/>
          <w:szCs w:val="20"/>
          <w:color w:val="auto"/>
        </w:rPr>
      </w:pPr>
      <w:r>
        <w:rPr>
          <w:rFonts w:ascii="Arial" w:cs="Arial" w:eastAsia="Arial" w:hAnsi="Arial"/>
          <w:sz w:val="32"/>
          <w:szCs w:val="32"/>
          <w:color w:val="483E65"/>
        </w:rPr>
        <w:t>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149860</wp:posOffset>
            </wp:positionV>
            <wp:extent cx="724662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483E65"/>
        </w:rPr>
        <w:t>Stock Ownership of Certain Beneficial Owners</w:t>
      </w:r>
    </w:p>
    <w:p>
      <w:pPr>
        <w:spacing w:after="0" w:line="234" w:lineRule="exact"/>
        <w:rPr>
          <w:sz w:val="20"/>
          <w:szCs w:val="20"/>
          <w:color w:val="auto"/>
        </w:rPr>
      </w:pPr>
    </w:p>
    <w:p>
      <w:pPr>
        <w:ind w:right="440"/>
        <w:spacing w:after="0" w:line="246" w:lineRule="auto"/>
        <w:rPr>
          <w:sz w:val="20"/>
          <w:szCs w:val="20"/>
          <w:color w:val="auto"/>
        </w:rPr>
      </w:pPr>
      <w:r>
        <w:rPr>
          <w:rFonts w:ascii="Arial" w:cs="Arial" w:eastAsia="Arial" w:hAnsi="Arial"/>
          <w:sz w:val="18"/>
          <w:szCs w:val="18"/>
          <w:color w:val="auto"/>
        </w:rPr>
        <w:t>The following table provides information regarding the beneficial ownership of each person known by us to beneficially own more than five percent of Leidos common stock.</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520" w:type="dxa"/>
            <w:vAlign w:val="bottom"/>
          </w:tcPr>
          <w:p>
            <w:pPr>
              <w:spacing w:after="0"/>
              <w:rPr>
                <w:sz w:val="17"/>
                <w:szCs w:val="17"/>
                <w:color w:val="auto"/>
              </w:rPr>
            </w:pPr>
          </w:p>
        </w:tc>
        <w:tc>
          <w:tcPr>
            <w:tcW w:w="3880" w:type="dxa"/>
            <w:vAlign w:val="bottom"/>
          </w:tcPr>
          <w:p>
            <w:pPr>
              <w:jc w:val="right"/>
              <w:ind w:right="674"/>
              <w:spacing w:after="0"/>
              <w:rPr>
                <w:sz w:val="20"/>
                <w:szCs w:val="20"/>
                <w:color w:val="auto"/>
              </w:rPr>
            </w:pPr>
            <w:r>
              <w:rPr>
                <w:rFonts w:ascii="Arial" w:cs="Arial" w:eastAsia="Arial" w:hAnsi="Arial"/>
                <w:sz w:val="18"/>
                <w:szCs w:val="18"/>
                <w:color w:val="483E65"/>
              </w:rPr>
              <w:t>Amount and nature of</w:t>
            </w:r>
          </w:p>
        </w:tc>
        <w:tc>
          <w:tcPr>
            <w:tcW w:w="2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5520" w:type="dxa"/>
            <w:vAlign w:val="bottom"/>
          </w:tcPr>
          <w:p>
            <w:pPr>
              <w:ind w:left="100"/>
              <w:spacing w:after="0"/>
              <w:rPr>
                <w:sz w:val="20"/>
                <w:szCs w:val="20"/>
                <w:color w:val="auto"/>
              </w:rPr>
            </w:pPr>
            <w:r>
              <w:rPr>
                <w:rFonts w:ascii="Arial" w:cs="Arial" w:eastAsia="Arial" w:hAnsi="Arial"/>
                <w:sz w:val="18"/>
                <w:szCs w:val="18"/>
                <w:color w:val="483E65"/>
              </w:rPr>
              <w:t>Name and address of beneficial owner</w:t>
            </w:r>
          </w:p>
        </w:tc>
        <w:tc>
          <w:tcPr>
            <w:tcW w:w="3880" w:type="dxa"/>
            <w:vAlign w:val="bottom"/>
          </w:tcPr>
          <w:p>
            <w:pPr>
              <w:jc w:val="right"/>
              <w:ind w:right="734"/>
              <w:spacing w:after="0"/>
              <w:rPr>
                <w:sz w:val="20"/>
                <w:szCs w:val="20"/>
                <w:color w:val="auto"/>
              </w:rPr>
            </w:pPr>
            <w:r>
              <w:rPr>
                <w:rFonts w:ascii="Arial" w:cs="Arial" w:eastAsia="Arial" w:hAnsi="Arial"/>
                <w:sz w:val="18"/>
                <w:szCs w:val="18"/>
                <w:color w:val="483E65"/>
              </w:rPr>
              <w:t>beneficial ownership</w:t>
            </w:r>
          </w:p>
        </w:tc>
        <w:tc>
          <w:tcPr>
            <w:tcW w:w="2020" w:type="dxa"/>
            <w:vAlign w:val="bottom"/>
          </w:tcPr>
          <w:p>
            <w:pPr>
              <w:jc w:val="center"/>
              <w:ind w:left="650"/>
              <w:spacing w:after="0"/>
              <w:rPr>
                <w:sz w:val="20"/>
                <w:szCs w:val="20"/>
                <w:color w:val="auto"/>
              </w:rPr>
            </w:pPr>
            <w:r>
              <w:rPr>
                <w:rFonts w:ascii="Arial" w:cs="Arial" w:eastAsia="Arial" w:hAnsi="Arial"/>
                <w:sz w:val="18"/>
                <w:szCs w:val="18"/>
                <w:color w:val="483E65"/>
                <w:w w:val="99"/>
              </w:rPr>
              <w:t>Percent of class</w:t>
            </w:r>
          </w:p>
        </w:tc>
        <w:tc>
          <w:tcPr>
            <w:tcW w:w="0" w:type="dxa"/>
            <w:vAlign w:val="bottom"/>
          </w:tcPr>
          <w:p>
            <w:pPr>
              <w:spacing w:after="0"/>
              <w:rPr>
                <w:sz w:val="1"/>
                <w:szCs w:val="1"/>
                <w:color w:val="auto"/>
              </w:rPr>
            </w:pPr>
          </w:p>
        </w:tc>
      </w:tr>
      <w:tr>
        <w:trPr>
          <w:trHeight w:val="41"/>
        </w:trPr>
        <w:tc>
          <w:tcPr>
            <w:tcW w:w="5520" w:type="dxa"/>
            <w:vAlign w:val="bottom"/>
            <w:tcBorders>
              <w:bottom w:val="single" w:sz="8" w:color="483E65"/>
            </w:tcBorders>
          </w:tcPr>
          <w:p>
            <w:pPr>
              <w:spacing w:after="0"/>
              <w:rPr>
                <w:sz w:val="3"/>
                <w:szCs w:val="3"/>
                <w:color w:val="auto"/>
              </w:rPr>
            </w:pPr>
          </w:p>
        </w:tc>
        <w:tc>
          <w:tcPr>
            <w:tcW w:w="3880" w:type="dxa"/>
            <w:vAlign w:val="bottom"/>
            <w:tcBorders>
              <w:bottom w:val="single" w:sz="8" w:color="483E65"/>
            </w:tcBorders>
          </w:tcPr>
          <w:p>
            <w:pPr>
              <w:spacing w:after="0"/>
              <w:rPr>
                <w:sz w:val="3"/>
                <w:szCs w:val="3"/>
                <w:color w:val="auto"/>
              </w:rPr>
            </w:pPr>
          </w:p>
        </w:tc>
        <w:tc>
          <w:tcPr>
            <w:tcW w:w="2020" w:type="dxa"/>
            <w:vAlign w:val="bottom"/>
            <w:tcBorders>
              <w:bottom w:val="single" w:sz="8" w:color="483E65"/>
            </w:tcBorders>
          </w:tcPr>
          <w:p>
            <w:pPr>
              <w:spacing w:after="0"/>
              <w:rPr>
                <w:sz w:val="3"/>
                <w:szCs w:val="3"/>
                <w:color w:val="auto"/>
              </w:rPr>
            </w:pPr>
          </w:p>
        </w:tc>
        <w:tc>
          <w:tcPr>
            <w:tcW w:w="0" w:type="dxa"/>
            <w:vAlign w:val="bottom"/>
          </w:tcPr>
          <w:p>
            <w:pPr>
              <w:spacing w:after="0"/>
              <w:rPr>
                <w:sz w:val="1"/>
                <w:szCs w:val="1"/>
                <w:color w:val="auto"/>
              </w:rPr>
            </w:pPr>
          </w:p>
        </w:tc>
      </w:tr>
      <w:tr>
        <w:trPr>
          <w:trHeight w:val="156"/>
        </w:trPr>
        <w:tc>
          <w:tcPr>
            <w:tcW w:w="5520" w:type="dxa"/>
            <w:vAlign w:val="bottom"/>
          </w:tcPr>
          <w:p>
            <w:pPr>
              <w:ind w:left="100"/>
              <w:spacing w:after="0" w:line="156" w:lineRule="exact"/>
              <w:rPr>
                <w:sz w:val="20"/>
                <w:szCs w:val="20"/>
                <w:color w:val="auto"/>
              </w:rPr>
            </w:pPr>
            <w:r>
              <w:rPr>
                <w:rFonts w:ascii="Arial" w:cs="Arial" w:eastAsia="Arial" w:hAnsi="Arial"/>
                <w:sz w:val="18"/>
                <w:szCs w:val="18"/>
                <w:color w:val="auto"/>
              </w:rPr>
              <w:t>The Vanguard Group</w:t>
            </w:r>
          </w:p>
        </w:tc>
        <w:tc>
          <w:tcPr>
            <w:tcW w:w="3880" w:type="dxa"/>
            <w:vAlign w:val="bottom"/>
          </w:tcPr>
          <w:p>
            <w:pPr>
              <w:jc w:val="right"/>
              <w:ind w:right="654"/>
              <w:spacing w:after="0" w:line="156" w:lineRule="exact"/>
              <w:rPr>
                <w:sz w:val="20"/>
                <w:szCs w:val="20"/>
                <w:color w:val="auto"/>
              </w:rPr>
            </w:pPr>
            <w:r>
              <w:rPr>
                <w:rFonts w:ascii="Arial" w:cs="Arial" w:eastAsia="Arial" w:hAnsi="Arial"/>
                <w:sz w:val="15"/>
                <w:szCs w:val="15"/>
                <w:color w:val="auto"/>
              </w:rPr>
              <w:t>(1)</w:t>
            </w:r>
          </w:p>
        </w:tc>
        <w:tc>
          <w:tcPr>
            <w:tcW w:w="2020" w:type="dxa"/>
            <w:vAlign w:val="bottom"/>
            <w:vMerge w:val="restart"/>
          </w:tcPr>
          <w:p>
            <w:pPr>
              <w:jc w:val="center"/>
              <w:ind w:left="650"/>
              <w:spacing w:after="0"/>
              <w:rPr>
                <w:sz w:val="20"/>
                <w:szCs w:val="20"/>
                <w:color w:val="auto"/>
              </w:rPr>
            </w:pPr>
            <w:r>
              <w:rPr>
                <w:rFonts w:ascii="Arial" w:cs="Arial" w:eastAsia="Arial" w:hAnsi="Arial"/>
                <w:sz w:val="18"/>
                <w:szCs w:val="18"/>
                <w:color w:val="auto"/>
              </w:rPr>
              <w:t>7.91%</w:t>
            </w:r>
          </w:p>
        </w:tc>
        <w:tc>
          <w:tcPr>
            <w:tcW w:w="0" w:type="dxa"/>
            <w:vAlign w:val="bottom"/>
          </w:tcPr>
          <w:p>
            <w:pPr>
              <w:spacing w:after="0"/>
              <w:rPr>
                <w:sz w:val="1"/>
                <w:szCs w:val="1"/>
                <w:color w:val="auto"/>
              </w:rPr>
            </w:pPr>
          </w:p>
        </w:tc>
      </w:tr>
      <w:tr>
        <w:trPr>
          <w:trHeight w:val="203"/>
        </w:trPr>
        <w:tc>
          <w:tcPr>
            <w:tcW w:w="5520" w:type="dxa"/>
            <w:vAlign w:val="bottom"/>
            <w:vMerge w:val="restart"/>
          </w:tcPr>
          <w:p>
            <w:pPr>
              <w:ind w:left="100"/>
              <w:spacing w:after="0"/>
              <w:rPr>
                <w:sz w:val="20"/>
                <w:szCs w:val="20"/>
                <w:color w:val="auto"/>
              </w:rPr>
            </w:pPr>
            <w:r>
              <w:rPr>
                <w:rFonts w:ascii="Arial" w:cs="Arial" w:eastAsia="Arial" w:hAnsi="Arial"/>
                <w:sz w:val="18"/>
                <w:szCs w:val="18"/>
                <w:color w:val="auto"/>
              </w:rPr>
              <w:t>100 Vanguard Blvd., Malvern, PA 19355</w:t>
            </w:r>
          </w:p>
        </w:tc>
        <w:tc>
          <w:tcPr>
            <w:tcW w:w="3880" w:type="dxa"/>
            <w:vAlign w:val="bottom"/>
          </w:tcPr>
          <w:p>
            <w:pPr>
              <w:jc w:val="right"/>
              <w:ind w:right="834"/>
              <w:spacing w:after="0" w:line="202" w:lineRule="exact"/>
              <w:rPr>
                <w:sz w:val="20"/>
                <w:szCs w:val="20"/>
                <w:color w:val="auto"/>
              </w:rPr>
            </w:pPr>
            <w:r>
              <w:rPr>
                <w:rFonts w:ascii="Arial" w:cs="Arial" w:eastAsia="Arial" w:hAnsi="Arial"/>
                <w:sz w:val="18"/>
                <w:szCs w:val="18"/>
                <w:color w:val="auto"/>
              </w:rPr>
              <w:t>11,904,278 shares</w:t>
            </w:r>
          </w:p>
        </w:tc>
        <w:tc>
          <w:tcPr>
            <w:tcW w:w="20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5520" w:type="dxa"/>
            <w:vAlign w:val="bottom"/>
            <w:vMerge w:val="continue"/>
          </w:tcPr>
          <w:p>
            <w:pPr>
              <w:spacing w:after="0"/>
              <w:rPr>
                <w:sz w:val="4"/>
                <w:szCs w:val="4"/>
                <w:color w:val="auto"/>
              </w:rPr>
            </w:pPr>
          </w:p>
        </w:tc>
        <w:tc>
          <w:tcPr>
            <w:tcW w:w="3880" w:type="dxa"/>
            <w:vAlign w:val="bottom"/>
          </w:tcPr>
          <w:p>
            <w:pPr>
              <w:spacing w:after="0"/>
              <w:rPr>
                <w:sz w:val="4"/>
                <w:szCs w:val="4"/>
                <w:color w:val="auto"/>
              </w:rPr>
            </w:pPr>
          </w:p>
        </w:tc>
        <w:tc>
          <w:tcPr>
            <w:tcW w:w="20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5520" w:type="dxa"/>
            <w:vAlign w:val="bottom"/>
            <w:shd w:val="clear" w:color="auto" w:fill="ACABA7"/>
          </w:tcPr>
          <w:p>
            <w:pPr>
              <w:ind w:left="100"/>
              <w:spacing w:after="0" w:line="162" w:lineRule="exact"/>
              <w:rPr>
                <w:sz w:val="20"/>
                <w:szCs w:val="20"/>
                <w:color w:val="auto"/>
              </w:rPr>
            </w:pPr>
            <w:r>
              <w:rPr>
                <w:rFonts w:ascii="Arial" w:cs="Arial" w:eastAsia="Arial" w:hAnsi="Arial"/>
                <w:sz w:val="18"/>
                <w:szCs w:val="18"/>
                <w:color w:val="auto"/>
              </w:rPr>
              <w:t>BlackRock Inc.</w:t>
            </w:r>
          </w:p>
        </w:tc>
        <w:tc>
          <w:tcPr>
            <w:tcW w:w="3880" w:type="dxa"/>
            <w:vAlign w:val="bottom"/>
            <w:shd w:val="clear" w:color="auto" w:fill="ACABA7"/>
          </w:tcPr>
          <w:p>
            <w:pPr>
              <w:jc w:val="right"/>
              <w:ind w:right="654"/>
              <w:spacing w:after="0" w:line="162" w:lineRule="exact"/>
              <w:rPr>
                <w:sz w:val="20"/>
                <w:szCs w:val="20"/>
                <w:color w:val="auto"/>
              </w:rPr>
            </w:pPr>
            <w:r>
              <w:rPr>
                <w:rFonts w:ascii="Arial" w:cs="Arial" w:eastAsia="Arial" w:hAnsi="Arial"/>
                <w:sz w:val="15"/>
                <w:szCs w:val="15"/>
                <w:color w:val="auto"/>
              </w:rPr>
              <w:t>(2)</w:t>
            </w:r>
          </w:p>
        </w:tc>
        <w:tc>
          <w:tcPr>
            <w:tcW w:w="2020" w:type="dxa"/>
            <w:vAlign w:val="bottom"/>
            <w:vMerge w:val="restart"/>
            <w:shd w:val="clear" w:color="auto" w:fill="ACABA7"/>
          </w:tcPr>
          <w:p>
            <w:pPr>
              <w:jc w:val="center"/>
              <w:ind w:left="650"/>
              <w:spacing w:after="0"/>
              <w:rPr>
                <w:sz w:val="20"/>
                <w:szCs w:val="20"/>
                <w:color w:val="auto"/>
              </w:rPr>
            </w:pPr>
            <w:r>
              <w:rPr>
                <w:rFonts w:ascii="Arial" w:cs="Arial" w:eastAsia="Arial" w:hAnsi="Arial"/>
                <w:sz w:val="18"/>
                <w:szCs w:val="18"/>
                <w:color w:val="auto"/>
              </w:rPr>
              <w:t>7.10%</w:t>
            </w:r>
          </w:p>
        </w:tc>
        <w:tc>
          <w:tcPr>
            <w:tcW w:w="0" w:type="dxa"/>
            <w:vAlign w:val="bottom"/>
          </w:tcPr>
          <w:p>
            <w:pPr>
              <w:spacing w:after="0"/>
              <w:rPr>
                <w:sz w:val="1"/>
                <w:szCs w:val="1"/>
                <w:color w:val="auto"/>
              </w:rPr>
            </w:pPr>
          </w:p>
        </w:tc>
      </w:tr>
      <w:tr>
        <w:trPr>
          <w:trHeight w:val="237"/>
        </w:trPr>
        <w:tc>
          <w:tcPr>
            <w:tcW w:w="5520" w:type="dxa"/>
            <w:vAlign w:val="bottom"/>
            <w:tcBorders>
              <w:bottom w:val="single" w:sz="8" w:color="ACABA7"/>
            </w:tcBorders>
            <w:shd w:val="clear" w:color="auto" w:fill="ACABA7"/>
          </w:tcPr>
          <w:p>
            <w:pPr>
              <w:ind w:left="100"/>
              <w:spacing w:after="0"/>
              <w:rPr>
                <w:sz w:val="20"/>
                <w:szCs w:val="20"/>
                <w:color w:val="auto"/>
              </w:rPr>
            </w:pPr>
            <w:r>
              <w:rPr>
                <w:rFonts w:ascii="Arial" w:cs="Arial" w:eastAsia="Arial" w:hAnsi="Arial"/>
                <w:sz w:val="18"/>
                <w:szCs w:val="18"/>
                <w:color w:val="auto"/>
              </w:rPr>
              <w:t>55 East 52</w:t>
            </w:r>
            <w:r>
              <w:rPr>
                <w:rFonts w:ascii="Arial" w:cs="Arial" w:eastAsia="Arial" w:hAnsi="Arial"/>
                <w:sz w:val="15"/>
                <w:szCs w:val="15"/>
                <w:color w:val="auto"/>
              </w:rPr>
              <w:t>nd</w:t>
            </w:r>
            <w:r>
              <w:rPr>
                <w:rFonts w:ascii="Arial" w:cs="Arial" w:eastAsia="Arial" w:hAnsi="Arial"/>
                <w:sz w:val="18"/>
                <w:szCs w:val="18"/>
                <w:color w:val="auto"/>
              </w:rPr>
              <w:t xml:space="preserve"> Street, New York, NY 10022</w:t>
            </w:r>
          </w:p>
        </w:tc>
        <w:tc>
          <w:tcPr>
            <w:tcW w:w="3880" w:type="dxa"/>
            <w:vAlign w:val="bottom"/>
            <w:tcBorders>
              <w:bottom w:val="single" w:sz="8" w:color="ACABA7"/>
            </w:tcBorders>
            <w:shd w:val="clear" w:color="auto" w:fill="ACABA7"/>
          </w:tcPr>
          <w:p>
            <w:pPr>
              <w:jc w:val="right"/>
              <w:ind w:right="834"/>
              <w:spacing w:after="0" w:line="202" w:lineRule="exact"/>
              <w:rPr>
                <w:sz w:val="20"/>
                <w:szCs w:val="20"/>
                <w:color w:val="auto"/>
              </w:rPr>
            </w:pPr>
            <w:r>
              <w:rPr>
                <w:rFonts w:ascii="Arial" w:cs="Arial" w:eastAsia="Arial" w:hAnsi="Arial"/>
                <w:sz w:val="18"/>
                <w:szCs w:val="18"/>
                <w:color w:val="auto"/>
              </w:rPr>
              <w:t>10,646,781 shares</w:t>
            </w:r>
          </w:p>
        </w:tc>
        <w:tc>
          <w:tcPr>
            <w:tcW w:w="2020" w:type="dxa"/>
            <w:vAlign w:val="bottom"/>
            <w:tcBorders>
              <w:bottom w:val="single" w:sz="8" w:color="ACABA7"/>
            </w:tcBorders>
            <w:vMerge w:val="continue"/>
            <w:shd w:val="clear" w:color="auto" w:fill="ACABA7"/>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5520" w:type="dxa"/>
            <w:vAlign w:val="bottom"/>
          </w:tcPr>
          <w:p>
            <w:pPr>
              <w:ind w:left="100"/>
              <w:spacing w:after="0" w:line="201" w:lineRule="exact"/>
              <w:rPr>
                <w:sz w:val="20"/>
                <w:szCs w:val="20"/>
                <w:color w:val="auto"/>
              </w:rPr>
            </w:pPr>
            <w:r>
              <w:rPr>
                <w:rFonts w:ascii="Arial" w:cs="Arial" w:eastAsia="Arial" w:hAnsi="Arial"/>
                <w:sz w:val="18"/>
                <w:szCs w:val="18"/>
                <w:color w:val="auto"/>
              </w:rPr>
              <w:t>Vanguard Fiduciary Trust Company</w:t>
            </w:r>
          </w:p>
        </w:tc>
        <w:tc>
          <w:tcPr>
            <w:tcW w:w="3880" w:type="dxa"/>
            <w:vAlign w:val="bottom"/>
            <w:vMerge w:val="restart"/>
          </w:tcPr>
          <w:p>
            <w:pPr>
              <w:jc w:val="right"/>
              <w:ind w:right="654"/>
              <w:spacing w:after="0"/>
              <w:rPr>
                <w:sz w:val="20"/>
                <w:szCs w:val="20"/>
                <w:color w:val="auto"/>
              </w:rPr>
            </w:pPr>
            <w:r>
              <w:rPr>
                <w:rFonts w:ascii="Arial" w:cs="Arial" w:eastAsia="Arial" w:hAnsi="Arial"/>
                <w:sz w:val="18"/>
                <w:szCs w:val="18"/>
                <w:color w:val="auto"/>
              </w:rPr>
              <w:t>9,030,395 shares</w:t>
            </w:r>
            <w:r>
              <w:rPr>
                <w:rFonts w:ascii="Arial" w:cs="Arial" w:eastAsia="Arial" w:hAnsi="Arial"/>
                <w:sz w:val="15"/>
                <w:szCs w:val="15"/>
                <w:color w:val="auto"/>
              </w:rPr>
              <w:t>(3)</w:t>
            </w:r>
          </w:p>
        </w:tc>
        <w:tc>
          <w:tcPr>
            <w:tcW w:w="2020" w:type="dxa"/>
            <w:vAlign w:val="bottom"/>
            <w:vMerge w:val="restart"/>
          </w:tcPr>
          <w:p>
            <w:pPr>
              <w:jc w:val="center"/>
              <w:ind w:left="650"/>
              <w:spacing w:after="0"/>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122"/>
        </w:trPr>
        <w:tc>
          <w:tcPr>
            <w:tcW w:w="5520" w:type="dxa"/>
            <w:vAlign w:val="bottom"/>
            <w:vMerge w:val="restart"/>
          </w:tcPr>
          <w:p>
            <w:pPr>
              <w:ind w:left="100"/>
              <w:spacing w:after="0"/>
              <w:rPr>
                <w:sz w:val="20"/>
                <w:szCs w:val="20"/>
                <w:color w:val="auto"/>
              </w:rPr>
            </w:pPr>
            <w:r>
              <w:rPr>
                <w:rFonts w:ascii="Arial" w:cs="Arial" w:eastAsia="Arial" w:hAnsi="Arial"/>
                <w:sz w:val="18"/>
                <w:szCs w:val="18"/>
                <w:color w:val="auto"/>
              </w:rPr>
              <w:t>500 Admiral Nelson Boulevard, Malvern, PA 19355</w:t>
            </w:r>
          </w:p>
        </w:tc>
        <w:tc>
          <w:tcPr>
            <w:tcW w:w="3880" w:type="dxa"/>
            <w:vAlign w:val="bottom"/>
            <w:vMerge w:val="continue"/>
          </w:tcPr>
          <w:p>
            <w:pPr>
              <w:spacing w:after="0"/>
              <w:rPr>
                <w:sz w:val="10"/>
                <w:szCs w:val="10"/>
                <w:color w:val="auto"/>
              </w:rPr>
            </w:pPr>
          </w:p>
        </w:tc>
        <w:tc>
          <w:tcPr>
            <w:tcW w:w="2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5520" w:type="dxa"/>
            <w:vAlign w:val="bottom"/>
            <w:vMerge w:val="continue"/>
          </w:tcPr>
          <w:p>
            <w:pPr>
              <w:spacing w:after="0"/>
              <w:rPr>
                <w:sz w:val="8"/>
                <w:szCs w:val="8"/>
                <w:color w:val="auto"/>
              </w:rPr>
            </w:pPr>
          </w:p>
        </w:tc>
        <w:tc>
          <w:tcPr>
            <w:tcW w:w="3880" w:type="dxa"/>
            <w:vAlign w:val="bottom"/>
          </w:tcPr>
          <w:p>
            <w:pPr>
              <w:spacing w:after="0"/>
              <w:rPr>
                <w:sz w:val="8"/>
                <w:szCs w:val="8"/>
                <w:color w:val="auto"/>
              </w:rPr>
            </w:pPr>
          </w:p>
        </w:tc>
        <w:tc>
          <w:tcPr>
            <w:tcW w:w="20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ind w:left="460" w:right="100" w:hanging="452"/>
        <w:spacing w:after="0" w:line="239" w:lineRule="auto"/>
        <w:tabs>
          <w:tab w:leader="none" w:pos="4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Information shown is based on information reported by the filer on a Schedule 13G filed with the SEC on February 10, 2017 in which The Vanguard Group, an investment adviser filing on behalf of itself and two wholly-owned subsidiaries, reported that it has sole voting power over 81,251 shares, shared voting power over 25,143 shares, sole dispositive power over 11,804,901 shares and shared dispositive power over 99,377 shares.</w:t>
      </w:r>
    </w:p>
    <w:p>
      <w:pPr>
        <w:spacing w:after="0" w:line="107" w:lineRule="exact"/>
        <w:rPr>
          <w:rFonts w:ascii="Arial" w:cs="Arial" w:eastAsia="Arial" w:hAnsi="Arial"/>
          <w:sz w:val="18"/>
          <w:szCs w:val="18"/>
          <w:color w:val="auto"/>
        </w:rPr>
      </w:pPr>
    </w:p>
    <w:p>
      <w:pPr>
        <w:ind w:left="460" w:right="360" w:hanging="452"/>
        <w:spacing w:after="0"/>
        <w:tabs>
          <w:tab w:leader="none" w:pos="4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Information shown is based on information reported by the filer on a Schedule 13G/A filed with the SEC on January 25, 2017 in which BlackRock, Inc., a holding company filing on behalf of itself and various subsidiaries, reported that it has sole voting power over 10,167,577 shares and sole dispositive power over 10,646,781 shares.</w:t>
      </w:r>
    </w:p>
    <w:p>
      <w:pPr>
        <w:spacing w:after="0" w:line="108" w:lineRule="exact"/>
        <w:rPr>
          <w:rFonts w:ascii="Arial" w:cs="Arial" w:eastAsia="Arial" w:hAnsi="Arial"/>
          <w:sz w:val="18"/>
          <w:szCs w:val="18"/>
          <w:color w:val="auto"/>
        </w:rPr>
      </w:pPr>
    </w:p>
    <w:p>
      <w:pPr>
        <w:ind w:left="460" w:right="40" w:hanging="452"/>
        <w:spacing w:after="0" w:line="238" w:lineRule="auto"/>
        <w:tabs>
          <w:tab w:leader="none" w:pos="4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According to a Schedule 13G/A filed with the SEC by Vanguard on February 14, 2017, these shares are held by Vanguard Fiduciary Trust Company as trustee of the Leidos Retirement Plan and as of December 31, 2016, all such shares have been allocated to plan participants. Subject to ERISA, Vanguard votes these shares as directed by the plan participants. Accordingly, Vanguard has shared voting and dispositive power with respect to these shares. Shares held by Vanguard are also included in the amounts held by individuals and the group set forth in the table below.</w:t>
      </w:r>
    </w:p>
    <w:p>
      <w:pPr>
        <w:spacing w:after="0" w:line="118" w:lineRule="exact"/>
        <w:rPr>
          <w:sz w:val="20"/>
          <w:szCs w:val="20"/>
          <w:color w:val="auto"/>
        </w:rPr>
      </w:pPr>
    </w:p>
    <w:p>
      <w:pPr>
        <w:jc w:val="right"/>
        <w:spacing w:after="0"/>
        <w:tabs>
          <w:tab w:leader="none" w:pos="380" w:val="left"/>
          <w:tab w:leader="none" w:pos="160" w:val="left"/>
        </w:tabs>
        <w:rPr>
          <w:sz w:val="20"/>
          <w:szCs w:val="20"/>
          <w:color w:val="auto"/>
        </w:rPr>
      </w:pPr>
      <w:r>
        <w:rPr>
          <w:rFonts w:ascii="Arial" w:cs="Arial" w:eastAsia="Arial" w:hAnsi="Arial"/>
          <w:sz w:val="16"/>
          <w:szCs w:val="16"/>
          <w:b w:val="1"/>
          <w:bCs w:val="1"/>
          <w:color w:val="483E65"/>
        </w:rPr>
        <w:t>2017 Proxy Statement</w:t>
        <w:tab/>
        <w:t>|</w:t>
        <w:tab/>
        <w:t>71</w:t>
      </w:r>
    </w:p>
    <w:p>
      <w:pPr>
        <w:sectPr>
          <w:pgSz w:w="11900" w:h="16838" w:orient="portrait"/>
          <w:cols w:equalWidth="0" w:num="1">
            <w:col w:w="11420"/>
          </w:cols>
          <w:pgMar w:left="240" w:top="459" w:right="2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8" w:lineRule="exact"/>
        <w:rPr>
          <w:sz w:val="20"/>
          <w:szCs w:val="20"/>
          <w:color w:val="auto"/>
        </w:rPr>
      </w:pPr>
    </w:p>
    <w:p>
      <w:pPr>
        <w:spacing w:after="0"/>
        <w:rPr>
          <w:sz w:val="20"/>
          <w:szCs w:val="20"/>
          <w:color w:val="auto"/>
        </w:rPr>
      </w:pPr>
      <w:r>
        <w:rPr>
          <w:rFonts w:ascii="Arial" w:cs="Arial" w:eastAsia="Arial" w:hAnsi="Arial"/>
          <w:sz w:val="32"/>
          <w:szCs w:val="32"/>
          <w:color w:val="483E65"/>
        </w:rPr>
        <w:t>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149860</wp:posOffset>
            </wp:positionV>
            <wp:extent cx="724662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483E65"/>
        </w:rPr>
        <w:t>Stock Ownership of Directors and Officers</w:t>
      </w:r>
    </w:p>
    <w:p>
      <w:pPr>
        <w:spacing w:after="0" w:line="234" w:lineRule="exact"/>
        <w:rPr>
          <w:sz w:val="20"/>
          <w:szCs w:val="20"/>
          <w:color w:val="auto"/>
        </w:rPr>
      </w:pPr>
    </w:p>
    <w:p>
      <w:pPr>
        <w:ind w:right="160"/>
        <w:spacing w:after="0" w:line="238" w:lineRule="auto"/>
        <w:rPr>
          <w:sz w:val="20"/>
          <w:szCs w:val="20"/>
          <w:color w:val="auto"/>
        </w:rPr>
      </w:pPr>
      <w:r>
        <w:rPr>
          <w:rFonts w:ascii="Arial" w:cs="Arial" w:eastAsia="Arial" w:hAnsi="Arial"/>
          <w:sz w:val="18"/>
          <w:szCs w:val="18"/>
          <w:color w:val="auto"/>
        </w:rPr>
        <w:t>The following table sets forth, as of March 13, 2017, the beneficial ownership of our common stock by our directors and the named executive officers, and all of our directors and executive officers as a group. None of these individuals beneficially owns more than one percent of our common stock. As a group, our directors and executive officers beneficially own approximately 1.23% of our common stock. Unless otherwise indicated, each individual has sole investment power and sole voting power with respect to the shares beneficially owned by such person, except for such power that may be shared with a spouse. No shares have been pledged.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1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483E65"/>
                <w:w w:val="97"/>
              </w:rPr>
              <w:t>Option</w:t>
            </w:r>
          </w:p>
        </w:tc>
        <w:tc>
          <w:tcPr>
            <w:tcW w:w="1240" w:type="dxa"/>
            <w:vAlign w:val="bottom"/>
          </w:tcPr>
          <w:p>
            <w:pPr>
              <w:jc w:val="center"/>
              <w:ind w:left="130"/>
              <w:spacing w:after="0"/>
              <w:rPr>
                <w:sz w:val="20"/>
                <w:szCs w:val="20"/>
                <w:color w:val="auto"/>
              </w:rPr>
            </w:pPr>
            <w:r>
              <w:rPr>
                <w:rFonts w:ascii="Arial" w:cs="Arial" w:eastAsia="Arial" w:hAnsi="Arial"/>
                <w:sz w:val="18"/>
                <w:szCs w:val="18"/>
                <w:color w:val="483E65"/>
                <w:w w:val="98"/>
              </w:rPr>
              <w:t>Total shares</w:t>
            </w:r>
          </w:p>
        </w:tc>
      </w:tr>
      <w:tr>
        <w:trPr>
          <w:trHeight w:val="200"/>
        </w:trPr>
        <w:tc>
          <w:tcPr>
            <w:tcW w:w="6160" w:type="dxa"/>
            <w:vAlign w:val="bottom"/>
          </w:tcPr>
          <w:p>
            <w:pPr>
              <w:spacing w:after="0"/>
              <w:rPr>
                <w:sz w:val="17"/>
                <w:szCs w:val="17"/>
                <w:color w:val="auto"/>
              </w:rPr>
            </w:pPr>
          </w:p>
        </w:tc>
        <w:tc>
          <w:tcPr>
            <w:tcW w:w="1520" w:type="dxa"/>
            <w:vAlign w:val="bottom"/>
          </w:tcPr>
          <w:p>
            <w:pPr>
              <w:jc w:val="right"/>
              <w:ind w:right="250"/>
              <w:spacing w:after="0" w:line="200" w:lineRule="exact"/>
              <w:rPr>
                <w:sz w:val="20"/>
                <w:szCs w:val="20"/>
                <w:color w:val="auto"/>
              </w:rPr>
            </w:pPr>
            <w:r>
              <w:rPr>
                <w:rFonts w:ascii="Arial" w:cs="Arial" w:eastAsia="Arial" w:hAnsi="Arial"/>
                <w:sz w:val="18"/>
                <w:szCs w:val="18"/>
                <w:color w:val="483E65"/>
              </w:rPr>
              <w:t>Common</w:t>
            </w:r>
          </w:p>
        </w:tc>
        <w:tc>
          <w:tcPr>
            <w:tcW w:w="1120" w:type="dxa"/>
            <w:vAlign w:val="bottom"/>
          </w:tcPr>
          <w:p>
            <w:pPr>
              <w:jc w:val="right"/>
              <w:ind w:right="290"/>
              <w:spacing w:after="0" w:line="200" w:lineRule="exact"/>
              <w:rPr>
                <w:sz w:val="20"/>
                <w:szCs w:val="20"/>
                <w:color w:val="auto"/>
              </w:rPr>
            </w:pPr>
            <w:r>
              <w:rPr>
                <w:rFonts w:ascii="Arial" w:cs="Arial" w:eastAsia="Arial" w:hAnsi="Arial"/>
                <w:sz w:val="18"/>
                <w:szCs w:val="18"/>
                <w:color w:val="483E65"/>
              </w:rPr>
              <w:t>Stock</w:t>
            </w:r>
          </w:p>
        </w:tc>
        <w:tc>
          <w:tcPr>
            <w:tcW w:w="1380" w:type="dxa"/>
            <w:vAlign w:val="bottom"/>
          </w:tcPr>
          <w:p>
            <w:pPr>
              <w:jc w:val="center"/>
              <w:spacing w:after="0" w:line="200" w:lineRule="exact"/>
              <w:rPr>
                <w:sz w:val="20"/>
                <w:szCs w:val="20"/>
                <w:color w:val="auto"/>
              </w:rPr>
            </w:pPr>
            <w:r>
              <w:rPr>
                <w:rFonts w:ascii="Arial" w:cs="Arial" w:eastAsia="Arial" w:hAnsi="Arial"/>
                <w:sz w:val="18"/>
                <w:szCs w:val="18"/>
                <w:color w:val="483E65"/>
                <w:w w:val="98"/>
              </w:rPr>
              <w:t>shares and</w:t>
            </w:r>
          </w:p>
        </w:tc>
        <w:tc>
          <w:tcPr>
            <w:tcW w:w="1240" w:type="dxa"/>
            <w:vAlign w:val="bottom"/>
          </w:tcPr>
          <w:p>
            <w:pPr>
              <w:jc w:val="center"/>
              <w:ind w:left="130"/>
              <w:spacing w:after="0" w:line="200" w:lineRule="exact"/>
              <w:rPr>
                <w:sz w:val="20"/>
                <w:szCs w:val="20"/>
                <w:color w:val="auto"/>
              </w:rPr>
            </w:pPr>
            <w:r>
              <w:rPr>
                <w:rFonts w:ascii="Arial" w:cs="Arial" w:eastAsia="Arial" w:hAnsi="Arial"/>
                <w:sz w:val="18"/>
                <w:szCs w:val="18"/>
                <w:color w:val="483E65"/>
              </w:rPr>
              <w:t>beneficially</w:t>
            </w:r>
          </w:p>
        </w:tc>
      </w:tr>
      <w:tr>
        <w:trPr>
          <w:trHeight w:val="220"/>
        </w:trPr>
        <w:tc>
          <w:tcPr>
            <w:tcW w:w="6160" w:type="dxa"/>
            <w:vAlign w:val="bottom"/>
            <w:tcBorders>
              <w:bottom w:val="single" w:sz="8" w:color="483E65"/>
            </w:tcBorders>
          </w:tcPr>
          <w:p>
            <w:pPr>
              <w:ind w:left="100"/>
              <w:spacing w:after="0"/>
              <w:rPr>
                <w:sz w:val="20"/>
                <w:szCs w:val="20"/>
                <w:color w:val="auto"/>
              </w:rPr>
            </w:pPr>
            <w:r>
              <w:rPr>
                <w:rFonts w:ascii="Arial" w:cs="Arial" w:eastAsia="Arial" w:hAnsi="Arial"/>
                <w:sz w:val="18"/>
                <w:szCs w:val="18"/>
                <w:color w:val="483E65"/>
              </w:rPr>
              <w:t>Beneficial Owner</w:t>
            </w:r>
          </w:p>
        </w:tc>
        <w:tc>
          <w:tcPr>
            <w:tcW w:w="1520" w:type="dxa"/>
            <w:vAlign w:val="bottom"/>
            <w:tcBorders>
              <w:bottom w:val="single" w:sz="8" w:color="483E65"/>
            </w:tcBorders>
          </w:tcPr>
          <w:p>
            <w:pPr>
              <w:jc w:val="right"/>
              <w:ind w:right="390"/>
              <w:spacing w:after="0"/>
              <w:rPr>
                <w:sz w:val="20"/>
                <w:szCs w:val="20"/>
                <w:color w:val="auto"/>
              </w:rPr>
            </w:pPr>
            <w:r>
              <w:rPr>
                <w:rFonts w:ascii="Arial" w:cs="Arial" w:eastAsia="Arial" w:hAnsi="Arial"/>
                <w:sz w:val="18"/>
                <w:szCs w:val="18"/>
                <w:color w:val="483E65"/>
              </w:rPr>
              <w:t>stock</w:t>
            </w:r>
          </w:p>
        </w:tc>
        <w:tc>
          <w:tcPr>
            <w:tcW w:w="1120" w:type="dxa"/>
            <w:vAlign w:val="bottom"/>
            <w:tcBorders>
              <w:bottom w:val="single" w:sz="8" w:color="483E65"/>
            </w:tcBorders>
          </w:tcPr>
          <w:p>
            <w:pPr>
              <w:jc w:val="right"/>
              <w:ind w:right="250"/>
              <w:spacing w:after="0"/>
              <w:rPr>
                <w:sz w:val="20"/>
                <w:szCs w:val="20"/>
                <w:color w:val="auto"/>
              </w:rPr>
            </w:pPr>
            <w:r>
              <w:rPr>
                <w:rFonts w:ascii="Arial" w:cs="Arial" w:eastAsia="Arial" w:hAnsi="Arial"/>
                <w:sz w:val="18"/>
                <w:szCs w:val="18"/>
                <w:color w:val="483E65"/>
              </w:rPr>
              <w:t>units</w:t>
            </w:r>
            <w:r>
              <w:rPr>
                <w:rFonts w:ascii="Arial" w:cs="Arial" w:eastAsia="Arial" w:hAnsi="Arial"/>
                <w:sz w:val="15"/>
                <w:szCs w:val="15"/>
                <w:color w:val="483E65"/>
              </w:rPr>
              <w:t>(1)</w:t>
            </w:r>
          </w:p>
        </w:tc>
        <w:tc>
          <w:tcPr>
            <w:tcW w:w="1380" w:type="dxa"/>
            <w:vAlign w:val="bottom"/>
            <w:tcBorders>
              <w:bottom w:val="single" w:sz="8" w:color="483E65"/>
            </w:tcBorders>
          </w:tcPr>
          <w:p>
            <w:pPr>
              <w:jc w:val="center"/>
              <w:spacing w:after="0"/>
              <w:rPr>
                <w:sz w:val="20"/>
                <w:szCs w:val="20"/>
                <w:color w:val="auto"/>
              </w:rPr>
            </w:pPr>
            <w:r>
              <w:rPr>
                <w:rFonts w:ascii="Arial" w:cs="Arial" w:eastAsia="Arial" w:hAnsi="Arial"/>
                <w:sz w:val="18"/>
                <w:szCs w:val="18"/>
                <w:color w:val="483E65"/>
              </w:rPr>
              <w:t>RSUs</w:t>
            </w:r>
            <w:r>
              <w:rPr>
                <w:rFonts w:ascii="Arial" w:cs="Arial" w:eastAsia="Arial" w:hAnsi="Arial"/>
                <w:sz w:val="15"/>
                <w:szCs w:val="15"/>
                <w:color w:val="483E65"/>
              </w:rPr>
              <w:t>(2)</w:t>
            </w:r>
          </w:p>
        </w:tc>
        <w:tc>
          <w:tcPr>
            <w:tcW w:w="1240" w:type="dxa"/>
            <w:vAlign w:val="bottom"/>
            <w:tcBorders>
              <w:bottom w:val="single" w:sz="8" w:color="483E65"/>
            </w:tcBorders>
          </w:tcPr>
          <w:p>
            <w:pPr>
              <w:jc w:val="center"/>
              <w:ind w:left="130"/>
              <w:spacing w:after="0"/>
              <w:rPr>
                <w:sz w:val="20"/>
                <w:szCs w:val="20"/>
                <w:color w:val="auto"/>
              </w:rPr>
            </w:pPr>
            <w:r>
              <w:rPr>
                <w:rFonts w:ascii="Arial" w:cs="Arial" w:eastAsia="Arial" w:hAnsi="Arial"/>
                <w:sz w:val="18"/>
                <w:szCs w:val="18"/>
                <w:color w:val="483E65"/>
              </w:rPr>
              <w:t>owned</w:t>
            </w:r>
          </w:p>
        </w:tc>
      </w:tr>
      <w:tr>
        <w:trPr>
          <w:trHeight w:val="195"/>
        </w:trPr>
        <w:tc>
          <w:tcPr>
            <w:tcW w:w="6160" w:type="dxa"/>
            <w:vAlign w:val="bottom"/>
          </w:tcPr>
          <w:p>
            <w:pPr>
              <w:ind w:left="100"/>
              <w:spacing w:after="0" w:line="195" w:lineRule="exact"/>
              <w:rPr>
                <w:sz w:val="20"/>
                <w:szCs w:val="20"/>
                <w:color w:val="auto"/>
              </w:rPr>
            </w:pPr>
            <w:r>
              <w:rPr>
                <w:rFonts w:ascii="Arial" w:cs="Arial" w:eastAsia="Arial" w:hAnsi="Arial"/>
                <w:sz w:val="18"/>
                <w:szCs w:val="18"/>
                <w:color w:val="483E65"/>
              </w:rPr>
              <w:t>Directors</w:t>
            </w:r>
          </w:p>
        </w:tc>
        <w:tc>
          <w:tcPr>
            <w:tcW w:w="15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03"/>
        </w:trPr>
        <w:tc>
          <w:tcPr>
            <w:tcW w:w="6160" w:type="dxa"/>
            <w:vAlign w:val="bottom"/>
          </w:tcPr>
          <w:p>
            <w:pPr>
              <w:ind w:left="280"/>
              <w:spacing w:after="0" w:line="203" w:lineRule="exact"/>
              <w:rPr>
                <w:sz w:val="20"/>
                <w:szCs w:val="20"/>
                <w:color w:val="auto"/>
              </w:rPr>
            </w:pPr>
            <w:r>
              <w:rPr>
                <w:rFonts w:ascii="Arial" w:cs="Arial" w:eastAsia="Arial" w:hAnsi="Arial"/>
                <w:sz w:val="18"/>
                <w:szCs w:val="18"/>
                <w:color w:val="auto"/>
              </w:rPr>
              <w:t>Gregory R. Dahlberg</w:t>
            </w:r>
          </w:p>
        </w:tc>
        <w:tc>
          <w:tcPr>
            <w:tcW w:w="1520" w:type="dxa"/>
            <w:vAlign w:val="bottom"/>
          </w:tcPr>
          <w:p>
            <w:pPr>
              <w:jc w:val="right"/>
              <w:ind w:right="310"/>
              <w:spacing w:after="0" w:line="203" w:lineRule="exact"/>
              <w:rPr>
                <w:sz w:val="20"/>
                <w:szCs w:val="20"/>
                <w:color w:val="auto"/>
              </w:rPr>
            </w:pPr>
            <w:r>
              <w:rPr>
                <w:rFonts w:ascii="Arial" w:cs="Arial" w:eastAsia="Arial" w:hAnsi="Arial"/>
                <w:sz w:val="18"/>
                <w:szCs w:val="18"/>
                <w:color w:val="auto"/>
              </w:rPr>
              <w:t>—</w:t>
            </w:r>
          </w:p>
        </w:tc>
        <w:tc>
          <w:tcPr>
            <w:tcW w:w="1120" w:type="dxa"/>
            <w:vAlign w:val="bottom"/>
          </w:tcPr>
          <w:p>
            <w:pPr>
              <w:jc w:val="right"/>
              <w:ind w:right="130"/>
              <w:spacing w:after="0" w:line="203" w:lineRule="exact"/>
              <w:rPr>
                <w:sz w:val="20"/>
                <w:szCs w:val="20"/>
                <w:color w:val="auto"/>
              </w:rPr>
            </w:pPr>
            <w:r>
              <w:rPr>
                <w:rFonts w:ascii="Arial" w:cs="Arial" w:eastAsia="Arial" w:hAnsi="Arial"/>
                <w:sz w:val="18"/>
                <w:szCs w:val="18"/>
                <w:color w:val="auto"/>
              </w:rPr>
              <w:t>—</w:t>
            </w:r>
          </w:p>
        </w:tc>
        <w:tc>
          <w:tcPr>
            <w:tcW w:w="1380" w:type="dxa"/>
            <w:vAlign w:val="bottom"/>
          </w:tcPr>
          <w:p>
            <w:pPr>
              <w:jc w:val="right"/>
              <w:ind w:right="150"/>
              <w:spacing w:after="0" w:line="203" w:lineRule="exact"/>
              <w:rPr>
                <w:sz w:val="20"/>
                <w:szCs w:val="20"/>
                <w:color w:val="auto"/>
              </w:rPr>
            </w:pPr>
            <w:r>
              <w:rPr>
                <w:rFonts w:ascii="Arial" w:cs="Arial" w:eastAsia="Arial" w:hAnsi="Arial"/>
                <w:sz w:val="18"/>
                <w:szCs w:val="18"/>
                <w:color w:val="auto"/>
              </w:rPr>
              <w:t>7,712</w:t>
            </w:r>
          </w:p>
        </w:tc>
        <w:tc>
          <w:tcPr>
            <w:tcW w:w="1240" w:type="dxa"/>
            <w:vAlign w:val="bottom"/>
          </w:tcPr>
          <w:p>
            <w:pPr>
              <w:jc w:val="right"/>
              <w:spacing w:after="0" w:line="203" w:lineRule="exact"/>
              <w:rPr>
                <w:sz w:val="20"/>
                <w:szCs w:val="20"/>
                <w:color w:val="auto"/>
              </w:rPr>
            </w:pPr>
            <w:r>
              <w:rPr>
                <w:rFonts w:ascii="Arial" w:cs="Arial" w:eastAsia="Arial" w:hAnsi="Arial"/>
                <w:sz w:val="18"/>
                <w:szCs w:val="18"/>
                <w:color w:val="auto"/>
              </w:rPr>
              <w:t>7,712</w:t>
            </w:r>
          </w:p>
        </w:tc>
      </w:tr>
      <w:tr>
        <w:trPr>
          <w:trHeight w:val="203"/>
        </w:trPr>
        <w:tc>
          <w:tcPr>
            <w:tcW w:w="6160" w:type="dxa"/>
            <w:vAlign w:val="bottom"/>
            <w:shd w:val="clear" w:color="auto" w:fill="ACABA7"/>
          </w:tcPr>
          <w:p>
            <w:pPr>
              <w:ind w:left="280"/>
              <w:spacing w:after="0" w:line="202" w:lineRule="exact"/>
              <w:rPr>
                <w:sz w:val="20"/>
                <w:szCs w:val="20"/>
                <w:color w:val="auto"/>
              </w:rPr>
            </w:pPr>
            <w:r>
              <w:rPr>
                <w:rFonts w:ascii="Arial" w:cs="Arial" w:eastAsia="Arial" w:hAnsi="Arial"/>
                <w:sz w:val="18"/>
                <w:szCs w:val="18"/>
                <w:color w:val="auto"/>
              </w:rPr>
              <w:t>David G. Fubini</w:t>
            </w:r>
          </w:p>
        </w:tc>
        <w:tc>
          <w:tcPr>
            <w:tcW w:w="1520" w:type="dxa"/>
            <w:vAlign w:val="bottom"/>
            <w:shd w:val="clear" w:color="auto" w:fill="ACABA7"/>
          </w:tcPr>
          <w:p>
            <w:pPr>
              <w:jc w:val="right"/>
              <w:ind w:right="310"/>
              <w:spacing w:after="0" w:line="202" w:lineRule="exact"/>
              <w:rPr>
                <w:sz w:val="20"/>
                <w:szCs w:val="20"/>
                <w:color w:val="auto"/>
              </w:rPr>
            </w:pPr>
            <w:r>
              <w:rPr>
                <w:rFonts w:ascii="Arial" w:cs="Arial" w:eastAsia="Arial" w:hAnsi="Arial"/>
                <w:sz w:val="18"/>
                <w:szCs w:val="18"/>
                <w:color w:val="auto"/>
              </w:rPr>
              <w:t>7,385</w:t>
            </w:r>
          </w:p>
        </w:tc>
        <w:tc>
          <w:tcPr>
            <w:tcW w:w="1120" w:type="dxa"/>
            <w:vAlign w:val="bottom"/>
            <w:shd w:val="clear" w:color="auto" w:fill="ACABA7"/>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1380" w:type="dxa"/>
            <w:vAlign w:val="bottom"/>
            <w:shd w:val="clear" w:color="auto" w:fill="ACABA7"/>
          </w:tcPr>
          <w:p>
            <w:pPr>
              <w:jc w:val="right"/>
              <w:ind w:right="150"/>
              <w:spacing w:after="0" w:line="202" w:lineRule="exact"/>
              <w:rPr>
                <w:sz w:val="20"/>
                <w:szCs w:val="20"/>
                <w:color w:val="auto"/>
              </w:rPr>
            </w:pPr>
            <w:r>
              <w:rPr>
                <w:rFonts w:ascii="Arial" w:cs="Arial" w:eastAsia="Arial" w:hAnsi="Arial"/>
                <w:sz w:val="18"/>
                <w:szCs w:val="18"/>
                <w:color w:val="auto"/>
              </w:rPr>
              <w:t>40,064</w:t>
            </w:r>
          </w:p>
        </w:tc>
        <w:tc>
          <w:tcPr>
            <w:tcW w:w="1240" w:type="dxa"/>
            <w:vAlign w:val="bottom"/>
            <w:shd w:val="clear" w:color="auto" w:fill="ACABA7"/>
          </w:tcPr>
          <w:p>
            <w:pPr>
              <w:jc w:val="right"/>
              <w:spacing w:after="0" w:line="202" w:lineRule="exact"/>
              <w:rPr>
                <w:sz w:val="20"/>
                <w:szCs w:val="20"/>
                <w:color w:val="auto"/>
              </w:rPr>
            </w:pPr>
            <w:r>
              <w:rPr>
                <w:rFonts w:ascii="Arial" w:cs="Arial" w:eastAsia="Arial" w:hAnsi="Arial"/>
                <w:sz w:val="18"/>
                <w:szCs w:val="18"/>
                <w:color w:val="auto"/>
              </w:rPr>
              <w:t>47,449</w:t>
            </w:r>
          </w:p>
        </w:tc>
      </w:tr>
      <w:tr>
        <w:trPr>
          <w:trHeight w:val="203"/>
        </w:trPr>
        <w:tc>
          <w:tcPr>
            <w:tcW w:w="6160" w:type="dxa"/>
            <w:vAlign w:val="bottom"/>
          </w:tcPr>
          <w:p>
            <w:pPr>
              <w:ind w:left="280"/>
              <w:spacing w:after="0" w:line="202" w:lineRule="exact"/>
              <w:rPr>
                <w:sz w:val="20"/>
                <w:szCs w:val="20"/>
                <w:color w:val="auto"/>
              </w:rPr>
            </w:pPr>
            <w:r>
              <w:rPr>
                <w:rFonts w:ascii="Arial" w:cs="Arial" w:eastAsia="Arial" w:hAnsi="Arial"/>
                <w:sz w:val="18"/>
                <w:szCs w:val="18"/>
                <w:color w:val="auto"/>
              </w:rPr>
              <w:t>Miriam E. John</w:t>
            </w:r>
          </w:p>
        </w:tc>
        <w:tc>
          <w:tcPr>
            <w:tcW w:w="1520" w:type="dxa"/>
            <w:vAlign w:val="bottom"/>
          </w:tcPr>
          <w:p>
            <w:pPr>
              <w:jc w:val="right"/>
              <w:ind w:right="310"/>
              <w:spacing w:after="0" w:line="202" w:lineRule="exact"/>
              <w:rPr>
                <w:sz w:val="20"/>
                <w:szCs w:val="20"/>
                <w:color w:val="auto"/>
              </w:rPr>
            </w:pPr>
            <w:r>
              <w:rPr>
                <w:rFonts w:ascii="Arial" w:cs="Arial" w:eastAsia="Arial" w:hAnsi="Arial"/>
                <w:sz w:val="18"/>
                <w:szCs w:val="18"/>
                <w:color w:val="auto"/>
              </w:rPr>
              <w:t>2,337</w:t>
            </w:r>
          </w:p>
        </w:tc>
        <w:tc>
          <w:tcPr>
            <w:tcW w:w="112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63,094</w:t>
            </w:r>
          </w:p>
        </w:tc>
        <w:tc>
          <w:tcPr>
            <w:tcW w:w="138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54,047</w:t>
            </w: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119,478</w:t>
            </w:r>
          </w:p>
        </w:tc>
      </w:tr>
      <w:tr>
        <w:trPr>
          <w:trHeight w:val="203"/>
        </w:trPr>
        <w:tc>
          <w:tcPr>
            <w:tcW w:w="6160" w:type="dxa"/>
            <w:vAlign w:val="bottom"/>
            <w:shd w:val="clear" w:color="auto" w:fill="ACABA7"/>
          </w:tcPr>
          <w:p>
            <w:pPr>
              <w:ind w:left="280"/>
              <w:spacing w:after="0" w:line="202" w:lineRule="exact"/>
              <w:rPr>
                <w:sz w:val="20"/>
                <w:szCs w:val="20"/>
                <w:color w:val="auto"/>
              </w:rPr>
            </w:pPr>
            <w:r>
              <w:rPr>
                <w:rFonts w:ascii="Arial" w:cs="Arial" w:eastAsia="Arial" w:hAnsi="Arial"/>
                <w:sz w:val="18"/>
                <w:szCs w:val="18"/>
                <w:color w:val="auto"/>
              </w:rPr>
              <w:t>John P. Jumper</w:t>
            </w:r>
          </w:p>
        </w:tc>
        <w:tc>
          <w:tcPr>
            <w:tcW w:w="1520" w:type="dxa"/>
            <w:vAlign w:val="bottom"/>
            <w:shd w:val="clear" w:color="auto" w:fill="ACABA7"/>
          </w:tcPr>
          <w:p>
            <w:pPr>
              <w:jc w:val="right"/>
              <w:ind w:right="130"/>
              <w:spacing w:after="0" w:line="202" w:lineRule="exact"/>
              <w:rPr>
                <w:sz w:val="20"/>
                <w:szCs w:val="20"/>
                <w:color w:val="auto"/>
              </w:rPr>
            </w:pPr>
            <w:r>
              <w:rPr>
                <w:rFonts w:ascii="Arial" w:cs="Arial" w:eastAsia="Arial" w:hAnsi="Arial"/>
                <w:sz w:val="18"/>
                <w:szCs w:val="18"/>
                <w:color w:val="auto"/>
              </w:rPr>
              <w:t>140,847</w:t>
            </w:r>
            <w:r>
              <w:rPr>
                <w:rFonts w:ascii="Arial" w:cs="Arial" w:eastAsia="Arial" w:hAnsi="Arial"/>
                <w:sz w:val="15"/>
                <w:szCs w:val="15"/>
                <w:color w:val="auto"/>
              </w:rPr>
              <w:t>(3)</w:t>
            </w:r>
          </w:p>
        </w:tc>
        <w:tc>
          <w:tcPr>
            <w:tcW w:w="1120" w:type="dxa"/>
            <w:vAlign w:val="bottom"/>
            <w:shd w:val="clear" w:color="auto" w:fill="ACABA7"/>
          </w:tcPr>
          <w:p>
            <w:pPr>
              <w:jc w:val="right"/>
              <w:ind w:right="130"/>
              <w:spacing w:after="0" w:line="202" w:lineRule="exact"/>
              <w:rPr>
                <w:sz w:val="20"/>
                <w:szCs w:val="20"/>
                <w:color w:val="auto"/>
              </w:rPr>
            </w:pPr>
            <w:r>
              <w:rPr>
                <w:rFonts w:ascii="Arial" w:cs="Arial" w:eastAsia="Arial" w:hAnsi="Arial"/>
                <w:sz w:val="18"/>
                <w:szCs w:val="18"/>
                <w:color w:val="auto"/>
              </w:rPr>
              <w:t>6,912</w:t>
            </w:r>
          </w:p>
        </w:tc>
        <w:tc>
          <w:tcPr>
            <w:tcW w:w="1380" w:type="dxa"/>
            <w:vAlign w:val="bottom"/>
            <w:shd w:val="clear" w:color="auto" w:fill="ACABA7"/>
          </w:tcPr>
          <w:p>
            <w:pPr>
              <w:jc w:val="right"/>
              <w:ind w:right="150"/>
              <w:spacing w:after="0" w:line="202" w:lineRule="exact"/>
              <w:rPr>
                <w:sz w:val="20"/>
                <w:szCs w:val="20"/>
                <w:color w:val="auto"/>
              </w:rPr>
            </w:pPr>
            <w:r>
              <w:rPr>
                <w:rFonts w:ascii="Arial" w:cs="Arial" w:eastAsia="Arial" w:hAnsi="Arial"/>
                <w:sz w:val="18"/>
                <w:szCs w:val="18"/>
                <w:color w:val="auto"/>
              </w:rPr>
              <w:t>290,618</w:t>
            </w:r>
          </w:p>
        </w:tc>
        <w:tc>
          <w:tcPr>
            <w:tcW w:w="1240" w:type="dxa"/>
            <w:vAlign w:val="bottom"/>
            <w:shd w:val="clear" w:color="auto" w:fill="ACABA7"/>
          </w:tcPr>
          <w:p>
            <w:pPr>
              <w:jc w:val="right"/>
              <w:spacing w:after="0" w:line="202" w:lineRule="exact"/>
              <w:rPr>
                <w:sz w:val="20"/>
                <w:szCs w:val="20"/>
                <w:color w:val="auto"/>
              </w:rPr>
            </w:pPr>
            <w:r>
              <w:rPr>
                <w:rFonts w:ascii="Arial" w:cs="Arial" w:eastAsia="Arial" w:hAnsi="Arial"/>
                <w:sz w:val="18"/>
                <w:szCs w:val="18"/>
                <w:color w:val="auto"/>
              </w:rPr>
              <w:t>438,377</w:t>
            </w:r>
          </w:p>
        </w:tc>
      </w:tr>
      <w:tr>
        <w:trPr>
          <w:trHeight w:val="203"/>
        </w:trPr>
        <w:tc>
          <w:tcPr>
            <w:tcW w:w="6160" w:type="dxa"/>
            <w:vAlign w:val="bottom"/>
          </w:tcPr>
          <w:p>
            <w:pPr>
              <w:ind w:left="280"/>
              <w:spacing w:after="0" w:line="202" w:lineRule="exact"/>
              <w:rPr>
                <w:sz w:val="20"/>
                <w:szCs w:val="20"/>
                <w:color w:val="auto"/>
              </w:rPr>
            </w:pPr>
            <w:r>
              <w:rPr>
                <w:rFonts w:ascii="Arial" w:cs="Arial" w:eastAsia="Arial" w:hAnsi="Arial"/>
                <w:sz w:val="18"/>
                <w:szCs w:val="18"/>
                <w:color w:val="auto"/>
              </w:rPr>
              <w:t>Harry M. J. Kraemer, Jr.</w:t>
            </w:r>
          </w:p>
        </w:tc>
        <w:tc>
          <w:tcPr>
            <w:tcW w:w="1520" w:type="dxa"/>
            <w:vAlign w:val="bottom"/>
          </w:tcPr>
          <w:p>
            <w:pPr>
              <w:jc w:val="right"/>
              <w:ind w:right="310"/>
              <w:spacing w:after="0" w:line="202" w:lineRule="exact"/>
              <w:rPr>
                <w:sz w:val="20"/>
                <w:szCs w:val="20"/>
                <w:color w:val="auto"/>
              </w:rPr>
            </w:pPr>
            <w:r>
              <w:rPr>
                <w:rFonts w:ascii="Arial" w:cs="Arial" w:eastAsia="Arial" w:hAnsi="Arial"/>
                <w:sz w:val="18"/>
                <w:szCs w:val="18"/>
                <w:color w:val="auto"/>
              </w:rPr>
              <w:t>58,187</w:t>
            </w:r>
          </w:p>
        </w:tc>
        <w:tc>
          <w:tcPr>
            <w:tcW w:w="112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100,125</w:t>
            </w:r>
          </w:p>
        </w:tc>
        <w:tc>
          <w:tcPr>
            <w:tcW w:w="138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54,047</w:t>
            </w: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212,359</w:t>
            </w:r>
          </w:p>
        </w:tc>
      </w:tr>
      <w:tr>
        <w:trPr>
          <w:trHeight w:val="203"/>
        </w:trPr>
        <w:tc>
          <w:tcPr>
            <w:tcW w:w="6160" w:type="dxa"/>
            <w:vAlign w:val="bottom"/>
            <w:shd w:val="clear" w:color="auto" w:fill="ACABA7"/>
          </w:tcPr>
          <w:p>
            <w:pPr>
              <w:ind w:left="280"/>
              <w:spacing w:after="0" w:line="202" w:lineRule="exact"/>
              <w:rPr>
                <w:sz w:val="20"/>
                <w:szCs w:val="20"/>
                <w:color w:val="auto"/>
              </w:rPr>
            </w:pPr>
            <w:r>
              <w:rPr>
                <w:rFonts w:ascii="Arial" w:cs="Arial" w:eastAsia="Arial" w:hAnsi="Arial"/>
                <w:sz w:val="18"/>
                <w:szCs w:val="18"/>
                <w:color w:val="auto"/>
              </w:rPr>
              <w:t>Gary S. May</w:t>
            </w:r>
          </w:p>
        </w:tc>
        <w:tc>
          <w:tcPr>
            <w:tcW w:w="1520" w:type="dxa"/>
            <w:vAlign w:val="bottom"/>
            <w:shd w:val="clear" w:color="auto" w:fill="ACABA7"/>
          </w:tcPr>
          <w:p>
            <w:pPr>
              <w:jc w:val="right"/>
              <w:ind w:right="310"/>
              <w:spacing w:after="0" w:line="202" w:lineRule="exact"/>
              <w:rPr>
                <w:sz w:val="20"/>
                <w:szCs w:val="20"/>
                <w:color w:val="auto"/>
              </w:rPr>
            </w:pPr>
            <w:r>
              <w:rPr>
                <w:rFonts w:ascii="Arial" w:cs="Arial" w:eastAsia="Arial" w:hAnsi="Arial"/>
                <w:sz w:val="18"/>
                <w:szCs w:val="18"/>
                <w:color w:val="auto"/>
              </w:rPr>
              <w:t>3,063</w:t>
            </w:r>
          </w:p>
        </w:tc>
        <w:tc>
          <w:tcPr>
            <w:tcW w:w="1120" w:type="dxa"/>
            <w:vAlign w:val="bottom"/>
            <w:shd w:val="clear" w:color="auto" w:fill="ACABA7"/>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1380" w:type="dxa"/>
            <w:vAlign w:val="bottom"/>
            <w:shd w:val="clear" w:color="auto" w:fill="ACABA7"/>
          </w:tcPr>
          <w:p>
            <w:pPr>
              <w:jc w:val="right"/>
              <w:ind w:right="150"/>
              <w:spacing w:after="0" w:line="202" w:lineRule="exact"/>
              <w:rPr>
                <w:sz w:val="20"/>
                <w:szCs w:val="20"/>
                <w:color w:val="auto"/>
              </w:rPr>
            </w:pPr>
            <w:r>
              <w:rPr>
                <w:rFonts w:ascii="Arial" w:cs="Arial" w:eastAsia="Arial" w:hAnsi="Arial"/>
                <w:sz w:val="18"/>
                <w:szCs w:val="18"/>
                <w:color w:val="auto"/>
              </w:rPr>
              <w:t>21,865</w:t>
            </w:r>
          </w:p>
        </w:tc>
        <w:tc>
          <w:tcPr>
            <w:tcW w:w="1240" w:type="dxa"/>
            <w:vAlign w:val="bottom"/>
            <w:shd w:val="clear" w:color="auto" w:fill="ACABA7"/>
          </w:tcPr>
          <w:p>
            <w:pPr>
              <w:jc w:val="right"/>
              <w:spacing w:after="0" w:line="202" w:lineRule="exact"/>
              <w:rPr>
                <w:sz w:val="20"/>
                <w:szCs w:val="20"/>
                <w:color w:val="auto"/>
              </w:rPr>
            </w:pPr>
            <w:r>
              <w:rPr>
                <w:rFonts w:ascii="Arial" w:cs="Arial" w:eastAsia="Arial" w:hAnsi="Arial"/>
                <w:sz w:val="18"/>
                <w:szCs w:val="18"/>
                <w:color w:val="auto"/>
              </w:rPr>
              <w:t>24,928</w:t>
            </w:r>
          </w:p>
        </w:tc>
      </w:tr>
      <w:tr>
        <w:trPr>
          <w:trHeight w:val="203"/>
        </w:trPr>
        <w:tc>
          <w:tcPr>
            <w:tcW w:w="6160" w:type="dxa"/>
            <w:vAlign w:val="bottom"/>
          </w:tcPr>
          <w:p>
            <w:pPr>
              <w:ind w:left="280"/>
              <w:spacing w:after="0" w:line="202" w:lineRule="exact"/>
              <w:rPr>
                <w:sz w:val="20"/>
                <w:szCs w:val="20"/>
                <w:color w:val="auto"/>
              </w:rPr>
            </w:pPr>
            <w:r>
              <w:rPr>
                <w:rFonts w:ascii="Arial" w:cs="Arial" w:eastAsia="Arial" w:hAnsi="Arial"/>
                <w:sz w:val="18"/>
                <w:szCs w:val="18"/>
                <w:color w:val="auto"/>
              </w:rPr>
              <w:t>Surya N. Mohapatra</w:t>
            </w:r>
          </w:p>
        </w:tc>
        <w:tc>
          <w:tcPr>
            <w:tcW w:w="1520" w:type="dxa"/>
            <w:vAlign w:val="bottom"/>
          </w:tcPr>
          <w:p>
            <w:pPr>
              <w:jc w:val="right"/>
              <w:ind w:right="310"/>
              <w:spacing w:after="0" w:line="202" w:lineRule="exact"/>
              <w:rPr>
                <w:sz w:val="20"/>
                <w:szCs w:val="20"/>
                <w:color w:val="auto"/>
              </w:rPr>
            </w:pPr>
            <w:r>
              <w:rPr>
                <w:rFonts w:ascii="Arial" w:cs="Arial" w:eastAsia="Arial" w:hAnsi="Arial"/>
                <w:sz w:val="18"/>
                <w:szCs w:val="18"/>
                <w:color w:val="auto"/>
              </w:rPr>
              <w:t>6,900</w:t>
            </w:r>
          </w:p>
        </w:tc>
        <w:tc>
          <w:tcPr>
            <w:tcW w:w="112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138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7,712</w:t>
            </w: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14,612</w:t>
            </w:r>
          </w:p>
        </w:tc>
      </w:tr>
      <w:tr>
        <w:trPr>
          <w:trHeight w:val="203"/>
        </w:trPr>
        <w:tc>
          <w:tcPr>
            <w:tcW w:w="6160" w:type="dxa"/>
            <w:vAlign w:val="bottom"/>
            <w:shd w:val="clear" w:color="auto" w:fill="ACABA7"/>
          </w:tcPr>
          <w:p>
            <w:pPr>
              <w:ind w:left="280"/>
              <w:spacing w:after="0" w:line="202" w:lineRule="exact"/>
              <w:rPr>
                <w:sz w:val="20"/>
                <w:szCs w:val="20"/>
                <w:color w:val="auto"/>
              </w:rPr>
            </w:pPr>
            <w:r>
              <w:rPr>
                <w:rFonts w:ascii="Arial" w:cs="Arial" w:eastAsia="Arial" w:hAnsi="Arial"/>
                <w:sz w:val="18"/>
                <w:szCs w:val="18"/>
                <w:color w:val="auto"/>
              </w:rPr>
              <w:t>Lawrence C. Nussdorf</w:t>
            </w:r>
          </w:p>
        </w:tc>
        <w:tc>
          <w:tcPr>
            <w:tcW w:w="1520" w:type="dxa"/>
            <w:vAlign w:val="bottom"/>
            <w:shd w:val="clear" w:color="auto" w:fill="ACABA7"/>
          </w:tcPr>
          <w:p>
            <w:pPr>
              <w:jc w:val="right"/>
              <w:ind w:right="310"/>
              <w:spacing w:after="0" w:line="202" w:lineRule="exact"/>
              <w:rPr>
                <w:sz w:val="20"/>
                <w:szCs w:val="20"/>
                <w:color w:val="auto"/>
              </w:rPr>
            </w:pPr>
            <w:r>
              <w:rPr>
                <w:rFonts w:ascii="Arial" w:cs="Arial" w:eastAsia="Arial" w:hAnsi="Arial"/>
                <w:sz w:val="18"/>
                <w:szCs w:val="18"/>
                <w:color w:val="auto"/>
              </w:rPr>
              <w:t>20,563</w:t>
            </w:r>
          </w:p>
        </w:tc>
        <w:tc>
          <w:tcPr>
            <w:tcW w:w="1120" w:type="dxa"/>
            <w:vAlign w:val="bottom"/>
            <w:shd w:val="clear" w:color="auto" w:fill="ACABA7"/>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1380" w:type="dxa"/>
            <w:vAlign w:val="bottom"/>
            <w:shd w:val="clear" w:color="auto" w:fill="ACABA7"/>
          </w:tcPr>
          <w:p>
            <w:pPr>
              <w:jc w:val="right"/>
              <w:ind w:right="150"/>
              <w:spacing w:after="0" w:line="202" w:lineRule="exact"/>
              <w:rPr>
                <w:sz w:val="20"/>
                <w:szCs w:val="20"/>
                <w:color w:val="auto"/>
              </w:rPr>
            </w:pPr>
            <w:r>
              <w:rPr>
                <w:rFonts w:ascii="Arial" w:cs="Arial" w:eastAsia="Arial" w:hAnsi="Arial"/>
                <w:sz w:val="18"/>
                <w:szCs w:val="18"/>
                <w:color w:val="auto"/>
              </w:rPr>
              <w:t>54,047</w:t>
            </w:r>
          </w:p>
        </w:tc>
        <w:tc>
          <w:tcPr>
            <w:tcW w:w="1240" w:type="dxa"/>
            <w:vAlign w:val="bottom"/>
            <w:shd w:val="clear" w:color="auto" w:fill="ACABA7"/>
          </w:tcPr>
          <w:p>
            <w:pPr>
              <w:jc w:val="right"/>
              <w:spacing w:after="0" w:line="202" w:lineRule="exact"/>
              <w:rPr>
                <w:sz w:val="20"/>
                <w:szCs w:val="20"/>
                <w:color w:val="auto"/>
              </w:rPr>
            </w:pPr>
            <w:r>
              <w:rPr>
                <w:rFonts w:ascii="Arial" w:cs="Arial" w:eastAsia="Arial" w:hAnsi="Arial"/>
                <w:sz w:val="18"/>
                <w:szCs w:val="18"/>
                <w:color w:val="auto"/>
              </w:rPr>
              <w:t>74,610</w:t>
            </w:r>
          </w:p>
        </w:tc>
      </w:tr>
      <w:tr>
        <w:trPr>
          <w:trHeight w:val="203"/>
        </w:trPr>
        <w:tc>
          <w:tcPr>
            <w:tcW w:w="6160" w:type="dxa"/>
            <w:vAlign w:val="bottom"/>
          </w:tcPr>
          <w:p>
            <w:pPr>
              <w:ind w:left="280"/>
              <w:spacing w:after="0" w:line="202" w:lineRule="exact"/>
              <w:rPr>
                <w:sz w:val="20"/>
                <w:szCs w:val="20"/>
                <w:color w:val="auto"/>
              </w:rPr>
            </w:pPr>
            <w:r>
              <w:rPr>
                <w:rFonts w:ascii="Arial" w:cs="Arial" w:eastAsia="Arial" w:hAnsi="Arial"/>
                <w:sz w:val="18"/>
                <w:szCs w:val="18"/>
                <w:color w:val="auto"/>
              </w:rPr>
              <w:t>Robert S. Shapard</w:t>
            </w:r>
          </w:p>
        </w:tc>
        <w:tc>
          <w:tcPr>
            <w:tcW w:w="1520" w:type="dxa"/>
            <w:vAlign w:val="bottom"/>
          </w:tcPr>
          <w:p>
            <w:pPr>
              <w:jc w:val="right"/>
              <w:ind w:right="310"/>
              <w:spacing w:after="0" w:line="202" w:lineRule="exact"/>
              <w:rPr>
                <w:sz w:val="20"/>
                <w:szCs w:val="20"/>
                <w:color w:val="auto"/>
              </w:rPr>
            </w:pPr>
            <w:r>
              <w:rPr>
                <w:rFonts w:ascii="Arial" w:cs="Arial" w:eastAsia="Arial" w:hAnsi="Arial"/>
                <w:sz w:val="18"/>
                <w:szCs w:val="18"/>
                <w:color w:val="auto"/>
              </w:rPr>
              <w:t>11,385</w:t>
            </w:r>
          </w:p>
        </w:tc>
        <w:tc>
          <w:tcPr>
            <w:tcW w:w="112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138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40,064</w:t>
            </w: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51,449</w:t>
            </w:r>
          </w:p>
        </w:tc>
      </w:tr>
      <w:tr>
        <w:trPr>
          <w:trHeight w:val="203"/>
        </w:trPr>
        <w:tc>
          <w:tcPr>
            <w:tcW w:w="6160" w:type="dxa"/>
            <w:vAlign w:val="bottom"/>
            <w:shd w:val="clear" w:color="auto" w:fill="ACABA7"/>
          </w:tcPr>
          <w:p>
            <w:pPr>
              <w:ind w:left="280"/>
              <w:spacing w:after="0" w:line="202" w:lineRule="exact"/>
              <w:rPr>
                <w:sz w:val="20"/>
                <w:szCs w:val="20"/>
                <w:color w:val="auto"/>
              </w:rPr>
            </w:pPr>
            <w:r>
              <w:rPr>
                <w:rFonts w:ascii="Arial" w:cs="Arial" w:eastAsia="Arial" w:hAnsi="Arial"/>
                <w:sz w:val="18"/>
                <w:szCs w:val="18"/>
                <w:color w:val="auto"/>
              </w:rPr>
              <w:t>Susan M. Stalnecker</w:t>
            </w:r>
          </w:p>
        </w:tc>
        <w:tc>
          <w:tcPr>
            <w:tcW w:w="1520" w:type="dxa"/>
            <w:vAlign w:val="bottom"/>
            <w:shd w:val="clear" w:color="auto" w:fill="ACABA7"/>
          </w:tcPr>
          <w:p>
            <w:pPr>
              <w:jc w:val="right"/>
              <w:ind w:right="310"/>
              <w:spacing w:after="0" w:line="202" w:lineRule="exact"/>
              <w:rPr>
                <w:sz w:val="20"/>
                <w:szCs w:val="20"/>
                <w:color w:val="auto"/>
              </w:rPr>
            </w:pPr>
            <w:r>
              <w:rPr>
                <w:rFonts w:ascii="Arial" w:cs="Arial" w:eastAsia="Arial" w:hAnsi="Arial"/>
                <w:sz w:val="18"/>
                <w:szCs w:val="18"/>
                <w:color w:val="auto"/>
              </w:rPr>
              <w:t>—</w:t>
            </w:r>
          </w:p>
        </w:tc>
        <w:tc>
          <w:tcPr>
            <w:tcW w:w="1120" w:type="dxa"/>
            <w:vAlign w:val="bottom"/>
            <w:shd w:val="clear" w:color="auto" w:fill="ACABA7"/>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1380" w:type="dxa"/>
            <w:vAlign w:val="bottom"/>
            <w:shd w:val="clear" w:color="auto" w:fill="ACABA7"/>
          </w:tcPr>
          <w:p>
            <w:pPr>
              <w:jc w:val="right"/>
              <w:ind w:right="150"/>
              <w:spacing w:after="0" w:line="202" w:lineRule="exact"/>
              <w:rPr>
                <w:sz w:val="20"/>
                <w:szCs w:val="20"/>
                <w:color w:val="auto"/>
              </w:rPr>
            </w:pPr>
            <w:r>
              <w:rPr>
                <w:rFonts w:ascii="Arial" w:cs="Arial" w:eastAsia="Arial" w:hAnsi="Arial"/>
                <w:sz w:val="18"/>
                <w:szCs w:val="18"/>
                <w:color w:val="auto"/>
              </w:rPr>
              <w:t>7,712</w:t>
            </w:r>
          </w:p>
        </w:tc>
        <w:tc>
          <w:tcPr>
            <w:tcW w:w="1240" w:type="dxa"/>
            <w:vAlign w:val="bottom"/>
            <w:shd w:val="clear" w:color="auto" w:fill="ACABA7"/>
          </w:tcPr>
          <w:p>
            <w:pPr>
              <w:jc w:val="right"/>
              <w:spacing w:after="0" w:line="202" w:lineRule="exact"/>
              <w:rPr>
                <w:sz w:val="20"/>
                <w:szCs w:val="20"/>
                <w:color w:val="auto"/>
              </w:rPr>
            </w:pPr>
            <w:r>
              <w:rPr>
                <w:rFonts w:ascii="Arial" w:cs="Arial" w:eastAsia="Arial" w:hAnsi="Arial"/>
                <w:sz w:val="18"/>
                <w:szCs w:val="18"/>
                <w:color w:val="auto"/>
              </w:rPr>
              <w:t>7,712</w:t>
            </w:r>
          </w:p>
        </w:tc>
      </w:tr>
      <w:tr>
        <w:trPr>
          <w:trHeight w:val="203"/>
        </w:trPr>
        <w:tc>
          <w:tcPr>
            <w:tcW w:w="6160" w:type="dxa"/>
            <w:vAlign w:val="bottom"/>
          </w:tcPr>
          <w:p>
            <w:pPr>
              <w:ind w:left="280"/>
              <w:spacing w:after="0" w:line="202" w:lineRule="exact"/>
              <w:rPr>
                <w:sz w:val="20"/>
                <w:szCs w:val="20"/>
                <w:color w:val="auto"/>
              </w:rPr>
            </w:pPr>
            <w:r>
              <w:rPr>
                <w:rFonts w:ascii="Arial" w:cs="Arial" w:eastAsia="Arial" w:hAnsi="Arial"/>
                <w:sz w:val="18"/>
                <w:szCs w:val="18"/>
                <w:color w:val="auto"/>
              </w:rPr>
              <w:t>Noel B. Williams</w:t>
            </w:r>
          </w:p>
        </w:tc>
        <w:tc>
          <w:tcPr>
            <w:tcW w:w="1520" w:type="dxa"/>
            <w:vAlign w:val="bottom"/>
          </w:tcPr>
          <w:p>
            <w:pPr>
              <w:jc w:val="right"/>
              <w:ind w:right="310"/>
              <w:spacing w:after="0" w:line="202" w:lineRule="exact"/>
              <w:rPr>
                <w:sz w:val="20"/>
                <w:szCs w:val="20"/>
                <w:color w:val="auto"/>
              </w:rPr>
            </w:pPr>
            <w:r>
              <w:rPr>
                <w:rFonts w:ascii="Arial" w:cs="Arial" w:eastAsia="Arial" w:hAnsi="Arial"/>
                <w:sz w:val="18"/>
                <w:szCs w:val="18"/>
                <w:color w:val="auto"/>
              </w:rPr>
              <w:t>7,385</w:t>
            </w:r>
          </w:p>
        </w:tc>
        <w:tc>
          <w:tcPr>
            <w:tcW w:w="112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138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40,064</w:t>
            </w: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47,449</w:t>
            </w:r>
          </w:p>
        </w:tc>
      </w:tr>
      <w:tr>
        <w:trPr>
          <w:trHeight w:val="202"/>
        </w:trPr>
        <w:tc>
          <w:tcPr>
            <w:tcW w:w="6160" w:type="dxa"/>
            <w:vAlign w:val="bottom"/>
            <w:shd w:val="clear" w:color="auto" w:fill="ACABA7"/>
          </w:tcPr>
          <w:p>
            <w:pPr>
              <w:ind w:left="100"/>
              <w:spacing w:after="0" w:line="201" w:lineRule="exact"/>
              <w:rPr>
                <w:sz w:val="20"/>
                <w:szCs w:val="20"/>
                <w:color w:val="auto"/>
              </w:rPr>
            </w:pPr>
            <w:r>
              <w:rPr>
                <w:rFonts w:ascii="Arial" w:cs="Arial" w:eastAsia="Arial" w:hAnsi="Arial"/>
                <w:sz w:val="18"/>
                <w:szCs w:val="18"/>
                <w:color w:val="483E65"/>
              </w:rPr>
              <w:t>Named Executive Officers</w:t>
            </w:r>
          </w:p>
        </w:tc>
        <w:tc>
          <w:tcPr>
            <w:tcW w:w="1520" w:type="dxa"/>
            <w:vAlign w:val="bottom"/>
            <w:shd w:val="clear" w:color="auto" w:fill="ACABA7"/>
          </w:tcPr>
          <w:p>
            <w:pPr>
              <w:spacing w:after="0"/>
              <w:rPr>
                <w:sz w:val="17"/>
                <w:szCs w:val="17"/>
                <w:color w:val="auto"/>
              </w:rPr>
            </w:pPr>
          </w:p>
        </w:tc>
        <w:tc>
          <w:tcPr>
            <w:tcW w:w="1120" w:type="dxa"/>
            <w:vAlign w:val="bottom"/>
            <w:shd w:val="clear" w:color="auto" w:fill="ACABA7"/>
          </w:tcPr>
          <w:p>
            <w:pPr>
              <w:spacing w:after="0"/>
              <w:rPr>
                <w:sz w:val="17"/>
                <w:szCs w:val="17"/>
                <w:color w:val="auto"/>
              </w:rPr>
            </w:pPr>
          </w:p>
        </w:tc>
        <w:tc>
          <w:tcPr>
            <w:tcW w:w="1380" w:type="dxa"/>
            <w:vAlign w:val="bottom"/>
            <w:shd w:val="clear" w:color="auto" w:fill="ACABA7"/>
          </w:tcPr>
          <w:p>
            <w:pPr>
              <w:spacing w:after="0"/>
              <w:rPr>
                <w:sz w:val="17"/>
                <w:szCs w:val="17"/>
                <w:color w:val="auto"/>
              </w:rPr>
            </w:pPr>
          </w:p>
        </w:tc>
        <w:tc>
          <w:tcPr>
            <w:tcW w:w="1240" w:type="dxa"/>
            <w:vAlign w:val="bottom"/>
            <w:shd w:val="clear" w:color="auto" w:fill="ACABA7"/>
          </w:tcPr>
          <w:p>
            <w:pPr>
              <w:spacing w:after="0"/>
              <w:rPr>
                <w:sz w:val="17"/>
                <w:szCs w:val="17"/>
                <w:color w:val="auto"/>
              </w:rPr>
            </w:pPr>
          </w:p>
        </w:tc>
      </w:tr>
      <w:tr>
        <w:trPr>
          <w:trHeight w:val="203"/>
        </w:trPr>
        <w:tc>
          <w:tcPr>
            <w:tcW w:w="6160" w:type="dxa"/>
            <w:vAlign w:val="bottom"/>
            <w:shd w:val="clear" w:color="auto" w:fill="ACABA7"/>
          </w:tcPr>
          <w:p>
            <w:pPr>
              <w:ind w:left="280"/>
              <w:spacing w:after="0" w:line="203" w:lineRule="exact"/>
              <w:rPr>
                <w:sz w:val="20"/>
                <w:szCs w:val="20"/>
                <w:color w:val="auto"/>
              </w:rPr>
            </w:pPr>
            <w:r>
              <w:rPr>
                <w:rFonts w:ascii="Arial" w:cs="Arial" w:eastAsia="Arial" w:hAnsi="Arial"/>
                <w:sz w:val="18"/>
                <w:szCs w:val="18"/>
                <w:color w:val="auto"/>
              </w:rPr>
              <w:t>Roger A. Krone</w:t>
            </w:r>
          </w:p>
        </w:tc>
        <w:tc>
          <w:tcPr>
            <w:tcW w:w="1520" w:type="dxa"/>
            <w:vAlign w:val="bottom"/>
            <w:shd w:val="clear" w:color="auto" w:fill="ACABA7"/>
          </w:tcPr>
          <w:p>
            <w:pPr>
              <w:jc w:val="right"/>
              <w:ind w:right="310"/>
              <w:spacing w:after="0" w:line="203" w:lineRule="exact"/>
              <w:rPr>
                <w:sz w:val="20"/>
                <w:szCs w:val="20"/>
                <w:color w:val="auto"/>
              </w:rPr>
            </w:pPr>
            <w:r>
              <w:rPr>
                <w:rFonts w:ascii="Arial" w:cs="Arial" w:eastAsia="Arial" w:hAnsi="Arial"/>
                <w:sz w:val="18"/>
                <w:szCs w:val="18"/>
                <w:color w:val="auto"/>
              </w:rPr>
              <w:t>98,361</w:t>
            </w:r>
          </w:p>
        </w:tc>
        <w:tc>
          <w:tcPr>
            <w:tcW w:w="1120" w:type="dxa"/>
            <w:vAlign w:val="bottom"/>
            <w:shd w:val="clear" w:color="auto" w:fill="ACABA7"/>
          </w:tcPr>
          <w:p>
            <w:pPr>
              <w:jc w:val="right"/>
              <w:ind w:right="130"/>
              <w:spacing w:after="0" w:line="203" w:lineRule="exact"/>
              <w:rPr>
                <w:sz w:val="20"/>
                <w:szCs w:val="20"/>
                <w:color w:val="auto"/>
              </w:rPr>
            </w:pPr>
            <w:r>
              <w:rPr>
                <w:rFonts w:ascii="Arial" w:cs="Arial" w:eastAsia="Arial" w:hAnsi="Arial"/>
                <w:sz w:val="18"/>
                <w:szCs w:val="18"/>
                <w:color w:val="auto"/>
              </w:rPr>
              <w:t>—</w:t>
            </w:r>
          </w:p>
        </w:tc>
        <w:tc>
          <w:tcPr>
            <w:tcW w:w="1380" w:type="dxa"/>
            <w:vAlign w:val="bottom"/>
            <w:shd w:val="clear" w:color="auto" w:fill="ACABA7"/>
          </w:tcPr>
          <w:p>
            <w:pPr>
              <w:jc w:val="right"/>
              <w:ind w:right="150"/>
              <w:spacing w:after="0" w:line="203" w:lineRule="exact"/>
              <w:rPr>
                <w:sz w:val="20"/>
                <w:szCs w:val="20"/>
                <w:color w:val="auto"/>
              </w:rPr>
            </w:pPr>
            <w:r>
              <w:rPr>
                <w:rFonts w:ascii="Arial" w:cs="Arial" w:eastAsia="Arial" w:hAnsi="Arial"/>
                <w:sz w:val="18"/>
                <w:szCs w:val="18"/>
                <w:color w:val="auto"/>
              </w:rPr>
              <w:t>156,591</w:t>
            </w:r>
          </w:p>
        </w:tc>
        <w:tc>
          <w:tcPr>
            <w:tcW w:w="1240" w:type="dxa"/>
            <w:vAlign w:val="bottom"/>
            <w:shd w:val="clear" w:color="auto" w:fill="ACABA7"/>
          </w:tcPr>
          <w:p>
            <w:pPr>
              <w:jc w:val="right"/>
              <w:spacing w:after="0" w:line="203" w:lineRule="exact"/>
              <w:rPr>
                <w:sz w:val="20"/>
                <w:szCs w:val="20"/>
                <w:color w:val="auto"/>
              </w:rPr>
            </w:pPr>
            <w:r>
              <w:rPr>
                <w:rFonts w:ascii="Arial" w:cs="Arial" w:eastAsia="Arial" w:hAnsi="Arial"/>
                <w:sz w:val="18"/>
                <w:szCs w:val="18"/>
                <w:color w:val="auto"/>
              </w:rPr>
              <w:t>254,952</w:t>
            </w:r>
          </w:p>
        </w:tc>
      </w:tr>
      <w:tr>
        <w:trPr>
          <w:trHeight w:val="203"/>
        </w:trPr>
        <w:tc>
          <w:tcPr>
            <w:tcW w:w="6160" w:type="dxa"/>
            <w:vAlign w:val="bottom"/>
          </w:tcPr>
          <w:p>
            <w:pPr>
              <w:ind w:left="280"/>
              <w:spacing w:after="0" w:line="202" w:lineRule="exact"/>
              <w:rPr>
                <w:sz w:val="20"/>
                <w:szCs w:val="20"/>
                <w:color w:val="auto"/>
              </w:rPr>
            </w:pPr>
            <w:r>
              <w:rPr>
                <w:rFonts w:ascii="Arial" w:cs="Arial" w:eastAsia="Arial" w:hAnsi="Arial"/>
                <w:sz w:val="18"/>
                <w:szCs w:val="18"/>
                <w:color w:val="auto"/>
              </w:rPr>
              <w:t>James C. Reagan</w:t>
            </w:r>
          </w:p>
        </w:tc>
        <w:tc>
          <w:tcPr>
            <w:tcW w:w="1520" w:type="dxa"/>
            <w:vAlign w:val="bottom"/>
          </w:tcPr>
          <w:p>
            <w:pPr>
              <w:jc w:val="right"/>
              <w:ind w:right="310"/>
              <w:spacing w:after="0" w:line="202" w:lineRule="exact"/>
              <w:rPr>
                <w:sz w:val="20"/>
                <w:szCs w:val="20"/>
                <w:color w:val="auto"/>
              </w:rPr>
            </w:pPr>
            <w:r>
              <w:rPr>
                <w:rFonts w:ascii="Arial" w:cs="Arial" w:eastAsia="Arial" w:hAnsi="Arial"/>
                <w:sz w:val="18"/>
                <w:szCs w:val="18"/>
                <w:color w:val="auto"/>
              </w:rPr>
              <w:t>4,087</w:t>
            </w:r>
          </w:p>
        </w:tc>
        <w:tc>
          <w:tcPr>
            <w:tcW w:w="112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16,674</w:t>
            </w:r>
          </w:p>
        </w:tc>
        <w:tc>
          <w:tcPr>
            <w:tcW w:w="138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23,361</w:t>
            </w: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44,122</w:t>
            </w:r>
          </w:p>
        </w:tc>
      </w:tr>
      <w:tr>
        <w:trPr>
          <w:trHeight w:val="203"/>
        </w:trPr>
        <w:tc>
          <w:tcPr>
            <w:tcW w:w="6160" w:type="dxa"/>
            <w:vAlign w:val="bottom"/>
            <w:shd w:val="clear" w:color="auto" w:fill="ACABA7"/>
          </w:tcPr>
          <w:p>
            <w:pPr>
              <w:ind w:left="280"/>
              <w:spacing w:after="0" w:line="202" w:lineRule="exact"/>
              <w:rPr>
                <w:sz w:val="20"/>
                <w:szCs w:val="20"/>
                <w:color w:val="auto"/>
              </w:rPr>
            </w:pPr>
            <w:r>
              <w:rPr>
                <w:rFonts w:ascii="Arial" w:cs="Arial" w:eastAsia="Arial" w:hAnsi="Arial"/>
                <w:sz w:val="18"/>
                <w:szCs w:val="18"/>
                <w:color w:val="auto"/>
              </w:rPr>
              <w:t>Timothy J. Reardon</w:t>
            </w:r>
          </w:p>
        </w:tc>
        <w:tc>
          <w:tcPr>
            <w:tcW w:w="1520" w:type="dxa"/>
            <w:vAlign w:val="bottom"/>
            <w:shd w:val="clear" w:color="auto" w:fill="ACABA7"/>
          </w:tcPr>
          <w:p>
            <w:pPr>
              <w:jc w:val="right"/>
              <w:ind w:right="310"/>
              <w:spacing w:after="0" w:line="202" w:lineRule="exact"/>
              <w:rPr>
                <w:sz w:val="20"/>
                <w:szCs w:val="20"/>
                <w:color w:val="auto"/>
              </w:rPr>
            </w:pPr>
            <w:r>
              <w:rPr>
                <w:rFonts w:ascii="Arial" w:cs="Arial" w:eastAsia="Arial" w:hAnsi="Arial"/>
                <w:sz w:val="18"/>
                <w:szCs w:val="18"/>
                <w:color w:val="auto"/>
              </w:rPr>
              <w:t>—</w:t>
            </w:r>
          </w:p>
        </w:tc>
        <w:tc>
          <w:tcPr>
            <w:tcW w:w="1120" w:type="dxa"/>
            <w:vAlign w:val="bottom"/>
            <w:shd w:val="clear" w:color="auto" w:fill="ACABA7"/>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1380" w:type="dxa"/>
            <w:vAlign w:val="bottom"/>
            <w:shd w:val="clear" w:color="auto" w:fill="ACABA7"/>
          </w:tcPr>
          <w:p>
            <w:pPr>
              <w:jc w:val="right"/>
              <w:ind w:right="150"/>
              <w:spacing w:after="0" w:line="202" w:lineRule="exact"/>
              <w:rPr>
                <w:sz w:val="20"/>
                <w:szCs w:val="20"/>
                <w:color w:val="auto"/>
              </w:rPr>
            </w:pPr>
            <w:r>
              <w:rPr>
                <w:rFonts w:ascii="Arial" w:cs="Arial" w:eastAsia="Arial" w:hAnsi="Arial"/>
                <w:sz w:val="18"/>
                <w:szCs w:val="18"/>
                <w:color w:val="auto"/>
              </w:rPr>
              <w:t>—</w:t>
            </w:r>
          </w:p>
        </w:tc>
        <w:tc>
          <w:tcPr>
            <w:tcW w:w="1240" w:type="dxa"/>
            <w:vAlign w:val="bottom"/>
            <w:shd w:val="clear" w:color="auto" w:fill="ACABA7"/>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6160" w:type="dxa"/>
            <w:vAlign w:val="bottom"/>
          </w:tcPr>
          <w:p>
            <w:pPr>
              <w:ind w:left="280"/>
              <w:spacing w:after="0" w:line="202" w:lineRule="exact"/>
              <w:rPr>
                <w:sz w:val="20"/>
                <w:szCs w:val="20"/>
                <w:color w:val="auto"/>
              </w:rPr>
            </w:pPr>
            <w:r>
              <w:rPr>
                <w:rFonts w:ascii="Arial" w:cs="Arial" w:eastAsia="Arial" w:hAnsi="Arial"/>
                <w:sz w:val="18"/>
                <w:szCs w:val="18"/>
                <w:color w:val="auto"/>
              </w:rPr>
              <w:t>Vincent A. Maffeo</w:t>
            </w:r>
          </w:p>
        </w:tc>
        <w:tc>
          <w:tcPr>
            <w:tcW w:w="1520" w:type="dxa"/>
            <w:vAlign w:val="bottom"/>
          </w:tcPr>
          <w:p>
            <w:pPr>
              <w:jc w:val="right"/>
              <w:ind w:right="310"/>
              <w:spacing w:after="0" w:line="202" w:lineRule="exact"/>
              <w:rPr>
                <w:sz w:val="20"/>
                <w:szCs w:val="20"/>
                <w:color w:val="auto"/>
              </w:rPr>
            </w:pPr>
            <w:r>
              <w:rPr>
                <w:rFonts w:ascii="Arial" w:cs="Arial" w:eastAsia="Arial" w:hAnsi="Arial"/>
                <w:sz w:val="18"/>
                <w:szCs w:val="18"/>
                <w:color w:val="auto"/>
              </w:rPr>
              <w:t>41,335</w:t>
            </w:r>
          </w:p>
        </w:tc>
        <w:tc>
          <w:tcPr>
            <w:tcW w:w="112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24,470</w:t>
            </w:r>
          </w:p>
        </w:tc>
        <w:tc>
          <w:tcPr>
            <w:tcW w:w="138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272,079</w:t>
            </w: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337,884</w:t>
            </w:r>
          </w:p>
        </w:tc>
      </w:tr>
      <w:tr>
        <w:trPr>
          <w:trHeight w:val="203"/>
        </w:trPr>
        <w:tc>
          <w:tcPr>
            <w:tcW w:w="6160" w:type="dxa"/>
            <w:vAlign w:val="bottom"/>
            <w:shd w:val="clear" w:color="auto" w:fill="ACABA7"/>
          </w:tcPr>
          <w:p>
            <w:pPr>
              <w:ind w:left="280"/>
              <w:spacing w:after="0" w:line="202" w:lineRule="exact"/>
              <w:rPr>
                <w:sz w:val="20"/>
                <w:szCs w:val="20"/>
                <w:color w:val="auto"/>
              </w:rPr>
            </w:pPr>
            <w:r>
              <w:rPr>
                <w:rFonts w:ascii="Arial" w:cs="Arial" w:eastAsia="Arial" w:hAnsi="Arial"/>
                <w:sz w:val="18"/>
                <w:szCs w:val="18"/>
                <w:color w:val="auto"/>
              </w:rPr>
              <w:t>Michael E. Leiter</w:t>
            </w:r>
          </w:p>
        </w:tc>
        <w:tc>
          <w:tcPr>
            <w:tcW w:w="1520" w:type="dxa"/>
            <w:vAlign w:val="bottom"/>
            <w:shd w:val="clear" w:color="auto" w:fill="ACABA7"/>
          </w:tcPr>
          <w:p>
            <w:pPr>
              <w:jc w:val="right"/>
              <w:ind w:right="310"/>
              <w:spacing w:after="0" w:line="202" w:lineRule="exact"/>
              <w:rPr>
                <w:sz w:val="20"/>
                <w:szCs w:val="20"/>
                <w:color w:val="auto"/>
              </w:rPr>
            </w:pPr>
            <w:r>
              <w:rPr>
                <w:rFonts w:ascii="Arial" w:cs="Arial" w:eastAsia="Arial" w:hAnsi="Arial"/>
                <w:sz w:val="18"/>
                <w:szCs w:val="18"/>
                <w:color w:val="auto"/>
              </w:rPr>
              <w:t>1,933</w:t>
            </w:r>
          </w:p>
        </w:tc>
        <w:tc>
          <w:tcPr>
            <w:tcW w:w="1120" w:type="dxa"/>
            <w:vAlign w:val="bottom"/>
            <w:shd w:val="clear" w:color="auto" w:fill="ACABA7"/>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1380" w:type="dxa"/>
            <w:vAlign w:val="bottom"/>
            <w:shd w:val="clear" w:color="auto" w:fill="ACABA7"/>
          </w:tcPr>
          <w:p>
            <w:pPr>
              <w:jc w:val="right"/>
              <w:ind w:right="150"/>
              <w:spacing w:after="0" w:line="202" w:lineRule="exact"/>
              <w:rPr>
                <w:sz w:val="20"/>
                <w:szCs w:val="20"/>
                <w:color w:val="auto"/>
              </w:rPr>
            </w:pPr>
            <w:r>
              <w:rPr>
                <w:rFonts w:ascii="Arial" w:cs="Arial" w:eastAsia="Arial" w:hAnsi="Arial"/>
                <w:sz w:val="18"/>
                <w:szCs w:val="18"/>
                <w:color w:val="auto"/>
              </w:rPr>
              <w:t>21,337</w:t>
            </w:r>
          </w:p>
        </w:tc>
        <w:tc>
          <w:tcPr>
            <w:tcW w:w="1240" w:type="dxa"/>
            <w:vAlign w:val="bottom"/>
            <w:shd w:val="clear" w:color="auto" w:fill="ACABA7"/>
          </w:tcPr>
          <w:p>
            <w:pPr>
              <w:jc w:val="right"/>
              <w:spacing w:after="0" w:line="202" w:lineRule="exact"/>
              <w:rPr>
                <w:sz w:val="20"/>
                <w:szCs w:val="20"/>
                <w:color w:val="auto"/>
              </w:rPr>
            </w:pPr>
            <w:r>
              <w:rPr>
                <w:rFonts w:ascii="Arial" w:cs="Arial" w:eastAsia="Arial" w:hAnsi="Arial"/>
                <w:sz w:val="18"/>
                <w:szCs w:val="18"/>
                <w:color w:val="auto"/>
              </w:rPr>
              <w:t>23,270</w:t>
            </w:r>
          </w:p>
        </w:tc>
      </w:tr>
      <w:tr>
        <w:trPr>
          <w:trHeight w:val="203"/>
        </w:trPr>
        <w:tc>
          <w:tcPr>
            <w:tcW w:w="6160" w:type="dxa"/>
            <w:vAlign w:val="bottom"/>
          </w:tcPr>
          <w:p>
            <w:pPr>
              <w:ind w:left="280"/>
              <w:spacing w:after="0" w:line="202" w:lineRule="exact"/>
              <w:rPr>
                <w:sz w:val="20"/>
                <w:szCs w:val="20"/>
                <w:color w:val="auto"/>
              </w:rPr>
            </w:pPr>
            <w:r>
              <w:rPr>
                <w:rFonts w:ascii="Arial" w:cs="Arial" w:eastAsia="Arial" w:hAnsi="Arial"/>
                <w:sz w:val="18"/>
                <w:szCs w:val="18"/>
                <w:color w:val="auto"/>
              </w:rPr>
              <w:t>Sarah K. Allen</w:t>
            </w:r>
          </w:p>
        </w:tc>
        <w:tc>
          <w:tcPr>
            <w:tcW w:w="1520" w:type="dxa"/>
            <w:vAlign w:val="bottom"/>
          </w:tcPr>
          <w:p>
            <w:pPr>
              <w:jc w:val="right"/>
              <w:ind w:right="310"/>
              <w:spacing w:after="0" w:line="202" w:lineRule="exact"/>
              <w:rPr>
                <w:sz w:val="20"/>
                <w:szCs w:val="20"/>
                <w:color w:val="auto"/>
              </w:rPr>
            </w:pPr>
            <w:r>
              <w:rPr>
                <w:rFonts w:ascii="Arial" w:cs="Arial" w:eastAsia="Arial" w:hAnsi="Arial"/>
                <w:sz w:val="18"/>
                <w:szCs w:val="18"/>
                <w:color w:val="auto"/>
              </w:rPr>
              <w:t>—</w:t>
            </w:r>
          </w:p>
        </w:tc>
        <w:tc>
          <w:tcPr>
            <w:tcW w:w="112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1,707</w:t>
            </w:r>
          </w:p>
        </w:tc>
        <w:tc>
          <w:tcPr>
            <w:tcW w:w="138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w:t>
            </w: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1,707</w:t>
            </w:r>
          </w:p>
        </w:tc>
      </w:tr>
      <w:tr>
        <w:trPr>
          <w:trHeight w:val="202"/>
        </w:trPr>
        <w:tc>
          <w:tcPr>
            <w:tcW w:w="6160" w:type="dxa"/>
            <w:vAlign w:val="bottom"/>
            <w:shd w:val="clear" w:color="auto" w:fill="ACABA7"/>
          </w:tcPr>
          <w:p>
            <w:pPr>
              <w:ind w:left="460"/>
              <w:spacing w:after="0" w:line="201" w:lineRule="exact"/>
              <w:rPr>
                <w:sz w:val="20"/>
                <w:szCs w:val="20"/>
                <w:color w:val="auto"/>
              </w:rPr>
            </w:pPr>
            <w:r>
              <w:rPr>
                <w:rFonts w:ascii="Arial" w:cs="Arial" w:eastAsia="Arial" w:hAnsi="Arial"/>
                <w:sz w:val="18"/>
                <w:szCs w:val="18"/>
                <w:color w:val="483E65"/>
              </w:rPr>
              <w:t>All directors and executive officers</w:t>
            </w:r>
          </w:p>
        </w:tc>
        <w:tc>
          <w:tcPr>
            <w:tcW w:w="1520" w:type="dxa"/>
            <w:vAlign w:val="bottom"/>
            <w:shd w:val="clear" w:color="auto" w:fill="ACABA7"/>
          </w:tcPr>
          <w:p>
            <w:pPr>
              <w:spacing w:after="0"/>
              <w:rPr>
                <w:sz w:val="17"/>
                <w:szCs w:val="17"/>
                <w:color w:val="auto"/>
              </w:rPr>
            </w:pPr>
          </w:p>
        </w:tc>
        <w:tc>
          <w:tcPr>
            <w:tcW w:w="1120" w:type="dxa"/>
            <w:vAlign w:val="bottom"/>
            <w:shd w:val="clear" w:color="auto" w:fill="ACABA7"/>
          </w:tcPr>
          <w:p>
            <w:pPr>
              <w:spacing w:after="0"/>
              <w:rPr>
                <w:sz w:val="17"/>
                <w:szCs w:val="17"/>
                <w:color w:val="auto"/>
              </w:rPr>
            </w:pPr>
          </w:p>
        </w:tc>
        <w:tc>
          <w:tcPr>
            <w:tcW w:w="1380" w:type="dxa"/>
            <w:vAlign w:val="bottom"/>
            <w:shd w:val="clear" w:color="auto" w:fill="ACABA7"/>
          </w:tcPr>
          <w:p>
            <w:pPr>
              <w:spacing w:after="0"/>
              <w:rPr>
                <w:sz w:val="17"/>
                <w:szCs w:val="17"/>
                <w:color w:val="auto"/>
              </w:rPr>
            </w:pPr>
          </w:p>
        </w:tc>
        <w:tc>
          <w:tcPr>
            <w:tcW w:w="1240" w:type="dxa"/>
            <w:vAlign w:val="bottom"/>
            <w:shd w:val="clear" w:color="auto" w:fill="ACABA7"/>
          </w:tcPr>
          <w:p>
            <w:pPr>
              <w:spacing w:after="0"/>
              <w:rPr>
                <w:sz w:val="17"/>
                <w:szCs w:val="17"/>
                <w:color w:val="auto"/>
              </w:rPr>
            </w:pPr>
          </w:p>
        </w:tc>
      </w:tr>
      <w:tr>
        <w:trPr>
          <w:trHeight w:val="217"/>
        </w:trPr>
        <w:tc>
          <w:tcPr>
            <w:tcW w:w="6160" w:type="dxa"/>
            <w:vAlign w:val="bottom"/>
            <w:shd w:val="clear" w:color="auto" w:fill="ACABA7"/>
          </w:tcPr>
          <w:p>
            <w:pPr>
              <w:ind w:left="460"/>
              <w:spacing w:after="0"/>
              <w:rPr>
                <w:sz w:val="20"/>
                <w:szCs w:val="20"/>
                <w:color w:val="auto"/>
              </w:rPr>
            </w:pPr>
            <w:r>
              <w:rPr>
                <w:rFonts w:ascii="Arial" w:cs="Arial" w:eastAsia="Arial" w:hAnsi="Arial"/>
                <w:sz w:val="18"/>
                <w:szCs w:val="18"/>
                <w:color w:val="483E65"/>
              </w:rPr>
              <w:t>as a group (22 persons)</w:t>
            </w:r>
          </w:p>
        </w:tc>
        <w:tc>
          <w:tcPr>
            <w:tcW w:w="1520" w:type="dxa"/>
            <w:vAlign w:val="bottom"/>
            <w:shd w:val="clear" w:color="auto" w:fill="ACABA7"/>
          </w:tcPr>
          <w:p>
            <w:pPr>
              <w:jc w:val="right"/>
              <w:ind w:right="310"/>
              <w:spacing w:after="0"/>
              <w:rPr>
                <w:sz w:val="20"/>
                <w:szCs w:val="20"/>
                <w:color w:val="auto"/>
              </w:rPr>
            </w:pPr>
            <w:r>
              <w:rPr>
                <w:rFonts w:ascii="Arial" w:cs="Arial" w:eastAsia="Arial" w:hAnsi="Arial"/>
                <w:sz w:val="18"/>
                <w:szCs w:val="18"/>
                <w:color w:val="auto"/>
              </w:rPr>
              <w:t>414,281</w:t>
            </w:r>
          </w:p>
        </w:tc>
        <w:tc>
          <w:tcPr>
            <w:tcW w:w="1120" w:type="dxa"/>
            <w:vAlign w:val="bottom"/>
            <w:shd w:val="clear" w:color="auto" w:fill="ACABA7"/>
          </w:tcPr>
          <w:p>
            <w:pPr>
              <w:jc w:val="right"/>
              <w:ind w:right="130"/>
              <w:spacing w:after="0"/>
              <w:rPr>
                <w:sz w:val="20"/>
                <w:szCs w:val="20"/>
                <w:color w:val="auto"/>
              </w:rPr>
            </w:pPr>
            <w:r>
              <w:rPr>
                <w:rFonts w:ascii="Arial" w:cs="Arial" w:eastAsia="Arial" w:hAnsi="Arial"/>
                <w:sz w:val="18"/>
                <w:szCs w:val="18"/>
                <w:color w:val="auto"/>
              </w:rPr>
              <w:t>257,049</w:t>
            </w:r>
          </w:p>
        </w:tc>
        <w:tc>
          <w:tcPr>
            <w:tcW w:w="1380" w:type="dxa"/>
            <w:vAlign w:val="bottom"/>
            <w:shd w:val="clear" w:color="auto" w:fill="ACABA7"/>
          </w:tcPr>
          <w:p>
            <w:pPr>
              <w:jc w:val="right"/>
              <w:ind w:right="150"/>
              <w:spacing w:after="0"/>
              <w:rPr>
                <w:sz w:val="20"/>
                <w:szCs w:val="20"/>
                <w:color w:val="auto"/>
              </w:rPr>
            </w:pPr>
            <w:r>
              <w:rPr>
                <w:rFonts w:ascii="Arial" w:cs="Arial" w:eastAsia="Arial" w:hAnsi="Arial"/>
                <w:sz w:val="18"/>
                <w:szCs w:val="18"/>
                <w:color w:val="auto"/>
              </w:rPr>
              <w:t>1,208,240</w:t>
            </w:r>
          </w:p>
        </w:tc>
        <w:tc>
          <w:tcPr>
            <w:tcW w:w="1240" w:type="dxa"/>
            <w:vAlign w:val="bottom"/>
            <w:shd w:val="clear" w:color="auto" w:fill="ACABA7"/>
          </w:tcPr>
          <w:p>
            <w:pPr>
              <w:jc w:val="right"/>
              <w:spacing w:after="0"/>
              <w:rPr>
                <w:sz w:val="20"/>
                <w:szCs w:val="20"/>
                <w:color w:val="auto"/>
              </w:rPr>
            </w:pPr>
            <w:r>
              <w:rPr>
                <w:rFonts w:ascii="Arial" w:cs="Arial" w:eastAsia="Arial" w:hAnsi="Arial"/>
                <w:sz w:val="18"/>
                <w:szCs w:val="18"/>
                <w:color w:val="auto"/>
              </w:rPr>
              <w:t>1,871,858</w:t>
            </w:r>
          </w:p>
        </w:tc>
      </w:tr>
    </w:tbl>
    <w:p>
      <w:pPr>
        <w:spacing w:after="0" w:line="242" w:lineRule="exact"/>
        <w:rPr>
          <w:sz w:val="20"/>
          <w:szCs w:val="20"/>
          <w:color w:val="auto"/>
        </w:rPr>
      </w:pPr>
    </w:p>
    <w:p>
      <w:pPr>
        <w:ind w:left="460" w:right="280" w:hanging="452"/>
        <w:spacing w:after="0"/>
        <w:tabs>
          <w:tab w:leader="none" w:pos="4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Represents vested stock units attributable to the individual or the group in the Key Executive Stock Deferral Plan and the Management Stock Compensation Plan. Shares held in these plans are voted by the trustee in the same proportion as all other stockholders collectively vote their shares of common stock.</w:t>
      </w:r>
    </w:p>
    <w:p>
      <w:pPr>
        <w:spacing w:after="0" w:line="108" w:lineRule="exact"/>
        <w:rPr>
          <w:rFonts w:ascii="Arial" w:cs="Arial" w:eastAsia="Arial" w:hAnsi="Arial"/>
          <w:sz w:val="18"/>
          <w:szCs w:val="18"/>
          <w:color w:val="auto"/>
        </w:rPr>
      </w:pPr>
    </w:p>
    <w:p>
      <w:pPr>
        <w:ind w:left="460" w:hanging="452"/>
        <w:spacing w:after="0"/>
        <w:tabs>
          <w:tab w:leader="none" w:pos="4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Shares subject to options exercisable or restricted stock units subject to vesting, both within 60 days following March 13, 2017.</w:t>
      </w:r>
    </w:p>
    <w:p>
      <w:pPr>
        <w:spacing w:after="0" w:line="117" w:lineRule="exact"/>
        <w:rPr>
          <w:rFonts w:ascii="Arial" w:cs="Arial" w:eastAsia="Arial" w:hAnsi="Arial"/>
          <w:sz w:val="18"/>
          <w:szCs w:val="18"/>
          <w:color w:val="auto"/>
        </w:rPr>
      </w:pPr>
    </w:p>
    <w:p>
      <w:pPr>
        <w:ind w:left="460" w:hanging="452"/>
        <w:spacing w:after="0"/>
        <w:tabs>
          <w:tab w:leader="none" w:pos="4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Includes 50,050 shares held in family trusts.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483E65"/>
        </w:rPr>
        <w:t>Section 16(a) Beneficial Ownership Reporting Compliance</w:t>
      </w:r>
    </w:p>
    <w:p>
      <w:pPr>
        <w:spacing w:after="0" w:line="234" w:lineRule="exact"/>
        <w:rPr>
          <w:sz w:val="20"/>
          <w:szCs w:val="20"/>
          <w:color w:val="auto"/>
        </w:rPr>
      </w:pPr>
    </w:p>
    <w:p>
      <w:pPr>
        <w:ind w:right="40"/>
        <w:spacing w:after="0"/>
        <w:rPr>
          <w:sz w:val="20"/>
          <w:szCs w:val="20"/>
          <w:color w:val="auto"/>
        </w:rPr>
      </w:pPr>
      <w:r>
        <w:rPr>
          <w:rFonts w:ascii="Arial" w:cs="Arial" w:eastAsia="Arial" w:hAnsi="Arial"/>
          <w:sz w:val="18"/>
          <w:szCs w:val="18"/>
          <w:color w:val="auto"/>
        </w:rPr>
        <w:t>Section 16(a) of the Securities Exchange Act of 1934 and the rules of the SEC require our directors and executive officers to file reports of their ownership and changes in ownership of common stock with the SEC. Our personnel generally prepare and file these reports on the basis of information obtained from each director and officer and pursuant to a power</w:t>
      </w:r>
    </w:p>
    <w:p>
      <w:pPr>
        <w:spacing w:after="0" w:line="118" w:lineRule="exact"/>
        <w:rPr>
          <w:sz w:val="20"/>
          <w:szCs w:val="20"/>
          <w:color w:val="auto"/>
        </w:rPr>
      </w:pPr>
    </w:p>
    <w:p>
      <w:pPr>
        <w:spacing w:after="0"/>
        <w:tabs>
          <w:tab w:leader="none" w:pos="340" w:val="left"/>
          <w:tab w:leader="none" w:pos="580" w:val="left"/>
        </w:tabs>
        <w:rPr>
          <w:sz w:val="20"/>
          <w:szCs w:val="20"/>
          <w:color w:val="auto"/>
        </w:rPr>
      </w:pPr>
      <w:r>
        <w:rPr>
          <w:rFonts w:ascii="Arial" w:cs="Arial" w:eastAsia="Arial" w:hAnsi="Arial"/>
          <w:sz w:val="16"/>
          <w:szCs w:val="16"/>
          <w:b w:val="1"/>
          <w:bCs w:val="1"/>
          <w:color w:val="483E65"/>
        </w:rPr>
        <w:t>72</w:t>
        <w:tab/>
        <w:t>|</w:t>
        <w:tab/>
        <w:t>2017 Proxy Statement</w:t>
      </w:r>
    </w:p>
    <w:p>
      <w:pPr>
        <w:sectPr>
          <w:pgSz w:w="11900" w:h="16838" w:orient="portrait"/>
          <w:cols w:equalWidth="0" w:num="1">
            <w:col w:w="11420"/>
          </w:cols>
          <w:pgMar w:left="240" w:top="459" w:right="2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8" w:lineRule="exact"/>
        <w:rPr>
          <w:sz w:val="20"/>
          <w:szCs w:val="20"/>
          <w:color w:val="auto"/>
        </w:rPr>
      </w:pPr>
    </w:p>
    <w:p>
      <w:pPr>
        <w:spacing w:after="0"/>
        <w:rPr>
          <w:sz w:val="20"/>
          <w:szCs w:val="20"/>
          <w:color w:val="auto"/>
        </w:rPr>
      </w:pPr>
      <w:r>
        <w:rPr>
          <w:rFonts w:ascii="Arial" w:cs="Arial" w:eastAsia="Arial" w:hAnsi="Arial"/>
          <w:sz w:val="32"/>
          <w:szCs w:val="32"/>
          <w:color w:val="483E65"/>
        </w:rPr>
        <w:t>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149860</wp:posOffset>
            </wp:positionV>
            <wp:extent cx="724662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18"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of attorney. Due to an administrative error, one Form 4 for Mr. Fubini was filed one day late. Based upon a review of filings with the SEC and/or written representations that no other reports were required, we believe that all of our directors and executive officers and, to our knowledge, beneficial owners of more than 10% of our common stock otherwise complied during Fiscal 2016 with the reporting requirements of Section 16(a) of the Securities Exchange Act of 1934.</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483E65"/>
        </w:rPr>
        <w:t>Stockholder Proposals for the 2018 Annual Meeting</w:t>
      </w:r>
    </w:p>
    <w:p>
      <w:pPr>
        <w:spacing w:after="0" w:line="234" w:lineRule="exact"/>
        <w:rPr>
          <w:sz w:val="20"/>
          <w:szCs w:val="20"/>
          <w:color w:val="auto"/>
        </w:rPr>
      </w:pPr>
    </w:p>
    <w:p>
      <w:pPr>
        <w:ind w:right="820"/>
        <w:spacing w:after="0" w:line="246" w:lineRule="auto"/>
        <w:rPr>
          <w:sz w:val="20"/>
          <w:szCs w:val="20"/>
          <w:color w:val="auto"/>
        </w:rPr>
      </w:pPr>
      <w:r>
        <w:rPr>
          <w:rFonts w:ascii="Arial" w:cs="Arial" w:eastAsia="Arial" w:hAnsi="Arial"/>
          <w:sz w:val="18"/>
          <w:szCs w:val="18"/>
          <w:color w:val="auto"/>
        </w:rPr>
        <w:t>Any stockholder proposals intended to be presented at the 2018 annual meeting of stockholders must be received by us no later than December 1, 2017 in order to be considered for inclusion in our Proxy Statement and form of proxy relating to that meeting.</w:t>
      </w:r>
    </w:p>
    <w:p>
      <w:pPr>
        <w:spacing w:after="0" w:line="197" w:lineRule="exact"/>
        <w:rPr>
          <w:sz w:val="20"/>
          <w:szCs w:val="20"/>
          <w:color w:val="auto"/>
        </w:rPr>
      </w:pPr>
    </w:p>
    <w:p>
      <w:pPr>
        <w:jc w:val="both"/>
        <w:ind w:right="80"/>
        <w:spacing w:after="0" w:line="233" w:lineRule="auto"/>
        <w:rPr>
          <w:sz w:val="20"/>
          <w:szCs w:val="20"/>
          <w:color w:val="auto"/>
        </w:rPr>
      </w:pPr>
      <w:r>
        <w:rPr>
          <w:rFonts w:ascii="Arial" w:cs="Arial" w:eastAsia="Arial" w:hAnsi="Arial"/>
          <w:sz w:val="18"/>
          <w:szCs w:val="18"/>
          <w:color w:val="auto"/>
        </w:rPr>
        <w:t>Our proxy access bylaws permit a stockholder or group of stockholders (up to 20) who have owned at least three percent of common stock for at least three years to submit director nominees for inclusion in our Proxy Statement if the nominating stockholder(s) satisfies the requirements specified in the bylaws. To be timely, the notice must be delivered to the Corporate Secretary not later than the close of business on the</w:t>
      </w:r>
    </w:p>
    <w:p>
      <w:pPr>
        <w:spacing w:after="0" w:line="2"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120</w:t>
      </w:r>
      <w:r>
        <w:rPr>
          <w:rFonts w:ascii="Arial" w:cs="Arial" w:eastAsia="Arial" w:hAnsi="Arial"/>
          <w:sz w:val="15"/>
          <w:szCs w:val="15"/>
          <w:color w:val="auto"/>
        </w:rPr>
        <w:t>th</w:t>
      </w:r>
      <w:r>
        <w:rPr>
          <w:rFonts w:ascii="Arial" w:cs="Arial" w:eastAsia="Arial" w:hAnsi="Arial"/>
          <w:sz w:val="18"/>
          <w:szCs w:val="18"/>
          <w:color w:val="auto"/>
        </w:rPr>
        <w:t xml:space="preserve"> day, nor earlier than the close of business on the 150</w:t>
      </w:r>
      <w:r>
        <w:rPr>
          <w:rFonts w:ascii="Arial" w:cs="Arial" w:eastAsia="Arial" w:hAnsi="Arial"/>
          <w:sz w:val="15"/>
          <w:szCs w:val="15"/>
          <w:color w:val="auto"/>
        </w:rPr>
        <w:t>th</w:t>
      </w:r>
      <w:r>
        <w:rPr>
          <w:rFonts w:ascii="Arial" w:cs="Arial" w:eastAsia="Arial" w:hAnsi="Arial"/>
          <w:sz w:val="18"/>
          <w:szCs w:val="18"/>
          <w:color w:val="auto"/>
        </w:rPr>
        <w:t xml:space="preserve"> day, prior to the first anniversary of the date that the proxy statement for the annual meeting was sent to stockholders. In the event, however, that the annual meeting is not scheduled to be held within a period that begins 30 days before the first anniversary date of the preceding year’s annual meeting of stockholders and ends 30 days after the first anniversary date of the preceding year’s annual meeting of stockholders, then the notice of nomination must be provided by the later of the close of business on the date that is 180 days prior to the annual meeting or the tenth day following the date such annual meeting is first publicly announced or disclosed. Therefore, in connection with the 2018 annual meeting of stockholders, notice must be delivered to the Corporate Secretary between November 1, 2017 and December 1, 2017.</w:t>
      </w:r>
    </w:p>
    <w:p>
      <w:pPr>
        <w:spacing w:after="0" w:line="206"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In addition, Sections 2.07 and 3.03 of our bylaws provides that, in order for a stockholder to propose any matter (including nominations for directors) for consideration at the annual meeting (other than by inclusion in the Proxy Statement), such stockholder must give timely notice to our Corporate Secretary of his or her intention to bring such business before the meeting. To be timely, notice must be delivered to the Corporate Secretary not later than the close of business on the 90th day, nor earlier than the close of business on the 120th day, prior to the first anniversary of the preceding year’s annual meeting. In the event, however, that the date of the annual meeting is more than 30 days before or more than 70 days after such anniversary date, notice by the stockholder must be delivered not earlier than the close of business on the 120th day prior to such annual meeting and not later than the close of business on the 90th day prior to such annual meeting or the 10th day following the day on which public announcement of the date of such meeting is first made by us, whichever occurs later. Therefore, in connection with the 2018 annual meeting of stockholders, notice must be delivered to the Corporate Secretary between January 12, 2018 and February 11, 2018.</w:t>
      </w:r>
    </w:p>
    <w:p>
      <w:pPr>
        <w:spacing w:after="0" w:line="207"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Such stockholder’s notice must include certain information about the stockholder and the underlying beneficial owner, if any, including his or her name, age, address, occupation, shares, rights to acquire shares, information about derivatives, hedges, short positions, understandings or agreements regarding the economic and voting interests of the stockholder and related persons with respect to our stock, if any, and such other information as would be required to be disclosed in a proxy statement soliciting proxies for the election of the proposed nominee. A stockholder’s notice must be updated, if necessary so that the information submitted is true and correct as of the record date for determining stockholders entitled to receive notice of the meeting.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483E65"/>
        </w:rPr>
        <w:t>Annual Report on Form 10-K</w:t>
      </w:r>
    </w:p>
    <w:p>
      <w:pPr>
        <w:spacing w:after="0" w:line="234" w:lineRule="exact"/>
        <w:rPr>
          <w:sz w:val="20"/>
          <w:szCs w:val="20"/>
          <w:color w:val="auto"/>
        </w:rPr>
      </w:pPr>
    </w:p>
    <w:p>
      <w:pPr>
        <w:ind w:right="120"/>
        <w:spacing w:after="0"/>
        <w:rPr>
          <w:sz w:val="20"/>
          <w:szCs w:val="20"/>
          <w:color w:val="auto"/>
        </w:rPr>
      </w:pPr>
      <w:r>
        <w:rPr>
          <w:rFonts w:ascii="Arial" w:cs="Arial" w:eastAsia="Arial" w:hAnsi="Arial"/>
          <w:sz w:val="18"/>
          <w:szCs w:val="18"/>
          <w:color w:val="auto"/>
        </w:rPr>
        <w:t>We will provide without charge to any stockholder, upon written or oral request, a copy of our Annual Report without exhibits. Requests should be directed to Leidos Holdings, Inc., 11951 Freedom Drive, Reston, Virginia 20190, Attention: Corporate Secretary or by calling 1-571-526-6000.</w:t>
      </w:r>
    </w:p>
    <w:p>
      <w:pPr>
        <w:spacing w:after="0" w:line="200" w:lineRule="exact"/>
        <w:rPr>
          <w:sz w:val="20"/>
          <w:szCs w:val="20"/>
          <w:color w:val="auto"/>
        </w:rPr>
      </w:pPr>
    </w:p>
    <w:p>
      <w:pPr>
        <w:spacing w:after="0" w:line="219"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4567555</wp:posOffset>
            </wp:positionH>
            <wp:positionV relativeFrom="paragraph">
              <wp:posOffset>74930</wp:posOffset>
            </wp:positionV>
            <wp:extent cx="1646555" cy="6858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646555" cy="685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Daniel J. Antal</w:t>
      </w:r>
    </w:p>
    <w:p>
      <w:pPr>
        <w:ind w:left="7200"/>
        <w:spacing w:after="0" w:line="234" w:lineRule="auto"/>
        <w:rPr>
          <w:sz w:val="20"/>
          <w:szCs w:val="20"/>
          <w:color w:val="auto"/>
        </w:rPr>
      </w:pPr>
      <w:r>
        <w:rPr>
          <w:rFonts w:ascii="Arial" w:cs="Arial" w:eastAsia="Arial" w:hAnsi="Arial"/>
          <w:sz w:val="18"/>
          <w:szCs w:val="18"/>
          <w:color w:val="auto"/>
        </w:rPr>
        <w:t>Corporate Secretary</w:t>
      </w:r>
    </w:p>
    <w:p>
      <w:pPr>
        <w:spacing w:after="0" w:line="1"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March 31, 2017</w:t>
      </w:r>
    </w:p>
    <w:p>
      <w:pPr>
        <w:spacing w:after="0" w:line="127" w:lineRule="exact"/>
        <w:rPr>
          <w:sz w:val="20"/>
          <w:szCs w:val="20"/>
          <w:color w:val="auto"/>
        </w:rPr>
      </w:pPr>
    </w:p>
    <w:p>
      <w:pPr>
        <w:jc w:val="right"/>
        <w:spacing w:after="0"/>
        <w:tabs>
          <w:tab w:leader="none" w:pos="380" w:val="left"/>
          <w:tab w:leader="none" w:pos="160" w:val="left"/>
        </w:tabs>
        <w:rPr>
          <w:sz w:val="20"/>
          <w:szCs w:val="20"/>
          <w:color w:val="auto"/>
        </w:rPr>
      </w:pPr>
      <w:r>
        <w:rPr>
          <w:rFonts w:ascii="Arial" w:cs="Arial" w:eastAsia="Arial" w:hAnsi="Arial"/>
          <w:sz w:val="16"/>
          <w:szCs w:val="16"/>
          <w:b w:val="1"/>
          <w:bCs w:val="1"/>
          <w:color w:val="483E65"/>
        </w:rPr>
        <w:t>2017 Proxy Statement</w:t>
        <w:tab/>
        <w:t>|</w:t>
        <w:tab/>
        <w:t>73</w:t>
      </w:r>
    </w:p>
    <w:p>
      <w:pPr>
        <w:sectPr>
          <w:pgSz w:w="11900" w:h="16838" w:orient="portrait"/>
          <w:cols w:equalWidth="0" w:num="1">
            <w:col w:w="11420"/>
          </w:cols>
          <w:pgMar w:left="240" w:top="459" w:right="2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Annex A</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2006 EMPLOYEE STOCK PURCHASE PLAN</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Effective September 8, 2016)</w:t>
      </w:r>
    </w:p>
    <w:p>
      <w:pPr>
        <w:spacing w:after="0" w:line="217" w:lineRule="exact"/>
        <w:rPr>
          <w:sz w:val="20"/>
          <w:szCs w:val="20"/>
          <w:color w:val="auto"/>
        </w:rPr>
      </w:pPr>
    </w:p>
    <w:p>
      <w:pPr>
        <w:ind w:left="800" w:hanging="792"/>
        <w:spacing w:after="0"/>
        <w:tabs>
          <w:tab w:leader="none" w:pos="800" w:val="left"/>
        </w:tabs>
        <w:numPr>
          <w:ilvl w:val="0"/>
          <w:numId w:val="72"/>
        </w:numPr>
        <w:rPr>
          <w:rFonts w:ascii="Arial" w:cs="Arial" w:eastAsia="Arial" w:hAnsi="Arial"/>
          <w:sz w:val="18"/>
          <w:szCs w:val="18"/>
          <w:b w:val="1"/>
          <w:bCs w:val="1"/>
          <w:color w:val="auto"/>
        </w:rPr>
      </w:pPr>
      <w:r>
        <w:rPr>
          <w:rFonts w:ascii="Arial" w:cs="Arial" w:eastAsia="Arial" w:hAnsi="Arial"/>
          <w:sz w:val="18"/>
          <w:szCs w:val="18"/>
          <w:b w:val="1"/>
          <w:bCs w:val="1"/>
          <w:color w:val="auto"/>
        </w:rPr>
        <w:t>Establishment of Plan.</w:t>
      </w:r>
    </w:p>
    <w:p>
      <w:pPr>
        <w:spacing w:after="0" w:line="212" w:lineRule="exact"/>
        <w:rPr>
          <w:sz w:val="20"/>
          <w:szCs w:val="20"/>
          <w:color w:val="auto"/>
        </w:rPr>
      </w:pPr>
    </w:p>
    <w:p>
      <w:pPr>
        <w:ind w:right="180" w:firstLine="799"/>
        <w:spacing w:after="0" w:line="241" w:lineRule="auto"/>
        <w:rPr>
          <w:sz w:val="20"/>
          <w:szCs w:val="20"/>
          <w:color w:val="auto"/>
        </w:rPr>
      </w:pPr>
      <w:r>
        <w:rPr>
          <w:rFonts w:ascii="Arial" w:cs="Arial" w:eastAsia="Arial" w:hAnsi="Arial"/>
          <w:sz w:val="18"/>
          <w:szCs w:val="18"/>
          <w:color w:val="auto"/>
        </w:rPr>
        <w:t>Leidos Holdings, Inc.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proposes to grant options for purchase of the Company’s Common Stock as determined by the Committee to eligible Employees of the Company and its Participating Subsidiaries pursuant to this 2006 Employee Stock Purchase Plan (this “</w:t>
      </w:r>
      <w:r>
        <w:rPr>
          <w:rFonts w:ascii="Arial" w:cs="Arial" w:eastAsia="Arial" w:hAnsi="Arial"/>
          <w:sz w:val="18"/>
          <w:szCs w:val="18"/>
          <w:b w:val="1"/>
          <w:bCs w:val="1"/>
          <w:i w:val="1"/>
          <w:iCs w:val="1"/>
          <w:color w:val="auto"/>
        </w:rPr>
        <w:t>Plan</w:t>
      </w:r>
      <w:r>
        <w:rPr>
          <w:rFonts w:ascii="Arial" w:cs="Arial" w:eastAsia="Arial" w:hAnsi="Arial"/>
          <w:sz w:val="18"/>
          <w:szCs w:val="18"/>
          <w:color w:val="auto"/>
        </w:rPr>
        <w:t>”). This Plan is an omnibus document which includes a Section 423 Plan Component designed to qualify as an “employee stock purchase plan” under Section 423 of the Code, although the Company makes no undertaking or representation to maintain such qualification. In addition, the Plan authorizes the grant of options under a Non-423 Plan Component pursuant to rules, procedures or sub-plans adopted by the Board (or its designate). To the extent that the Company grants options to Employees of its Affiliates under this Plan, such grants shall be made only under the Non-423 Plan Component.</w:t>
      </w:r>
    </w:p>
    <w:p>
      <w:pPr>
        <w:spacing w:after="0" w:line="201" w:lineRule="exact"/>
        <w:rPr>
          <w:sz w:val="20"/>
          <w:szCs w:val="20"/>
          <w:color w:val="auto"/>
        </w:rPr>
      </w:pPr>
    </w:p>
    <w:p>
      <w:pPr>
        <w:ind w:right="80" w:firstLine="799"/>
        <w:spacing w:after="0" w:line="236" w:lineRule="auto"/>
        <w:rPr>
          <w:sz w:val="20"/>
          <w:szCs w:val="20"/>
          <w:color w:val="auto"/>
        </w:rPr>
      </w:pPr>
      <w:r>
        <w:rPr>
          <w:rFonts w:ascii="Arial" w:cs="Arial" w:eastAsia="Arial" w:hAnsi="Arial"/>
          <w:sz w:val="18"/>
          <w:szCs w:val="18"/>
          <w:color w:val="auto"/>
        </w:rPr>
        <w:t>The Section 423 Plan Component shall be a separate and independent plan from the Non-423 Plan Component, provided, however, that the total number of Shares authorized to be issued under the Plan applies in the aggregate to both the Section 423 Plan Component and the Non-423 Plan Component. Offerings under the Non-423 Plan Component may be made to achieve desired tax or other objectives in particular locations outside the United States of America or to comply with local laws applicable to offerings in such foreign jurisdictions. In the event of a conflict between the terms of the Non-423 Plan Component and the terms of this Plan, then with the exception of Sections 3, 11(c), 15 and 25 with respect to the total number of Shares available to be offered under the Plan for all sub-plans, the terms of the Non-423 Plan Component will control. Except to the extent expressly set forth herein or where the context suggests otherwise, any reference herein to “Plan” shall be construed to include a reference to both the Section 423 Plan Component and the Non-423 Plan Component.</w:t>
      </w:r>
    </w:p>
    <w:p>
      <w:pPr>
        <w:spacing w:after="0" w:line="208" w:lineRule="exact"/>
        <w:rPr>
          <w:sz w:val="20"/>
          <w:szCs w:val="20"/>
          <w:color w:val="auto"/>
        </w:rPr>
      </w:pPr>
    </w:p>
    <w:p>
      <w:pPr>
        <w:ind w:right="20" w:firstLine="799"/>
        <w:spacing w:after="0" w:line="238" w:lineRule="auto"/>
        <w:rPr>
          <w:sz w:val="20"/>
          <w:szCs w:val="20"/>
          <w:color w:val="auto"/>
        </w:rPr>
      </w:pPr>
      <w:r>
        <w:rPr>
          <w:rFonts w:ascii="Arial" w:cs="Arial" w:eastAsia="Arial" w:hAnsi="Arial"/>
          <w:sz w:val="18"/>
          <w:szCs w:val="18"/>
          <w:color w:val="auto"/>
        </w:rPr>
        <w:t>All eligible Employees shall have equal rights and privileges with respect to this Plan so that the Section 423 Plan Component qualifies as an “employee stock purchase plan” within the meaning of Section 423 of the Code, except for differences that may be mandated by local law and that are consistent with Code Section 423(b)(5). Participants participating in the Non-423 Plan Component by means of rules, procedures or sub-plans adopted pursuant to Section 20 need not have the same rights and privileges as participants participating in the Section 423 Plan Component.</w:t>
      </w:r>
    </w:p>
    <w:p>
      <w:pPr>
        <w:spacing w:after="0" w:line="203" w:lineRule="exact"/>
        <w:rPr>
          <w:sz w:val="20"/>
          <w:szCs w:val="20"/>
          <w:color w:val="auto"/>
        </w:rPr>
      </w:pPr>
    </w:p>
    <w:p>
      <w:pPr>
        <w:jc w:val="both"/>
        <w:ind w:right="120" w:firstLine="799"/>
        <w:spacing w:after="0"/>
        <w:rPr>
          <w:sz w:val="20"/>
          <w:szCs w:val="20"/>
          <w:color w:val="auto"/>
        </w:rPr>
      </w:pPr>
      <w:r>
        <w:rPr>
          <w:rFonts w:ascii="Arial" w:cs="Arial" w:eastAsia="Arial" w:hAnsi="Arial"/>
          <w:sz w:val="18"/>
          <w:szCs w:val="18"/>
          <w:color w:val="auto"/>
        </w:rPr>
        <w:t>The purpose of this Plan is to provide eligible Employees of the Company and Participating Subsidiaries with a convenient means of acquiring an equity interest in the Company through payroll deductions, to align the interests of such Employees with those of the Company’s stockholders, and to provide an incentive for continued employment.</w:t>
      </w:r>
    </w:p>
    <w:p>
      <w:pPr>
        <w:spacing w:after="0" w:line="208" w:lineRule="exact"/>
        <w:rPr>
          <w:sz w:val="20"/>
          <w:szCs w:val="20"/>
          <w:color w:val="auto"/>
        </w:rPr>
      </w:pPr>
    </w:p>
    <w:p>
      <w:pPr>
        <w:ind w:left="800" w:hanging="792"/>
        <w:spacing w:after="0"/>
        <w:tabs>
          <w:tab w:leader="none" w:pos="800" w:val="left"/>
        </w:tabs>
        <w:numPr>
          <w:ilvl w:val="0"/>
          <w:numId w:val="73"/>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w:t>
      </w:r>
    </w:p>
    <w:p>
      <w:pPr>
        <w:spacing w:after="0" w:line="22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Any term not expressly defined in this Plan but defined for purposes of Section 423 of the Code shall have the same definition herein.</w:t>
      </w:r>
    </w:p>
    <w:p>
      <w:pPr>
        <w:spacing w:after="0"/>
        <w:rPr>
          <w:sz w:val="20"/>
          <w:szCs w:val="20"/>
          <w:color w:val="auto"/>
        </w:rPr>
      </w:pPr>
      <w:r>
        <w:rPr>
          <w:rFonts w:ascii="Arial" w:cs="Arial" w:eastAsia="Arial" w:hAnsi="Arial"/>
          <w:sz w:val="18"/>
          <w:szCs w:val="18"/>
          <w:color w:val="auto"/>
        </w:rPr>
        <w:t>In addition, this Plan uses the following defined terms:</w:t>
      </w:r>
    </w:p>
    <w:p>
      <w:pPr>
        <w:spacing w:after="0" w:line="190" w:lineRule="exact"/>
        <w:rPr>
          <w:sz w:val="20"/>
          <w:szCs w:val="20"/>
          <w:color w:val="auto"/>
        </w:rPr>
      </w:pPr>
    </w:p>
    <w:p>
      <w:pPr>
        <w:ind w:right="300" w:firstLine="799"/>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Affiliate</w:t>
      </w:r>
      <w:r>
        <w:rPr>
          <w:rFonts w:ascii="Arial" w:cs="Arial" w:eastAsia="Arial" w:hAnsi="Arial"/>
          <w:sz w:val="18"/>
          <w:szCs w:val="18"/>
          <w:color w:val="auto"/>
        </w:rPr>
        <w:t>” means any entity other than a Subsidiary in which the Company has a controlling interest and which is not a “subsidiary corporation” as defined in Section 424(f) of the Code.</w:t>
      </w:r>
    </w:p>
    <w:p>
      <w:pPr>
        <w:spacing w:after="0" w:line="154" w:lineRule="exact"/>
        <w:rPr>
          <w:sz w:val="20"/>
          <w:szCs w:val="20"/>
          <w:color w:val="auto"/>
        </w:rPr>
      </w:pPr>
    </w:p>
    <w:p>
      <w:pPr>
        <w:ind w:left="8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means the Board of Directors of the Company.</w:t>
      </w:r>
    </w:p>
    <w:p>
      <w:pPr>
        <w:spacing w:after="0" w:line="212" w:lineRule="exact"/>
        <w:rPr>
          <w:sz w:val="20"/>
          <w:szCs w:val="20"/>
          <w:color w:val="auto"/>
        </w:rPr>
      </w:pPr>
    </w:p>
    <w:p>
      <w:pPr>
        <w:ind w:left="8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Code</w:t>
      </w:r>
      <w:r>
        <w:rPr>
          <w:rFonts w:ascii="Arial" w:cs="Arial" w:eastAsia="Arial" w:hAnsi="Arial"/>
          <w:sz w:val="18"/>
          <w:szCs w:val="18"/>
          <w:color w:val="auto"/>
        </w:rPr>
        <w:t>” means the Internal Revenue Code of 1986, as amended.</w:t>
      </w:r>
    </w:p>
    <w:p>
      <w:pPr>
        <w:spacing w:after="0" w:line="212" w:lineRule="exact"/>
        <w:rPr>
          <w:sz w:val="20"/>
          <w:szCs w:val="20"/>
          <w:color w:val="auto"/>
        </w:rPr>
      </w:pPr>
    </w:p>
    <w:p>
      <w:pPr>
        <w:ind w:right="80" w:firstLine="799"/>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Committee</w:t>
      </w:r>
      <w:r>
        <w:rPr>
          <w:rFonts w:ascii="Arial" w:cs="Arial" w:eastAsia="Arial" w:hAnsi="Arial"/>
          <w:sz w:val="18"/>
          <w:szCs w:val="18"/>
          <w:color w:val="auto"/>
        </w:rPr>
        <w:t>” means a management, administrative or other committee of the Company as established by the Board or committee of the Board.</w:t>
      </w:r>
    </w:p>
    <w:p>
      <w:pPr>
        <w:spacing w:after="0" w:line="154" w:lineRule="exact"/>
        <w:rPr>
          <w:sz w:val="20"/>
          <w:szCs w:val="20"/>
          <w:color w:val="auto"/>
        </w:rPr>
      </w:pPr>
    </w:p>
    <w:p>
      <w:pPr>
        <w:ind w:left="8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Common Stock</w:t>
      </w:r>
      <w:r>
        <w:rPr>
          <w:rFonts w:ascii="Arial" w:cs="Arial" w:eastAsia="Arial" w:hAnsi="Arial"/>
          <w:sz w:val="18"/>
          <w:szCs w:val="18"/>
          <w:color w:val="auto"/>
        </w:rPr>
        <w:t>” means the common stock of the Company, par value $0.0001 per share.</w:t>
      </w:r>
    </w:p>
    <w:p>
      <w:pPr>
        <w:spacing w:after="0" w:line="212" w:lineRule="exact"/>
        <w:rPr>
          <w:sz w:val="20"/>
          <w:szCs w:val="20"/>
          <w:color w:val="auto"/>
        </w:rPr>
      </w:pPr>
    </w:p>
    <w:p>
      <w:pPr>
        <w:ind w:left="8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means Leidos Holdings, Inc., a Delaware corporation.</w:t>
      </w:r>
    </w:p>
    <w:p>
      <w:pPr>
        <w:spacing w:after="0" w:line="212" w:lineRule="exact"/>
        <w:rPr>
          <w:sz w:val="20"/>
          <w:szCs w:val="20"/>
          <w:color w:val="auto"/>
        </w:rPr>
      </w:pPr>
    </w:p>
    <w:p>
      <w:pPr>
        <w:ind w:right="260" w:firstLine="799"/>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Compensation</w:t>
      </w:r>
      <w:r>
        <w:rPr>
          <w:rFonts w:ascii="Arial" w:cs="Arial" w:eastAsia="Arial" w:hAnsi="Arial"/>
          <w:sz w:val="18"/>
          <w:szCs w:val="18"/>
          <w:color w:val="auto"/>
        </w:rPr>
        <w:t>” means the definition of Compensation established by the Committee, which definition shall comply with Treasury Regulation Section 1.423-2(f).</w:t>
      </w:r>
    </w:p>
    <w:p>
      <w:pPr>
        <w:sectPr>
          <w:pgSz w:w="11900" w:h="16838" w:orient="portrait"/>
          <w:cols w:equalWidth="0" w:num="1">
            <w:col w:w="11420"/>
          </w:cols>
          <w:pgMar w:left="240" w:top="459" w:right="2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firstLine="799"/>
        <w:spacing w:after="0" w:line="23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Employee</w:t>
      </w:r>
      <w:r>
        <w:rPr>
          <w:rFonts w:ascii="Arial" w:cs="Arial" w:eastAsia="Arial" w:hAnsi="Arial"/>
          <w:sz w:val="18"/>
          <w:szCs w:val="18"/>
          <w:color w:val="auto"/>
        </w:rPr>
        <w:t>” means any individual who is an employee of the Company or a Participating Subsidiary. Whether an individual qualifies as an Employee shall be determined by the Committee, in its sole discretion. The Committee shall be guided by the provisions of Treasury Regulation Section 1.423-2(e) and Section 3401(c) of the Code and the Treasury Regulations thereunder as to Employees in the United States, with the intent that the Plan cover all “employees” within the meaning of those provisions other than those who are not eligible to participate in the Plan, provided, however, that any determinations regarding whether an individual is an “Employee” shall be prospective only, unless otherwise determined by the Committee. Unless the Committee makes a contrary determination, the Employees of the Company shall, for all purposes of this Plan, be those individuals who are employees of the Company or a Participating Subsidiary for regular payroll purposes or are on a leave of absence for not more than 90 days. Any inquiries regarding eligibility to participate in the Plan shall be directed to the Committee, whose decision shall be final.</w:t>
      </w:r>
    </w:p>
    <w:p>
      <w:pPr>
        <w:spacing w:after="0" w:line="184" w:lineRule="exact"/>
        <w:rPr>
          <w:sz w:val="20"/>
          <w:szCs w:val="20"/>
          <w:color w:val="auto"/>
        </w:rPr>
      </w:pPr>
    </w:p>
    <w:p>
      <w:pPr>
        <w:ind w:right="60" w:firstLine="799"/>
        <w:spacing w:after="0" w:line="24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Fair Market Value</w:t>
      </w:r>
      <w:r>
        <w:rPr>
          <w:rFonts w:ascii="Arial" w:cs="Arial" w:eastAsia="Arial" w:hAnsi="Arial"/>
          <w:sz w:val="18"/>
          <w:szCs w:val="18"/>
          <w:color w:val="auto"/>
        </w:rPr>
        <w:t>” means the value of a Share as determined as follows. If the Shares are listed on any established stock exchange or quoted on a national market system, including, without limitation, the New York Stock Exchange or the NASDAQ Stock Market, the Fair Market Value shall be the closing price of a Share as quoted on such exchange or system on the day before the date for which the value is being determined (or if no sales were reported, the closing price on the trading date immediately preceding such date), as reported by The Wall Street Journal. In the absence of an established market for the Shares, the Fair Market Value shall be determined in good faith by the Committee and such determination shall be conclusive and binding on all persons.</w:t>
      </w:r>
    </w:p>
    <w:p>
      <w:pPr>
        <w:spacing w:after="0" w:line="179" w:lineRule="exact"/>
        <w:rPr>
          <w:sz w:val="20"/>
          <w:szCs w:val="20"/>
          <w:color w:val="auto"/>
        </w:rPr>
      </w:pPr>
    </w:p>
    <w:p>
      <w:pPr>
        <w:ind w:right="140" w:firstLine="799"/>
        <w:spacing w:after="0" w:line="24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Maximum Share Amount</w:t>
      </w:r>
      <w:r>
        <w:rPr>
          <w:rFonts w:ascii="Arial" w:cs="Arial" w:eastAsia="Arial" w:hAnsi="Arial"/>
          <w:sz w:val="18"/>
          <w:szCs w:val="18"/>
          <w:color w:val="auto"/>
        </w:rPr>
        <w:t>” means a maximum number of Shares which may be purchased by any Employee at any single Purchase Date. Prior to the commencement of any Offering Period or prior to such time period as specified by the Committee, the Committee may, in its sole discretion, set a Maximum Share Amount. If the Committee does not set a Maximum Share Amount, the Maximum Share Amount shall be 1,000 Shares. If a new Maximum Share Amount is set, then all participants must be notified of such Maximum Share Amount prior to the commencement of the next Offering Period. The Maximum Share Amount shall continue to apply with respect to all succeeding Purchase Dates and Offering Periods unless revised by the Committee as set forth above.</w:t>
      </w:r>
    </w:p>
    <w:p>
      <w:pPr>
        <w:spacing w:after="0" w:line="17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Non-423 Plan Component</w:t>
      </w:r>
      <w:r>
        <w:rPr>
          <w:rFonts w:ascii="Arial" w:cs="Arial" w:eastAsia="Arial" w:hAnsi="Arial"/>
          <w:sz w:val="18"/>
          <w:szCs w:val="18"/>
          <w:color w:val="auto"/>
        </w:rPr>
        <w:t>” means a component of this Plan which does not qualify under Section 423 of the Code.</w:t>
      </w:r>
    </w:p>
    <w:p>
      <w:pPr>
        <w:spacing w:after="0" w:line="212" w:lineRule="exact"/>
        <w:rPr>
          <w:sz w:val="20"/>
          <w:szCs w:val="20"/>
          <w:color w:val="auto"/>
        </w:rPr>
      </w:pPr>
    </w:p>
    <w:p>
      <w:pPr>
        <w:ind w:right="200" w:firstLine="799"/>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Notice Period</w:t>
      </w:r>
      <w:r>
        <w:rPr>
          <w:rFonts w:ascii="Arial" w:cs="Arial" w:eastAsia="Arial" w:hAnsi="Arial"/>
          <w:sz w:val="18"/>
          <w:szCs w:val="18"/>
          <w:color w:val="auto"/>
        </w:rPr>
        <w:t>” means the period within two (2) years from the Offering Date relating to the applicable Shares or one (1) year from the Purchase Date on which the applicable Shares were purchased.</w:t>
      </w:r>
    </w:p>
    <w:p>
      <w:pPr>
        <w:spacing w:after="0" w:line="154" w:lineRule="exact"/>
        <w:rPr>
          <w:sz w:val="20"/>
          <w:szCs w:val="20"/>
          <w:color w:val="auto"/>
        </w:rPr>
      </w:pPr>
    </w:p>
    <w:p>
      <w:pPr>
        <w:ind w:left="8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Offering Date</w:t>
      </w:r>
      <w:r>
        <w:rPr>
          <w:rFonts w:ascii="Arial" w:cs="Arial" w:eastAsia="Arial" w:hAnsi="Arial"/>
          <w:sz w:val="18"/>
          <w:szCs w:val="18"/>
          <w:color w:val="auto"/>
        </w:rPr>
        <w:t>” means the first business day of each Offering Period.</w:t>
      </w:r>
    </w:p>
    <w:p>
      <w:pPr>
        <w:spacing w:after="0" w:line="212" w:lineRule="exact"/>
        <w:rPr>
          <w:sz w:val="20"/>
          <w:szCs w:val="20"/>
          <w:color w:val="auto"/>
        </w:rPr>
      </w:pPr>
    </w:p>
    <w:p>
      <w:pPr>
        <w:ind w:right="40" w:firstLine="799"/>
        <w:spacing w:after="0" w:line="24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Offering Period</w:t>
      </w:r>
      <w:r>
        <w:rPr>
          <w:rFonts w:ascii="Arial" w:cs="Arial" w:eastAsia="Arial" w:hAnsi="Arial"/>
          <w:sz w:val="18"/>
          <w:szCs w:val="18"/>
          <w:color w:val="auto"/>
        </w:rPr>
        <w:t>” means a period commencing and ending on those dates determined by the Committee. The Offering Periods of this Plan may be up to twenty-four (24) months in duration and may consist of up to eight (8) Purchase Periods during which payroll deductions of the participants are accumulated under this Plan. However, unless and until determined otherwise by the Committee, each Offering Period shall have a duration of three months and shall commence on April 1, July 1, October 1 or January 1 and each Offering Period shall have only one Purchase Period which shall run simultaneously with the Offering Period.</w:t>
      </w:r>
    </w:p>
    <w:p>
      <w:pPr>
        <w:spacing w:after="0" w:line="199" w:lineRule="exact"/>
        <w:rPr>
          <w:sz w:val="20"/>
          <w:szCs w:val="20"/>
          <w:color w:val="auto"/>
        </w:rPr>
      </w:pPr>
    </w:p>
    <w:p>
      <w:pPr>
        <w:ind w:right="100" w:firstLine="799"/>
        <w:spacing w:after="0" w:line="246" w:lineRule="auto"/>
        <w:rPr>
          <w:sz w:val="20"/>
          <w:szCs w:val="20"/>
          <w:color w:val="auto"/>
        </w:rPr>
      </w:pPr>
      <w:r>
        <w:rPr>
          <w:rFonts w:ascii="Arial" w:cs="Arial" w:eastAsia="Arial" w:hAnsi="Arial"/>
          <w:sz w:val="18"/>
          <w:szCs w:val="18"/>
          <w:color w:val="auto"/>
        </w:rPr>
        <w:t>The duration and timing of Offering Periods may be changed pursuant to Section 6, Section 15 and Section 25 of this Plan, provided that no Offering Period shall exceed a period of twenty-four (24) months.</w:t>
      </w:r>
    </w:p>
    <w:p>
      <w:pPr>
        <w:spacing w:after="0" w:line="175" w:lineRule="exact"/>
        <w:rPr>
          <w:sz w:val="20"/>
          <w:szCs w:val="20"/>
          <w:color w:val="auto"/>
        </w:rPr>
      </w:pPr>
    </w:p>
    <w:p>
      <w:pPr>
        <w:ind w:left="8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Parent Corporation</w:t>
      </w:r>
      <w:r>
        <w:rPr>
          <w:rFonts w:ascii="Arial" w:cs="Arial" w:eastAsia="Arial" w:hAnsi="Arial"/>
          <w:sz w:val="18"/>
          <w:szCs w:val="18"/>
          <w:color w:val="auto"/>
        </w:rPr>
        <w:t>” shall have the same meaning as “parent corporation” in Section 424(e) of the Code.</w:t>
      </w:r>
    </w:p>
    <w:p>
      <w:pPr>
        <w:spacing w:after="0" w:line="212" w:lineRule="exact"/>
        <w:rPr>
          <w:sz w:val="20"/>
          <w:szCs w:val="20"/>
          <w:color w:val="auto"/>
        </w:rPr>
      </w:pPr>
    </w:p>
    <w:p>
      <w:pPr>
        <w:ind w:right="160" w:firstLine="799"/>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Participating Subsidiaries</w:t>
      </w:r>
      <w:r>
        <w:rPr>
          <w:rFonts w:ascii="Arial" w:cs="Arial" w:eastAsia="Arial" w:hAnsi="Arial"/>
          <w:sz w:val="18"/>
          <w:szCs w:val="18"/>
          <w:color w:val="auto"/>
        </w:rPr>
        <w:t>” means Leidos, Inc. and such Parent Corporations, Subsidiaries or Affiliates that the Board designates from time to time as corporations that shall participate in this Plan.</w:t>
      </w:r>
    </w:p>
    <w:p>
      <w:pPr>
        <w:spacing w:after="0" w:line="154" w:lineRule="exact"/>
        <w:rPr>
          <w:sz w:val="20"/>
          <w:szCs w:val="20"/>
          <w:color w:val="auto"/>
        </w:rPr>
      </w:pPr>
    </w:p>
    <w:p>
      <w:pPr>
        <w:ind w:left="8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Plan</w:t>
      </w:r>
      <w:r>
        <w:rPr>
          <w:rFonts w:ascii="Arial" w:cs="Arial" w:eastAsia="Arial" w:hAnsi="Arial"/>
          <w:sz w:val="18"/>
          <w:szCs w:val="18"/>
          <w:color w:val="auto"/>
        </w:rPr>
        <w:t>” means this 2006 Employee Stock Purchase Plan of the Company.</w:t>
      </w:r>
    </w:p>
    <w:p>
      <w:pPr>
        <w:spacing w:after="0" w:line="212" w:lineRule="exact"/>
        <w:rPr>
          <w:sz w:val="20"/>
          <w:szCs w:val="20"/>
          <w:color w:val="auto"/>
        </w:rPr>
      </w:pPr>
    </w:p>
    <w:p>
      <w:pPr>
        <w:ind w:left="8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Purchase Date</w:t>
      </w:r>
      <w:r>
        <w:rPr>
          <w:rFonts w:ascii="Arial" w:cs="Arial" w:eastAsia="Arial" w:hAnsi="Arial"/>
          <w:sz w:val="18"/>
          <w:szCs w:val="18"/>
          <w:color w:val="auto"/>
        </w:rPr>
        <w:t>” means the last business day of each Purchase Period.</w:t>
      </w:r>
    </w:p>
    <w:p>
      <w:pPr>
        <w:spacing w:after="0" w:line="212" w:lineRule="exact"/>
        <w:rPr>
          <w:sz w:val="20"/>
          <w:szCs w:val="20"/>
          <w:color w:val="auto"/>
        </w:rPr>
      </w:pPr>
    </w:p>
    <w:p>
      <w:pPr>
        <w:ind w:right="200" w:firstLine="799"/>
        <w:spacing w:after="0" w:line="24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Purchase Period</w:t>
      </w:r>
      <w:r>
        <w:rPr>
          <w:rFonts w:ascii="Arial" w:cs="Arial" w:eastAsia="Arial" w:hAnsi="Arial"/>
          <w:sz w:val="18"/>
          <w:szCs w:val="18"/>
          <w:color w:val="auto"/>
        </w:rPr>
        <w:t>” means a period commencing and ending on those dates determined by the Committee. However, unless and until determined otherwise by the Committee, each Purchase Period shall have a duration of three (3) months and shall be coincident with an Offering Period. The duration and timing of Purchase Periods may be changed pursuant to Section 6, Section 15 and Section 25 of this Plan, provided that no Purchase Period shall exceed a period of six (6) months, other than the first purchase period commencing after adoption of this restatement.</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Page 2 of 8</w:t>
      </w:r>
    </w:p>
    <w:p>
      <w:pPr>
        <w:sectPr>
          <w:pgSz w:w="11900" w:h="16838" w:orient="portrait"/>
          <w:cols w:equalWidth="0" w:num="1">
            <w:col w:w="11420"/>
          </w:cols>
          <w:pgMar w:left="240" w:top="459" w:right="2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right="140" w:firstLine="799"/>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Reserves</w:t>
      </w:r>
      <w:r>
        <w:rPr>
          <w:rFonts w:ascii="Arial" w:cs="Arial" w:eastAsia="Arial" w:hAnsi="Arial"/>
          <w:sz w:val="18"/>
          <w:szCs w:val="18"/>
          <w:color w:val="auto"/>
        </w:rPr>
        <w:t>” means the number of Shares covered by each option under this Plan which has not yet been exercised and the number of Shares which have been authorized for issuance under this Plan, but have not yet been placed under option.</w:t>
      </w:r>
    </w:p>
    <w:p>
      <w:pPr>
        <w:spacing w:after="0" w:line="154" w:lineRule="exact"/>
        <w:rPr>
          <w:sz w:val="20"/>
          <w:szCs w:val="20"/>
          <w:color w:val="auto"/>
        </w:rPr>
      </w:pPr>
    </w:p>
    <w:p>
      <w:pPr>
        <w:ind w:right="120" w:firstLine="799"/>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Section 423 Plan Component</w:t>
      </w:r>
      <w:r>
        <w:rPr>
          <w:rFonts w:ascii="Arial" w:cs="Arial" w:eastAsia="Arial" w:hAnsi="Arial"/>
          <w:sz w:val="18"/>
          <w:szCs w:val="18"/>
          <w:color w:val="auto"/>
        </w:rPr>
        <w:t>” means the component of the Plan designed to qualify as an “employee stock purchase plan” under Section 423 of the Code.</w:t>
      </w:r>
    </w:p>
    <w:p>
      <w:pPr>
        <w:spacing w:after="0" w:line="154" w:lineRule="exact"/>
        <w:rPr>
          <w:sz w:val="20"/>
          <w:szCs w:val="20"/>
          <w:color w:val="auto"/>
        </w:rPr>
      </w:pPr>
    </w:p>
    <w:p>
      <w:pPr>
        <w:ind w:left="8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Share</w:t>
      </w:r>
      <w:r>
        <w:rPr>
          <w:rFonts w:ascii="Arial" w:cs="Arial" w:eastAsia="Arial" w:hAnsi="Arial"/>
          <w:sz w:val="18"/>
          <w:szCs w:val="18"/>
          <w:color w:val="auto"/>
        </w:rPr>
        <w:t>” means a share of Common Stock.</w:t>
      </w:r>
    </w:p>
    <w:p>
      <w:pPr>
        <w:spacing w:after="0" w:line="212" w:lineRule="exact"/>
        <w:rPr>
          <w:sz w:val="20"/>
          <w:szCs w:val="20"/>
          <w:color w:val="auto"/>
        </w:rPr>
      </w:pPr>
    </w:p>
    <w:p>
      <w:pPr>
        <w:ind w:left="8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Subsidiary</w:t>
      </w:r>
      <w:r>
        <w:rPr>
          <w:rFonts w:ascii="Arial" w:cs="Arial" w:eastAsia="Arial" w:hAnsi="Arial"/>
          <w:sz w:val="18"/>
          <w:szCs w:val="18"/>
          <w:color w:val="auto"/>
        </w:rPr>
        <w:t>” shall have the same meaning as “subsidiary corporation” in Section 424(f) of the Code.</w:t>
      </w:r>
    </w:p>
    <w:p>
      <w:pPr>
        <w:spacing w:after="0" w:line="239" w:lineRule="exact"/>
        <w:rPr>
          <w:sz w:val="20"/>
          <w:szCs w:val="20"/>
          <w:color w:val="auto"/>
        </w:rPr>
      </w:pPr>
    </w:p>
    <w:p>
      <w:pPr>
        <w:ind w:left="800" w:hanging="792"/>
        <w:spacing w:after="0"/>
        <w:tabs>
          <w:tab w:leader="none" w:pos="800" w:val="left"/>
        </w:tabs>
        <w:numPr>
          <w:ilvl w:val="0"/>
          <w:numId w:val="74"/>
        </w:numPr>
        <w:rPr>
          <w:rFonts w:ascii="Arial" w:cs="Arial" w:eastAsia="Arial" w:hAnsi="Arial"/>
          <w:sz w:val="18"/>
          <w:szCs w:val="18"/>
          <w:b w:val="1"/>
          <w:bCs w:val="1"/>
          <w:color w:val="auto"/>
        </w:rPr>
      </w:pPr>
      <w:r>
        <w:rPr>
          <w:rFonts w:ascii="Arial" w:cs="Arial" w:eastAsia="Arial" w:hAnsi="Arial"/>
          <w:sz w:val="18"/>
          <w:szCs w:val="18"/>
          <w:b w:val="1"/>
          <w:bCs w:val="1"/>
          <w:color w:val="auto"/>
        </w:rPr>
        <w:t>Number of Shares.</w:t>
      </w:r>
    </w:p>
    <w:p>
      <w:pPr>
        <w:spacing w:after="0" w:line="234" w:lineRule="exact"/>
        <w:rPr>
          <w:sz w:val="20"/>
          <w:szCs w:val="20"/>
          <w:color w:val="auto"/>
        </w:rPr>
      </w:pPr>
    </w:p>
    <w:p>
      <w:pPr>
        <w:ind w:right="120" w:firstLine="799"/>
        <w:spacing w:after="0" w:line="246" w:lineRule="auto"/>
        <w:rPr>
          <w:sz w:val="20"/>
          <w:szCs w:val="20"/>
          <w:color w:val="auto"/>
        </w:rPr>
      </w:pPr>
      <w:r>
        <w:rPr>
          <w:rFonts w:ascii="Arial" w:cs="Arial" w:eastAsia="Arial" w:hAnsi="Arial"/>
          <w:sz w:val="18"/>
          <w:szCs w:val="18"/>
          <w:color w:val="auto"/>
        </w:rPr>
        <w:t>The maximum number of Shares that will be offered under the Plan after September 8, 2016 through the remaining term of this Plan is 5,000,000 Shares, subject to adjustment as permitted under Section 15.</w:t>
      </w:r>
    </w:p>
    <w:p>
      <w:pPr>
        <w:spacing w:after="0" w:line="202" w:lineRule="exact"/>
        <w:rPr>
          <w:sz w:val="20"/>
          <w:szCs w:val="20"/>
          <w:color w:val="auto"/>
        </w:rPr>
      </w:pPr>
    </w:p>
    <w:p>
      <w:pPr>
        <w:ind w:left="800" w:hanging="792"/>
        <w:spacing w:after="0"/>
        <w:tabs>
          <w:tab w:leader="none" w:pos="800" w:val="left"/>
        </w:tabs>
        <w:numPr>
          <w:ilvl w:val="0"/>
          <w:numId w:val="75"/>
        </w:numPr>
        <w:rPr>
          <w:rFonts w:ascii="Arial" w:cs="Arial" w:eastAsia="Arial" w:hAnsi="Arial"/>
          <w:sz w:val="18"/>
          <w:szCs w:val="18"/>
          <w:b w:val="1"/>
          <w:bCs w:val="1"/>
          <w:color w:val="auto"/>
        </w:rPr>
      </w:pPr>
      <w:r>
        <w:rPr>
          <w:rFonts w:ascii="Arial" w:cs="Arial" w:eastAsia="Arial" w:hAnsi="Arial"/>
          <w:sz w:val="18"/>
          <w:szCs w:val="18"/>
          <w:b w:val="1"/>
          <w:bCs w:val="1"/>
          <w:color w:val="auto"/>
        </w:rPr>
        <w:t>Administration.</w:t>
      </w:r>
    </w:p>
    <w:p>
      <w:pPr>
        <w:spacing w:after="0" w:line="234" w:lineRule="exact"/>
        <w:rPr>
          <w:sz w:val="20"/>
          <w:szCs w:val="20"/>
          <w:color w:val="auto"/>
        </w:rPr>
      </w:pPr>
    </w:p>
    <w:p>
      <w:pPr>
        <w:ind w:right="60" w:firstLine="799"/>
        <w:spacing w:after="0" w:line="236" w:lineRule="auto"/>
        <w:rPr>
          <w:sz w:val="20"/>
          <w:szCs w:val="20"/>
          <w:color w:val="auto"/>
        </w:rPr>
      </w:pPr>
      <w:r>
        <w:rPr>
          <w:rFonts w:ascii="Arial" w:cs="Arial" w:eastAsia="Arial" w:hAnsi="Arial"/>
          <w:sz w:val="18"/>
          <w:szCs w:val="18"/>
          <w:color w:val="auto"/>
        </w:rPr>
        <w:t>This Plan shall be administered by the Committee, including (a) prescribing, amending and rescinding rules and regulations relating to the Plan; (b) prescribing forms for carrying out the provisions and purposes of the Plan; (c) interpreting the Plan; and (d) making all other determinations deemed necessary or advisable for the administration of the Plan, including factual determinations. Subject to the provisions of this Plan, the Committee shall have all authority to (i) determine and change the percentage discount pursuant to Section 9, (ii) determine and change the Offering Periods and Offering Dates pursuant to Section 6, (iii) determine and change the purchase price for Shares pursuant to Section 9, (iv) prescribe minimum holding periods for the Shares issued under this Plan, and (v) prescribe, amend and rescind rules and regulations relating to this Plan. All decisions of the Committee shall be final and binding upon all participants. Members of the Committee shall receive no compensation for their services in connection with the administration of this Plan, other than standard fees as established from time to time by the Board for services rendered by Board members serving on Board committees. All expenses incurred in connection with the administration of this Plan shall be paid by the Company.</w:t>
      </w:r>
    </w:p>
    <w:p>
      <w:pPr>
        <w:spacing w:after="0" w:line="207" w:lineRule="exact"/>
        <w:rPr>
          <w:sz w:val="20"/>
          <w:szCs w:val="20"/>
          <w:color w:val="auto"/>
        </w:rPr>
      </w:pPr>
    </w:p>
    <w:p>
      <w:pPr>
        <w:ind w:right="380" w:firstLine="799"/>
        <w:spacing w:after="0"/>
        <w:rPr>
          <w:sz w:val="20"/>
          <w:szCs w:val="20"/>
          <w:color w:val="auto"/>
        </w:rPr>
      </w:pPr>
      <w:r>
        <w:rPr>
          <w:rFonts w:ascii="Arial" w:cs="Arial" w:eastAsia="Arial" w:hAnsi="Arial"/>
          <w:sz w:val="18"/>
          <w:szCs w:val="18"/>
          <w:color w:val="auto"/>
        </w:rPr>
        <w:t>In its rules and procedures for the administration of the Plan (including, without limitation, procedures covering any directions, elections, or other actions by Employees, and the delivery of statements and other disclosure materials to such individuals), the Committee may provide for the use of electronic communications and other media in a manner consistent with any applicable laws.</w:t>
      </w:r>
    </w:p>
    <w:p>
      <w:pPr>
        <w:spacing w:after="0" w:line="208" w:lineRule="exact"/>
        <w:rPr>
          <w:sz w:val="20"/>
          <w:szCs w:val="20"/>
          <w:color w:val="auto"/>
        </w:rPr>
      </w:pPr>
    </w:p>
    <w:p>
      <w:pPr>
        <w:ind w:left="800" w:hanging="792"/>
        <w:spacing w:after="0"/>
        <w:tabs>
          <w:tab w:leader="none" w:pos="800" w:val="left"/>
        </w:tabs>
        <w:numPr>
          <w:ilvl w:val="0"/>
          <w:numId w:val="76"/>
        </w:numPr>
        <w:rPr>
          <w:rFonts w:ascii="Arial" w:cs="Arial" w:eastAsia="Arial" w:hAnsi="Arial"/>
          <w:sz w:val="18"/>
          <w:szCs w:val="18"/>
          <w:b w:val="1"/>
          <w:bCs w:val="1"/>
          <w:color w:val="auto"/>
        </w:rPr>
      </w:pPr>
      <w:r>
        <w:rPr>
          <w:rFonts w:ascii="Arial" w:cs="Arial" w:eastAsia="Arial" w:hAnsi="Arial"/>
          <w:sz w:val="18"/>
          <w:szCs w:val="18"/>
          <w:b w:val="1"/>
          <w:bCs w:val="1"/>
          <w:color w:val="auto"/>
        </w:rPr>
        <w:t>Eligibility.</w:t>
      </w:r>
    </w:p>
    <w:p>
      <w:pPr>
        <w:spacing w:after="0" w:line="234" w:lineRule="exact"/>
        <w:rPr>
          <w:sz w:val="20"/>
          <w:szCs w:val="20"/>
          <w:color w:val="auto"/>
        </w:rPr>
      </w:pPr>
    </w:p>
    <w:p>
      <w:pPr>
        <w:ind w:right="160" w:firstLine="799"/>
        <w:spacing w:after="0" w:line="246" w:lineRule="auto"/>
        <w:rPr>
          <w:sz w:val="20"/>
          <w:szCs w:val="20"/>
          <w:color w:val="auto"/>
        </w:rPr>
      </w:pPr>
      <w:r>
        <w:rPr>
          <w:rFonts w:ascii="Arial" w:cs="Arial" w:eastAsia="Arial" w:hAnsi="Arial"/>
          <w:sz w:val="18"/>
          <w:szCs w:val="18"/>
          <w:color w:val="auto"/>
        </w:rPr>
        <w:t>Any Employee of the Company or the Participating Subsidiaries is eligible to participate in an Offering Period under this Plan except the following:</w:t>
      </w:r>
    </w:p>
    <w:p>
      <w:pPr>
        <w:spacing w:after="0" w:line="197" w:lineRule="exact"/>
        <w:rPr>
          <w:sz w:val="20"/>
          <w:szCs w:val="20"/>
          <w:color w:val="auto"/>
        </w:rPr>
      </w:pPr>
    </w:p>
    <w:p>
      <w:pPr>
        <w:ind w:firstLine="807"/>
        <w:spacing w:after="0" w:line="246" w:lineRule="auto"/>
        <w:tabs>
          <w:tab w:leader="none" w:pos="1419" w:val="left"/>
        </w:tabs>
        <w:numPr>
          <w:ilvl w:val="0"/>
          <w:numId w:val="77"/>
        </w:numPr>
        <w:rPr>
          <w:rFonts w:ascii="Arial" w:cs="Arial" w:eastAsia="Arial" w:hAnsi="Arial"/>
          <w:sz w:val="18"/>
          <w:szCs w:val="18"/>
          <w:color w:val="auto"/>
        </w:rPr>
      </w:pPr>
      <w:r>
        <w:rPr>
          <w:rFonts w:ascii="Arial" w:cs="Arial" w:eastAsia="Arial" w:hAnsi="Arial"/>
          <w:sz w:val="18"/>
          <w:szCs w:val="18"/>
          <w:color w:val="auto"/>
        </w:rPr>
        <w:t>Employees who are not employed by the Company or a Participating Subsidiary prior to the beginning of such Offering Period or prior to such other time period as specified by the Committee;</w:t>
      </w:r>
    </w:p>
    <w:p>
      <w:pPr>
        <w:spacing w:after="0" w:line="196" w:lineRule="exact"/>
        <w:rPr>
          <w:rFonts w:ascii="Arial" w:cs="Arial" w:eastAsia="Arial" w:hAnsi="Arial"/>
          <w:sz w:val="18"/>
          <w:szCs w:val="18"/>
          <w:color w:val="auto"/>
        </w:rPr>
      </w:pPr>
    </w:p>
    <w:p>
      <w:pPr>
        <w:jc w:val="both"/>
        <w:ind w:right="60" w:firstLine="807"/>
        <w:spacing w:after="0" w:line="239" w:lineRule="auto"/>
        <w:tabs>
          <w:tab w:leader="none" w:pos="1419" w:val="left"/>
        </w:tabs>
        <w:numPr>
          <w:ilvl w:val="0"/>
          <w:numId w:val="77"/>
        </w:numPr>
        <w:rPr>
          <w:rFonts w:ascii="Arial" w:cs="Arial" w:eastAsia="Arial" w:hAnsi="Arial"/>
          <w:sz w:val="18"/>
          <w:szCs w:val="18"/>
          <w:color w:val="auto"/>
        </w:rPr>
      </w:pPr>
      <w:r>
        <w:rPr>
          <w:rFonts w:ascii="Arial" w:cs="Arial" w:eastAsia="Arial" w:hAnsi="Arial"/>
          <w:sz w:val="18"/>
          <w:szCs w:val="18"/>
          <w:color w:val="auto"/>
        </w:rPr>
        <w:t>Employees who, as a result of being granted an option under this Plan with respect to such Offering Period, would, together with any other person whose stock would be attributed to such Employee pursuant to Section 424(d) of the Code, own stock or hold options to purchase stock possessing five percent (5%) or more of the total combined voting power or value of all classes of stock of the Company or any of its Subsidiaries or any Parent Corporation;</w:t>
      </w:r>
    </w:p>
    <w:p>
      <w:pPr>
        <w:spacing w:after="0" w:line="201" w:lineRule="exact"/>
        <w:rPr>
          <w:rFonts w:ascii="Arial" w:cs="Arial" w:eastAsia="Arial" w:hAnsi="Arial"/>
          <w:sz w:val="18"/>
          <w:szCs w:val="18"/>
          <w:color w:val="auto"/>
        </w:rPr>
      </w:pPr>
    </w:p>
    <w:p>
      <w:pPr>
        <w:jc w:val="both"/>
        <w:ind w:right="120" w:firstLine="807"/>
        <w:spacing w:after="0"/>
        <w:tabs>
          <w:tab w:leader="none" w:pos="1409" w:val="left"/>
        </w:tabs>
        <w:numPr>
          <w:ilvl w:val="0"/>
          <w:numId w:val="77"/>
        </w:numPr>
        <w:rPr>
          <w:rFonts w:ascii="Arial" w:cs="Arial" w:eastAsia="Arial" w:hAnsi="Arial"/>
          <w:sz w:val="18"/>
          <w:szCs w:val="18"/>
          <w:color w:val="auto"/>
        </w:rPr>
      </w:pPr>
      <w:r>
        <w:rPr>
          <w:rFonts w:ascii="Arial" w:cs="Arial" w:eastAsia="Arial" w:hAnsi="Arial"/>
          <w:sz w:val="18"/>
          <w:szCs w:val="18"/>
          <w:color w:val="auto"/>
        </w:rPr>
        <w:t>individuals who provide services to the Company or any of its Participating Subsidiaries as independent contractors who are reclassified as common law employees for any reason, provided that this exclusion will not apply if such individuals are considered employees for purposes of Section 423 of the Code; and</w:t>
      </w:r>
    </w:p>
    <w:p>
      <w:pPr>
        <w:spacing w:after="0" w:line="202" w:lineRule="exact"/>
        <w:rPr>
          <w:rFonts w:ascii="Arial" w:cs="Arial" w:eastAsia="Arial" w:hAnsi="Arial"/>
          <w:sz w:val="18"/>
          <w:szCs w:val="18"/>
          <w:color w:val="auto"/>
        </w:rPr>
      </w:pPr>
    </w:p>
    <w:p>
      <w:pPr>
        <w:ind w:right="180" w:firstLine="807"/>
        <w:spacing w:after="0" w:line="246" w:lineRule="auto"/>
        <w:tabs>
          <w:tab w:leader="none" w:pos="1419" w:val="left"/>
        </w:tabs>
        <w:numPr>
          <w:ilvl w:val="0"/>
          <w:numId w:val="77"/>
        </w:numPr>
        <w:rPr>
          <w:rFonts w:ascii="Arial" w:cs="Arial" w:eastAsia="Arial" w:hAnsi="Arial"/>
          <w:sz w:val="18"/>
          <w:szCs w:val="18"/>
          <w:color w:val="auto"/>
        </w:rPr>
      </w:pPr>
      <w:r>
        <w:rPr>
          <w:rFonts w:ascii="Arial" w:cs="Arial" w:eastAsia="Arial" w:hAnsi="Arial"/>
          <w:sz w:val="18"/>
          <w:szCs w:val="18"/>
          <w:color w:val="auto"/>
        </w:rPr>
        <w:t>Employees who reside in countries for whom such Employees’ participation in the Plan would result in a violation under any corporate or securities laws of such country of residence.</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Page 3 of 8</w:t>
      </w:r>
    </w:p>
    <w:p>
      <w:pPr>
        <w:sectPr>
          <w:pgSz w:w="11900" w:h="16838" w:orient="portrait"/>
          <w:cols w:equalWidth="0" w:num="1">
            <w:col w:w="11420"/>
          </w:cols>
          <w:pgMar w:left="240" w:top="459" w:right="2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Individuals who are not Employees of the Company or a Participating Subsidiary shall not be eligible to participate in an Offering</w:t>
      </w:r>
    </w:p>
    <w:p>
      <w:pPr>
        <w:spacing w:after="0"/>
        <w:rPr>
          <w:sz w:val="20"/>
          <w:szCs w:val="20"/>
          <w:color w:val="auto"/>
        </w:rPr>
      </w:pPr>
      <w:r>
        <w:rPr>
          <w:rFonts w:ascii="Arial" w:cs="Arial" w:eastAsia="Arial" w:hAnsi="Arial"/>
          <w:sz w:val="18"/>
          <w:szCs w:val="18"/>
          <w:color w:val="auto"/>
        </w:rPr>
        <w:t>Period.</w:t>
      </w:r>
    </w:p>
    <w:p>
      <w:pPr>
        <w:spacing w:after="0" w:line="217" w:lineRule="exact"/>
        <w:rPr>
          <w:sz w:val="20"/>
          <w:szCs w:val="20"/>
          <w:color w:val="auto"/>
        </w:rPr>
      </w:pPr>
    </w:p>
    <w:p>
      <w:pPr>
        <w:ind w:left="800" w:hanging="792"/>
        <w:spacing w:after="0"/>
        <w:tabs>
          <w:tab w:leader="none" w:pos="800" w:val="left"/>
        </w:tabs>
        <w:numPr>
          <w:ilvl w:val="0"/>
          <w:numId w:val="78"/>
        </w:numPr>
        <w:rPr>
          <w:rFonts w:ascii="Arial" w:cs="Arial" w:eastAsia="Arial" w:hAnsi="Arial"/>
          <w:sz w:val="18"/>
          <w:szCs w:val="18"/>
          <w:b w:val="1"/>
          <w:bCs w:val="1"/>
          <w:color w:val="auto"/>
        </w:rPr>
      </w:pPr>
      <w:r>
        <w:rPr>
          <w:rFonts w:ascii="Arial" w:cs="Arial" w:eastAsia="Arial" w:hAnsi="Arial"/>
          <w:sz w:val="18"/>
          <w:szCs w:val="18"/>
          <w:b w:val="1"/>
          <w:bCs w:val="1"/>
          <w:color w:val="auto"/>
        </w:rPr>
        <w:t>Offering Dates.</w:t>
      </w:r>
    </w:p>
    <w:p>
      <w:pPr>
        <w:spacing w:after="0" w:line="234" w:lineRule="exact"/>
        <w:rPr>
          <w:sz w:val="20"/>
          <w:szCs w:val="20"/>
          <w:color w:val="auto"/>
        </w:rPr>
      </w:pPr>
    </w:p>
    <w:p>
      <w:pPr>
        <w:ind w:right="340" w:firstLine="799"/>
        <w:spacing w:after="0"/>
        <w:rPr>
          <w:sz w:val="20"/>
          <w:szCs w:val="20"/>
          <w:color w:val="auto"/>
        </w:rPr>
      </w:pPr>
      <w:r>
        <w:rPr>
          <w:rFonts w:ascii="Arial" w:cs="Arial" w:eastAsia="Arial" w:hAnsi="Arial"/>
          <w:sz w:val="18"/>
          <w:szCs w:val="18"/>
          <w:color w:val="auto"/>
        </w:rPr>
        <w:t>The Committee shall have the power to change the Offering Dates, the Purchase Dates and the duration of Offering Periods or Purchase Periods without stockholder approval if such change is announced prior to the relevant Offering Period or prior to such other time period as specified by the Committee.</w:t>
      </w:r>
    </w:p>
    <w:p>
      <w:pPr>
        <w:spacing w:after="0" w:line="208" w:lineRule="exact"/>
        <w:rPr>
          <w:sz w:val="20"/>
          <w:szCs w:val="20"/>
          <w:color w:val="auto"/>
        </w:rPr>
      </w:pPr>
    </w:p>
    <w:p>
      <w:pPr>
        <w:ind w:left="800" w:hanging="792"/>
        <w:spacing w:after="0"/>
        <w:tabs>
          <w:tab w:leader="none" w:pos="800" w:val="left"/>
        </w:tabs>
        <w:numPr>
          <w:ilvl w:val="0"/>
          <w:numId w:val="79"/>
        </w:numPr>
        <w:rPr>
          <w:rFonts w:ascii="Arial" w:cs="Arial" w:eastAsia="Arial" w:hAnsi="Arial"/>
          <w:sz w:val="18"/>
          <w:szCs w:val="18"/>
          <w:b w:val="1"/>
          <w:bCs w:val="1"/>
          <w:color w:val="auto"/>
        </w:rPr>
      </w:pPr>
      <w:r>
        <w:rPr>
          <w:rFonts w:ascii="Arial" w:cs="Arial" w:eastAsia="Arial" w:hAnsi="Arial"/>
          <w:sz w:val="18"/>
          <w:szCs w:val="18"/>
          <w:b w:val="1"/>
          <w:bCs w:val="1"/>
          <w:color w:val="auto"/>
        </w:rPr>
        <w:t>Participation in this Plan.</w:t>
      </w:r>
    </w:p>
    <w:p>
      <w:pPr>
        <w:spacing w:after="0" w:line="234" w:lineRule="exact"/>
        <w:rPr>
          <w:sz w:val="20"/>
          <w:szCs w:val="20"/>
          <w:color w:val="auto"/>
        </w:rPr>
      </w:pPr>
    </w:p>
    <w:p>
      <w:pPr>
        <w:ind w:right="40" w:firstLine="799"/>
        <w:spacing w:after="0" w:line="236" w:lineRule="auto"/>
        <w:rPr>
          <w:sz w:val="20"/>
          <w:szCs w:val="20"/>
          <w:color w:val="auto"/>
        </w:rPr>
      </w:pPr>
      <w:r>
        <w:rPr>
          <w:rFonts w:ascii="Arial" w:cs="Arial" w:eastAsia="Arial" w:hAnsi="Arial"/>
          <w:sz w:val="18"/>
          <w:szCs w:val="18"/>
          <w:color w:val="auto"/>
        </w:rPr>
        <w:t>Eligible Employees may become participants in an Offering Period under this Plan on the Offering Date, after satisfying the eligibility requirements, by delivering a subscription agreement to the Company prior to such Offering Date, or such other time period as specified by the Committee. An eligible Employee who does not deliver a subscription agreement to the Company after becoming eligible to participate in an Offering Period shall not participate in that Offering Period or any subsequent Offering Period unless such Employee enrolls in this Plan by delivering a subscription agreement to the Company prior to such Offering Period, or such other time period as specified by the Committee. Once an Employee becomes a participant in an Offering Period by filing a subscription agreement, such Employee shall automatically participate in the Offering Period commencing immediately following the last day of the prior Offering Period unless the Employee withdraws or is deemed to withdraw from this Plan or terminates further participation in the Offering Period as set forth in Section 12 below. Such participant is not required to file any additional subscription agreement in order to continue participation in this Plan.</w:t>
      </w:r>
    </w:p>
    <w:p>
      <w:pPr>
        <w:spacing w:after="0" w:line="212" w:lineRule="exact"/>
        <w:rPr>
          <w:sz w:val="20"/>
          <w:szCs w:val="20"/>
          <w:color w:val="auto"/>
        </w:rPr>
      </w:pPr>
    </w:p>
    <w:p>
      <w:pPr>
        <w:ind w:left="800" w:hanging="792"/>
        <w:spacing w:after="0"/>
        <w:tabs>
          <w:tab w:leader="none" w:pos="800" w:val="left"/>
        </w:tabs>
        <w:numPr>
          <w:ilvl w:val="0"/>
          <w:numId w:val="80"/>
        </w:numPr>
        <w:rPr>
          <w:rFonts w:ascii="Arial" w:cs="Arial" w:eastAsia="Arial" w:hAnsi="Arial"/>
          <w:sz w:val="18"/>
          <w:szCs w:val="18"/>
          <w:b w:val="1"/>
          <w:bCs w:val="1"/>
          <w:color w:val="auto"/>
        </w:rPr>
      </w:pPr>
      <w:r>
        <w:rPr>
          <w:rFonts w:ascii="Arial" w:cs="Arial" w:eastAsia="Arial" w:hAnsi="Arial"/>
          <w:sz w:val="18"/>
          <w:szCs w:val="18"/>
          <w:b w:val="1"/>
          <w:bCs w:val="1"/>
          <w:color w:val="auto"/>
        </w:rPr>
        <w:t>Grant of Option on Enrollment.</w:t>
      </w:r>
    </w:p>
    <w:p>
      <w:pPr>
        <w:spacing w:after="0" w:line="234" w:lineRule="exact"/>
        <w:rPr>
          <w:sz w:val="20"/>
          <w:szCs w:val="20"/>
          <w:color w:val="auto"/>
        </w:rPr>
      </w:pPr>
    </w:p>
    <w:p>
      <w:pPr>
        <w:ind w:firstLine="799"/>
        <w:spacing w:after="0" w:line="236" w:lineRule="auto"/>
        <w:rPr>
          <w:sz w:val="20"/>
          <w:szCs w:val="20"/>
          <w:color w:val="auto"/>
        </w:rPr>
      </w:pPr>
      <w:r>
        <w:rPr>
          <w:rFonts w:ascii="Arial" w:cs="Arial" w:eastAsia="Arial" w:hAnsi="Arial"/>
          <w:sz w:val="18"/>
          <w:szCs w:val="18"/>
          <w:color w:val="auto"/>
        </w:rPr>
        <w:t>Enrollment by an eligible Employee in this Plan with respect to an Offering Period shall constitute the grant (as of the Offering Date) by the Company to such Employee of an option to purchase on the Purchase Date up to that number of Shares determined by a fraction, the numerator of which is the amount accumulated in such Employee’s payroll deduction account during such Purchase Period and the denominator of which is the purchase price per Share determined under Section 9, provided, however, that the number of Shares subject to any option granted pursuant to this Plan shall not exceed the lesser of (x) the maximum number of Shares set by the Committee pursuant to Section 11(c) below with respect to the applicable Purchase Date, or (y) the maximum number of Shares which may be purchased pursuant to Section 11(b) below with respect to the applicable Purchase Date. Notwithstanding the foregoing, in the event of a change in generally accepted accounting principles which would adversely affect the accounting treatment applicable to any current Offering Period, the Committee may make such changes to the number of Shares purchased at the end of the Purchase Period or the purchase price paid as are allowable under generally accepted accounting principles and as it deems necessary in the sole discretion of the Committee to avoid or minimize adverse accounting consequences.</w:t>
      </w:r>
    </w:p>
    <w:p>
      <w:pPr>
        <w:spacing w:after="0" w:line="211" w:lineRule="exact"/>
        <w:rPr>
          <w:sz w:val="20"/>
          <w:szCs w:val="20"/>
          <w:color w:val="auto"/>
        </w:rPr>
      </w:pPr>
    </w:p>
    <w:p>
      <w:pPr>
        <w:ind w:left="800" w:hanging="792"/>
        <w:spacing w:after="0"/>
        <w:tabs>
          <w:tab w:leader="none" w:pos="800" w:val="left"/>
        </w:tabs>
        <w:numPr>
          <w:ilvl w:val="0"/>
          <w:numId w:val="81"/>
        </w:numPr>
        <w:rPr>
          <w:rFonts w:ascii="Arial" w:cs="Arial" w:eastAsia="Arial" w:hAnsi="Arial"/>
          <w:sz w:val="18"/>
          <w:szCs w:val="18"/>
          <w:b w:val="1"/>
          <w:bCs w:val="1"/>
          <w:color w:val="auto"/>
        </w:rPr>
      </w:pPr>
      <w:r>
        <w:rPr>
          <w:rFonts w:ascii="Arial" w:cs="Arial" w:eastAsia="Arial" w:hAnsi="Arial"/>
          <w:sz w:val="18"/>
          <w:szCs w:val="18"/>
          <w:b w:val="1"/>
          <w:bCs w:val="1"/>
          <w:color w:val="auto"/>
        </w:rPr>
        <w:t>Purchase Price.</w:t>
      </w:r>
    </w:p>
    <w:p>
      <w:pPr>
        <w:spacing w:after="0" w:line="234" w:lineRule="exact"/>
        <w:rPr>
          <w:sz w:val="20"/>
          <w:szCs w:val="20"/>
          <w:color w:val="auto"/>
        </w:rPr>
      </w:pPr>
    </w:p>
    <w:p>
      <w:pPr>
        <w:ind w:right="120" w:firstLine="799"/>
        <w:spacing w:after="0"/>
        <w:rPr>
          <w:sz w:val="20"/>
          <w:szCs w:val="20"/>
          <w:color w:val="auto"/>
        </w:rPr>
      </w:pPr>
      <w:r>
        <w:rPr>
          <w:rFonts w:ascii="Arial" w:cs="Arial" w:eastAsia="Arial" w:hAnsi="Arial"/>
          <w:sz w:val="18"/>
          <w:szCs w:val="18"/>
          <w:color w:val="auto"/>
        </w:rPr>
        <w:t>The purchase price per Share at which a Share shall be sold in any Offering Period shall be as determined by the Committee but no less than eighty-five percent (85%) of the lesser of the Fair Market Value of the Shares on the Offering Date or the Fair Market Value of the Shares on the Purchase Date.</w:t>
      </w:r>
    </w:p>
    <w:p>
      <w:pPr>
        <w:spacing w:after="0" w:line="208" w:lineRule="exact"/>
        <w:rPr>
          <w:sz w:val="20"/>
          <w:szCs w:val="20"/>
          <w:color w:val="auto"/>
        </w:rPr>
      </w:pPr>
    </w:p>
    <w:p>
      <w:pPr>
        <w:ind w:left="800" w:hanging="792"/>
        <w:spacing w:after="0"/>
        <w:tabs>
          <w:tab w:leader="none" w:pos="800" w:val="left"/>
        </w:tabs>
        <w:numPr>
          <w:ilvl w:val="0"/>
          <w:numId w:val="82"/>
        </w:numPr>
        <w:rPr>
          <w:rFonts w:ascii="Arial" w:cs="Arial" w:eastAsia="Arial" w:hAnsi="Arial"/>
          <w:sz w:val="18"/>
          <w:szCs w:val="18"/>
          <w:b w:val="1"/>
          <w:bCs w:val="1"/>
          <w:color w:val="auto"/>
        </w:rPr>
      </w:pPr>
      <w:r>
        <w:rPr>
          <w:rFonts w:ascii="Arial" w:cs="Arial" w:eastAsia="Arial" w:hAnsi="Arial"/>
          <w:sz w:val="18"/>
          <w:szCs w:val="18"/>
          <w:b w:val="1"/>
          <w:bCs w:val="1"/>
          <w:color w:val="auto"/>
        </w:rPr>
        <w:t>Payment of Purchase Price; Changes in Payroll Deductions; Issuance of Shares.</w:t>
      </w:r>
    </w:p>
    <w:p>
      <w:pPr>
        <w:spacing w:after="0" w:line="233" w:lineRule="exact"/>
        <w:rPr>
          <w:rFonts w:ascii="Arial" w:cs="Arial" w:eastAsia="Arial" w:hAnsi="Arial"/>
          <w:sz w:val="18"/>
          <w:szCs w:val="18"/>
          <w:b w:val="1"/>
          <w:bCs w:val="1"/>
          <w:color w:val="auto"/>
        </w:rPr>
      </w:pPr>
    </w:p>
    <w:p>
      <w:pPr>
        <w:ind w:right="20" w:firstLine="807"/>
        <w:spacing w:after="0" w:line="237" w:lineRule="auto"/>
        <w:tabs>
          <w:tab w:leader="none" w:pos="1416" w:val="left"/>
        </w:tabs>
        <w:numPr>
          <w:ilvl w:val="1"/>
          <w:numId w:val="82"/>
        </w:numPr>
        <w:rPr>
          <w:rFonts w:ascii="Arial" w:cs="Arial" w:eastAsia="Arial" w:hAnsi="Arial"/>
          <w:sz w:val="18"/>
          <w:szCs w:val="18"/>
          <w:color w:val="auto"/>
        </w:rPr>
      </w:pPr>
      <w:r>
        <w:rPr>
          <w:rFonts w:ascii="Arial" w:cs="Arial" w:eastAsia="Arial" w:hAnsi="Arial"/>
          <w:sz w:val="18"/>
          <w:szCs w:val="18"/>
          <w:color w:val="auto"/>
        </w:rPr>
        <w:t>The purchase price of the Shares is accumulated by regular payroll deductions made during each Offering Period. The deductions are made as a percentage of the participant’s Compensation in one percent (1%) increments, not less than one percent (1%), nor greater than ten percent (10%), or such lower limit set by the Committee. Payroll deductions shall commence on the first payday of the Offering Period and shall continue to the end of the Offering Period unless sooner altered or terminated as provided in this Plan. If payroll deductions are not permitted in a jurisdiction, participants in that jurisdiction may contribute via check or pursuant to another method approved by the Committee.</w:t>
      </w:r>
    </w:p>
    <w:p>
      <w:pPr>
        <w:spacing w:after="0" w:line="205" w:lineRule="exact"/>
        <w:rPr>
          <w:rFonts w:ascii="Arial" w:cs="Arial" w:eastAsia="Arial" w:hAnsi="Arial"/>
          <w:sz w:val="18"/>
          <w:szCs w:val="18"/>
          <w:color w:val="auto"/>
        </w:rPr>
      </w:pPr>
    </w:p>
    <w:p>
      <w:pPr>
        <w:ind w:firstLine="807"/>
        <w:spacing w:after="0" w:line="239" w:lineRule="auto"/>
        <w:tabs>
          <w:tab w:leader="none" w:pos="1409" w:val="left"/>
        </w:tabs>
        <w:numPr>
          <w:ilvl w:val="1"/>
          <w:numId w:val="82"/>
        </w:numPr>
        <w:rPr>
          <w:rFonts w:ascii="Arial" w:cs="Arial" w:eastAsia="Arial" w:hAnsi="Arial"/>
          <w:sz w:val="18"/>
          <w:szCs w:val="18"/>
          <w:color w:val="auto"/>
        </w:rPr>
      </w:pPr>
      <w:r>
        <w:rPr>
          <w:rFonts w:ascii="Arial" w:cs="Arial" w:eastAsia="Arial" w:hAnsi="Arial"/>
          <w:sz w:val="18"/>
          <w:szCs w:val="18"/>
          <w:color w:val="auto"/>
        </w:rPr>
        <w:t>A participant may increase or decrease the rate of payroll deductions during an Offering Period by filing with the Company a new authorization for payroll deductions, in which case the new rate shall become effective for the next payroll period commencing after the Company’s receipt and processing of the authorization and shall continue for the remainder of the Offering Period unless changed as described below. Such change in the rate of payroll deductions may be</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Page 4 of 8</w:t>
      </w:r>
    </w:p>
    <w:p>
      <w:pPr>
        <w:sectPr>
          <w:pgSz w:w="11900" w:h="16838" w:orient="portrait"/>
          <w:cols w:equalWidth="0" w:num="1">
            <w:col w:w="11400"/>
          </w:cols>
          <w:pgMar w:left="240" w:top="459" w:right="25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480"/>
        <w:spacing w:after="0" w:line="246" w:lineRule="auto"/>
        <w:rPr>
          <w:sz w:val="20"/>
          <w:szCs w:val="20"/>
          <w:color w:val="auto"/>
        </w:rPr>
      </w:pPr>
      <w:r>
        <w:rPr>
          <w:rFonts w:ascii="Arial" w:cs="Arial" w:eastAsia="Arial" w:hAnsi="Arial"/>
          <w:sz w:val="18"/>
          <w:szCs w:val="18"/>
          <w:color w:val="auto"/>
        </w:rPr>
        <w:t>made at any time during an Offering Period. The Committee shall have the authority to impose restrictions on the number of increases or decreases a participant may make within an Offering Period as set forth in this Subsection (b).</w:t>
      </w:r>
    </w:p>
    <w:p>
      <w:pPr>
        <w:spacing w:after="0" w:line="197" w:lineRule="exact"/>
        <w:rPr>
          <w:sz w:val="20"/>
          <w:szCs w:val="20"/>
          <w:color w:val="auto"/>
        </w:rPr>
      </w:pPr>
    </w:p>
    <w:p>
      <w:pPr>
        <w:ind w:right="200" w:firstLine="807"/>
        <w:spacing w:after="0" w:line="239" w:lineRule="auto"/>
        <w:tabs>
          <w:tab w:leader="none" w:pos="1399" w:val="left"/>
        </w:tabs>
        <w:numPr>
          <w:ilvl w:val="1"/>
          <w:numId w:val="83"/>
        </w:numPr>
        <w:rPr>
          <w:rFonts w:ascii="Arial" w:cs="Arial" w:eastAsia="Arial" w:hAnsi="Arial"/>
          <w:sz w:val="18"/>
          <w:szCs w:val="18"/>
          <w:color w:val="auto"/>
        </w:rPr>
      </w:pPr>
      <w:r>
        <w:rPr>
          <w:rFonts w:ascii="Arial" w:cs="Arial" w:eastAsia="Arial" w:hAnsi="Arial"/>
          <w:sz w:val="18"/>
          <w:szCs w:val="18"/>
          <w:color w:val="auto"/>
        </w:rPr>
        <w:t>All payroll deductions made for a participant are credited to his or her account under this Plan and are deposited with the general funds of the Company. No interest accrues on the payroll deductions, unless required by local law. All payroll deductions received or held by the Company may be used by the Company for any corporate purpose, and the Company shall not be obligated to segregate such payroll deductions, unless required by local law.</w:t>
      </w:r>
    </w:p>
    <w:p>
      <w:pPr>
        <w:spacing w:after="0" w:line="201" w:lineRule="exact"/>
        <w:rPr>
          <w:rFonts w:ascii="Arial" w:cs="Arial" w:eastAsia="Arial" w:hAnsi="Arial"/>
          <w:sz w:val="18"/>
          <w:szCs w:val="18"/>
          <w:color w:val="auto"/>
        </w:rPr>
      </w:pPr>
    </w:p>
    <w:p>
      <w:pPr>
        <w:ind w:right="100" w:firstLine="807"/>
        <w:spacing w:after="0" w:line="236" w:lineRule="auto"/>
        <w:tabs>
          <w:tab w:leader="none" w:pos="1419" w:val="left"/>
        </w:tabs>
        <w:numPr>
          <w:ilvl w:val="1"/>
          <w:numId w:val="83"/>
        </w:numPr>
        <w:rPr>
          <w:rFonts w:ascii="Arial" w:cs="Arial" w:eastAsia="Arial" w:hAnsi="Arial"/>
          <w:sz w:val="18"/>
          <w:szCs w:val="18"/>
          <w:color w:val="auto"/>
        </w:rPr>
      </w:pPr>
      <w:r>
        <w:rPr>
          <w:rFonts w:ascii="Arial" w:cs="Arial" w:eastAsia="Arial" w:hAnsi="Arial"/>
          <w:sz w:val="18"/>
          <w:szCs w:val="18"/>
          <w:color w:val="auto"/>
        </w:rPr>
        <w:t>On each Purchase Date, for so long as this Plan remains in effect, and provided that the participant has not submitted a signed and completed withdrawal form before that date, which notifies the Company that the participant wishes to withdraw from that Offering Period under this Plan and have all payroll deductions accumulated in the account maintained on behalf of the participant, as of that date returned to the participant, the Company shall apply the funds then in the participant’s account to the purchase of whole and fractional Shares reserved under the option granted to such participant with respect to the Offering Period to the extent that such option is exercisable on the Purchase Date. The purchase price per Share shall be as specified in Section 9 of this Plan. In the event that this Plan has been oversubscribed, all funds not used to purchase Shares on the Purchase Date shall be returned to the participant, without interest. No Share shall be purchased on a Purchase Date on behalf of any Employee whose participation in this Plan has terminated prior to such Purchase Date.</w:t>
      </w:r>
    </w:p>
    <w:p>
      <w:pPr>
        <w:spacing w:after="0" w:line="207" w:lineRule="exact"/>
        <w:rPr>
          <w:rFonts w:ascii="Arial" w:cs="Arial" w:eastAsia="Arial" w:hAnsi="Arial"/>
          <w:sz w:val="18"/>
          <w:szCs w:val="18"/>
          <w:color w:val="auto"/>
        </w:rPr>
      </w:pPr>
    </w:p>
    <w:p>
      <w:pPr>
        <w:ind w:firstLine="807"/>
        <w:spacing w:after="0" w:line="246" w:lineRule="auto"/>
        <w:tabs>
          <w:tab w:leader="none" w:pos="1409" w:val="left"/>
        </w:tabs>
        <w:numPr>
          <w:ilvl w:val="1"/>
          <w:numId w:val="83"/>
        </w:numPr>
        <w:rPr>
          <w:rFonts w:ascii="Arial" w:cs="Arial" w:eastAsia="Arial" w:hAnsi="Arial"/>
          <w:sz w:val="18"/>
          <w:szCs w:val="18"/>
          <w:color w:val="auto"/>
        </w:rPr>
      </w:pPr>
      <w:r>
        <w:rPr>
          <w:rFonts w:ascii="Arial" w:cs="Arial" w:eastAsia="Arial" w:hAnsi="Arial"/>
          <w:sz w:val="18"/>
          <w:szCs w:val="18"/>
          <w:color w:val="auto"/>
        </w:rPr>
        <w:t>As soon as practicable after the Purchase Date, the Company shall issue Shares for the participant’s benefit representing the Shares purchased upon exercise of his or her option.</w:t>
      </w:r>
    </w:p>
    <w:p>
      <w:pPr>
        <w:spacing w:after="0" w:line="196" w:lineRule="exact"/>
        <w:rPr>
          <w:rFonts w:ascii="Arial" w:cs="Arial" w:eastAsia="Arial" w:hAnsi="Arial"/>
          <w:sz w:val="18"/>
          <w:szCs w:val="18"/>
          <w:color w:val="auto"/>
        </w:rPr>
      </w:pPr>
    </w:p>
    <w:p>
      <w:pPr>
        <w:ind w:right="80" w:firstLine="807"/>
        <w:spacing w:after="0"/>
        <w:tabs>
          <w:tab w:leader="none" w:pos="1369" w:val="left"/>
        </w:tabs>
        <w:numPr>
          <w:ilvl w:val="1"/>
          <w:numId w:val="83"/>
        </w:numPr>
        <w:rPr>
          <w:rFonts w:ascii="Arial" w:cs="Arial" w:eastAsia="Arial" w:hAnsi="Arial"/>
          <w:sz w:val="18"/>
          <w:szCs w:val="18"/>
          <w:color w:val="auto"/>
        </w:rPr>
      </w:pPr>
      <w:r>
        <w:rPr>
          <w:rFonts w:ascii="Arial" w:cs="Arial" w:eastAsia="Arial" w:hAnsi="Arial"/>
          <w:sz w:val="18"/>
          <w:szCs w:val="18"/>
          <w:color w:val="auto"/>
        </w:rPr>
        <w:t>During a participant’s lifetime, his or her option to purchase Shares hereunder is exercisable only by him or her. The participant shall have no interest or voting rights in Shares covered by his or her option until such option has been exercised and Shares have been issued to the participant.</w:t>
      </w:r>
    </w:p>
    <w:p>
      <w:pPr>
        <w:spacing w:after="0" w:line="202" w:lineRule="exact"/>
        <w:rPr>
          <w:rFonts w:ascii="Arial" w:cs="Arial" w:eastAsia="Arial" w:hAnsi="Arial"/>
          <w:sz w:val="18"/>
          <w:szCs w:val="18"/>
          <w:color w:val="auto"/>
        </w:rPr>
      </w:pPr>
    </w:p>
    <w:p>
      <w:pPr>
        <w:ind w:right="340" w:firstLine="807"/>
        <w:spacing w:after="0" w:line="246" w:lineRule="auto"/>
        <w:tabs>
          <w:tab w:leader="none" w:pos="1419" w:val="left"/>
        </w:tabs>
        <w:numPr>
          <w:ilvl w:val="1"/>
          <w:numId w:val="83"/>
        </w:numPr>
        <w:rPr>
          <w:rFonts w:ascii="Arial" w:cs="Arial" w:eastAsia="Arial" w:hAnsi="Arial"/>
          <w:sz w:val="18"/>
          <w:szCs w:val="18"/>
          <w:color w:val="auto"/>
        </w:rPr>
      </w:pPr>
      <w:r>
        <w:rPr>
          <w:rFonts w:ascii="Arial" w:cs="Arial" w:eastAsia="Arial" w:hAnsi="Arial"/>
          <w:sz w:val="18"/>
          <w:szCs w:val="18"/>
          <w:color w:val="auto"/>
        </w:rPr>
        <w:t>Payroll deductions shall be suspended for any participant as required under the Code and the terms of any Code section 401(k) plan upon a participant’s receipt of a hardship withdrawal under such a plan.</w:t>
      </w:r>
    </w:p>
    <w:p>
      <w:pPr>
        <w:spacing w:after="0" w:line="201" w:lineRule="exact"/>
        <w:rPr>
          <w:rFonts w:ascii="Arial" w:cs="Arial" w:eastAsia="Arial" w:hAnsi="Arial"/>
          <w:sz w:val="18"/>
          <w:szCs w:val="18"/>
          <w:color w:val="auto"/>
        </w:rPr>
      </w:pPr>
    </w:p>
    <w:p>
      <w:pPr>
        <w:ind w:left="800" w:hanging="792"/>
        <w:spacing w:after="0"/>
        <w:tabs>
          <w:tab w:leader="none" w:pos="800" w:val="left"/>
        </w:tabs>
        <w:numPr>
          <w:ilvl w:val="0"/>
          <w:numId w:val="84"/>
        </w:numPr>
        <w:rPr>
          <w:rFonts w:ascii="Arial" w:cs="Arial" w:eastAsia="Arial" w:hAnsi="Arial"/>
          <w:sz w:val="18"/>
          <w:szCs w:val="18"/>
          <w:b w:val="1"/>
          <w:bCs w:val="1"/>
          <w:color w:val="auto"/>
        </w:rPr>
      </w:pPr>
      <w:r>
        <w:rPr>
          <w:rFonts w:ascii="Arial" w:cs="Arial" w:eastAsia="Arial" w:hAnsi="Arial"/>
          <w:sz w:val="18"/>
          <w:szCs w:val="18"/>
          <w:b w:val="1"/>
          <w:bCs w:val="1"/>
          <w:color w:val="auto"/>
        </w:rPr>
        <w:t>Limitations on Shares to be Purchased.</w:t>
      </w:r>
    </w:p>
    <w:p>
      <w:pPr>
        <w:spacing w:after="0" w:line="233" w:lineRule="exact"/>
        <w:rPr>
          <w:rFonts w:ascii="Arial" w:cs="Arial" w:eastAsia="Arial" w:hAnsi="Arial"/>
          <w:sz w:val="18"/>
          <w:szCs w:val="18"/>
          <w:b w:val="1"/>
          <w:bCs w:val="1"/>
          <w:color w:val="auto"/>
        </w:rPr>
      </w:pPr>
    </w:p>
    <w:p>
      <w:pPr>
        <w:ind w:right="60" w:firstLine="807"/>
        <w:spacing w:after="0" w:line="238" w:lineRule="auto"/>
        <w:tabs>
          <w:tab w:leader="none" w:pos="1419" w:val="left"/>
        </w:tabs>
        <w:numPr>
          <w:ilvl w:val="1"/>
          <w:numId w:val="84"/>
        </w:numPr>
        <w:rPr>
          <w:rFonts w:ascii="Arial" w:cs="Arial" w:eastAsia="Arial" w:hAnsi="Arial"/>
          <w:sz w:val="18"/>
          <w:szCs w:val="18"/>
          <w:color w:val="auto"/>
        </w:rPr>
      </w:pPr>
      <w:r>
        <w:rPr>
          <w:rFonts w:ascii="Arial" w:cs="Arial" w:eastAsia="Arial" w:hAnsi="Arial"/>
          <w:sz w:val="18"/>
          <w:szCs w:val="18"/>
          <w:color w:val="auto"/>
        </w:rPr>
        <w:t>No participant shall be entitled to purchase stock under this Plan at a rate which, when aggregated with his or her rights to purchase stock under all other employee stock purchase plans of the Company or any Subsidiary, exceeds $25,000 in Fair Market Value, determined as of the Offering Date (or such other limit as may be imposed by the Code) for each calendar year in which the Employee participates in this Plan. The Company shall have the authority to take all necessary action, including but not limited to, suspending the payroll deductions of any participant, in order to ensure compliance with this Section.</w:t>
      </w:r>
    </w:p>
    <w:p>
      <w:pPr>
        <w:spacing w:after="0" w:line="202" w:lineRule="exact"/>
        <w:rPr>
          <w:rFonts w:ascii="Arial" w:cs="Arial" w:eastAsia="Arial" w:hAnsi="Arial"/>
          <w:sz w:val="18"/>
          <w:szCs w:val="18"/>
          <w:color w:val="auto"/>
        </w:rPr>
      </w:pPr>
    </w:p>
    <w:p>
      <w:pPr>
        <w:ind w:left="1420" w:hanging="613"/>
        <w:spacing w:after="0"/>
        <w:tabs>
          <w:tab w:leader="none" w:pos="1420" w:val="left"/>
        </w:tabs>
        <w:numPr>
          <w:ilvl w:val="1"/>
          <w:numId w:val="84"/>
        </w:numPr>
        <w:rPr>
          <w:rFonts w:ascii="Arial" w:cs="Arial" w:eastAsia="Arial" w:hAnsi="Arial"/>
          <w:sz w:val="18"/>
          <w:szCs w:val="18"/>
          <w:color w:val="auto"/>
        </w:rPr>
      </w:pPr>
      <w:r>
        <w:rPr>
          <w:rFonts w:ascii="Arial" w:cs="Arial" w:eastAsia="Arial" w:hAnsi="Arial"/>
          <w:sz w:val="18"/>
          <w:szCs w:val="18"/>
          <w:color w:val="auto"/>
        </w:rPr>
        <w:t>No participant shall be entitled to purchase more than the Maximum Share Amount on any single Purchase Date.</w:t>
      </w:r>
    </w:p>
    <w:p>
      <w:pPr>
        <w:spacing w:after="0" w:line="211" w:lineRule="exact"/>
        <w:rPr>
          <w:rFonts w:ascii="Arial" w:cs="Arial" w:eastAsia="Arial" w:hAnsi="Arial"/>
          <w:sz w:val="18"/>
          <w:szCs w:val="18"/>
          <w:color w:val="auto"/>
        </w:rPr>
      </w:pPr>
    </w:p>
    <w:p>
      <w:pPr>
        <w:jc w:val="both"/>
        <w:ind w:firstLine="807"/>
        <w:spacing w:after="0" w:line="239" w:lineRule="auto"/>
        <w:tabs>
          <w:tab w:leader="none" w:pos="1409" w:val="left"/>
        </w:tabs>
        <w:numPr>
          <w:ilvl w:val="1"/>
          <w:numId w:val="84"/>
        </w:numPr>
        <w:rPr>
          <w:rFonts w:ascii="Arial" w:cs="Arial" w:eastAsia="Arial" w:hAnsi="Arial"/>
          <w:sz w:val="18"/>
          <w:szCs w:val="18"/>
          <w:color w:val="auto"/>
        </w:rPr>
      </w:pPr>
      <w:r>
        <w:rPr>
          <w:rFonts w:ascii="Arial" w:cs="Arial" w:eastAsia="Arial" w:hAnsi="Arial"/>
          <w:sz w:val="18"/>
          <w:szCs w:val="18"/>
          <w:color w:val="auto"/>
        </w:rPr>
        <w:t>If the number of Shares to be purchased on a Purchase Date by all Employees participating in this Plan exceeds the number of Shares then available for issuance under this Plan, then the Company shall make a pro rata allocation of the remaining Shares in as uniform a manner as shall be reasonably practicable and as the Committee shall determine to be equitable. In such event, the Company shall give written notice of such reduction of the number of Shares to be purchased under a participant’s option to each participant affected.</w:t>
      </w:r>
    </w:p>
    <w:p>
      <w:pPr>
        <w:spacing w:after="0" w:line="201" w:lineRule="exact"/>
        <w:rPr>
          <w:rFonts w:ascii="Arial" w:cs="Arial" w:eastAsia="Arial" w:hAnsi="Arial"/>
          <w:sz w:val="18"/>
          <w:szCs w:val="18"/>
          <w:color w:val="auto"/>
        </w:rPr>
      </w:pPr>
    </w:p>
    <w:p>
      <w:pPr>
        <w:ind w:right="120" w:firstLine="807"/>
        <w:spacing w:after="0"/>
        <w:tabs>
          <w:tab w:leader="none" w:pos="1409" w:val="left"/>
        </w:tabs>
        <w:numPr>
          <w:ilvl w:val="1"/>
          <w:numId w:val="84"/>
        </w:numPr>
        <w:rPr>
          <w:rFonts w:ascii="Arial" w:cs="Arial" w:eastAsia="Arial" w:hAnsi="Arial"/>
          <w:sz w:val="18"/>
          <w:szCs w:val="18"/>
          <w:color w:val="auto"/>
        </w:rPr>
      </w:pPr>
      <w:r>
        <w:rPr>
          <w:rFonts w:ascii="Arial" w:cs="Arial" w:eastAsia="Arial" w:hAnsi="Arial"/>
          <w:sz w:val="18"/>
          <w:szCs w:val="18"/>
          <w:color w:val="auto"/>
        </w:rPr>
        <w:t>Any payroll deductions accumulated in a participant’s account which are not used to purchase stock due to the limitations in this Section 11 shall be returned to the participant as soon as practicable after the end of the applicable Purchase Period, without interest unless required by local law.</w:t>
      </w:r>
    </w:p>
    <w:p>
      <w:pPr>
        <w:spacing w:after="0" w:line="207" w:lineRule="exact"/>
        <w:rPr>
          <w:rFonts w:ascii="Arial" w:cs="Arial" w:eastAsia="Arial" w:hAnsi="Arial"/>
          <w:sz w:val="18"/>
          <w:szCs w:val="18"/>
          <w:color w:val="auto"/>
        </w:rPr>
      </w:pPr>
    </w:p>
    <w:p>
      <w:pPr>
        <w:ind w:left="800" w:hanging="792"/>
        <w:spacing w:after="0"/>
        <w:tabs>
          <w:tab w:leader="none" w:pos="800" w:val="left"/>
        </w:tabs>
        <w:numPr>
          <w:ilvl w:val="0"/>
          <w:numId w:val="84"/>
        </w:numPr>
        <w:rPr>
          <w:rFonts w:ascii="Arial" w:cs="Arial" w:eastAsia="Arial" w:hAnsi="Arial"/>
          <w:sz w:val="18"/>
          <w:szCs w:val="18"/>
          <w:b w:val="1"/>
          <w:bCs w:val="1"/>
          <w:color w:val="auto"/>
        </w:rPr>
      </w:pPr>
      <w:r>
        <w:rPr>
          <w:rFonts w:ascii="Arial" w:cs="Arial" w:eastAsia="Arial" w:hAnsi="Arial"/>
          <w:sz w:val="18"/>
          <w:szCs w:val="18"/>
          <w:b w:val="1"/>
          <w:bCs w:val="1"/>
          <w:color w:val="auto"/>
        </w:rPr>
        <w:t>Withdrawal.</w:t>
      </w:r>
    </w:p>
    <w:p>
      <w:pPr>
        <w:spacing w:after="0" w:line="233" w:lineRule="exact"/>
        <w:rPr>
          <w:rFonts w:ascii="Arial" w:cs="Arial" w:eastAsia="Arial" w:hAnsi="Arial"/>
          <w:sz w:val="18"/>
          <w:szCs w:val="18"/>
          <w:b w:val="1"/>
          <w:bCs w:val="1"/>
          <w:color w:val="auto"/>
        </w:rPr>
      </w:pPr>
    </w:p>
    <w:p>
      <w:pPr>
        <w:ind w:right="60" w:firstLine="807"/>
        <w:spacing w:after="0"/>
        <w:tabs>
          <w:tab w:leader="none" w:pos="1419" w:val="left"/>
        </w:tabs>
        <w:numPr>
          <w:ilvl w:val="1"/>
          <w:numId w:val="84"/>
        </w:numPr>
        <w:rPr>
          <w:rFonts w:ascii="Arial" w:cs="Arial" w:eastAsia="Arial" w:hAnsi="Arial"/>
          <w:sz w:val="18"/>
          <w:szCs w:val="18"/>
          <w:color w:val="auto"/>
        </w:rPr>
      </w:pPr>
      <w:r>
        <w:rPr>
          <w:rFonts w:ascii="Arial" w:cs="Arial" w:eastAsia="Arial" w:hAnsi="Arial"/>
          <w:sz w:val="18"/>
          <w:szCs w:val="18"/>
          <w:color w:val="auto"/>
        </w:rPr>
        <w:t>Each participant may withdraw from an Offering Period under this Plan by signing and delivering to the Company a written notice to that effect on a form provided for such purpose. Such withdrawal may be elected at any time prior to the end of an Offering Period, or such other time period as specified by the Committee.</w:t>
      </w:r>
    </w:p>
    <w:p>
      <w:pPr>
        <w:spacing w:after="0" w:line="138"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Page 5 of 8</w:t>
      </w:r>
    </w:p>
    <w:p>
      <w:pPr>
        <w:sectPr>
          <w:pgSz w:w="11900" w:h="16838" w:orient="portrait"/>
          <w:cols w:equalWidth="0" w:num="1">
            <w:col w:w="11360"/>
          </w:cols>
          <w:pgMar w:left="240" w:top="459" w:right="29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firstLine="807"/>
        <w:spacing w:after="0" w:line="238" w:lineRule="auto"/>
        <w:tabs>
          <w:tab w:leader="none" w:pos="1419" w:val="left"/>
        </w:tabs>
        <w:numPr>
          <w:ilvl w:val="1"/>
          <w:numId w:val="85"/>
        </w:numPr>
        <w:rPr>
          <w:rFonts w:ascii="Arial" w:cs="Arial" w:eastAsia="Arial" w:hAnsi="Arial"/>
          <w:sz w:val="18"/>
          <w:szCs w:val="18"/>
          <w:color w:val="auto"/>
        </w:rPr>
      </w:pPr>
      <w:r>
        <w:rPr>
          <w:rFonts w:ascii="Arial" w:cs="Arial" w:eastAsia="Arial" w:hAnsi="Arial"/>
          <w:sz w:val="18"/>
          <w:szCs w:val="18"/>
          <w:color w:val="auto"/>
        </w:rPr>
        <w:t>Upon withdrawal from this Plan prior to the deadline established by the Committee, the accumulated payroll deductions shall be returned to the withdrawn participant, without interest, and his or her interest in this Plan shall terminate. In the event a participant voluntarily elects to withdraw from this Plan, he or she may not resume his or her participation in this Plan during the same Offering Period, but he or she may participate in any Offering Period under this Plan which commences on a date subsequent to such withdrawal by filing a new authorization for payroll deductions in the same manner as set forth in Section 7 above for initial participation in this Plan.</w:t>
      </w:r>
    </w:p>
    <w:p>
      <w:pPr>
        <w:spacing w:after="0" w:line="207" w:lineRule="exact"/>
        <w:rPr>
          <w:rFonts w:ascii="Arial" w:cs="Arial" w:eastAsia="Arial" w:hAnsi="Arial"/>
          <w:sz w:val="18"/>
          <w:szCs w:val="18"/>
          <w:color w:val="auto"/>
        </w:rPr>
      </w:pPr>
    </w:p>
    <w:p>
      <w:pPr>
        <w:ind w:left="800" w:hanging="792"/>
        <w:spacing w:after="0"/>
        <w:tabs>
          <w:tab w:leader="none" w:pos="800" w:val="left"/>
        </w:tabs>
        <w:numPr>
          <w:ilvl w:val="0"/>
          <w:numId w:val="86"/>
        </w:numPr>
        <w:rPr>
          <w:rFonts w:ascii="Arial" w:cs="Arial" w:eastAsia="Arial" w:hAnsi="Arial"/>
          <w:sz w:val="18"/>
          <w:szCs w:val="18"/>
          <w:b w:val="1"/>
          <w:bCs w:val="1"/>
          <w:color w:val="auto"/>
        </w:rPr>
      </w:pPr>
      <w:r>
        <w:rPr>
          <w:rFonts w:ascii="Arial" w:cs="Arial" w:eastAsia="Arial" w:hAnsi="Arial"/>
          <w:sz w:val="18"/>
          <w:szCs w:val="18"/>
          <w:b w:val="1"/>
          <w:bCs w:val="1"/>
          <w:color w:val="auto"/>
        </w:rPr>
        <w:t>Termination of Employment.</w:t>
      </w:r>
    </w:p>
    <w:p>
      <w:pPr>
        <w:spacing w:after="0" w:line="229" w:lineRule="exact"/>
        <w:rPr>
          <w:rFonts w:ascii="Arial" w:cs="Arial" w:eastAsia="Arial" w:hAnsi="Arial"/>
          <w:sz w:val="18"/>
          <w:szCs w:val="18"/>
          <w:b w:val="1"/>
          <w:bCs w:val="1"/>
          <w:color w:val="auto"/>
        </w:rPr>
      </w:pPr>
    </w:p>
    <w:p>
      <w:pPr>
        <w:ind w:left="800"/>
        <w:spacing w:after="0"/>
        <w:rPr>
          <w:rFonts w:ascii="Arial" w:cs="Arial" w:eastAsia="Arial" w:hAnsi="Arial"/>
          <w:sz w:val="18"/>
          <w:szCs w:val="18"/>
          <w:b w:val="1"/>
          <w:bCs w:val="1"/>
          <w:color w:val="auto"/>
        </w:rPr>
      </w:pPr>
      <w:r>
        <w:rPr>
          <w:rFonts w:ascii="Arial" w:cs="Arial" w:eastAsia="Arial" w:hAnsi="Arial"/>
          <w:sz w:val="18"/>
          <w:szCs w:val="18"/>
          <w:color w:val="auto"/>
        </w:rPr>
        <w:t>Termination of a participant’s employment for any reason, including retirement, death or the failure of a participant to remain an</w:t>
      </w:r>
    </w:p>
    <w:p>
      <w:pPr>
        <w:spacing w:after="0" w:line="236" w:lineRule="auto"/>
        <w:rPr>
          <w:sz w:val="20"/>
          <w:szCs w:val="20"/>
          <w:color w:val="auto"/>
        </w:rPr>
      </w:pPr>
      <w:r>
        <w:rPr>
          <w:rFonts w:ascii="Arial" w:cs="Arial" w:eastAsia="Arial" w:hAnsi="Arial"/>
          <w:sz w:val="18"/>
          <w:szCs w:val="18"/>
          <w:color w:val="auto"/>
        </w:rPr>
        <w:t>eligible Employee of the Company or of a Participating Subsidiary, shall immediately terminate his or her participation in this Plan. In such event, the payroll deductions credited to the participant’s account shall be returned to him or her or, in the case of his or her death, to his or her legal representative, without interest. For purposes of this Section 13, an Employee shall not be deemed to have terminated employment or failed to remain in the continuous employ of the Company or of a Participating Subsidiary in the case of sick leave, military leave, or any other leave of absence approved by the Board or Committee, provided, however that such leave is for a period of not more than ninety (90) days or reemployment upon the expiration of such leave is guaranteed by contract or statute. Whether and when employment is deemed terminated for purposes of this Plan shall be determined by the Committee in its sole discretion and may be determined without regard to statutory notice periods or other periods following termination of active employment.</w:t>
      </w:r>
    </w:p>
    <w:p>
      <w:pPr>
        <w:spacing w:after="0" w:line="213" w:lineRule="exact"/>
        <w:rPr>
          <w:sz w:val="20"/>
          <w:szCs w:val="20"/>
          <w:color w:val="auto"/>
        </w:rPr>
      </w:pPr>
    </w:p>
    <w:p>
      <w:pPr>
        <w:ind w:left="800" w:hanging="792"/>
        <w:spacing w:after="0"/>
        <w:tabs>
          <w:tab w:leader="none" w:pos="800" w:val="left"/>
        </w:tabs>
        <w:numPr>
          <w:ilvl w:val="0"/>
          <w:numId w:val="87"/>
        </w:numPr>
        <w:rPr>
          <w:rFonts w:ascii="Arial" w:cs="Arial" w:eastAsia="Arial" w:hAnsi="Arial"/>
          <w:sz w:val="18"/>
          <w:szCs w:val="18"/>
          <w:b w:val="1"/>
          <w:bCs w:val="1"/>
          <w:color w:val="auto"/>
        </w:rPr>
      </w:pPr>
      <w:r>
        <w:rPr>
          <w:rFonts w:ascii="Arial" w:cs="Arial" w:eastAsia="Arial" w:hAnsi="Arial"/>
          <w:sz w:val="18"/>
          <w:szCs w:val="18"/>
          <w:b w:val="1"/>
          <w:bCs w:val="1"/>
          <w:color w:val="auto"/>
        </w:rPr>
        <w:t>Return of Payroll Deductions.</w:t>
      </w:r>
    </w:p>
    <w:p>
      <w:pPr>
        <w:spacing w:after="0" w:line="234" w:lineRule="exact"/>
        <w:rPr>
          <w:sz w:val="20"/>
          <w:szCs w:val="20"/>
          <w:color w:val="auto"/>
        </w:rPr>
      </w:pPr>
    </w:p>
    <w:p>
      <w:pPr>
        <w:ind w:right="40" w:firstLine="799"/>
        <w:spacing w:after="0" w:line="237" w:lineRule="auto"/>
        <w:rPr>
          <w:sz w:val="20"/>
          <w:szCs w:val="20"/>
          <w:color w:val="auto"/>
        </w:rPr>
      </w:pPr>
      <w:r>
        <w:rPr>
          <w:rFonts w:ascii="Arial" w:cs="Arial" w:eastAsia="Arial" w:hAnsi="Arial"/>
          <w:sz w:val="18"/>
          <w:szCs w:val="18"/>
          <w:color w:val="auto"/>
        </w:rPr>
        <w:t>In the event a participant’s interest in this Plan is terminated by withdrawal, termination of employment or otherwise prior to the withdrawal deadline established by the Committee, or in the event this Plan is terminated by the Board, the Company shall deliver to the participant all payroll deductions credited to such participant’s account. No interest shall accrue on the payroll deductions of a participant in this Plan, unless required by local law. In the event a participant dies with payroll deductions having been accumulated to purchase Shares at the next Purchase Date, and the Committee receives notice of such death prior to the withdrawal deadline established by the Committee, the Company shall deliver to the estate of the participant all payroll deductions credited to such participant’s account.</w:t>
      </w:r>
    </w:p>
    <w:p>
      <w:pPr>
        <w:spacing w:after="0" w:line="210" w:lineRule="exact"/>
        <w:rPr>
          <w:sz w:val="20"/>
          <w:szCs w:val="20"/>
          <w:color w:val="auto"/>
        </w:rPr>
      </w:pPr>
    </w:p>
    <w:p>
      <w:pPr>
        <w:ind w:left="800" w:hanging="792"/>
        <w:spacing w:after="0"/>
        <w:tabs>
          <w:tab w:leader="none" w:pos="800" w:val="left"/>
        </w:tabs>
        <w:numPr>
          <w:ilvl w:val="0"/>
          <w:numId w:val="88"/>
        </w:numPr>
        <w:rPr>
          <w:rFonts w:ascii="Arial" w:cs="Arial" w:eastAsia="Arial" w:hAnsi="Arial"/>
          <w:sz w:val="18"/>
          <w:szCs w:val="18"/>
          <w:b w:val="1"/>
          <w:bCs w:val="1"/>
          <w:color w:val="auto"/>
        </w:rPr>
      </w:pPr>
      <w:r>
        <w:rPr>
          <w:rFonts w:ascii="Arial" w:cs="Arial" w:eastAsia="Arial" w:hAnsi="Arial"/>
          <w:sz w:val="18"/>
          <w:szCs w:val="18"/>
          <w:b w:val="1"/>
          <w:bCs w:val="1"/>
          <w:color w:val="auto"/>
        </w:rPr>
        <w:t>Capital Changes.</w:t>
      </w:r>
    </w:p>
    <w:p>
      <w:pPr>
        <w:spacing w:after="0" w:line="234" w:lineRule="exact"/>
        <w:rPr>
          <w:sz w:val="20"/>
          <w:szCs w:val="20"/>
          <w:color w:val="auto"/>
        </w:rPr>
      </w:pPr>
    </w:p>
    <w:p>
      <w:pPr>
        <w:ind w:firstLine="799"/>
        <w:spacing w:after="0" w:line="236" w:lineRule="auto"/>
        <w:rPr>
          <w:sz w:val="20"/>
          <w:szCs w:val="20"/>
          <w:color w:val="auto"/>
        </w:rPr>
      </w:pPr>
      <w:r>
        <w:rPr>
          <w:rFonts w:ascii="Arial" w:cs="Arial" w:eastAsia="Arial" w:hAnsi="Arial"/>
          <w:sz w:val="18"/>
          <w:szCs w:val="18"/>
          <w:color w:val="auto"/>
        </w:rPr>
        <w:t>Subject to any required action by the stockholders of the Company, the Reserves, as well as the price per Share covered by each option under this Plan which has not yet been exercised, and limits on the number of Shares that may be purchased by an Employee, shall be proportionately adjusted for any increase or decrease in the number of issued and outstanding Shares resulting from a stock split or the payment of a stock dividend (but only on the Shares), any other increase or decrease in the number of issued and outstanding Shares effected without receipt of any consideration by the Company or other change in the corporate structure or capitalization affecting the Company’s present Shares, provided, however, that conversion of any convertible securities of the Company shall not be deemed to have been “effected without receipt of consideration.” Such adjustment shall be made by the Committee, whose determination shall be final, binding and conclusive. Except as expressly provided herein, no issue by the Company of shares of stock of any class, or securities convertible into shares of stock of any class, shall affect, and no adjustment by reason thereof shall be made with respect to, the number or price of Shares subject to an option.</w:t>
      </w:r>
    </w:p>
    <w:p>
      <w:pPr>
        <w:spacing w:after="0" w:line="207" w:lineRule="exact"/>
        <w:rPr>
          <w:sz w:val="20"/>
          <w:szCs w:val="20"/>
          <w:color w:val="auto"/>
        </w:rPr>
      </w:pPr>
    </w:p>
    <w:p>
      <w:pPr>
        <w:ind w:right="20" w:firstLine="799"/>
        <w:spacing w:after="0" w:line="236" w:lineRule="auto"/>
        <w:rPr>
          <w:sz w:val="20"/>
          <w:szCs w:val="20"/>
          <w:color w:val="auto"/>
        </w:rPr>
      </w:pPr>
      <w:r>
        <w:rPr>
          <w:rFonts w:ascii="Arial" w:cs="Arial" w:eastAsia="Arial" w:hAnsi="Arial"/>
          <w:sz w:val="18"/>
          <w:szCs w:val="18"/>
          <w:color w:val="auto"/>
        </w:rPr>
        <w:t>In the event of the proposed dissolution or liquidation of the Company, the Offering Period shall terminate immediately prior to the consummation of such proposed action, unless otherwise provided by the Committee. The Committee may, in the exercise of its sole discretion in such instances, declare that this Plan shall terminate as of a date fixed by the Committee and give each participant the right to purchase Shares under this Plan prior to such termination. In the event of (i) a merger or consolidation in which the Company is not the surviving corporation (other than a merger or consolidation with a wholly-owned subsidiary, a reincorporation of the Company in a different jurisdiction, or other transaction in which there is no substantial change in the stockholders of the Company or their relative stock holdings and the options under this Plan are assumed, converted or replaced by the successor corporation, which assumption shall be binding on all participants), (ii) a merger in which the Company is the surviving corporation but after which the stockholders of the Company immediately prior to such merger (other than any stockholder that merges, or which owns or controls another corporation that merges, with the Company in such merger) cease to own their shares or other equity interest in</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Page 6 of 8</w:t>
      </w:r>
    </w:p>
    <w:p>
      <w:pPr>
        <w:sectPr>
          <w:pgSz w:w="11900" w:h="16838" w:orient="portrait"/>
          <w:cols w:equalWidth="0" w:num="1">
            <w:col w:w="11400"/>
          </w:cols>
          <w:pgMar w:left="240" w:top="459" w:right="25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the Company, (iii) the sale of all or substantially all of the assets of the Company, or (iv) the acquisition, sale, or transfer of more than fifty percent (50%) of the outstanding shares of the Company by tender offer or similar transaction, the Plan shall continue with regard to Offering Periods that commenced prior to the closing of the proposed transaction and Shares shall be purchased based on the Fair Market Value of the surviving corporation’s stock on each Purchase Date, unless otherwise provided by the Committee.</w:t>
      </w:r>
    </w:p>
    <w:p>
      <w:pPr>
        <w:spacing w:after="0" w:line="202" w:lineRule="exact"/>
        <w:rPr>
          <w:sz w:val="20"/>
          <w:szCs w:val="20"/>
          <w:color w:val="auto"/>
        </w:rPr>
      </w:pPr>
    </w:p>
    <w:p>
      <w:pPr>
        <w:ind w:right="60" w:firstLine="799"/>
        <w:spacing w:after="0" w:line="239" w:lineRule="auto"/>
        <w:rPr>
          <w:sz w:val="20"/>
          <w:szCs w:val="20"/>
          <w:color w:val="auto"/>
        </w:rPr>
      </w:pPr>
      <w:r>
        <w:rPr>
          <w:rFonts w:ascii="Arial" w:cs="Arial" w:eastAsia="Arial" w:hAnsi="Arial"/>
          <w:sz w:val="18"/>
          <w:szCs w:val="18"/>
          <w:color w:val="auto"/>
        </w:rPr>
        <w:t>The Committee may, if it so determines in the exercise of its sole discretion, also make provision for adjusting the Reserves, as well as the price per Share covered by each outstanding option, and limits on the number of Shares that may be purchased by an Employee, in the event that the Company effects one or more reorganizations, recapitalizations, rights offerings or other increases or reductions of its outstanding Shares, or in the event of the Company being consolidated with or merged into any other corporation.</w:t>
      </w:r>
    </w:p>
    <w:p>
      <w:pPr>
        <w:spacing w:after="0" w:line="207" w:lineRule="exact"/>
        <w:rPr>
          <w:sz w:val="20"/>
          <w:szCs w:val="20"/>
          <w:color w:val="auto"/>
        </w:rPr>
      </w:pPr>
    </w:p>
    <w:p>
      <w:pPr>
        <w:ind w:left="800" w:hanging="792"/>
        <w:spacing w:after="0"/>
        <w:tabs>
          <w:tab w:leader="none" w:pos="800" w:val="left"/>
        </w:tabs>
        <w:numPr>
          <w:ilvl w:val="0"/>
          <w:numId w:val="89"/>
        </w:numPr>
        <w:rPr>
          <w:rFonts w:ascii="Arial" w:cs="Arial" w:eastAsia="Arial" w:hAnsi="Arial"/>
          <w:sz w:val="18"/>
          <w:szCs w:val="18"/>
          <w:b w:val="1"/>
          <w:bCs w:val="1"/>
          <w:color w:val="auto"/>
        </w:rPr>
      </w:pPr>
      <w:r>
        <w:rPr>
          <w:rFonts w:ascii="Arial" w:cs="Arial" w:eastAsia="Arial" w:hAnsi="Arial"/>
          <w:sz w:val="18"/>
          <w:szCs w:val="18"/>
          <w:b w:val="1"/>
          <w:bCs w:val="1"/>
          <w:color w:val="auto"/>
        </w:rPr>
        <w:t>Nonassignability.</w:t>
      </w:r>
    </w:p>
    <w:p>
      <w:pPr>
        <w:spacing w:after="0" w:line="234" w:lineRule="exact"/>
        <w:rPr>
          <w:sz w:val="20"/>
          <w:szCs w:val="20"/>
          <w:color w:val="auto"/>
        </w:rPr>
      </w:pPr>
    </w:p>
    <w:p>
      <w:pPr>
        <w:ind w:right="80" w:firstLine="799"/>
        <w:spacing w:after="0"/>
        <w:rPr>
          <w:sz w:val="20"/>
          <w:szCs w:val="20"/>
          <w:color w:val="auto"/>
        </w:rPr>
      </w:pPr>
      <w:r>
        <w:rPr>
          <w:rFonts w:ascii="Arial" w:cs="Arial" w:eastAsia="Arial" w:hAnsi="Arial"/>
          <w:sz w:val="18"/>
          <w:szCs w:val="18"/>
          <w:color w:val="auto"/>
        </w:rPr>
        <w:t>Neither payroll deductions credited to a participant’s account nor any rights with regard to the exercise of an option or to receive Shares under this Plan may be assigned, transferred, pledged or otherwise disposed of in any way (other than by will, the laws of descent and distribution) by the participant. Any such attempt at assignment, transfer, pledge or other disposition shall be void and without effect.</w:t>
      </w:r>
    </w:p>
    <w:p>
      <w:pPr>
        <w:spacing w:after="0" w:line="208" w:lineRule="exact"/>
        <w:rPr>
          <w:sz w:val="20"/>
          <w:szCs w:val="20"/>
          <w:color w:val="auto"/>
        </w:rPr>
      </w:pPr>
    </w:p>
    <w:p>
      <w:pPr>
        <w:ind w:left="800" w:hanging="792"/>
        <w:spacing w:after="0"/>
        <w:tabs>
          <w:tab w:leader="none" w:pos="800" w:val="left"/>
        </w:tabs>
        <w:numPr>
          <w:ilvl w:val="0"/>
          <w:numId w:val="90"/>
        </w:numPr>
        <w:rPr>
          <w:rFonts w:ascii="Arial" w:cs="Arial" w:eastAsia="Arial" w:hAnsi="Arial"/>
          <w:sz w:val="18"/>
          <w:szCs w:val="18"/>
          <w:b w:val="1"/>
          <w:bCs w:val="1"/>
          <w:color w:val="auto"/>
        </w:rPr>
      </w:pPr>
      <w:r>
        <w:rPr>
          <w:rFonts w:ascii="Arial" w:cs="Arial" w:eastAsia="Arial" w:hAnsi="Arial"/>
          <w:sz w:val="18"/>
          <w:szCs w:val="18"/>
          <w:b w:val="1"/>
          <w:bCs w:val="1"/>
          <w:color w:val="auto"/>
        </w:rPr>
        <w:t>Reports.</w:t>
      </w:r>
    </w:p>
    <w:p>
      <w:pPr>
        <w:spacing w:after="0" w:line="234" w:lineRule="exact"/>
        <w:rPr>
          <w:sz w:val="20"/>
          <w:szCs w:val="20"/>
          <w:color w:val="auto"/>
        </w:rPr>
      </w:pPr>
    </w:p>
    <w:p>
      <w:pPr>
        <w:ind w:right="180" w:firstLine="799"/>
        <w:spacing w:after="0"/>
        <w:rPr>
          <w:sz w:val="20"/>
          <w:szCs w:val="20"/>
          <w:color w:val="auto"/>
        </w:rPr>
      </w:pPr>
      <w:r>
        <w:rPr>
          <w:rFonts w:ascii="Arial" w:cs="Arial" w:eastAsia="Arial" w:hAnsi="Arial"/>
          <w:sz w:val="18"/>
          <w:szCs w:val="18"/>
          <w:color w:val="auto"/>
        </w:rPr>
        <w:t>Individual accounts shall be maintained for each participant in this Plan. Each participant shall receive, as soon as practicable after the end of each Purchase Period, a report in written or electronic form of his or her account setting forth the total payroll deductions accumulated, the number of Shares purchased, and the per Share price thereof.</w:t>
      </w:r>
    </w:p>
    <w:p>
      <w:pPr>
        <w:spacing w:after="0" w:line="208" w:lineRule="exact"/>
        <w:rPr>
          <w:sz w:val="20"/>
          <w:szCs w:val="20"/>
          <w:color w:val="auto"/>
        </w:rPr>
      </w:pPr>
    </w:p>
    <w:p>
      <w:pPr>
        <w:ind w:left="800" w:hanging="792"/>
        <w:spacing w:after="0"/>
        <w:tabs>
          <w:tab w:leader="none" w:pos="800" w:val="left"/>
        </w:tabs>
        <w:numPr>
          <w:ilvl w:val="0"/>
          <w:numId w:val="91"/>
        </w:numPr>
        <w:rPr>
          <w:rFonts w:ascii="Arial" w:cs="Arial" w:eastAsia="Arial" w:hAnsi="Arial"/>
          <w:sz w:val="18"/>
          <w:szCs w:val="18"/>
          <w:b w:val="1"/>
          <w:bCs w:val="1"/>
          <w:color w:val="auto"/>
        </w:rPr>
      </w:pPr>
      <w:r>
        <w:rPr>
          <w:rFonts w:ascii="Arial" w:cs="Arial" w:eastAsia="Arial" w:hAnsi="Arial"/>
          <w:sz w:val="18"/>
          <w:szCs w:val="18"/>
          <w:b w:val="1"/>
          <w:bCs w:val="1"/>
          <w:color w:val="auto"/>
        </w:rPr>
        <w:t>Notice of Disposition.</w:t>
      </w:r>
    </w:p>
    <w:p>
      <w:pPr>
        <w:spacing w:after="0" w:line="234" w:lineRule="exact"/>
        <w:rPr>
          <w:sz w:val="20"/>
          <w:szCs w:val="20"/>
          <w:color w:val="auto"/>
        </w:rPr>
      </w:pPr>
    </w:p>
    <w:p>
      <w:pPr>
        <w:ind w:right="40" w:firstLine="799"/>
        <w:spacing w:after="0" w:line="238" w:lineRule="auto"/>
        <w:rPr>
          <w:sz w:val="20"/>
          <w:szCs w:val="20"/>
          <w:color w:val="auto"/>
        </w:rPr>
      </w:pPr>
      <w:r>
        <w:rPr>
          <w:rFonts w:ascii="Arial" w:cs="Arial" w:eastAsia="Arial" w:hAnsi="Arial"/>
          <w:sz w:val="18"/>
          <w:szCs w:val="18"/>
          <w:color w:val="auto"/>
        </w:rPr>
        <w:t>Each participant shall notify the Company in writing if the participant disposes of any of the Shares purchased in any Offering Period pursuant to this Plan if such disposition occurs within the Notice Period. The Company may, at any time during the Notice Period, place a legend or legends on any certificate representing Shares acquired pursuant to this Plan requesting the Company’s transfer agent to notify the Company of any transfer of the Shares. The obligation of the participant to provide such notice shall continue notwithstanding the placement of any such legend on the certificates.</w:t>
      </w:r>
    </w:p>
    <w:p>
      <w:pPr>
        <w:spacing w:after="0" w:line="208" w:lineRule="exact"/>
        <w:rPr>
          <w:sz w:val="20"/>
          <w:szCs w:val="20"/>
          <w:color w:val="auto"/>
        </w:rPr>
      </w:pPr>
    </w:p>
    <w:p>
      <w:pPr>
        <w:ind w:left="800" w:hanging="792"/>
        <w:spacing w:after="0"/>
        <w:tabs>
          <w:tab w:leader="none" w:pos="800" w:val="left"/>
        </w:tabs>
        <w:numPr>
          <w:ilvl w:val="0"/>
          <w:numId w:val="92"/>
        </w:numPr>
        <w:rPr>
          <w:rFonts w:ascii="Arial" w:cs="Arial" w:eastAsia="Arial" w:hAnsi="Arial"/>
          <w:sz w:val="18"/>
          <w:szCs w:val="18"/>
          <w:b w:val="1"/>
          <w:bCs w:val="1"/>
          <w:color w:val="auto"/>
        </w:rPr>
      </w:pPr>
      <w:r>
        <w:rPr>
          <w:rFonts w:ascii="Arial" w:cs="Arial" w:eastAsia="Arial" w:hAnsi="Arial"/>
          <w:sz w:val="18"/>
          <w:szCs w:val="18"/>
          <w:b w:val="1"/>
          <w:bCs w:val="1"/>
          <w:color w:val="auto"/>
        </w:rPr>
        <w:t>No Rights to Continued Employment.</w:t>
      </w:r>
    </w:p>
    <w:p>
      <w:pPr>
        <w:spacing w:after="0" w:line="233" w:lineRule="exact"/>
        <w:rPr>
          <w:rFonts w:ascii="Arial" w:cs="Arial" w:eastAsia="Arial" w:hAnsi="Arial"/>
          <w:sz w:val="18"/>
          <w:szCs w:val="18"/>
          <w:b w:val="1"/>
          <w:bCs w:val="1"/>
          <w:color w:val="auto"/>
        </w:rPr>
      </w:pPr>
    </w:p>
    <w:p>
      <w:pPr>
        <w:ind w:right="60" w:firstLine="807"/>
        <w:spacing w:after="0" w:line="237" w:lineRule="auto"/>
        <w:tabs>
          <w:tab w:leader="none" w:pos="1409" w:val="left"/>
        </w:tabs>
        <w:numPr>
          <w:ilvl w:val="1"/>
          <w:numId w:val="92"/>
        </w:numPr>
        <w:rPr>
          <w:rFonts w:ascii="Arial" w:cs="Arial" w:eastAsia="Arial" w:hAnsi="Arial"/>
          <w:sz w:val="18"/>
          <w:szCs w:val="18"/>
          <w:color w:val="auto"/>
        </w:rPr>
      </w:pPr>
      <w:r>
        <w:rPr>
          <w:rFonts w:ascii="Arial" w:cs="Arial" w:eastAsia="Arial" w:hAnsi="Arial"/>
          <w:sz w:val="18"/>
          <w:szCs w:val="18"/>
          <w:color w:val="auto"/>
        </w:rPr>
        <w:t>An Employee’s employment with the Company or a Subsidiary is not for any specified term and may be terminated by such Employee or by the Company or a Subsidiary at any time, for any reason, with or without cause and with or without notice. Nothing in this Plan or any covenant of good faith and fair dealing that may be found implicit in this Plan shall (i) confer upon any Employee any right to continue in the employ of, or affiliation with, the Company or a Subsidiary; (ii) constitute any promise or commitment by the Company or a Subsidiary regarding the fact or nature of future positions, future work assignments, future compensation or any other term or condition of employment or affiliation; (iii) confer any right or benefit under this Plan unless such right or benefit has specifically accrued under the terms of this Plan; or (iv) deprive the Company of the right to terminate the Employee at will.</w:t>
      </w:r>
    </w:p>
    <w:p>
      <w:pPr>
        <w:spacing w:after="0" w:line="203" w:lineRule="exact"/>
        <w:rPr>
          <w:rFonts w:ascii="Arial" w:cs="Arial" w:eastAsia="Arial" w:hAnsi="Arial"/>
          <w:sz w:val="18"/>
          <w:szCs w:val="18"/>
          <w:color w:val="auto"/>
        </w:rPr>
      </w:pPr>
    </w:p>
    <w:p>
      <w:pPr>
        <w:ind w:right="80" w:firstLine="807"/>
        <w:spacing w:after="0" w:line="238" w:lineRule="auto"/>
        <w:tabs>
          <w:tab w:leader="none" w:pos="1416" w:val="left"/>
        </w:tabs>
        <w:numPr>
          <w:ilvl w:val="1"/>
          <w:numId w:val="92"/>
        </w:numPr>
        <w:rPr>
          <w:rFonts w:ascii="Arial" w:cs="Arial" w:eastAsia="Arial" w:hAnsi="Arial"/>
          <w:sz w:val="18"/>
          <w:szCs w:val="18"/>
          <w:color w:val="auto"/>
        </w:rPr>
      </w:pPr>
      <w:r>
        <w:rPr>
          <w:rFonts w:ascii="Arial" w:cs="Arial" w:eastAsia="Arial" w:hAnsi="Arial"/>
          <w:sz w:val="18"/>
          <w:szCs w:val="18"/>
          <w:color w:val="auto"/>
        </w:rPr>
        <w:t>The right to continue participation in this Plan is conditioned on a participant’s continuing as an Employee at the will of the Company or a Subsidiary and the Company has the right to reorganize, sell, spin-out or otherwise restructure one or more of its businesses at any time or from time to time, as it deems appropriate (a “reorganization”). Such a reorganization could result in the termination of a participant’s relationship as an Employee or the termination of the participant’s employer’s status as a Participating Subsidiary and the loss of benefits available to the participant under this Plan.</w:t>
      </w:r>
    </w:p>
    <w:p>
      <w:pPr>
        <w:spacing w:after="0" w:line="207" w:lineRule="exact"/>
        <w:rPr>
          <w:rFonts w:ascii="Arial" w:cs="Arial" w:eastAsia="Arial" w:hAnsi="Arial"/>
          <w:sz w:val="18"/>
          <w:szCs w:val="18"/>
          <w:color w:val="auto"/>
        </w:rPr>
      </w:pPr>
    </w:p>
    <w:p>
      <w:pPr>
        <w:ind w:left="800" w:hanging="792"/>
        <w:spacing w:after="0"/>
        <w:tabs>
          <w:tab w:leader="none" w:pos="800" w:val="left"/>
        </w:tabs>
        <w:numPr>
          <w:ilvl w:val="0"/>
          <w:numId w:val="92"/>
        </w:numPr>
        <w:rPr>
          <w:rFonts w:ascii="Arial" w:cs="Arial" w:eastAsia="Arial" w:hAnsi="Arial"/>
          <w:sz w:val="18"/>
          <w:szCs w:val="18"/>
          <w:b w:val="1"/>
          <w:bCs w:val="1"/>
          <w:color w:val="auto"/>
        </w:rPr>
      </w:pPr>
      <w:r>
        <w:rPr>
          <w:rFonts w:ascii="Arial" w:cs="Arial" w:eastAsia="Arial" w:hAnsi="Arial"/>
          <w:sz w:val="18"/>
          <w:szCs w:val="18"/>
          <w:b w:val="1"/>
          <w:bCs w:val="1"/>
          <w:color w:val="auto"/>
        </w:rPr>
        <w:t>Additional Provisions to Comply with Local Law.</w:t>
      </w:r>
    </w:p>
    <w:p>
      <w:pPr>
        <w:spacing w:after="0" w:line="234" w:lineRule="exact"/>
        <w:rPr>
          <w:sz w:val="20"/>
          <w:szCs w:val="20"/>
          <w:color w:val="auto"/>
        </w:rPr>
      </w:pPr>
    </w:p>
    <w:p>
      <w:pPr>
        <w:ind w:firstLine="799"/>
        <w:spacing w:after="0" w:line="238" w:lineRule="auto"/>
        <w:rPr>
          <w:sz w:val="20"/>
          <w:szCs w:val="20"/>
          <w:color w:val="auto"/>
        </w:rPr>
      </w:pPr>
      <w:r>
        <w:rPr>
          <w:rFonts w:ascii="Arial" w:cs="Arial" w:eastAsia="Arial" w:hAnsi="Arial"/>
          <w:sz w:val="18"/>
          <w:szCs w:val="18"/>
          <w:color w:val="auto"/>
        </w:rPr>
        <w:t>The Committee may from time to time establish one or more sub-plans under the Plan for purposes of satisfying applicable laws of state and local domestic United States and non-United States jurisdictions. The Committee shall establish such sub-plans by adopting supplements to this Plan containing such additional terms and conditions not otherwise inconsistent with the Plan as the Committee shall deem necessary or desirable. To the extent inconsistent with the requirements of Code Section 423, such sub-plans and/or supplements shall be considered part of the Non-423 Plan</w:t>
      </w:r>
    </w:p>
    <w:p>
      <w:pPr>
        <w:spacing w:after="0" w:line="13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Page 7 of 8</w:t>
      </w:r>
    </w:p>
    <w:p>
      <w:pPr>
        <w:sectPr>
          <w:pgSz w:w="11900" w:h="16838" w:orient="portrait"/>
          <w:cols w:equalWidth="0" w:num="1">
            <w:col w:w="11380"/>
          </w:cols>
          <w:pgMar w:left="240" w:top="459" w:right="27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Component, and the options granted thereunder shall not be considered to comply with Code Section 423. All supplements adopted by the Committee shall be deemed to be part of the Plan and the Company shall not be required to provide copies of any supplement to participants in any jurisdiction that is not the subject of such supplement.</w:t>
      </w:r>
    </w:p>
    <w:p>
      <w:pPr>
        <w:spacing w:after="0" w:line="208" w:lineRule="exact"/>
        <w:rPr>
          <w:sz w:val="20"/>
          <w:szCs w:val="20"/>
          <w:color w:val="auto"/>
        </w:rPr>
      </w:pPr>
    </w:p>
    <w:p>
      <w:pPr>
        <w:ind w:left="800" w:hanging="792"/>
        <w:spacing w:after="0"/>
        <w:tabs>
          <w:tab w:leader="none" w:pos="800" w:val="left"/>
        </w:tabs>
        <w:numPr>
          <w:ilvl w:val="0"/>
          <w:numId w:val="93"/>
        </w:numPr>
        <w:rPr>
          <w:rFonts w:ascii="Arial" w:cs="Arial" w:eastAsia="Arial" w:hAnsi="Arial"/>
          <w:sz w:val="18"/>
          <w:szCs w:val="18"/>
          <w:b w:val="1"/>
          <w:bCs w:val="1"/>
          <w:color w:val="auto"/>
        </w:rPr>
      </w:pPr>
      <w:r>
        <w:rPr>
          <w:rFonts w:ascii="Arial" w:cs="Arial" w:eastAsia="Arial" w:hAnsi="Arial"/>
          <w:sz w:val="18"/>
          <w:szCs w:val="18"/>
          <w:b w:val="1"/>
          <w:bCs w:val="1"/>
          <w:color w:val="auto"/>
        </w:rPr>
        <w:t>Notices.</w:t>
      </w:r>
    </w:p>
    <w:p>
      <w:pPr>
        <w:spacing w:after="0" w:line="234" w:lineRule="exact"/>
        <w:rPr>
          <w:sz w:val="20"/>
          <w:szCs w:val="20"/>
          <w:color w:val="auto"/>
        </w:rPr>
      </w:pPr>
    </w:p>
    <w:p>
      <w:pPr>
        <w:ind w:right="220" w:firstLine="799"/>
        <w:spacing w:after="0"/>
        <w:rPr>
          <w:sz w:val="20"/>
          <w:szCs w:val="20"/>
          <w:color w:val="auto"/>
        </w:rPr>
      </w:pPr>
      <w:r>
        <w:rPr>
          <w:rFonts w:ascii="Arial" w:cs="Arial" w:eastAsia="Arial" w:hAnsi="Arial"/>
          <w:sz w:val="18"/>
          <w:szCs w:val="18"/>
          <w:color w:val="auto"/>
        </w:rPr>
        <w:t>All notices or other communications by a participant to the Company under or in connection with this Plan shall be deemed to have been duly given when received in the form specified by the Company at the location, or by the person, designated by the Company for the receipt thereof.</w:t>
      </w:r>
    </w:p>
    <w:p>
      <w:pPr>
        <w:spacing w:after="0" w:line="208" w:lineRule="exact"/>
        <w:rPr>
          <w:sz w:val="20"/>
          <w:szCs w:val="20"/>
          <w:color w:val="auto"/>
        </w:rPr>
      </w:pPr>
    </w:p>
    <w:p>
      <w:pPr>
        <w:ind w:left="800" w:hanging="792"/>
        <w:spacing w:after="0"/>
        <w:tabs>
          <w:tab w:leader="none" w:pos="800" w:val="left"/>
        </w:tabs>
        <w:numPr>
          <w:ilvl w:val="0"/>
          <w:numId w:val="94"/>
        </w:numPr>
        <w:rPr>
          <w:rFonts w:ascii="Arial" w:cs="Arial" w:eastAsia="Arial" w:hAnsi="Arial"/>
          <w:sz w:val="18"/>
          <w:szCs w:val="18"/>
          <w:b w:val="1"/>
          <w:bCs w:val="1"/>
          <w:color w:val="auto"/>
        </w:rPr>
      </w:pPr>
      <w:r>
        <w:rPr>
          <w:rFonts w:ascii="Arial" w:cs="Arial" w:eastAsia="Arial" w:hAnsi="Arial"/>
          <w:sz w:val="18"/>
          <w:szCs w:val="18"/>
          <w:b w:val="1"/>
          <w:bCs w:val="1"/>
          <w:color w:val="auto"/>
        </w:rPr>
        <w:t>Term; Stockholder Approval.</w:t>
      </w:r>
    </w:p>
    <w:p>
      <w:pPr>
        <w:spacing w:after="0" w:line="234" w:lineRule="exact"/>
        <w:rPr>
          <w:sz w:val="20"/>
          <w:szCs w:val="20"/>
          <w:color w:val="auto"/>
        </w:rPr>
      </w:pPr>
    </w:p>
    <w:p>
      <w:pPr>
        <w:ind w:right="40" w:firstLine="799"/>
        <w:spacing w:after="0" w:line="238" w:lineRule="auto"/>
        <w:rPr>
          <w:sz w:val="20"/>
          <w:szCs w:val="20"/>
          <w:color w:val="auto"/>
        </w:rPr>
      </w:pPr>
      <w:r>
        <w:rPr>
          <w:rFonts w:ascii="Arial" w:cs="Arial" w:eastAsia="Arial" w:hAnsi="Arial"/>
          <w:sz w:val="18"/>
          <w:szCs w:val="18"/>
          <w:color w:val="auto"/>
        </w:rPr>
        <w:t>The restatement of this Plan shall be approved by the stockholders of the Company, in any manner permitted by applicable corporate law, within twelve (12) months before or after the date the restatement of this Plan is adopted by the Board. No purchase of Shares pursuant to this Plan shall occur prior to such stockholder approval. This Plan shall continue until the earlier to occur of (a) termination of this Plan by the Board (which termination may be effected by the Board at any time), (b) issuance of all of the Shares available for issuance under this Plan, or (c) ten (10) years from the approval of the restatement of this Plan by the stockholders.</w:t>
      </w:r>
    </w:p>
    <w:p>
      <w:pPr>
        <w:spacing w:after="0" w:line="208" w:lineRule="exact"/>
        <w:rPr>
          <w:sz w:val="20"/>
          <w:szCs w:val="20"/>
          <w:color w:val="auto"/>
        </w:rPr>
      </w:pPr>
    </w:p>
    <w:p>
      <w:pPr>
        <w:ind w:left="800" w:hanging="792"/>
        <w:spacing w:after="0"/>
        <w:tabs>
          <w:tab w:leader="none" w:pos="800" w:val="left"/>
        </w:tabs>
        <w:numPr>
          <w:ilvl w:val="0"/>
          <w:numId w:val="95"/>
        </w:numPr>
        <w:rPr>
          <w:rFonts w:ascii="Arial" w:cs="Arial" w:eastAsia="Arial" w:hAnsi="Arial"/>
          <w:sz w:val="18"/>
          <w:szCs w:val="18"/>
          <w:b w:val="1"/>
          <w:bCs w:val="1"/>
          <w:color w:val="auto"/>
        </w:rPr>
      </w:pPr>
      <w:r>
        <w:rPr>
          <w:rFonts w:ascii="Arial" w:cs="Arial" w:eastAsia="Arial" w:hAnsi="Arial"/>
          <w:sz w:val="18"/>
          <w:szCs w:val="18"/>
          <w:b w:val="1"/>
          <w:bCs w:val="1"/>
          <w:color w:val="auto"/>
        </w:rPr>
        <w:t>Conditions Upon Issuance of Shares; Limitation on Sale of Shares.</w:t>
      </w:r>
    </w:p>
    <w:p>
      <w:pPr>
        <w:spacing w:after="0" w:line="234" w:lineRule="exact"/>
        <w:rPr>
          <w:sz w:val="20"/>
          <w:szCs w:val="20"/>
          <w:color w:val="auto"/>
        </w:rPr>
      </w:pPr>
    </w:p>
    <w:p>
      <w:pPr>
        <w:ind w:right="60" w:firstLine="799"/>
        <w:spacing w:after="0" w:line="238" w:lineRule="auto"/>
        <w:rPr>
          <w:sz w:val="20"/>
          <w:szCs w:val="20"/>
          <w:color w:val="auto"/>
        </w:rPr>
      </w:pPr>
      <w:r>
        <w:rPr>
          <w:rFonts w:ascii="Arial" w:cs="Arial" w:eastAsia="Arial" w:hAnsi="Arial"/>
          <w:sz w:val="18"/>
          <w:szCs w:val="18"/>
          <w:color w:val="auto"/>
        </w:rPr>
        <w:t>Shares shall not be issued with respect to an option unless the exercise of such option and the issuance and delivery of such Shares pursuant thereto shall comply with all applicable provisions of law, domestic or foreign, including, without limitation, the Securities Act of 1933, as amended, the Securities Exchange Act of 1934, as amended, the rules and regulations promulgated thereunder, and the requirements of any stock exchange or automated quotation system upon which the Shares may then be listed, and shall be further subject to the approval of counsel for the Company with respect to such compliance.</w:t>
      </w:r>
    </w:p>
    <w:p>
      <w:pPr>
        <w:spacing w:after="0" w:line="208" w:lineRule="exact"/>
        <w:rPr>
          <w:sz w:val="20"/>
          <w:szCs w:val="20"/>
          <w:color w:val="auto"/>
        </w:rPr>
      </w:pPr>
    </w:p>
    <w:p>
      <w:pPr>
        <w:ind w:left="800" w:hanging="792"/>
        <w:spacing w:after="0"/>
        <w:tabs>
          <w:tab w:leader="none" w:pos="800" w:val="left"/>
        </w:tabs>
        <w:numPr>
          <w:ilvl w:val="0"/>
          <w:numId w:val="96"/>
        </w:numPr>
        <w:rPr>
          <w:rFonts w:ascii="Arial" w:cs="Arial" w:eastAsia="Arial" w:hAnsi="Arial"/>
          <w:sz w:val="18"/>
          <w:szCs w:val="18"/>
          <w:b w:val="1"/>
          <w:bCs w:val="1"/>
          <w:color w:val="auto"/>
        </w:rPr>
      </w:pPr>
      <w:r>
        <w:rPr>
          <w:rFonts w:ascii="Arial" w:cs="Arial" w:eastAsia="Arial" w:hAnsi="Arial"/>
          <w:sz w:val="18"/>
          <w:szCs w:val="18"/>
          <w:b w:val="1"/>
          <w:bCs w:val="1"/>
          <w:color w:val="auto"/>
        </w:rPr>
        <w:t>Applicable Law.</w:t>
      </w:r>
    </w:p>
    <w:p>
      <w:pPr>
        <w:spacing w:after="0" w:line="233" w:lineRule="exact"/>
        <w:rPr>
          <w:rFonts w:ascii="Arial" w:cs="Arial" w:eastAsia="Arial" w:hAnsi="Arial"/>
          <w:sz w:val="18"/>
          <w:szCs w:val="18"/>
          <w:b w:val="1"/>
          <w:bCs w:val="1"/>
          <w:color w:val="auto"/>
        </w:rPr>
      </w:pPr>
    </w:p>
    <w:p>
      <w:pPr>
        <w:ind w:left="800"/>
        <w:spacing w:after="0"/>
        <w:rPr>
          <w:rFonts w:ascii="Arial" w:cs="Arial" w:eastAsia="Arial" w:hAnsi="Arial"/>
          <w:sz w:val="18"/>
          <w:szCs w:val="18"/>
          <w:b w:val="1"/>
          <w:bCs w:val="1"/>
          <w:color w:val="auto"/>
        </w:rPr>
      </w:pPr>
      <w:r>
        <w:rPr>
          <w:rFonts w:ascii="Arial" w:cs="Arial" w:eastAsia="Arial" w:hAnsi="Arial"/>
          <w:sz w:val="18"/>
          <w:szCs w:val="18"/>
          <w:color w:val="auto"/>
        </w:rPr>
        <w:t>The Plan shall be governed by the substantive laws (excluding the conflict of laws rules) of the State of Delaware.</w:t>
      </w:r>
    </w:p>
    <w:p>
      <w:pPr>
        <w:spacing w:after="0" w:line="216" w:lineRule="exact"/>
        <w:rPr>
          <w:rFonts w:ascii="Arial" w:cs="Arial" w:eastAsia="Arial" w:hAnsi="Arial"/>
          <w:sz w:val="18"/>
          <w:szCs w:val="18"/>
          <w:b w:val="1"/>
          <w:bCs w:val="1"/>
          <w:color w:val="auto"/>
        </w:rPr>
      </w:pPr>
    </w:p>
    <w:p>
      <w:pPr>
        <w:ind w:left="800" w:hanging="792"/>
        <w:spacing w:after="0"/>
        <w:tabs>
          <w:tab w:leader="none" w:pos="800" w:val="left"/>
        </w:tabs>
        <w:numPr>
          <w:ilvl w:val="0"/>
          <w:numId w:val="96"/>
        </w:numPr>
        <w:rPr>
          <w:rFonts w:ascii="Arial" w:cs="Arial" w:eastAsia="Arial" w:hAnsi="Arial"/>
          <w:sz w:val="18"/>
          <w:szCs w:val="18"/>
          <w:b w:val="1"/>
          <w:bCs w:val="1"/>
          <w:color w:val="auto"/>
        </w:rPr>
      </w:pPr>
      <w:r>
        <w:rPr>
          <w:rFonts w:ascii="Arial" w:cs="Arial" w:eastAsia="Arial" w:hAnsi="Arial"/>
          <w:sz w:val="18"/>
          <w:szCs w:val="18"/>
          <w:b w:val="1"/>
          <w:bCs w:val="1"/>
          <w:color w:val="auto"/>
        </w:rPr>
        <w:t>Amendment or Termination.</w:t>
      </w:r>
    </w:p>
    <w:p>
      <w:pPr>
        <w:spacing w:after="0" w:line="234" w:lineRule="exact"/>
        <w:rPr>
          <w:sz w:val="20"/>
          <w:szCs w:val="20"/>
          <w:color w:val="auto"/>
        </w:rPr>
      </w:pPr>
    </w:p>
    <w:p>
      <w:pPr>
        <w:ind w:right="180" w:firstLine="799"/>
        <w:spacing w:after="0" w:line="239" w:lineRule="auto"/>
        <w:rPr>
          <w:sz w:val="20"/>
          <w:szCs w:val="20"/>
          <w:color w:val="auto"/>
        </w:rPr>
      </w:pPr>
      <w:r>
        <w:rPr>
          <w:rFonts w:ascii="Arial" w:cs="Arial" w:eastAsia="Arial" w:hAnsi="Arial"/>
          <w:sz w:val="18"/>
          <w:szCs w:val="18"/>
          <w:color w:val="auto"/>
        </w:rPr>
        <w:t>The Board may at any time amend or terminate this Plan, except that any such termination cannot affect options previously granted under this Plan, nor may any amendment make any change in an option previously granted which would adversely affect the right of any participant, nor may any amendment be made without approval of the stockholders of the Company obtained in accordance with Section 22 above within twelve (12) months of the adoption of such amendment (or earlier if required by Section 22) if such amendment would:</w:t>
      </w:r>
    </w:p>
    <w:p>
      <w:pPr>
        <w:spacing w:after="0" w:line="202" w:lineRule="exact"/>
        <w:rPr>
          <w:sz w:val="20"/>
          <w:szCs w:val="20"/>
          <w:color w:val="auto"/>
        </w:rPr>
      </w:pPr>
    </w:p>
    <w:p>
      <w:pPr>
        <w:ind w:left="1420" w:hanging="613"/>
        <w:spacing w:after="0"/>
        <w:tabs>
          <w:tab w:leader="none" w:pos="1420" w:val="left"/>
        </w:tabs>
        <w:numPr>
          <w:ilvl w:val="0"/>
          <w:numId w:val="97"/>
        </w:numPr>
        <w:rPr>
          <w:rFonts w:ascii="Arial" w:cs="Arial" w:eastAsia="Arial" w:hAnsi="Arial"/>
          <w:sz w:val="18"/>
          <w:szCs w:val="18"/>
          <w:color w:val="auto"/>
        </w:rPr>
      </w:pPr>
      <w:r>
        <w:rPr>
          <w:rFonts w:ascii="Arial" w:cs="Arial" w:eastAsia="Arial" w:hAnsi="Arial"/>
          <w:sz w:val="18"/>
          <w:szCs w:val="18"/>
          <w:color w:val="auto"/>
        </w:rPr>
        <w:t>increase the number of Shares that may be issued under this Plan; or</w:t>
      </w:r>
    </w:p>
    <w:p>
      <w:pPr>
        <w:spacing w:after="0" w:line="211" w:lineRule="exact"/>
        <w:rPr>
          <w:rFonts w:ascii="Arial" w:cs="Arial" w:eastAsia="Arial" w:hAnsi="Arial"/>
          <w:sz w:val="18"/>
          <w:szCs w:val="18"/>
          <w:color w:val="auto"/>
        </w:rPr>
      </w:pPr>
    </w:p>
    <w:p>
      <w:pPr>
        <w:ind w:left="1420" w:hanging="613"/>
        <w:spacing w:after="0"/>
        <w:tabs>
          <w:tab w:leader="none" w:pos="1420" w:val="left"/>
        </w:tabs>
        <w:numPr>
          <w:ilvl w:val="0"/>
          <w:numId w:val="97"/>
        </w:numPr>
        <w:rPr>
          <w:rFonts w:ascii="Arial" w:cs="Arial" w:eastAsia="Arial" w:hAnsi="Arial"/>
          <w:sz w:val="18"/>
          <w:szCs w:val="18"/>
          <w:color w:val="auto"/>
        </w:rPr>
      </w:pPr>
      <w:r>
        <w:rPr>
          <w:rFonts w:ascii="Arial" w:cs="Arial" w:eastAsia="Arial" w:hAnsi="Arial"/>
          <w:sz w:val="18"/>
          <w:szCs w:val="18"/>
          <w:color w:val="auto"/>
        </w:rPr>
        <w:t>change the designation of the employees (or class of employees) eligible for participation in this Plan.</w:t>
      </w:r>
    </w:p>
    <w:p>
      <w:pPr>
        <w:spacing w:after="0" w:line="212" w:lineRule="exact"/>
        <w:rPr>
          <w:sz w:val="20"/>
          <w:szCs w:val="20"/>
          <w:color w:val="auto"/>
        </w:rPr>
      </w:pPr>
    </w:p>
    <w:p>
      <w:pPr>
        <w:ind w:right="380" w:firstLine="799"/>
        <w:spacing w:after="0" w:line="239" w:lineRule="auto"/>
        <w:rPr>
          <w:sz w:val="20"/>
          <w:szCs w:val="20"/>
          <w:color w:val="auto"/>
        </w:rPr>
      </w:pPr>
      <w:r>
        <w:rPr>
          <w:rFonts w:ascii="Arial" w:cs="Arial" w:eastAsia="Arial" w:hAnsi="Arial"/>
          <w:sz w:val="18"/>
          <w:szCs w:val="18"/>
          <w:color w:val="auto"/>
        </w:rPr>
        <w:t>Notwithstanding the foregoing, the Board may make such amendments to the Plan as the Board determines to be advisable, including changes with respect to current Offering Periods or Purchase Periods, if the continuation of the Plan or any Offering Period would result in financial accounting treatment for the Plan that is different from the financial accounting treatment in effect on the date this Plan is adopted by the Board.</w:t>
      </w:r>
    </w:p>
    <w:p>
      <w:pPr>
        <w:spacing w:after="0" w:line="207" w:lineRule="exact"/>
        <w:rPr>
          <w:sz w:val="20"/>
          <w:szCs w:val="20"/>
          <w:color w:val="auto"/>
        </w:rPr>
      </w:pPr>
    </w:p>
    <w:p>
      <w:pPr>
        <w:ind w:left="800" w:hanging="792"/>
        <w:spacing w:after="0"/>
        <w:tabs>
          <w:tab w:leader="none" w:pos="800" w:val="left"/>
        </w:tabs>
        <w:numPr>
          <w:ilvl w:val="0"/>
          <w:numId w:val="98"/>
        </w:numPr>
        <w:rPr>
          <w:rFonts w:ascii="Arial" w:cs="Arial" w:eastAsia="Arial" w:hAnsi="Arial"/>
          <w:sz w:val="18"/>
          <w:szCs w:val="18"/>
          <w:b w:val="1"/>
          <w:bCs w:val="1"/>
          <w:color w:val="auto"/>
        </w:rPr>
      </w:pPr>
      <w:r>
        <w:rPr>
          <w:rFonts w:ascii="Arial" w:cs="Arial" w:eastAsia="Arial" w:hAnsi="Arial"/>
          <w:sz w:val="18"/>
          <w:szCs w:val="18"/>
          <w:b w:val="1"/>
          <w:bCs w:val="1"/>
          <w:color w:val="auto"/>
        </w:rPr>
        <w:t>Tax Obligations.</w:t>
      </w:r>
    </w:p>
    <w:p>
      <w:pPr>
        <w:spacing w:after="0" w:line="234" w:lineRule="exact"/>
        <w:rPr>
          <w:sz w:val="20"/>
          <w:szCs w:val="20"/>
          <w:color w:val="auto"/>
        </w:rPr>
      </w:pPr>
    </w:p>
    <w:p>
      <w:pPr>
        <w:ind w:right="60" w:firstLine="799"/>
        <w:spacing w:after="0" w:line="237" w:lineRule="auto"/>
        <w:rPr>
          <w:sz w:val="20"/>
          <w:szCs w:val="20"/>
          <w:color w:val="auto"/>
        </w:rPr>
      </w:pPr>
      <w:r>
        <w:rPr>
          <w:rFonts w:ascii="Arial" w:cs="Arial" w:eastAsia="Arial" w:hAnsi="Arial"/>
          <w:sz w:val="18"/>
          <w:szCs w:val="18"/>
          <w:color w:val="auto"/>
        </w:rPr>
        <w:t>To the extent any (i) grant of an option to purchase Shares, (ii) purchase of Shares, or (iii) disposition of Shares purchased under the Plan gives rise to any tax withholding obligation (including, without limitation, income and payroll withholding taxes imposed by any jurisdiction) the Committee may implement appropriate procedures to ensure that such tax withholding obligations are met. Those procedures may include, without limitation, increased withholding from an Employee’s current compensation, cash payments to the Company or another Participating Subsidiary by an Employee, or a sale of a portion of the stock purchased under the Plan, which sale may be required and initiated by the Company.</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Page 8 of 8</w:t>
      </w:r>
    </w:p>
    <w:p>
      <w:pPr>
        <w:sectPr>
          <w:pgSz w:w="11900" w:h="16838" w:orient="portrait"/>
          <w:cols w:equalWidth="0" w:num="1">
            <w:col w:w="11420"/>
          </w:cols>
          <w:pgMar w:left="240" w:top="459" w:right="2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Annex B</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LEIDOS HOLDINGS,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2017 OMNIBUS INCENTIVE PLAN</w:t>
      </w:r>
    </w:p>
    <w:p>
      <w:pPr>
        <w:spacing w:after="0" w:line="212" w:lineRule="exact"/>
        <w:rPr>
          <w:sz w:val="20"/>
          <w:szCs w:val="20"/>
          <w:color w:val="auto"/>
        </w:rPr>
      </w:pPr>
    </w:p>
    <w:p>
      <w:pPr>
        <w:ind w:left="800"/>
        <w:spacing w:after="0"/>
        <w:rPr>
          <w:sz w:val="20"/>
          <w:szCs w:val="20"/>
          <w:color w:val="auto"/>
        </w:rPr>
      </w:pPr>
      <w:r>
        <w:rPr>
          <w:rFonts w:ascii="Arial" w:cs="Arial" w:eastAsia="Arial" w:hAnsi="Arial"/>
          <w:sz w:val="18"/>
          <w:szCs w:val="18"/>
          <w:color w:val="auto"/>
        </w:rPr>
        <w:t>Leidos Holdings, Inc., a Delaware corporation, sets forth herein the terms of its 2017 Omnibus Incentive Plan, as follows:</w:t>
      </w:r>
    </w:p>
    <w:p>
      <w:pPr>
        <w:spacing w:after="0" w:line="217" w:lineRule="exact"/>
        <w:rPr>
          <w:sz w:val="20"/>
          <w:szCs w:val="20"/>
          <w:color w:val="auto"/>
        </w:rPr>
      </w:pPr>
    </w:p>
    <w:p>
      <w:pPr>
        <w:ind w:left="800" w:hanging="792"/>
        <w:spacing w:after="0"/>
        <w:tabs>
          <w:tab w:leader="none" w:pos="800" w:val="left"/>
        </w:tabs>
        <w:numPr>
          <w:ilvl w:val="0"/>
          <w:numId w:val="99"/>
        </w:numPr>
        <w:rPr>
          <w:rFonts w:ascii="Arial" w:cs="Arial" w:eastAsia="Arial" w:hAnsi="Arial"/>
          <w:sz w:val="18"/>
          <w:szCs w:val="18"/>
          <w:b w:val="1"/>
          <w:bCs w:val="1"/>
          <w:color w:val="auto"/>
        </w:rPr>
      </w:pPr>
      <w:r>
        <w:rPr>
          <w:rFonts w:ascii="Arial" w:cs="Arial" w:eastAsia="Arial" w:hAnsi="Arial"/>
          <w:sz w:val="18"/>
          <w:szCs w:val="18"/>
          <w:b w:val="1"/>
          <w:bCs w:val="1"/>
          <w:color w:val="auto"/>
        </w:rPr>
        <w:t>PURPOSE</w:t>
      </w:r>
    </w:p>
    <w:p>
      <w:pPr>
        <w:spacing w:after="0" w:line="234" w:lineRule="exact"/>
        <w:rPr>
          <w:sz w:val="20"/>
          <w:szCs w:val="20"/>
          <w:color w:val="auto"/>
        </w:rPr>
      </w:pPr>
    </w:p>
    <w:p>
      <w:pPr>
        <w:ind w:right="60" w:firstLine="799"/>
        <w:spacing w:after="0" w:line="236" w:lineRule="auto"/>
        <w:rPr>
          <w:sz w:val="20"/>
          <w:szCs w:val="20"/>
          <w:color w:val="auto"/>
        </w:rPr>
      </w:pPr>
      <w:r>
        <w:rPr>
          <w:rFonts w:ascii="Arial" w:cs="Arial" w:eastAsia="Arial" w:hAnsi="Arial"/>
          <w:sz w:val="18"/>
          <w:szCs w:val="18"/>
          <w:color w:val="auto"/>
        </w:rPr>
        <w:t>The Plan is intended to enhance the Company’s and its Subsidiaries’ ability to attract and retain employees, Consultants and Non-Employee Directors, and to motivate such employees, Consultants and Non-Employee Directors to serve the Company and its Subsidiaries and to expend maximum effort to improve the business results and earnings of the Company, by providing to such persons an opportunity to acquire or increase a direct proprietary interest in the operations and future success of the Company. To this end, the Plan provides for the grant of stock options, stock appreciation rights, restricted stock, restricted stock units, other stock-based awards and cash awards. Any of these awards may, but need not, be made as performance incentives to reward attainment of performance goals in accordance with the terms hereof. Stock options granted under the Plan may be non-qualified stock options or incentive stock options, as provided herein. Upon becoming effective, the Plan replaces, and no further awards shall be made under, the Predecessor Plan.</w:t>
      </w:r>
    </w:p>
    <w:p>
      <w:pPr>
        <w:spacing w:after="0" w:line="213" w:lineRule="exact"/>
        <w:rPr>
          <w:sz w:val="20"/>
          <w:szCs w:val="20"/>
          <w:color w:val="auto"/>
        </w:rPr>
      </w:pPr>
    </w:p>
    <w:p>
      <w:pPr>
        <w:ind w:left="800" w:hanging="792"/>
        <w:spacing w:after="0"/>
        <w:tabs>
          <w:tab w:leader="none" w:pos="800" w:val="left"/>
        </w:tabs>
        <w:numPr>
          <w:ilvl w:val="0"/>
          <w:numId w:val="100"/>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w:t>
      </w:r>
    </w:p>
    <w:p>
      <w:pPr>
        <w:spacing w:after="0" w:line="233" w:lineRule="exact"/>
        <w:rPr>
          <w:rFonts w:ascii="Arial" w:cs="Arial" w:eastAsia="Arial" w:hAnsi="Arial"/>
          <w:sz w:val="18"/>
          <w:szCs w:val="18"/>
          <w:b w:val="1"/>
          <w:bCs w:val="1"/>
          <w:color w:val="auto"/>
        </w:rPr>
      </w:pPr>
    </w:p>
    <w:p>
      <w:pPr>
        <w:ind w:left="800"/>
        <w:spacing w:after="0"/>
        <w:rPr>
          <w:rFonts w:ascii="Arial" w:cs="Arial" w:eastAsia="Arial" w:hAnsi="Arial"/>
          <w:sz w:val="18"/>
          <w:szCs w:val="18"/>
          <w:b w:val="1"/>
          <w:bCs w:val="1"/>
          <w:color w:val="auto"/>
        </w:rPr>
      </w:pPr>
      <w:r>
        <w:rPr>
          <w:rFonts w:ascii="Arial" w:cs="Arial" w:eastAsia="Arial" w:hAnsi="Arial"/>
          <w:sz w:val="18"/>
          <w:szCs w:val="18"/>
          <w:color w:val="auto"/>
        </w:rPr>
        <w:t>For purposes of interpreting the Plan and related documents (including Award Agreements), the following definitions shall apply:</w:t>
      </w:r>
    </w:p>
    <w:p>
      <w:pPr>
        <w:spacing w:after="0" w:line="189" w:lineRule="exact"/>
        <w:rPr>
          <w:rFonts w:ascii="Arial" w:cs="Arial" w:eastAsia="Arial" w:hAnsi="Arial"/>
          <w:sz w:val="18"/>
          <w:szCs w:val="18"/>
          <w:b w:val="1"/>
          <w:bCs w:val="1"/>
          <w:color w:val="auto"/>
        </w:rPr>
      </w:pPr>
    </w:p>
    <w:p>
      <w:pPr>
        <w:ind w:left="800" w:right="60"/>
        <w:spacing w:after="0" w:line="271"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2.1. “Annual Incentive Award” </w:t>
      </w:r>
      <w:r>
        <w:rPr>
          <w:rFonts w:ascii="Arial" w:cs="Arial" w:eastAsia="Arial" w:hAnsi="Arial"/>
          <w:sz w:val="18"/>
          <w:szCs w:val="18"/>
          <w:color w:val="auto"/>
        </w:rPr>
        <w:t>means a cash-based Performance Award with a performance period that is the Company’s fiscal</w:t>
      </w:r>
      <w:r>
        <w:rPr>
          <w:rFonts w:ascii="Arial" w:cs="Arial" w:eastAsia="Arial" w:hAnsi="Arial"/>
          <w:sz w:val="18"/>
          <w:szCs w:val="18"/>
          <w:b w:val="1"/>
          <w:bCs w:val="1"/>
          <w:color w:val="auto"/>
        </w:rPr>
        <w:t xml:space="preserve"> </w:t>
      </w:r>
      <w:r>
        <w:rPr>
          <w:rFonts w:ascii="Arial" w:cs="Arial" w:eastAsia="Arial" w:hAnsi="Arial"/>
          <w:sz w:val="18"/>
          <w:szCs w:val="18"/>
          <w:color w:val="auto"/>
        </w:rPr>
        <w:t>year or other 12-month (or shorter) performance period as specified under the terms of the Award as approved by the Committee.</w:t>
      </w:r>
    </w:p>
    <w:p>
      <w:pPr>
        <w:spacing w:after="0" w:line="153" w:lineRule="exact"/>
        <w:rPr>
          <w:rFonts w:ascii="Arial" w:cs="Arial" w:eastAsia="Arial" w:hAnsi="Arial"/>
          <w:sz w:val="18"/>
          <w:szCs w:val="18"/>
          <w:b w:val="1"/>
          <w:bCs w:val="1"/>
          <w:color w:val="auto"/>
        </w:rPr>
      </w:pPr>
    </w:p>
    <w:p>
      <w:pPr>
        <w:ind w:left="800" w:right="180"/>
        <w:spacing w:after="0" w:line="271"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2.2. “Award” </w:t>
      </w:r>
      <w:r>
        <w:rPr>
          <w:rFonts w:ascii="Arial" w:cs="Arial" w:eastAsia="Arial" w:hAnsi="Arial"/>
          <w:sz w:val="18"/>
          <w:szCs w:val="18"/>
          <w:color w:val="auto"/>
        </w:rPr>
        <w:t>means a grant of an Option, Stock Appreciation Right, Restricted Stock, Restricted Stock Unit, Other Stock-Based</w:t>
      </w:r>
      <w:r>
        <w:rPr>
          <w:rFonts w:ascii="Arial" w:cs="Arial" w:eastAsia="Arial" w:hAnsi="Arial"/>
          <w:sz w:val="18"/>
          <w:szCs w:val="18"/>
          <w:b w:val="1"/>
          <w:bCs w:val="1"/>
          <w:color w:val="auto"/>
        </w:rPr>
        <w:t xml:space="preserve"> </w:t>
      </w:r>
      <w:r>
        <w:rPr>
          <w:rFonts w:ascii="Arial" w:cs="Arial" w:eastAsia="Arial" w:hAnsi="Arial"/>
          <w:sz w:val="18"/>
          <w:szCs w:val="18"/>
          <w:color w:val="auto"/>
        </w:rPr>
        <w:t>Award or cash award under the Plan, or any Substitute Award.</w:t>
      </w:r>
    </w:p>
    <w:p>
      <w:pPr>
        <w:spacing w:after="0" w:line="153" w:lineRule="exact"/>
        <w:rPr>
          <w:rFonts w:ascii="Arial" w:cs="Arial" w:eastAsia="Arial" w:hAnsi="Arial"/>
          <w:sz w:val="18"/>
          <w:szCs w:val="18"/>
          <w:b w:val="1"/>
          <w:bCs w:val="1"/>
          <w:color w:val="auto"/>
        </w:rPr>
      </w:pPr>
    </w:p>
    <w:p>
      <w:pPr>
        <w:ind w:left="800" w:right="340"/>
        <w:spacing w:after="0" w:line="271"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2.3. “Award Agreement” </w:t>
      </w:r>
      <w:r>
        <w:rPr>
          <w:rFonts w:ascii="Arial" w:cs="Arial" w:eastAsia="Arial" w:hAnsi="Arial"/>
          <w:sz w:val="18"/>
          <w:szCs w:val="18"/>
          <w:color w:val="auto"/>
        </w:rPr>
        <w:t>means a written agreement between the Company and a Grantee, or notice from the Company or a</w:t>
      </w:r>
      <w:r>
        <w:rPr>
          <w:rFonts w:ascii="Arial" w:cs="Arial" w:eastAsia="Arial" w:hAnsi="Arial"/>
          <w:sz w:val="18"/>
          <w:szCs w:val="18"/>
          <w:b w:val="1"/>
          <w:bCs w:val="1"/>
          <w:color w:val="auto"/>
        </w:rPr>
        <w:t xml:space="preserve"> </w:t>
      </w:r>
      <w:r>
        <w:rPr>
          <w:rFonts w:ascii="Arial" w:cs="Arial" w:eastAsia="Arial" w:hAnsi="Arial"/>
          <w:sz w:val="18"/>
          <w:szCs w:val="18"/>
          <w:color w:val="auto"/>
        </w:rPr>
        <w:t>Subsidiary to a Grantee that evidences and sets out the terms and conditions of an Award.</w:t>
      </w:r>
    </w:p>
    <w:p>
      <w:pPr>
        <w:spacing w:after="0" w:line="153" w:lineRule="exact"/>
        <w:rPr>
          <w:rFonts w:ascii="Arial" w:cs="Arial" w:eastAsia="Arial" w:hAnsi="Arial"/>
          <w:sz w:val="18"/>
          <w:szCs w:val="18"/>
          <w:b w:val="1"/>
          <w:bCs w:val="1"/>
          <w:color w:val="auto"/>
        </w:rPr>
      </w:pPr>
    </w:p>
    <w:p>
      <w:pPr>
        <w:ind w:left="80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2.4.   “Board” </w:t>
      </w:r>
      <w:r>
        <w:rPr>
          <w:rFonts w:ascii="Arial" w:cs="Arial" w:eastAsia="Arial" w:hAnsi="Arial"/>
          <w:sz w:val="18"/>
          <w:szCs w:val="18"/>
          <w:color w:val="auto"/>
        </w:rPr>
        <w:t>means the Board of Directors of the Company.</w:t>
      </w:r>
    </w:p>
    <w:p>
      <w:pPr>
        <w:spacing w:after="0" w:line="211" w:lineRule="exact"/>
        <w:rPr>
          <w:rFonts w:ascii="Arial" w:cs="Arial" w:eastAsia="Arial" w:hAnsi="Arial"/>
          <w:sz w:val="18"/>
          <w:szCs w:val="18"/>
          <w:b w:val="1"/>
          <w:bCs w:val="1"/>
          <w:color w:val="auto"/>
        </w:rPr>
      </w:pPr>
    </w:p>
    <w:p>
      <w:pPr>
        <w:ind w:left="80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2.5.   “Change in Control” </w:t>
      </w:r>
      <w:r>
        <w:rPr>
          <w:rFonts w:ascii="Arial" w:cs="Arial" w:eastAsia="Arial" w:hAnsi="Arial"/>
          <w:sz w:val="18"/>
          <w:szCs w:val="18"/>
          <w:color w:val="auto"/>
        </w:rPr>
        <w:t>shall have the meaning set forth in</w:t>
      </w:r>
      <w:r>
        <w:rPr>
          <w:rFonts w:ascii="Arial" w:cs="Arial" w:eastAsia="Arial" w:hAnsi="Arial"/>
          <w:sz w:val="18"/>
          <w:szCs w:val="18"/>
          <w:b w:val="1"/>
          <w:bCs w:val="1"/>
          <w:color w:val="auto"/>
        </w:rPr>
        <w:t xml:space="preserve"> Section 15.3.2</w:t>
      </w:r>
      <w:r>
        <w:rPr>
          <w:rFonts w:ascii="Arial" w:cs="Arial" w:eastAsia="Arial" w:hAnsi="Arial"/>
          <w:sz w:val="18"/>
          <w:szCs w:val="18"/>
          <w:color w:val="auto"/>
        </w:rPr>
        <w:t>.</w:t>
      </w:r>
    </w:p>
    <w:p>
      <w:pPr>
        <w:spacing w:after="0" w:line="211" w:lineRule="exact"/>
        <w:rPr>
          <w:rFonts w:ascii="Arial" w:cs="Arial" w:eastAsia="Arial" w:hAnsi="Arial"/>
          <w:sz w:val="18"/>
          <w:szCs w:val="18"/>
          <w:b w:val="1"/>
          <w:bCs w:val="1"/>
          <w:color w:val="auto"/>
        </w:rPr>
      </w:pPr>
    </w:p>
    <w:p>
      <w:pPr>
        <w:ind w:left="800" w:right="60"/>
        <w:spacing w:after="0" w:line="253"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2.6. “Code” </w:t>
      </w:r>
      <w:r>
        <w:rPr>
          <w:rFonts w:ascii="Arial" w:cs="Arial" w:eastAsia="Arial" w:hAnsi="Arial"/>
          <w:sz w:val="18"/>
          <w:szCs w:val="18"/>
          <w:color w:val="auto"/>
        </w:rPr>
        <w:t>means the Internal Revenue Code of 1986, as now in effect or as hereafter amended. References to the Code shall</w:t>
      </w:r>
      <w:r>
        <w:rPr>
          <w:rFonts w:ascii="Arial" w:cs="Arial" w:eastAsia="Arial" w:hAnsi="Arial"/>
          <w:sz w:val="18"/>
          <w:szCs w:val="18"/>
          <w:b w:val="1"/>
          <w:bCs w:val="1"/>
          <w:color w:val="auto"/>
        </w:rPr>
        <w:t xml:space="preserve"> </w:t>
      </w:r>
      <w:r>
        <w:rPr>
          <w:rFonts w:ascii="Arial" w:cs="Arial" w:eastAsia="Arial" w:hAnsi="Arial"/>
          <w:sz w:val="18"/>
          <w:szCs w:val="18"/>
          <w:color w:val="auto"/>
        </w:rPr>
        <w:t>include the valid and binding governmental regulations, court decisions and other regulatory and judicial authority issued or rendered thereunder.</w:t>
      </w:r>
    </w:p>
    <w:p>
      <w:pPr>
        <w:spacing w:after="0" w:line="169" w:lineRule="exact"/>
        <w:rPr>
          <w:rFonts w:ascii="Arial" w:cs="Arial" w:eastAsia="Arial" w:hAnsi="Arial"/>
          <w:sz w:val="18"/>
          <w:szCs w:val="18"/>
          <w:b w:val="1"/>
          <w:bCs w:val="1"/>
          <w:color w:val="auto"/>
        </w:rPr>
      </w:pPr>
    </w:p>
    <w:p>
      <w:pPr>
        <w:ind w:left="800" w:right="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2.7. “Committee” </w:t>
      </w:r>
      <w:r>
        <w:rPr>
          <w:rFonts w:ascii="Arial" w:cs="Arial" w:eastAsia="Arial" w:hAnsi="Arial"/>
          <w:sz w:val="18"/>
          <w:szCs w:val="18"/>
          <w:color w:val="auto"/>
        </w:rPr>
        <w:t>means the Human Resources and Compensation Committee of the Board or any committee or other person or</w:t>
      </w:r>
      <w:r>
        <w:rPr>
          <w:rFonts w:ascii="Arial" w:cs="Arial" w:eastAsia="Arial" w:hAnsi="Arial"/>
          <w:sz w:val="18"/>
          <w:szCs w:val="18"/>
          <w:b w:val="1"/>
          <w:bCs w:val="1"/>
          <w:color w:val="auto"/>
        </w:rPr>
        <w:t xml:space="preserve"> </w:t>
      </w:r>
      <w:r>
        <w:rPr>
          <w:rFonts w:ascii="Arial" w:cs="Arial" w:eastAsia="Arial" w:hAnsi="Arial"/>
          <w:sz w:val="18"/>
          <w:szCs w:val="18"/>
          <w:color w:val="auto"/>
        </w:rPr>
        <w:t>persons designated by the Board to administer the Plan. The Board will cause the Committee to satisfy the applicable requirements of any stock exchange on which the Common Stock may then be listed. For purposes of Awards to Covered Employees intended to constitute “performance-based compensation” under Section 162(m), to the extent required by Section 162(m), Committee means all of the members of the Committee who are “outside directors” within the meaning of Section 162(m). For purposes of Awards to Grantees who are subject to Section 16 of the Exchange Act, Committee means all of the members of the Committee who are “non-employee directors” within the meaning of Rule 16b-3 adopted under the Exchange Act. All references in the Plan to the Board shall mean such Committee or the Board.</w:t>
      </w:r>
    </w:p>
    <w:p>
      <w:pPr>
        <w:spacing w:after="0" w:line="180" w:lineRule="exact"/>
        <w:rPr>
          <w:rFonts w:ascii="Arial" w:cs="Arial" w:eastAsia="Arial" w:hAnsi="Arial"/>
          <w:sz w:val="18"/>
          <w:szCs w:val="18"/>
          <w:b w:val="1"/>
          <w:bCs w:val="1"/>
          <w:color w:val="auto"/>
        </w:rPr>
      </w:pPr>
    </w:p>
    <w:p>
      <w:pPr>
        <w:ind w:left="80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2.8.   “Company” </w:t>
      </w:r>
      <w:r>
        <w:rPr>
          <w:rFonts w:ascii="Arial" w:cs="Arial" w:eastAsia="Arial" w:hAnsi="Arial"/>
          <w:sz w:val="18"/>
          <w:szCs w:val="18"/>
          <w:color w:val="auto"/>
        </w:rPr>
        <w:t>means Leidos Holdings, Inc., a Delaware corporation, or any successor corporation.</w:t>
      </w:r>
    </w:p>
    <w:p>
      <w:pPr>
        <w:spacing w:after="0" w:line="211" w:lineRule="exact"/>
        <w:rPr>
          <w:rFonts w:ascii="Arial" w:cs="Arial" w:eastAsia="Arial" w:hAnsi="Arial"/>
          <w:sz w:val="18"/>
          <w:szCs w:val="18"/>
          <w:b w:val="1"/>
          <w:bCs w:val="1"/>
          <w:color w:val="auto"/>
        </w:rPr>
      </w:pPr>
    </w:p>
    <w:p>
      <w:pPr>
        <w:ind w:left="80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2.9.   “Common Stock” </w:t>
      </w:r>
      <w:r>
        <w:rPr>
          <w:rFonts w:ascii="Arial" w:cs="Arial" w:eastAsia="Arial" w:hAnsi="Arial"/>
          <w:sz w:val="18"/>
          <w:szCs w:val="18"/>
          <w:color w:val="auto"/>
        </w:rPr>
        <w:t>or</w:t>
      </w:r>
      <w:r>
        <w:rPr>
          <w:rFonts w:ascii="Arial" w:cs="Arial" w:eastAsia="Arial" w:hAnsi="Arial"/>
          <w:sz w:val="18"/>
          <w:szCs w:val="18"/>
          <w:b w:val="1"/>
          <w:bCs w:val="1"/>
          <w:color w:val="auto"/>
        </w:rPr>
        <w:t xml:space="preserve"> “Stock” </w:t>
      </w:r>
      <w:r>
        <w:rPr>
          <w:rFonts w:ascii="Arial" w:cs="Arial" w:eastAsia="Arial" w:hAnsi="Arial"/>
          <w:sz w:val="18"/>
          <w:szCs w:val="18"/>
          <w:color w:val="auto"/>
        </w:rPr>
        <w:t>means a share of common stock of the Company, par value $.0001 per share.</w:t>
      </w:r>
    </w:p>
    <w:p>
      <w:pPr>
        <w:sectPr>
          <w:pgSz w:w="11900" w:h="16838" w:orient="portrait"/>
          <w:cols w:equalWidth="0" w:num="1">
            <w:col w:w="11420"/>
          </w:cols>
          <w:pgMar w:left="240" w:top="459" w:right="2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800" w:right="120"/>
        <w:spacing w:after="0" w:line="253" w:lineRule="auto"/>
        <w:rPr>
          <w:sz w:val="20"/>
          <w:szCs w:val="20"/>
          <w:color w:val="auto"/>
        </w:rPr>
      </w:pPr>
      <w:r>
        <w:rPr>
          <w:rFonts w:ascii="Arial" w:cs="Arial" w:eastAsia="Arial" w:hAnsi="Arial"/>
          <w:sz w:val="18"/>
          <w:szCs w:val="18"/>
          <w:b w:val="1"/>
          <w:bCs w:val="1"/>
          <w:color w:val="auto"/>
        </w:rPr>
        <w:t xml:space="preserve">2.10. “Consultant” </w:t>
      </w:r>
      <w:r>
        <w:rPr>
          <w:rFonts w:ascii="Arial" w:cs="Arial" w:eastAsia="Arial" w:hAnsi="Arial"/>
          <w:sz w:val="18"/>
          <w:szCs w:val="18"/>
          <w:color w:val="auto"/>
        </w:rPr>
        <w:t>means any person, except an employee or Non-Employee Director, engaged by the Company or any</w:t>
      </w:r>
      <w:r>
        <w:rPr>
          <w:rFonts w:ascii="Arial" w:cs="Arial" w:eastAsia="Arial" w:hAnsi="Arial"/>
          <w:sz w:val="18"/>
          <w:szCs w:val="18"/>
          <w:b w:val="1"/>
          <w:bCs w:val="1"/>
          <w:color w:val="auto"/>
        </w:rPr>
        <w:t xml:space="preserve"> </w:t>
      </w:r>
      <w:r>
        <w:rPr>
          <w:rFonts w:ascii="Arial" w:cs="Arial" w:eastAsia="Arial" w:hAnsi="Arial"/>
          <w:sz w:val="18"/>
          <w:szCs w:val="18"/>
          <w:color w:val="auto"/>
        </w:rPr>
        <w:t>Subsidiary, to render personal services to such entity, including as an advisor, pursuant to the terms of a written agreement and who qualifies as a consultant or advisor under Form S-8.</w:t>
      </w:r>
    </w:p>
    <w:p>
      <w:pPr>
        <w:spacing w:after="0" w:line="169" w:lineRule="exact"/>
        <w:rPr>
          <w:sz w:val="20"/>
          <w:szCs w:val="20"/>
          <w:color w:val="auto"/>
        </w:rPr>
      </w:pPr>
    </w:p>
    <w:p>
      <w:pPr>
        <w:ind w:left="800" w:right="240"/>
        <w:spacing w:after="0" w:line="253" w:lineRule="auto"/>
        <w:rPr>
          <w:sz w:val="20"/>
          <w:szCs w:val="20"/>
          <w:color w:val="auto"/>
        </w:rPr>
      </w:pPr>
      <w:r>
        <w:rPr>
          <w:rFonts w:ascii="Arial" w:cs="Arial" w:eastAsia="Arial" w:hAnsi="Arial"/>
          <w:sz w:val="18"/>
          <w:szCs w:val="18"/>
          <w:b w:val="1"/>
          <w:bCs w:val="1"/>
          <w:color w:val="auto"/>
        </w:rPr>
        <w:t xml:space="preserve">2.11. “Corporate Transaction” </w:t>
      </w:r>
      <w:r>
        <w:rPr>
          <w:rFonts w:ascii="Arial" w:cs="Arial" w:eastAsia="Arial" w:hAnsi="Arial"/>
          <w:sz w:val="18"/>
          <w:szCs w:val="18"/>
          <w:color w:val="auto"/>
        </w:rPr>
        <w:t>means a reorganization, merger, statutory share exchange, consolidation, sale of all or</w:t>
      </w:r>
      <w:r>
        <w:rPr>
          <w:rFonts w:ascii="Arial" w:cs="Arial" w:eastAsia="Arial" w:hAnsi="Arial"/>
          <w:sz w:val="18"/>
          <w:szCs w:val="18"/>
          <w:b w:val="1"/>
          <w:bCs w:val="1"/>
          <w:color w:val="auto"/>
        </w:rPr>
        <w:t xml:space="preserve"> </w:t>
      </w:r>
      <w:r>
        <w:rPr>
          <w:rFonts w:ascii="Arial" w:cs="Arial" w:eastAsia="Arial" w:hAnsi="Arial"/>
          <w:sz w:val="18"/>
          <w:szCs w:val="18"/>
          <w:color w:val="auto"/>
        </w:rPr>
        <w:t>substantially all of the Company’s assets, or the acquisition of assets or stock of another entity by the Company, or other corporate transaction involving the Company or any of its Subsidiaries.</w:t>
      </w:r>
    </w:p>
    <w:p>
      <w:pPr>
        <w:spacing w:after="0" w:line="169" w:lineRule="exact"/>
        <w:rPr>
          <w:sz w:val="20"/>
          <w:szCs w:val="20"/>
          <w:color w:val="auto"/>
        </w:rPr>
      </w:pPr>
    </w:p>
    <w:p>
      <w:pPr>
        <w:ind w:left="800" w:right="240"/>
        <w:spacing w:after="0" w:line="271" w:lineRule="auto"/>
        <w:rPr>
          <w:sz w:val="20"/>
          <w:szCs w:val="20"/>
          <w:color w:val="auto"/>
        </w:rPr>
      </w:pPr>
      <w:r>
        <w:rPr>
          <w:rFonts w:ascii="Arial" w:cs="Arial" w:eastAsia="Arial" w:hAnsi="Arial"/>
          <w:sz w:val="18"/>
          <w:szCs w:val="18"/>
          <w:b w:val="1"/>
          <w:bCs w:val="1"/>
          <w:color w:val="auto"/>
        </w:rPr>
        <w:t xml:space="preserve">2.12. “Covered Employee” </w:t>
      </w:r>
      <w:r>
        <w:rPr>
          <w:rFonts w:ascii="Arial" w:cs="Arial" w:eastAsia="Arial" w:hAnsi="Arial"/>
          <w:sz w:val="18"/>
          <w:szCs w:val="18"/>
          <w:color w:val="auto"/>
        </w:rPr>
        <w:t>means a Grantee who is a “covered employee” within the meaning of Section 162(m) as qualified by</w:t>
      </w:r>
      <w:r>
        <w:rPr>
          <w:rFonts w:ascii="Arial" w:cs="Arial" w:eastAsia="Arial" w:hAnsi="Arial"/>
          <w:sz w:val="18"/>
          <w:szCs w:val="18"/>
          <w:b w:val="1"/>
          <w:bCs w:val="1"/>
          <w:color w:val="auto"/>
        </w:rPr>
        <w:t xml:space="preserve"> Section 12.4 </w:t>
      </w:r>
      <w:r>
        <w:rPr>
          <w:rFonts w:ascii="Arial" w:cs="Arial" w:eastAsia="Arial" w:hAnsi="Arial"/>
          <w:sz w:val="18"/>
          <w:szCs w:val="18"/>
          <w:color w:val="auto"/>
        </w:rPr>
        <w:t>herein.</w:t>
      </w:r>
    </w:p>
    <w:p>
      <w:pPr>
        <w:spacing w:after="0" w:line="154"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 xml:space="preserve">2.13.  “2.14. Effective Date” </w:t>
      </w:r>
      <w:r>
        <w:rPr>
          <w:rFonts w:ascii="Arial" w:cs="Arial" w:eastAsia="Arial" w:hAnsi="Arial"/>
          <w:sz w:val="18"/>
          <w:szCs w:val="18"/>
          <w:color w:val="auto"/>
        </w:rPr>
        <w:t>means May 12, 2017, the date the Plan was approved by the Company’s stockholders.</w:t>
      </w:r>
    </w:p>
    <w:p>
      <w:pPr>
        <w:spacing w:after="0" w:line="212"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 xml:space="preserve">2.15.  “Exchange Act” </w:t>
      </w:r>
      <w:r>
        <w:rPr>
          <w:rFonts w:ascii="Arial" w:cs="Arial" w:eastAsia="Arial" w:hAnsi="Arial"/>
          <w:sz w:val="18"/>
          <w:szCs w:val="18"/>
          <w:color w:val="auto"/>
        </w:rPr>
        <w:t>means the Securities Exchange Act of 1934, as now in effect or as hereafter amended.</w:t>
      </w:r>
    </w:p>
    <w:p>
      <w:pPr>
        <w:spacing w:after="0" w:line="212" w:lineRule="exact"/>
        <w:rPr>
          <w:sz w:val="20"/>
          <w:szCs w:val="20"/>
          <w:color w:val="auto"/>
        </w:rPr>
      </w:pPr>
    </w:p>
    <w:p>
      <w:pPr>
        <w:ind w:left="800" w:right="80"/>
        <w:spacing w:after="0" w:line="241" w:lineRule="auto"/>
        <w:rPr>
          <w:sz w:val="20"/>
          <w:szCs w:val="20"/>
          <w:color w:val="auto"/>
        </w:rPr>
      </w:pPr>
      <w:r>
        <w:rPr>
          <w:rFonts w:ascii="Arial" w:cs="Arial" w:eastAsia="Arial" w:hAnsi="Arial"/>
          <w:sz w:val="18"/>
          <w:szCs w:val="18"/>
          <w:b w:val="1"/>
          <w:bCs w:val="1"/>
          <w:color w:val="auto"/>
        </w:rPr>
        <w:t xml:space="preserve">2.15. “Fair Market Value” </w:t>
      </w:r>
      <w:r>
        <w:rPr>
          <w:rFonts w:ascii="Arial" w:cs="Arial" w:eastAsia="Arial" w:hAnsi="Arial"/>
          <w:sz w:val="18"/>
          <w:szCs w:val="18"/>
          <w:color w:val="auto"/>
        </w:rPr>
        <w:t>of a share of Common Stock as of a particular date shall mean (i) if the Common Stock is listed on a</w:t>
      </w:r>
      <w:r>
        <w:rPr>
          <w:rFonts w:ascii="Arial" w:cs="Arial" w:eastAsia="Arial" w:hAnsi="Arial"/>
          <w:sz w:val="18"/>
          <w:szCs w:val="18"/>
          <w:b w:val="1"/>
          <w:bCs w:val="1"/>
          <w:color w:val="auto"/>
        </w:rPr>
        <w:t xml:space="preserve"> </w:t>
      </w:r>
      <w:r>
        <w:rPr>
          <w:rFonts w:ascii="Arial" w:cs="Arial" w:eastAsia="Arial" w:hAnsi="Arial"/>
          <w:sz w:val="18"/>
          <w:szCs w:val="18"/>
          <w:color w:val="auto"/>
        </w:rPr>
        <w:t>national securities exchange, the closing price of the Common Stock as quoted on such exchange or other comparable reporting system for the first regular trading day immediately preceding the applicable date, or (ii) if the shares of Common Stock are not then listed on a national securities exchange, the closing price of the Common Stock quoted by an established quotation service for over-the-counter securities for the first trading day immediately preceding the applicable date, or (iii) if the shares of Common Stock are not then listed on a national securities exchange or quoted by an established quotation service for over-the-counter securities, or the value of such shares is not otherwise determinable, such value as determined by the Board in good faith in its sole discretion.</w:t>
      </w:r>
    </w:p>
    <w:p>
      <w:pPr>
        <w:spacing w:after="0" w:line="179" w:lineRule="exact"/>
        <w:rPr>
          <w:sz w:val="20"/>
          <w:szCs w:val="20"/>
          <w:color w:val="auto"/>
        </w:rPr>
      </w:pPr>
    </w:p>
    <w:p>
      <w:pPr>
        <w:ind w:left="800" w:right="80"/>
        <w:spacing w:after="0" w:line="242" w:lineRule="auto"/>
        <w:rPr>
          <w:sz w:val="20"/>
          <w:szCs w:val="20"/>
          <w:color w:val="auto"/>
        </w:rPr>
      </w:pPr>
      <w:r>
        <w:rPr>
          <w:rFonts w:ascii="Arial" w:cs="Arial" w:eastAsia="Arial" w:hAnsi="Arial"/>
          <w:sz w:val="18"/>
          <w:szCs w:val="18"/>
          <w:b w:val="1"/>
          <w:bCs w:val="1"/>
          <w:color w:val="auto"/>
        </w:rPr>
        <w:t xml:space="preserve">2.16. “Family Member” </w:t>
      </w:r>
      <w:r>
        <w:rPr>
          <w:rFonts w:ascii="Arial" w:cs="Arial" w:eastAsia="Arial" w:hAnsi="Arial"/>
          <w:sz w:val="18"/>
          <w:szCs w:val="18"/>
          <w:color w:val="auto"/>
        </w:rPr>
        <w:t>means a person who is a spouse, former spouse, child, stepchild, grandchild, parent, stepparent,</w:t>
      </w:r>
      <w:r>
        <w:rPr>
          <w:rFonts w:ascii="Arial" w:cs="Arial" w:eastAsia="Arial" w:hAnsi="Arial"/>
          <w:sz w:val="18"/>
          <w:szCs w:val="18"/>
          <w:b w:val="1"/>
          <w:bCs w:val="1"/>
          <w:color w:val="auto"/>
        </w:rPr>
        <w:t xml:space="preserve"> </w:t>
      </w:r>
      <w:r>
        <w:rPr>
          <w:rFonts w:ascii="Arial" w:cs="Arial" w:eastAsia="Arial" w:hAnsi="Arial"/>
          <w:sz w:val="18"/>
          <w:szCs w:val="18"/>
          <w:color w:val="auto"/>
        </w:rPr>
        <w:t>grandparent, niece, nephew, mother-in-law, father-in-law, son-in-law, daughter-in-law, brother, sister, brother-in-law, or sister-in-law, including adoptive relationships, of the applicable individual, any person sharing the applicable individual’s household (other than a tenant or employee), a trust in which any one or more of these persons have more than fifty percent of the beneficial interest, a foundation in which any one or more of these persons (or the applicable individual) control the management of assets, and any other entity in which one or more of these persons (or the applicable individual) own more than fifty percent of the voting interests.</w:t>
      </w:r>
    </w:p>
    <w:p>
      <w:pPr>
        <w:spacing w:after="0" w:line="179"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 xml:space="preserve">2.17.  “Grant Date” </w:t>
      </w:r>
      <w:r>
        <w:rPr>
          <w:rFonts w:ascii="Arial" w:cs="Arial" w:eastAsia="Arial" w:hAnsi="Arial"/>
          <w:sz w:val="18"/>
          <w:szCs w:val="18"/>
          <w:color w:val="auto"/>
        </w:rPr>
        <w:t>means, as determined by the Board, the latest to occur of (i) the date as of which the Board approves an Award,</w:t>
      </w:r>
    </w:p>
    <w:p>
      <w:pPr>
        <w:spacing w:after="0" w:line="18" w:lineRule="exact"/>
        <w:rPr>
          <w:sz w:val="20"/>
          <w:szCs w:val="20"/>
          <w:color w:val="auto"/>
        </w:rPr>
      </w:pPr>
    </w:p>
    <w:p>
      <w:pPr>
        <w:ind w:left="800" w:right="180" w:firstLine="7"/>
        <w:spacing w:after="0" w:line="246" w:lineRule="auto"/>
        <w:tabs>
          <w:tab w:leader="none" w:pos="105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 xml:space="preserve">the date on which the recipient of an Award first becomes eligible to receive an Award under </w:t>
      </w:r>
      <w:r>
        <w:rPr>
          <w:rFonts w:ascii="Arial" w:cs="Arial" w:eastAsia="Arial" w:hAnsi="Arial"/>
          <w:sz w:val="18"/>
          <w:szCs w:val="18"/>
          <w:b w:val="1"/>
          <w:bCs w:val="1"/>
          <w:color w:val="auto"/>
        </w:rPr>
        <w:t>Section 6</w:t>
      </w:r>
      <w:r>
        <w:rPr>
          <w:rFonts w:ascii="Arial" w:cs="Arial" w:eastAsia="Arial" w:hAnsi="Arial"/>
          <w:sz w:val="18"/>
          <w:szCs w:val="18"/>
          <w:color w:val="auto"/>
        </w:rPr>
        <w:t xml:space="preserve"> hereof, or (iii) such other date as may be specified by the Board in the Award Agreement.</w:t>
      </w:r>
    </w:p>
    <w:p>
      <w:pPr>
        <w:spacing w:after="0" w:line="175"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 xml:space="preserve">2.18.  “Grantee” </w:t>
      </w:r>
      <w:r>
        <w:rPr>
          <w:rFonts w:ascii="Arial" w:cs="Arial" w:eastAsia="Arial" w:hAnsi="Arial"/>
          <w:sz w:val="18"/>
          <w:szCs w:val="18"/>
          <w:color w:val="auto"/>
        </w:rPr>
        <w:t>means a person who receives or holds an Award under the Plan.</w:t>
      </w:r>
    </w:p>
    <w:p>
      <w:pPr>
        <w:spacing w:after="0" w:line="212" w:lineRule="exact"/>
        <w:rPr>
          <w:sz w:val="20"/>
          <w:szCs w:val="20"/>
          <w:color w:val="auto"/>
        </w:rPr>
      </w:pPr>
    </w:p>
    <w:p>
      <w:pPr>
        <w:ind w:left="800" w:right="900"/>
        <w:spacing w:after="0" w:line="271" w:lineRule="auto"/>
        <w:rPr>
          <w:sz w:val="20"/>
          <w:szCs w:val="20"/>
          <w:color w:val="auto"/>
        </w:rPr>
      </w:pPr>
      <w:r>
        <w:rPr>
          <w:rFonts w:ascii="Arial" w:cs="Arial" w:eastAsia="Arial" w:hAnsi="Arial"/>
          <w:sz w:val="18"/>
          <w:szCs w:val="18"/>
          <w:b w:val="1"/>
          <w:bCs w:val="1"/>
          <w:color w:val="auto"/>
        </w:rPr>
        <w:t xml:space="preserve">2.19. “Incentive Stock Option” </w:t>
      </w:r>
      <w:r>
        <w:rPr>
          <w:rFonts w:ascii="Arial" w:cs="Arial" w:eastAsia="Arial" w:hAnsi="Arial"/>
          <w:sz w:val="18"/>
          <w:szCs w:val="18"/>
          <w:color w:val="auto"/>
        </w:rPr>
        <w:t>means an “incentive stock option” within the meaning of Section 422 of the Code, or the</w:t>
      </w:r>
      <w:r>
        <w:rPr>
          <w:rFonts w:ascii="Arial" w:cs="Arial" w:eastAsia="Arial" w:hAnsi="Arial"/>
          <w:sz w:val="18"/>
          <w:szCs w:val="18"/>
          <w:b w:val="1"/>
          <w:bCs w:val="1"/>
          <w:color w:val="auto"/>
        </w:rPr>
        <w:t xml:space="preserve"> </w:t>
      </w:r>
      <w:r>
        <w:rPr>
          <w:rFonts w:ascii="Arial" w:cs="Arial" w:eastAsia="Arial" w:hAnsi="Arial"/>
          <w:sz w:val="18"/>
          <w:szCs w:val="18"/>
          <w:color w:val="auto"/>
        </w:rPr>
        <w:t>corresponding provision of any subsequently enacted tax statute, as amended from time to time.</w:t>
      </w:r>
    </w:p>
    <w:p>
      <w:pPr>
        <w:spacing w:after="0" w:line="154"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 xml:space="preserve">2.20.  “Non-Employee Director” </w:t>
      </w:r>
      <w:r>
        <w:rPr>
          <w:rFonts w:ascii="Arial" w:cs="Arial" w:eastAsia="Arial" w:hAnsi="Arial"/>
          <w:sz w:val="18"/>
          <w:szCs w:val="18"/>
          <w:color w:val="auto"/>
        </w:rPr>
        <w:t>means a member of the Board who is not an employee.</w:t>
      </w:r>
    </w:p>
    <w:p>
      <w:pPr>
        <w:spacing w:after="0" w:line="212"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 xml:space="preserve">2.21.  “Non-qualified Stock Option” </w:t>
      </w:r>
      <w:r>
        <w:rPr>
          <w:rFonts w:ascii="Arial" w:cs="Arial" w:eastAsia="Arial" w:hAnsi="Arial"/>
          <w:sz w:val="18"/>
          <w:szCs w:val="18"/>
          <w:color w:val="auto"/>
        </w:rPr>
        <w:t>means an Option that is not an Incentive Stock Option.</w:t>
      </w:r>
    </w:p>
    <w:p>
      <w:pPr>
        <w:spacing w:after="0" w:line="212"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 xml:space="preserve">2.22.  “Option” </w:t>
      </w:r>
      <w:r>
        <w:rPr>
          <w:rFonts w:ascii="Arial" w:cs="Arial" w:eastAsia="Arial" w:hAnsi="Arial"/>
          <w:sz w:val="18"/>
          <w:szCs w:val="18"/>
          <w:color w:val="auto"/>
        </w:rPr>
        <w:t>means an option to purchase one or more shares of Stock pursuant to the Plan.</w:t>
      </w:r>
    </w:p>
    <w:p>
      <w:pPr>
        <w:spacing w:after="0" w:line="212"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 xml:space="preserve">2.23.  “Option Price” </w:t>
      </w:r>
      <w:r>
        <w:rPr>
          <w:rFonts w:ascii="Arial" w:cs="Arial" w:eastAsia="Arial" w:hAnsi="Arial"/>
          <w:sz w:val="18"/>
          <w:szCs w:val="18"/>
          <w:color w:val="auto"/>
        </w:rPr>
        <w:t>means the exercise price for each share of Stock subject to an Option.</w:t>
      </w:r>
    </w:p>
    <w:p>
      <w:pPr>
        <w:spacing w:after="0" w:line="212" w:lineRule="exact"/>
        <w:rPr>
          <w:sz w:val="20"/>
          <w:szCs w:val="20"/>
          <w:color w:val="auto"/>
        </w:rPr>
      </w:pPr>
    </w:p>
    <w:p>
      <w:pPr>
        <w:ind w:left="800" w:right="40"/>
        <w:spacing w:after="0" w:line="253" w:lineRule="auto"/>
        <w:rPr>
          <w:sz w:val="20"/>
          <w:szCs w:val="20"/>
          <w:color w:val="auto"/>
        </w:rPr>
      </w:pPr>
      <w:r>
        <w:rPr>
          <w:rFonts w:ascii="Arial" w:cs="Arial" w:eastAsia="Arial" w:hAnsi="Arial"/>
          <w:sz w:val="18"/>
          <w:szCs w:val="18"/>
          <w:b w:val="1"/>
          <w:bCs w:val="1"/>
          <w:color w:val="auto"/>
        </w:rPr>
        <w:t xml:space="preserve">2.24. “Other Stock-based Award” </w:t>
      </w:r>
      <w:r>
        <w:rPr>
          <w:rFonts w:ascii="Arial" w:cs="Arial" w:eastAsia="Arial" w:hAnsi="Arial"/>
          <w:sz w:val="18"/>
          <w:szCs w:val="18"/>
          <w:color w:val="auto"/>
        </w:rPr>
        <w:t>means Awards consisting of Stock units, or other Awards, valued in whole or in part by</w:t>
      </w:r>
      <w:r>
        <w:rPr>
          <w:rFonts w:ascii="Arial" w:cs="Arial" w:eastAsia="Arial" w:hAnsi="Arial"/>
          <w:sz w:val="18"/>
          <w:szCs w:val="18"/>
          <w:b w:val="1"/>
          <w:bCs w:val="1"/>
          <w:color w:val="auto"/>
        </w:rPr>
        <w:t xml:space="preserve"> </w:t>
      </w:r>
      <w:r>
        <w:rPr>
          <w:rFonts w:ascii="Arial" w:cs="Arial" w:eastAsia="Arial" w:hAnsi="Arial"/>
          <w:sz w:val="18"/>
          <w:szCs w:val="18"/>
          <w:color w:val="auto"/>
        </w:rPr>
        <w:t>reference to, or otherwise based on, Common Stock, other than Options, Stock Appreciation Rights, Restricted Stock, and Restricted Stock Units.</w:t>
      </w:r>
    </w:p>
    <w:p>
      <w:pPr>
        <w:spacing w:after="0" w:line="169"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 xml:space="preserve">2.25.  “Outstanding Common Stock” </w:t>
      </w:r>
      <w:r>
        <w:rPr>
          <w:rFonts w:ascii="Arial" w:cs="Arial" w:eastAsia="Arial" w:hAnsi="Arial"/>
          <w:sz w:val="18"/>
          <w:szCs w:val="18"/>
          <w:color w:val="auto"/>
        </w:rPr>
        <w:t>means, at any time, the issued and outstanding shares of Common Stock.</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420"/>
          </w:cols>
          <w:pgMar w:left="240" w:top="459" w:right="2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800" w:right="200"/>
        <w:spacing w:after="0" w:line="271" w:lineRule="auto"/>
        <w:rPr>
          <w:sz w:val="20"/>
          <w:szCs w:val="20"/>
          <w:color w:val="auto"/>
        </w:rPr>
      </w:pPr>
      <w:r>
        <w:rPr>
          <w:rFonts w:ascii="Arial" w:cs="Arial" w:eastAsia="Arial" w:hAnsi="Arial"/>
          <w:sz w:val="18"/>
          <w:szCs w:val="18"/>
          <w:b w:val="1"/>
          <w:bCs w:val="1"/>
          <w:color w:val="auto"/>
        </w:rPr>
        <w:t xml:space="preserve">2.26. “Performance Award” </w:t>
      </w:r>
      <w:r>
        <w:rPr>
          <w:rFonts w:ascii="Arial" w:cs="Arial" w:eastAsia="Arial" w:hAnsi="Arial"/>
          <w:sz w:val="18"/>
          <w:szCs w:val="18"/>
          <w:color w:val="auto"/>
        </w:rPr>
        <w:t>means an Award made subject to the attainment of performance goals (as described in</w:t>
      </w:r>
      <w:r>
        <w:rPr>
          <w:rFonts w:ascii="Arial" w:cs="Arial" w:eastAsia="Arial" w:hAnsi="Arial"/>
          <w:sz w:val="18"/>
          <w:szCs w:val="18"/>
          <w:b w:val="1"/>
          <w:bCs w:val="1"/>
          <w:color w:val="auto"/>
        </w:rPr>
        <w:t xml:space="preserve"> Section 12</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over a performance period established by the Committee, and includes an Annual Incentive Award.</w:t>
      </w:r>
    </w:p>
    <w:p>
      <w:pPr>
        <w:spacing w:after="0" w:line="154"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 xml:space="preserve">2.27.  “Plan” </w:t>
      </w:r>
      <w:r>
        <w:rPr>
          <w:rFonts w:ascii="Arial" w:cs="Arial" w:eastAsia="Arial" w:hAnsi="Arial"/>
          <w:sz w:val="18"/>
          <w:szCs w:val="18"/>
          <w:color w:val="auto"/>
        </w:rPr>
        <w:t>means this Leidos Holdings, Inc. 2017 Omnibus Incentive Plan, as amended from time to time.</w:t>
      </w:r>
    </w:p>
    <w:p>
      <w:pPr>
        <w:spacing w:after="0" w:line="212"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 xml:space="preserve">2.28.  “Predecessor Plan” </w:t>
      </w:r>
      <w:r>
        <w:rPr>
          <w:rFonts w:ascii="Arial" w:cs="Arial" w:eastAsia="Arial" w:hAnsi="Arial"/>
          <w:sz w:val="18"/>
          <w:szCs w:val="18"/>
          <w:color w:val="auto"/>
        </w:rPr>
        <w:t>means the Company’s 2006 Equity Incentive Plan, as most recently amended and restated in 2012.</w:t>
      </w:r>
    </w:p>
    <w:p>
      <w:pPr>
        <w:spacing w:after="0" w:line="212"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 xml:space="preserve">2.29.  “Purchase Price” </w:t>
      </w:r>
      <w:r>
        <w:rPr>
          <w:rFonts w:ascii="Arial" w:cs="Arial" w:eastAsia="Arial" w:hAnsi="Arial"/>
          <w:sz w:val="18"/>
          <w:szCs w:val="18"/>
          <w:color w:val="auto"/>
        </w:rPr>
        <w:t>means the purchase price for each share of Stock pursuant to a grant of Restricted Stock.</w:t>
      </w:r>
    </w:p>
    <w:p>
      <w:pPr>
        <w:spacing w:after="0" w:line="212"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 xml:space="preserve">2.30.  “Restricted Period” </w:t>
      </w:r>
      <w:r>
        <w:rPr>
          <w:rFonts w:ascii="Arial" w:cs="Arial" w:eastAsia="Arial" w:hAnsi="Arial"/>
          <w:sz w:val="18"/>
          <w:szCs w:val="18"/>
          <w:color w:val="auto"/>
        </w:rPr>
        <w:t>shall have the meaning set forth in</w:t>
      </w:r>
      <w:r>
        <w:rPr>
          <w:rFonts w:ascii="Arial" w:cs="Arial" w:eastAsia="Arial" w:hAnsi="Arial"/>
          <w:sz w:val="18"/>
          <w:szCs w:val="18"/>
          <w:b w:val="1"/>
          <w:bCs w:val="1"/>
          <w:color w:val="auto"/>
        </w:rPr>
        <w:t xml:space="preserve"> Section 10.1</w:t>
      </w:r>
      <w:r>
        <w:rPr>
          <w:rFonts w:ascii="Arial" w:cs="Arial" w:eastAsia="Arial" w:hAnsi="Arial"/>
          <w:sz w:val="18"/>
          <w:szCs w:val="18"/>
          <w:color w:val="auto"/>
        </w:rPr>
        <w:t>.</w:t>
      </w:r>
    </w:p>
    <w:p>
      <w:pPr>
        <w:spacing w:after="0" w:line="212"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 xml:space="preserve">2.31.  “Restricted Stock” </w:t>
      </w:r>
      <w:r>
        <w:rPr>
          <w:rFonts w:ascii="Arial" w:cs="Arial" w:eastAsia="Arial" w:hAnsi="Arial"/>
          <w:sz w:val="18"/>
          <w:szCs w:val="18"/>
          <w:color w:val="auto"/>
        </w:rPr>
        <w:t>means shares of Stock, awarded to a Grantee pursuant to</w:t>
      </w:r>
      <w:r>
        <w:rPr>
          <w:rFonts w:ascii="Arial" w:cs="Arial" w:eastAsia="Arial" w:hAnsi="Arial"/>
          <w:sz w:val="18"/>
          <w:szCs w:val="18"/>
          <w:b w:val="1"/>
          <w:bCs w:val="1"/>
          <w:color w:val="auto"/>
        </w:rPr>
        <w:t xml:space="preserve"> Section 10 </w:t>
      </w:r>
      <w:r>
        <w:rPr>
          <w:rFonts w:ascii="Arial" w:cs="Arial" w:eastAsia="Arial" w:hAnsi="Arial"/>
          <w:sz w:val="18"/>
          <w:szCs w:val="18"/>
          <w:color w:val="auto"/>
        </w:rPr>
        <w:t>hereof.</w:t>
      </w:r>
    </w:p>
    <w:p>
      <w:pPr>
        <w:spacing w:after="0" w:line="212" w:lineRule="exact"/>
        <w:rPr>
          <w:sz w:val="20"/>
          <w:szCs w:val="20"/>
          <w:color w:val="auto"/>
        </w:rPr>
      </w:pPr>
    </w:p>
    <w:p>
      <w:pPr>
        <w:ind w:left="800" w:right="240"/>
        <w:spacing w:after="0" w:line="271" w:lineRule="auto"/>
        <w:rPr>
          <w:sz w:val="20"/>
          <w:szCs w:val="20"/>
          <w:color w:val="auto"/>
        </w:rPr>
      </w:pPr>
      <w:r>
        <w:rPr>
          <w:rFonts w:ascii="Arial" w:cs="Arial" w:eastAsia="Arial" w:hAnsi="Arial"/>
          <w:sz w:val="18"/>
          <w:szCs w:val="18"/>
          <w:b w:val="1"/>
          <w:bCs w:val="1"/>
          <w:color w:val="auto"/>
        </w:rPr>
        <w:t xml:space="preserve">2.32. “Restricted Stock Unit” </w:t>
      </w:r>
      <w:r>
        <w:rPr>
          <w:rFonts w:ascii="Arial" w:cs="Arial" w:eastAsia="Arial" w:hAnsi="Arial"/>
          <w:sz w:val="18"/>
          <w:szCs w:val="18"/>
          <w:color w:val="auto"/>
        </w:rPr>
        <w:t>means a bookkeeping entry representing the equivalent of shares of Stock, awarded to a Grantee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pursuant to </w:t>
      </w:r>
      <w:r>
        <w:rPr>
          <w:rFonts w:ascii="Arial" w:cs="Arial" w:eastAsia="Arial" w:hAnsi="Arial"/>
          <w:sz w:val="18"/>
          <w:szCs w:val="18"/>
          <w:b w:val="1"/>
          <w:bCs w:val="1"/>
          <w:color w:val="auto"/>
        </w:rPr>
        <w:t>Section 10</w:t>
      </w:r>
      <w:r>
        <w:rPr>
          <w:rFonts w:ascii="Arial" w:cs="Arial" w:eastAsia="Arial" w:hAnsi="Arial"/>
          <w:sz w:val="18"/>
          <w:szCs w:val="18"/>
          <w:color w:val="auto"/>
        </w:rPr>
        <w:t xml:space="preserve"> hereof.</w:t>
      </w:r>
    </w:p>
    <w:p>
      <w:pPr>
        <w:spacing w:after="0" w:line="154"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 xml:space="preserve">2.33.  “SAR Exercise Price” </w:t>
      </w:r>
      <w:r>
        <w:rPr>
          <w:rFonts w:ascii="Arial" w:cs="Arial" w:eastAsia="Arial" w:hAnsi="Arial"/>
          <w:sz w:val="18"/>
          <w:szCs w:val="18"/>
          <w:color w:val="auto"/>
        </w:rPr>
        <w:t>means the per share exercise price of a SAR granted to a Grantee under</w:t>
      </w:r>
      <w:r>
        <w:rPr>
          <w:rFonts w:ascii="Arial" w:cs="Arial" w:eastAsia="Arial" w:hAnsi="Arial"/>
          <w:sz w:val="18"/>
          <w:szCs w:val="18"/>
          <w:b w:val="1"/>
          <w:bCs w:val="1"/>
          <w:color w:val="auto"/>
        </w:rPr>
        <w:t xml:space="preserve"> Section 9 </w:t>
      </w:r>
      <w:r>
        <w:rPr>
          <w:rFonts w:ascii="Arial" w:cs="Arial" w:eastAsia="Arial" w:hAnsi="Arial"/>
          <w:sz w:val="18"/>
          <w:szCs w:val="18"/>
          <w:color w:val="auto"/>
        </w:rPr>
        <w:t>hereof.</w:t>
      </w:r>
    </w:p>
    <w:p>
      <w:pPr>
        <w:spacing w:after="0" w:line="212"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 xml:space="preserve">2.34.  “Section 162(m)” </w:t>
      </w:r>
      <w:r>
        <w:rPr>
          <w:rFonts w:ascii="Arial" w:cs="Arial" w:eastAsia="Arial" w:hAnsi="Arial"/>
          <w:sz w:val="18"/>
          <w:szCs w:val="18"/>
          <w:color w:val="auto"/>
        </w:rPr>
        <w:t>means Section 162(m) of the Code.</w:t>
      </w:r>
    </w:p>
    <w:p>
      <w:pPr>
        <w:spacing w:after="0" w:line="212"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 xml:space="preserve">2.35.  “Section 409A” </w:t>
      </w:r>
      <w:r>
        <w:rPr>
          <w:rFonts w:ascii="Arial" w:cs="Arial" w:eastAsia="Arial" w:hAnsi="Arial"/>
          <w:sz w:val="18"/>
          <w:szCs w:val="18"/>
          <w:color w:val="auto"/>
        </w:rPr>
        <w:t>means Section 409A of the Code.</w:t>
      </w:r>
    </w:p>
    <w:p>
      <w:pPr>
        <w:spacing w:after="0" w:line="212"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 xml:space="preserve">2.36.  “Securities Act” </w:t>
      </w:r>
      <w:r>
        <w:rPr>
          <w:rFonts w:ascii="Arial" w:cs="Arial" w:eastAsia="Arial" w:hAnsi="Arial"/>
          <w:sz w:val="18"/>
          <w:szCs w:val="18"/>
          <w:color w:val="auto"/>
        </w:rPr>
        <w:t>means the Securities Act of 1933, as now in effect or as hereafter amended.</w:t>
      </w:r>
    </w:p>
    <w:p>
      <w:pPr>
        <w:spacing w:after="0" w:line="212" w:lineRule="exact"/>
        <w:rPr>
          <w:sz w:val="20"/>
          <w:szCs w:val="20"/>
          <w:color w:val="auto"/>
        </w:rPr>
      </w:pPr>
    </w:p>
    <w:p>
      <w:pPr>
        <w:ind w:left="800" w:right="80"/>
        <w:spacing w:after="0" w:line="247" w:lineRule="auto"/>
        <w:rPr>
          <w:sz w:val="20"/>
          <w:szCs w:val="20"/>
          <w:color w:val="auto"/>
        </w:rPr>
      </w:pPr>
      <w:r>
        <w:rPr>
          <w:rFonts w:ascii="Arial" w:cs="Arial" w:eastAsia="Arial" w:hAnsi="Arial"/>
          <w:sz w:val="18"/>
          <w:szCs w:val="18"/>
          <w:b w:val="1"/>
          <w:bCs w:val="1"/>
          <w:color w:val="auto"/>
        </w:rPr>
        <w:t xml:space="preserve">2.37. “Separation from Service” </w:t>
      </w:r>
      <w:r>
        <w:rPr>
          <w:rFonts w:ascii="Arial" w:cs="Arial" w:eastAsia="Arial" w:hAnsi="Arial"/>
          <w:sz w:val="18"/>
          <w:szCs w:val="18"/>
          <w:color w:val="auto"/>
        </w:rPr>
        <w:t>means a termination of Service by a Service Provider, as determined by the Board, which</w:t>
      </w:r>
      <w:r>
        <w:rPr>
          <w:rFonts w:ascii="Arial" w:cs="Arial" w:eastAsia="Arial" w:hAnsi="Arial"/>
          <w:sz w:val="18"/>
          <w:szCs w:val="18"/>
          <w:b w:val="1"/>
          <w:bCs w:val="1"/>
          <w:color w:val="auto"/>
        </w:rPr>
        <w:t xml:space="preserve"> </w:t>
      </w:r>
      <w:r>
        <w:rPr>
          <w:rFonts w:ascii="Arial" w:cs="Arial" w:eastAsia="Arial" w:hAnsi="Arial"/>
          <w:sz w:val="18"/>
          <w:szCs w:val="18"/>
          <w:color w:val="auto"/>
        </w:rPr>
        <w:t>determination shall be final, binding and conclusive; provided if any Award governed by Section 409A is to be distributed on a Separation from Service, then the definition of Separation from Service for such purposes shall comply with the definition provided in Section 409A.</w:t>
      </w:r>
    </w:p>
    <w:p>
      <w:pPr>
        <w:spacing w:after="0" w:line="174" w:lineRule="exact"/>
        <w:rPr>
          <w:sz w:val="20"/>
          <w:szCs w:val="20"/>
          <w:color w:val="auto"/>
        </w:rPr>
      </w:pPr>
    </w:p>
    <w:p>
      <w:pPr>
        <w:ind w:left="800" w:right="360"/>
        <w:spacing w:after="0" w:line="253" w:lineRule="auto"/>
        <w:rPr>
          <w:sz w:val="20"/>
          <w:szCs w:val="20"/>
          <w:color w:val="auto"/>
        </w:rPr>
      </w:pPr>
      <w:r>
        <w:rPr>
          <w:rFonts w:ascii="Arial" w:cs="Arial" w:eastAsia="Arial" w:hAnsi="Arial"/>
          <w:sz w:val="18"/>
          <w:szCs w:val="18"/>
          <w:b w:val="1"/>
          <w:bCs w:val="1"/>
          <w:color w:val="auto"/>
        </w:rPr>
        <w:t xml:space="preserve">2.38. “Service” </w:t>
      </w:r>
      <w:r>
        <w:rPr>
          <w:rFonts w:ascii="Arial" w:cs="Arial" w:eastAsia="Arial" w:hAnsi="Arial"/>
          <w:sz w:val="18"/>
          <w:szCs w:val="18"/>
          <w:color w:val="auto"/>
        </w:rPr>
        <w:t>means service as a Service Provider to the Company or a Subsidiary. Unless otherwise stated in the applicable</w:t>
      </w:r>
      <w:r>
        <w:rPr>
          <w:rFonts w:ascii="Arial" w:cs="Arial" w:eastAsia="Arial" w:hAnsi="Arial"/>
          <w:sz w:val="18"/>
          <w:szCs w:val="18"/>
          <w:b w:val="1"/>
          <w:bCs w:val="1"/>
          <w:color w:val="auto"/>
        </w:rPr>
        <w:t xml:space="preserve"> </w:t>
      </w:r>
      <w:r>
        <w:rPr>
          <w:rFonts w:ascii="Arial" w:cs="Arial" w:eastAsia="Arial" w:hAnsi="Arial"/>
          <w:sz w:val="18"/>
          <w:szCs w:val="18"/>
          <w:color w:val="auto"/>
        </w:rPr>
        <w:t>Award Agreement, a Grantee’s change in position or duties shall not result in interrupted or terminated Service, so long as such Grantee continues to be a Service Provider to the Company or a Subsidiary.</w:t>
      </w:r>
    </w:p>
    <w:p>
      <w:pPr>
        <w:spacing w:after="0" w:line="169"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 xml:space="preserve">2.39.  “Service Provider” </w:t>
      </w:r>
      <w:r>
        <w:rPr>
          <w:rFonts w:ascii="Arial" w:cs="Arial" w:eastAsia="Arial" w:hAnsi="Arial"/>
          <w:sz w:val="18"/>
          <w:szCs w:val="18"/>
          <w:color w:val="auto"/>
        </w:rPr>
        <w:t>means an employee, Non-Employee Director or Consultant.</w:t>
      </w:r>
    </w:p>
    <w:p>
      <w:pPr>
        <w:spacing w:after="0" w:line="212"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 xml:space="preserve">2.40.  “Stock Appreciation Right” </w:t>
      </w:r>
      <w:r>
        <w:rPr>
          <w:rFonts w:ascii="Arial" w:cs="Arial" w:eastAsia="Arial" w:hAnsi="Arial"/>
          <w:sz w:val="18"/>
          <w:szCs w:val="18"/>
          <w:color w:val="auto"/>
        </w:rPr>
        <w:t>or</w:t>
      </w:r>
      <w:r>
        <w:rPr>
          <w:rFonts w:ascii="Arial" w:cs="Arial" w:eastAsia="Arial" w:hAnsi="Arial"/>
          <w:sz w:val="18"/>
          <w:szCs w:val="18"/>
          <w:b w:val="1"/>
          <w:bCs w:val="1"/>
          <w:color w:val="auto"/>
        </w:rPr>
        <w:t xml:space="preserve"> “SAR” </w:t>
      </w:r>
      <w:r>
        <w:rPr>
          <w:rFonts w:ascii="Arial" w:cs="Arial" w:eastAsia="Arial" w:hAnsi="Arial"/>
          <w:sz w:val="18"/>
          <w:szCs w:val="18"/>
          <w:color w:val="auto"/>
        </w:rPr>
        <w:t>means a right granted to a Grantee under</w:t>
      </w:r>
      <w:r>
        <w:rPr>
          <w:rFonts w:ascii="Arial" w:cs="Arial" w:eastAsia="Arial" w:hAnsi="Arial"/>
          <w:sz w:val="18"/>
          <w:szCs w:val="18"/>
          <w:b w:val="1"/>
          <w:bCs w:val="1"/>
          <w:color w:val="auto"/>
        </w:rPr>
        <w:t xml:space="preserve"> Section 9 </w:t>
      </w:r>
      <w:r>
        <w:rPr>
          <w:rFonts w:ascii="Arial" w:cs="Arial" w:eastAsia="Arial" w:hAnsi="Arial"/>
          <w:sz w:val="18"/>
          <w:szCs w:val="18"/>
          <w:color w:val="auto"/>
        </w:rPr>
        <w:t>hereof.</w:t>
      </w:r>
    </w:p>
    <w:p>
      <w:pPr>
        <w:spacing w:after="0" w:line="212" w:lineRule="exact"/>
        <w:rPr>
          <w:sz w:val="20"/>
          <w:szCs w:val="20"/>
          <w:color w:val="auto"/>
        </w:rPr>
      </w:pPr>
    </w:p>
    <w:p>
      <w:pPr>
        <w:ind w:left="800" w:right="80"/>
        <w:spacing w:after="0" w:line="253" w:lineRule="auto"/>
        <w:rPr>
          <w:sz w:val="20"/>
          <w:szCs w:val="20"/>
          <w:color w:val="auto"/>
        </w:rPr>
      </w:pPr>
      <w:r>
        <w:rPr>
          <w:rFonts w:ascii="Arial" w:cs="Arial" w:eastAsia="Arial" w:hAnsi="Arial"/>
          <w:sz w:val="18"/>
          <w:szCs w:val="18"/>
          <w:b w:val="1"/>
          <w:bCs w:val="1"/>
          <w:color w:val="auto"/>
        </w:rPr>
        <w:t xml:space="preserve">2.41. “Subsidiary” </w:t>
      </w:r>
      <w:r>
        <w:rPr>
          <w:rFonts w:ascii="Arial" w:cs="Arial" w:eastAsia="Arial" w:hAnsi="Arial"/>
          <w:sz w:val="18"/>
          <w:szCs w:val="18"/>
          <w:color w:val="auto"/>
        </w:rPr>
        <w:t>means any corporation, partnership, joint venture, affiliate, or other entity in which the Company owns more</w:t>
      </w:r>
      <w:r>
        <w:rPr>
          <w:rFonts w:ascii="Arial" w:cs="Arial" w:eastAsia="Arial" w:hAnsi="Arial"/>
          <w:sz w:val="18"/>
          <w:szCs w:val="18"/>
          <w:b w:val="1"/>
          <w:bCs w:val="1"/>
          <w:color w:val="auto"/>
        </w:rPr>
        <w:t xml:space="preserve"> </w:t>
      </w:r>
      <w:r>
        <w:rPr>
          <w:rFonts w:ascii="Arial" w:cs="Arial" w:eastAsia="Arial" w:hAnsi="Arial"/>
          <w:sz w:val="18"/>
          <w:szCs w:val="18"/>
          <w:color w:val="auto"/>
        </w:rPr>
        <w:t>than fifty percent (50%) of the voting stock or voting ownership interest, as applicable, or any other business entity designated by the Board as a Subsidiary for purposes of the Plan.</w:t>
      </w:r>
    </w:p>
    <w:p>
      <w:pPr>
        <w:spacing w:after="0" w:line="169" w:lineRule="exact"/>
        <w:rPr>
          <w:sz w:val="20"/>
          <w:szCs w:val="20"/>
          <w:color w:val="auto"/>
        </w:rPr>
      </w:pPr>
    </w:p>
    <w:p>
      <w:pPr>
        <w:ind w:left="800" w:right="380"/>
        <w:spacing w:after="0" w:line="271" w:lineRule="auto"/>
        <w:rPr>
          <w:sz w:val="20"/>
          <w:szCs w:val="20"/>
          <w:color w:val="auto"/>
        </w:rPr>
      </w:pPr>
      <w:r>
        <w:rPr>
          <w:rFonts w:ascii="Arial" w:cs="Arial" w:eastAsia="Arial" w:hAnsi="Arial"/>
          <w:sz w:val="18"/>
          <w:szCs w:val="18"/>
          <w:b w:val="1"/>
          <w:bCs w:val="1"/>
          <w:color w:val="auto"/>
        </w:rPr>
        <w:t xml:space="preserve">2.42. “Substitute Award” </w:t>
      </w:r>
      <w:r>
        <w:rPr>
          <w:rFonts w:ascii="Arial" w:cs="Arial" w:eastAsia="Arial" w:hAnsi="Arial"/>
          <w:sz w:val="18"/>
          <w:szCs w:val="18"/>
          <w:color w:val="auto"/>
        </w:rPr>
        <w:t>means any Award granted in assumption of or in substitution for an award of a company or business</w:t>
      </w:r>
      <w:r>
        <w:rPr>
          <w:rFonts w:ascii="Arial" w:cs="Arial" w:eastAsia="Arial" w:hAnsi="Arial"/>
          <w:sz w:val="18"/>
          <w:szCs w:val="18"/>
          <w:b w:val="1"/>
          <w:bCs w:val="1"/>
          <w:color w:val="auto"/>
        </w:rPr>
        <w:t xml:space="preserve"> </w:t>
      </w:r>
      <w:r>
        <w:rPr>
          <w:rFonts w:ascii="Arial" w:cs="Arial" w:eastAsia="Arial" w:hAnsi="Arial"/>
          <w:sz w:val="18"/>
          <w:szCs w:val="18"/>
          <w:color w:val="auto"/>
        </w:rPr>
        <w:t>acquired by the Company or a Subsidiary or with which the Company or a Subsidiary combines.</w:t>
      </w:r>
    </w:p>
    <w:p>
      <w:pPr>
        <w:spacing w:after="0" w:line="154" w:lineRule="exact"/>
        <w:rPr>
          <w:sz w:val="20"/>
          <w:szCs w:val="20"/>
          <w:color w:val="auto"/>
        </w:rPr>
      </w:pPr>
    </w:p>
    <w:p>
      <w:pPr>
        <w:ind w:left="800"/>
        <w:spacing w:after="0" w:line="253" w:lineRule="auto"/>
        <w:rPr>
          <w:sz w:val="20"/>
          <w:szCs w:val="20"/>
          <w:color w:val="auto"/>
        </w:rPr>
      </w:pPr>
      <w:r>
        <w:rPr>
          <w:rFonts w:ascii="Arial" w:cs="Arial" w:eastAsia="Arial" w:hAnsi="Arial"/>
          <w:sz w:val="18"/>
          <w:szCs w:val="18"/>
          <w:b w:val="1"/>
          <w:bCs w:val="1"/>
          <w:color w:val="auto"/>
        </w:rPr>
        <w:t xml:space="preserve">2.43. “Ten Percent Stockholder” </w:t>
      </w:r>
      <w:r>
        <w:rPr>
          <w:rFonts w:ascii="Arial" w:cs="Arial" w:eastAsia="Arial" w:hAnsi="Arial"/>
          <w:sz w:val="18"/>
          <w:szCs w:val="18"/>
          <w:color w:val="auto"/>
        </w:rPr>
        <w:t>means an individual who owns more than ten percent (10%) of the total combined voting power</w:t>
      </w:r>
      <w:r>
        <w:rPr>
          <w:rFonts w:ascii="Arial" w:cs="Arial" w:eastAsia="Arial" w:hAnsi="Arial"/>
          <w:sz w:val="18"/>
          <w:szCs w:val="18"/>
          <w:b w:val="1"/>
          <w:bCs w:val="1"/>
          <w:color w:val="auto"/>
        </w:rPr>
        <w:t xml:space="preserve"> </w:t>
      </w:r>
      <w:r>
        <w:rPr>
          <w:rFonts w:ascii="Arial" w:cs="Arial" w:eastAsia="Arial" w:hAnsi="Arial"/>
          <w:sz w:val="18"/>
          <w:szCs w:val="18"/>
          <w:color w:val="auto"/>
        </w:rPr>
        <w:t>of all classes of outstanding stock of the Company, its parent or any of its Subsidiaries. In determining stock ownership, the attribution rules of Section 424(d) of the Code shall be applied.</w:t>
      </w:r>
    </w:p>
    <w:p>
      <w:pPr>
        <w:spacing w:after="0" w:line="169" w:lineRule="exact"/>
        <w:rPr>
          <w:sz w:val="20"/>
          <w:szCs w:val="20"/>
          <w:color w:val="auto"/>
        </w:rPr>
      </w:pPr>
    </w:p>
    <w:p>
      <w:pPr>
        <w:ind w:left="800" w:right="60"/>
        <w:spacing w:after="0" w:line="271" w:lineRule="auto"/>
        <w:rPr>
          <w:sz w:val="20"/>
          <w:szCs w:val="20"/>
          <w:color w:val="auto"/>
        </w:rPr>
      </w:pPr>
      <w:r>
        <w:rPr>
          <w:rFonts w:ascii="Arial" w:cs="Arial" w:eastAsia="Arial" w:hAnsi="Arial"/>
          <w:sz w:val="18"/>
          <w:szCs w:val="18"/>
          <w:b w:val="1"/>
          <w:bCs w:val="1"/>
          <w:color w:val="auto"/>
        </w:rPr>
        <w:t xml:space="preserve">2.44. “Termination Date” </w:t>
      </w:r>
      <w:r>
        <w:rPr>
          <w:rFonts w:ascii="Arial" w:cs="Arial" w:eastAsia="Arial" w:hAnsi="Arial"/>
          <w:sz w:val="18"/>
          <w:szCs w:val="18"/>
          <w:color w:val="auto"/>
        </w:rPr>
        <w:t>means the date that is ten (10) years after the Effective Date, unless the Plan is earlier terminated by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Board under </w:t>
      </w:r>
      <w:r>
        <w:rPr>
          <w:rFonts w:ascii="Arial" w:cs="Arial" w:eastAsia="Arial" w:hAnsi="Arial"/>
          <w:sz w:val="18"/>
          <w:szCs w:val="18"/>
          <w:b w:val="1"/>
          <w:bCs w:val="1"/>
          <w:color w:val="auto"/>
        </w:rPr>
        <w:t>Section 5.2</w:t>
      </w:r>
      <w:r>
        <w:rPr>
          <w:rFonts w:ascii="Arial" w:cs="Arial" w:eastAsia="Arial" w:hAnsi="Arial"/>
          <w:sz w:val="18"/>
          <w:szCs w:val="18"/>
          <w:color w:val="auto"/>
        </w:rPr>
        <w:t xml:space="preserve"> hereof.</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420"/>
          </w:cols>
          <w:pgMar w:left="240" w:top="459" w:right="2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800" w:hanging="792"/>
        <w:spacing w:after="0"/>
        <w:tabs>
          <w:tab w:leader="none" w:pos="800" w:val="left"/>
        </w:tabs>
        <w:numPr>
          <w:ilvl w:val="0"/>
          <w:numId w:val="102"/>
        </w:numPr>
        <w:rPr>
          <w:rFonts w:ascii="Arial" w:cs="Arial" w:eastAsia="Arial" w:hAnsi="Arial"/>
          <w:sz w:val="18"/>
          <w:szCs w:val="18"/>
          <w:b w:val="1"/>
          <w:bCs w:val="1"/>
          <w:color w:val="auto"/>
        </w:rPr>
      </w:pPr>
      <w:r>
        <w:rPr>
          <w:rFonts w:ascii="Arial" w:cs="Arial" w:eastAsia="Arial" w:hAnsi="Arial"/>
          <w:sz w:val="18"/>
          <w:szCs w:val="18"/>
          <w:b w:val="1"/>
          <w:bCs w:val="1"/>
          <w:color w:val="auto"/>
        </w:rPr>
        <w:t>ADMINISTRATION OF THE PLAN</w:t>
      </w:r>
    </w:p>
    <w:p>
      <w:pPr>
        <w:spacing w:after="0" w:line="239" w:lineRule="exact"/>
        <w:rPr>
          <w:sz w:val="20"/>
          <w:szCs w:val="20"/>
          <w:color w:val="auto"/>
        </w:rPr>
      </w:pPr>
    </w:p>
    <w:p>
      <w:pPr>
        <w:ind w:left="580"/>
        <w:spacing w:after="0"/>
        <w:tabs>
          <w:tab w:leader="none" w:pos="1680" w:val="left"/>
        </w:tabs>
        <w:rPr>
          <w:sz w:val="20"/>
          <w:szCs w:val="20"/>
          <w:color w:val="auto"/>
        </w:rPr>
      </w:pPr>
      <w:r>
        <w:rPr>
          <w:rFonts w:ascii="Arial" w:cs="Arial" w:eastAsia="Arial" w:hAnsi="Arial"/>
          <w:sz w:val="18"/>
          <w:szCs w:val="18"/>
          <w:b w:val="1"/>
          <w:bCs w:val="1"/>
          <w:color w:val="auto"/>
        </w:rPr>
        <w:t>3.1.</w:t>
      </w:r>
      <w:r>
        <w:rPr>
          <w:sz w:val="20"/>
          <w:szCs w:val="20"/>
          <w:color w:val="auto"/>
        </w:rPr>
        <w:tab/>
      </w:r>
      <w:r>
        <w:rPr>
          <w:rFonts w:ascii="Arial" w:cs="Arial" w:eastAsia="Arial" w:hAnsi="Arial"/>
          <w:sz w:val="18"/>
          <w:szCs w:val="18"/>
          <w:b w:val="1"/>
          <w:bCs w:val="1"/>
          <w:color w:val="auto"/>
        </w:rPr>
        <w:t>General.</w:t>
      </w:r>
    </w:p>
    <w:p>
      <w:pPr>
        <w:spacing w:after="0" w:line="234" w:lineRule="exact"/>
        <w:rPr>
          <w:sz w:val="20"/>
          <w:szCs w:val="20"/>
          <w:color w:val="auto"/>
        </w:rPr>
      </w:pPr>
    </w:p>
    <w:p>
      <w:pPr>
        <w:ind w:firstLine="799"/>
        <w:spacing w:after="0" w:line="236" w:lineRule="auto"/>
        <w:rPr>
          <w:sz w:val="20"/>
          <w:szCs w:val="20"/>
          <w:color w:val="auto"/>
        </w:rPr>
      </w:pPr>
      <w:r>
        <w:rPr>
          <w:rFonts w:ascii="Arial" w:cs="Arial" w:eastAsia="Arial" w:hAnsi="Arial"/>
          <w:sz w:val="18"/>
          <w:szCs w:val="18"/>
          <w:color w:val="auto"/>
        </w:rPr>
        <w:t xml:space="preserve">The Board shall have such powers and authorities related to the administration of the Plan as are consistent with the Company’s articles of incorporation and bylaws and applicable law. The Board shall have the power and authority to delegate its powers and responsibilities hereunder to the Committee, which shall have full authority to act in accordance with its charter, and with respect to the authority of the Board to act hereunder, all references to the Board shall be deemed to include a reference to the Committee, to the extent such power or responsibilities have been delegated. Except as specifically provided in </w:t>
      </w:r>
      <w:r>
        <w:rPr>
          <w:rFonts w:ascii="Arial" w:cs="Arial" w:eastAsia="Arial" w:hAnsi="Arial"/>
          <w:sz w:val="18"/>
          <w:szCs w:val="18"/>
          <w:b w:val="1"/>
          <w:bCs w:val="1"/>
          <w:color w:val="auto"/>
        </w:rPr>
        <w:t>Section 14</w:t>
      </w:r>
      <w:r>
        <w:rPr>
          <w:rFonts w:ascii="Arial" w:cs="Arial" w:eastAsia="Arial" w:hAnsi="Arial"/>
          <w:sz w:val="18"/>
          <w:szCs w:val="18"/>
          <w:color w:val="auto"/>
        </w:rPr>
        <w:t xml:space="preserve"> or as otherwise may be required by applicable law, regulatory requirement or the articles of incorporation or the bylaws of the Company, the Board shall have full power and authority to take all actions and to make all determinations required or provided for under the Plan, any Award or any Award Agreement, and shall have full power and authority to take all such other actions and make all such other determinations not inconsistent with the specific terms and provisions of the Plan that the Board deems to be necessary or appropriate to the administration of the Plan. The Committee shall administer the Plan; provided that, the Board shall retain the right to exercise the authority of the Committee to the extent consistent with applicable law and the applicable requirements of any securities exchange on which the Common Stock may then be listed. The interpretation and construction by the Board of any provision of the Plan, any Award or any Award Agreement shall be final, binding and conclusive. Without limitation, the Board shall have full and final authority, subject to the other terms and conditions of the Plan, to:</w:t>
      </w:r>
    </w:p>
    <w:p>
      <w:pPr>
        <w:spacing w:after="0" w:line="204" w:lineRule="exact"/>
        <w:rPr>
          <w:sz w:val="20"/>
          <w:szCs w:val="20"/>
          <w:color w:val="auto"/>
        </w:rPr>
      </w:pPr>
    </w:p>
    <w:p>
      <w:pPr>
        <w:ind w:left="1360" w:hanging="553"/>
        <w:spacing w:after="0"/>
        <w:tabs>
          <w:tab w:leader="none" w:pos="13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designate Grantees;</w:t>
      </w:r>
    </w:p>
    <w:p>
      <w:pPr>
        <w:spacing w:after="0" w:line="211" w:lineRule="exact"/>
        <w:rPr>
          <w:rFonts w:ascii="Arial" w:cs="Arial" w:eastAsia="Arial" w:hAnsi="Arial"/>
          <w:sz w:val="18"/>
          <w:szCs w:val="18"/>
          <w:color w:val="auto"/>
        </w:rPr>
      </w:pPr>
    </w:p>
    <w:p>
      <w:pPr>
        <w:ind w:left="1400" w:hanging="593"/>
        <w:spacing w:after="0"/>
        <w:tabs>
          <w:tab w:leader="none" w:pos="14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determine the type or types of Awards to be made to a Grantee;</w:t>
      </w:r>
    </w:p>
    <w:p>
      <w:pPr>
        <w:spacing w:after="0" w:line="211" w:lineRule="exact"/>
        <w:rPr>
          <w:rFonts w:ascii="Arial" w:cs="Arial" w:eastAsia="Arial" w:hAnsi="Arial"/>
          <w:sz w:val="18"/>
          <w:szCs w:val="18"/>
          <w:color w:val="auto"/>
        </w:rPr>
      </w:pPr>
    </w:p>
    <w:p>
      <w:pPr>
        <w:ind w:left="1440" w:hanging="633"/>
        <w:spacing w:after="0"/>
        <w:tabs>
          <w:tab w:leader="none" w:pos="144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determine the number of shares of Stock to be subject to an Award;</w:t>
      </w:r>
    </w:p>
    <w:p>
      <w:pPr>
        <w:spacing w:after="0" w:line="211" w:lineRule="exact"/>
        <w:rPr>
          <w:rFonts w:ascii="Arial" w:cs="Arial" w:eastAsia="Arial" w:hAnsi="Arial"/>
          <w:sz w:val="18"/>
          <w:szCs w:val="18"/>
          <w:color w:val="auto"/>
        </w:rPr>
      </w:pPr>
    </w:p>
    <w:p>
      <w:pPr>
        <w:ind w:firstLine="807"/>
        <w:spacing w:after="0"/>
        <w:tabs>
          <w:tab w:leader="none" w:pos="1449" w:val="left"/>
        </w:tabs>
        <w:numPr>
          <w:ilvl w:val="0"/>
          <w:numId w:val="103"/>
        </w:numPr>
        <w:rPr>
          <w:rFonts w:ascii="Arial" w:cs="Arial" w:eastAsia="Arial" w:hAnsi="Arial"/>
          <w:sz w:val="18"/>
          <w:szCs w:val="18"/>
          <w:color w:val="auto"/>
        </w:rPr>
      </w:pPr>
      <w:r>
        <w:rPr>
          <w:rFonts w:ascii="Arial" w:cs="Arial" w:eastAsia="Arial" w:hAnsi="Arial"/>
          <w:sz w:val="18"/>
          <w:szCs w:val="18"/>
          <w:color w:val="auto"/>
        </w:rPr>
        <w:t>establish the terms and conditions of each Award (including, but not limited to, the Option Price of any Option, the nature and duration of any restriction or condition (or provision for lapse thereof) relating to the vesting, exercise, transfer, or forfeiture of an Award or the shares of Stock subject thereto, and any terms or conditions that may be necessary to qualify Options as Incentive Stock Options);</w:t>
      </w:r>
    </w:p>
    <w:p>
      <w:pPr>
        <w:spacing w:after="0" w:line="202" w:lineRule="exact"/>
        <w:rPr>
          <w:rFonts w:ascii="Arial" w:cs="Arial" w:eastAsia="Arial" w:hAnsi="Arial"/>
          <w:sz w:val="18"/>
          <w:szCs w:val="18"/>
          <w:color w:val="auto"/>
        </w:rPr>
      </w:pPr>
    </w:p>
    <w:p>
      <w:pPr>
        <w:ind w:left="1420" w:hanging="613"/>
        <w:spacing w:after="0"/>
        <w:tabs>
          <w:tab w:leader="none" w:pos="142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prescribe the form of each Award Agreement; and</w:t>
      </w:r>
    </w:p>
    <w:p>
      <w:pPr>
        <w:spacing w:after="0" w:line="211" w:lineRule="exact"/>
        <w:rPr>
          <w:rFonts w:ascii="Arial" w:cs="Arial" w:eastAsia="Arial" w:hAnsi="Arial"/>
          <w:sz w:val="18"/>
          <w:szCs w:val="18"/>
          <w:color w:val="auto"/>
        </w:rPr>
      </w:pPr>
    </w:p>
    <w:p>
      <w:pPr>
        <w:ind w:right="20" w:firstLine="807"/>
        <w:spacing w:after="0"/>
        <w:tabs>
          <w:tab w:leader="none" w:pos="1449" w:val="left"/>
        </w:tabs>
        <w:numPr>
          <w:ilvl w:val="0"/>
          <w:numId w:val="103"/>
        </w:numPr>
        <w:rPr>
          <w:rFonts w:ascii="Arial" w:cs="Arial" w:eastAsia="Arial" w:hAnsi="Arial"/>
          <w:sz w:val="18"/>
          <w:szCs w:val="18"/>
          <w:color w:val="auto"/>
        </w:rPr>
      </w:pPr>
      <w:r>
        <w:rPr>
          <w:rFonts w:ascii="Arial" w:cs="Arial" w:eastAsia="Arial" w:hAnsi="Arial"/>
          <w:sz w:val="18"/>
          <w:szCs w:val="18"/>
          <w:color w:val="auto"/>
        </w:rPr>
        <w:t>amend, modify, or supplement the terms of any outstanding Award including the authority, in order to effectuate the purposes of the Plan, to modify Awards to foreign nationals or individuals who are employed outside the United States to recognize differences in local law, tax policy, or custom.</w:t>
      </w:r>
    </w:p>
    <w:p>
      <w:pPr>
        <w:spacing w:after="0" w:line="203" w:lineRule="exact"/>
        <w:rPr>
          <w:sz w:val="20"/>
          <w:szCs w:val="20"/>
          <w:color w:val="auto"/>
        </w:rPr>
      </w:pPr>
    </w:p>
    <w:p>
      <w:pPr>
        <w:ind w:firstLine="799"/>
        <w:spacing w:after="0" w:line="238" w:lineRule="auto"/>
        <w:rPr>
          <w:sz w:val="20"/>
          <w:szCs w:val="20"/>
          <w:color w:val="auto"/>
        </w:rPr>
      </w:pPr>
      <w:r>
        <w:rPr>
          <w:rFonts w:ascii="Arial" w:cs="Arial" w:eastAsia="Arial" w:hAnsi="Arial"/>
          <w:sz w:val="18"/>
          <w:szCs w:val="18"/>
          <w:color w:val="auto"/>
        </w:rPr>
        <w:t xml:space="preserve">To the extent permitted by applicable law, the Board may delegate its authority as identified herein to any individual or committee of individuals (who need not be directors), including without limitation the authority to make Awards to Grantees who are not subject to Section 16 of the Exchange Act or who are not Covered Employees. To the extent that the Board delegates its authority to make Awards as provided by this </w:t>
      </w:r>
      <w:r>
        <w:rPr>
          <w:rFonts w:ascii="Arial" w:cs="Arial" w:eastAsia="Arial" w:hAnsi="Arial"/>
          <w:sz w:val="18"/>
          <w:szCs w:val="18"/>
          <w:b w:val="1"/>
          <w:bCs w:val="1"/>
          <w:color w:val="auto"/>
        </w:rPr>
        <w:t>Section 3.1</w:t>
      </w:r>
      <w:r>
        <w:rPr>
          <w:rFonts w:ascii="Arial" w:cs="Arial" w:eastAsia="Arial" w:hAnsi="Arial"/>
          <w:sz w:val="18"/>
          <w:szCs w:val="18"/>
          <w:color w:val="auto"/>
        </w:rPr>
        <w:t>, all references in the Plan to the Board’s authority to make Awards and determinations with respect thereto shall be deemed to include the Board’s delegate. Any such delegate shall serve at the pleasure of, and may be removed at any time by the Board.</w:t>
      </w:r>
    </w:p>
    <w:p>
      <w:pPr>
        <w:spacing w:after="0" w:line="208" w:lineRule="exact"/>
        <w:rPr>
          <w:sz w:val="20"/>
          <w:szCs w:val="20"/>
          <w:color w:val="auto"/>
        </w:rPr>
      </w:pPr>
    </w:p>
    <w:p>
      <w:pPr>
        <w:ind w:left="580"/>
        <w:spacing w:after="0"/>
        <w:tabs>
          <w:tab w:leader="none" w:pos="1680" w:val="left"/>
        </w:tabs>
        <w:rPr>
          <w:sz w:val="20"/>
          <w:szCs w:val="20"/>
          <w:color w:val="auto"/>
        </w:rPr>
      </w:pPr>
      <w:r>
        <w:rPr>
          <w:rFonts w:ascii="Arial" w:cs="Arial" w:eastAsia="Arial" w:hAnsi="Arial"/>
          <w:sz w:val="18"/>
          <w:szCs w:val="18"/>
          <w:b w:val="1"/>
          <w:bCs w:val="1"/>
          <w:color w:val="auto"/>
        </w:rPr>
        <w:t>3.2.</w:t>
      </w:r>
      <w:r>
        <w:rPr>
          <w:sz w:val="20"/>
          <w:szCs w:val="20"/>
          <w:color w:val="auto"/>
        </w:rPr>
        <w:tab/>
      </w:r>
      <w:r>
        <w:rPr>
          <w:rFonts w:ascii="Arial" w:cs="Arial" w:eastAsia="Arial" w:hAnsi="Arial"/>
          <w:sz w:val="18"/>
          <w:szCs w:val="18"/>
          <w:b w:val="1"/>
          <w:bCs w:val="1"/>
          <w:color w:val="auto"/>
        </w:rPr>
        <w:t>No Repricing.</w:t>
      </w:r>
    </w:p>
    <w:p>
      <w:pPr>
        <w:spacing w:after="0" w:line="234" w:lineRule="exact"/>
        <w:rPr>
          <w:sz w:val="20"/>
          <w:szCs w:val="20"/>
          <w:color w:val="auto"/>
        </w:rPr>
      </w:pPr>
    </w:p>
    <w:p>
      <w:pPr>
        <w:ind w:right="120" w:firstLine="799"/>
        <w:spacing w:after="0" w:line="236" w:lineRule="auto"/>
        <w:rPr>
          <w:sz w:val="20"/>
          <w:szCs w:val="20"/>
          <w:color w:val="auto"/>
        </w:rPr>
      </w:pPr>
      <w:r>
        <w:rPr>
          <w:rFonts w:ascii="Arial" w:cs="Arial" w:eastAsia="Arial" w:hAnsi="Arial"/>
          <w:sz w:val="18"/>
          <w:szCs w:val="18"/>
          <w:color w:val="auto"/>
        </w:rPr>
        <w:t xml:space="preserve">Notwithstanding any provision herein to the contrary, the repricing of Options or SARs is prohibited without prior approval of the Company’s stockholders. For this purpose, a “repricing” means any of the following (or any other action that has the same effect as any of the following): (i) changing the terms of an Option or SAR to lower its Option Price or SAR Exercise Price; (ii) any other action that is treated as a “repricing” under generally accepted accounting principles; and (iii) repurchasing for cash or canceling an Option or SAR at a time when its Option Price or SAR Exercise Price is greater than the Fair Market Value of the underlying shares in exchange for another Award, unless the actions contemplated in clauses (i), (ii) or (iii) occur in connection with a change in capitalization or similar change under </w:t>
      </w:r>
      <w:r>
        <w:rPr>
          <w:rFonts w:ascii="Arial" w:cs="Arial" w:eastAsia="Arial" w:hAnsi="Arial"/>
          <w:sz w:val="18"/>
          <w:szCs w:val="18"/>
          <w:b w:val="1"/>
          <w:bCs w:val="1"/>
          <w:color w:val="auto"/>
        </w:rPr>
        <w:t>Section 15</w:t>
      </w:r>
      <w:r>
        <w:rPr>
          <w:rFonts w:ascii="Arial" w:cs="Arial" w:eastAsia="Arial" w:hAnsi="Arial"/>
          <w:sz w:val="18"/>
          <w:szCs w:val="18"/>
          <w:color w:val="auto"/>
        </w:rPr>
        <w:t>. A cancellation and exchange under clause (iii) would be considered a “repricing” regardless of whether it is treated as a “repricing” under generally accepted accounting principles and regardless of whether it is voluntary on the part of the Grantee.</w:t>
      </w:r>
    </w:p>
    <w:p>
      <w:pPr>
        <w:spacing w:after="0" w:line="14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380"/>
          </w:cols>
          <w:pgMar w:left="240" w:top="459" w:right="27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580"/>
        <w:spacing w:after="0"/>
        <w:tabs>
          <w:tab w:leader="none" w:pos="1680" w:val="left"/>
        </w:tabs>
        <w:rPr>
          <w:sz w:val="20"/>
          <w:szCs w:val="20"/>
          <w:color w:val="auto"/>
        </w:rPr>
      </w:pPr>
      <w:r>
        <w:rPr>
          <w:rFonts w:ascii="Arial" w:cs="Arial" w:eastAsia="Arial" w:hAnsi="Arial"/>
          <w:sz w:val="18"/>
          <w:szCs w:val="18"/>
          <w:b w:val="1"/>
          <w:bCs w:val="1"/>
          <w:color w:val="auto"/>
        </w:rPr>
        <w:t>3.3.</w:t>
      </w:r>
      <w:r>
        <w:rPr>
          <w:sz w:val="20"/>
          <w:szCs w:val="20"/>
          <w:color w:val="auto"/>
        </w:rPr>
        <w:tab/>
      </w:r>
      <w:r>
        <w:rPr>
          <w:rFonts w:ascii="Arial" w:cs="Arial" w:eastAsia="Arial" w:hAnsi="Arial"/>
          <w:sz w:val="18"/>
          <w:szCs w:val="18"/>
          <w:b w:val="1"/>
          <w:bCs w:val="1"/>
          <w:color w:val="auto"/>
        </w:rPr>
        <w:t>Clawbacks.</w:t>
      </w:r>
    </w:p>
    <w:p>
      <w:pPr>
        <w:spacing w:after="0" w:line="234" w:lineRule="exact"/>
        <w:rPr>
          <w:sz w:val="20"/>
          <w:szCs w:val="20"/>
          <w:color w:val="auto"/>
        </w:rPr>
      </w:pPr>
    </w:p>
    <w:p>
      <w:pPr>
        <w:ind w:right="20" w:firstLine="799"/>
        <w:spacing w:after="0" w:line="238" w:lineRule="auto"/>
        <w:rPr>
          <w:sz w:val="20"/>
          <w:szCs w:val="20"/>
          <w:color w:val="auto"/>
        </w:rPr>
      </w:pPr>
      <w:r>
        <w:rPr>
          <w:rFonts w:ascii="Arial" w:cs="Arial" w:eastAsia="Arial" w:hAnsi="Arial"/>
          <w:sz w:val="18"/>
          <w:szCs w:val="18"/>
          <w:color w:val="auto"/>
        </w:rPr>
        <w:t>Awards shall be subject to the requirements of (i) Section 954 of the Dodd-Frank Wall Street Reform and Consumer Protection Act (regarding recovery of erroneously awarded compensation) and any implementing rules and regulations thereunder, (ii) similar rules under the laws of any other jurisdiction, (iii) any compensation recovery policies adopted by the Company to implement any such requirements or (iv) any other compensation recovery policies as may be adopted from time to time by the Company, all to the extent determined by the Board in its discretion to be applicable to a Grantee.</w:t>
      </w:r>
    </w:p>
    <w:p>
      <w:pPr>
        <w:spacing w:after="0" w:line="208" w:lineRule="exact"/>
        <w:rPr>
          <w:sz w:val="20"/>
          <w:szCs w:val="20"/>
          <w:color w:val="auto"/>
        </w:rPr>
      </w:pPr>
    </w:p>
    <w:p>
      <w:pPr>
        <w:ind w:left="580"/>
        <w:spacing w:after="0"/>
        <w:tabs>
          <w:tab w:leader="none" w:pos="1680" w:val="left"/>
        </w:tabs>
        <w:rPr>
          <w:sz w:val="20"/>
          <w:szCs w:val="20"/>
          <w:color w:val="auto"/>
        </w:rPr>
      </w:pPr>
      <w:r>
        <w:rPr>
          <w:rFonts w:ascii="Arial" w:cs="Arial" w:eastAsia="Arial" w:hAnsi="Arial"/>
          <w:sz w:val="18"/>
          <w:szCs w:val="18"/>
          <w:b w:val="1"/>
          <w:bCs w:val="1"/>
          <w:color w:val="auto"/>
        </w:rPr>
        <w:t>3.4.</w:t>
      </w:r>
      <w:r>
        <w:rPr>
          <w:sz w:val="20"/>
          <w:szCs w:val="20"/>
          <w:color w:val="auto"/>
        </w:rPr>
        <w:tab/>
      </w:r>
      <w:r>
        <w:rPr>
          <w:rFonts w:ascii="Arial" w:cs="Arial" w:eastAsia="Arial" w:hAnsi="Arial"/>
          <w:sz w:val="18"/>
          <w:szCs w:val="18"/>
          <w:b w:val="1"/>
          <w:bCs w:val="1"/>
          <w:color w:val="auto"/>
        </w:rPr>
        <w:t>Deferral Arrangement.</w:t>
      </w:r>
    </w:p>
    <w:p>
      <w:pPr>
        <w:spacing w:after="0" w:line="234" w:lineRule="exact"/>
        <w:rPr>
          <w:sz w:val="20"/>
          <w:szCs w:val="20"/>
          <w:color w:val="auto"/>
        </w:rPr>
      </w:pPr>
    </w:p>
    <w:p>
      <w:pPr>
        <w:jc w:val="both"/>
        <w:ind w:firstLine="799"/>
        <w:spacing w:after="0"/>
        <w:rPr>
          <w:sz w:val="20"/>
          <w:szCs w:val="20"/>
          <w:color w:val="auto"/>
        </w:rPr>
      </w:pPr>
      <w:r>
        <w:rPr>
          <w:rFonts w:ascii="Arial" w:cs="Arial" w:eastAsia="Arial" w:hAnsi="Arial"/>
          <w:sz w:val="18"/>
          <w:szCs w:val="18"/>
          <w:color w:val="auto"/>
        </w:rPr>
        <w:t>The Board may permit or require the deferral of any Award payment into a deferred compensation arrangement, subject to such rules and procedures as it may establish and in accordance with Section 409A, which may include provisions for the payment or crediting of interest or dividend equivalents, including converting such credits into deferred Stock units.</w:t>
      </w:r>
    </w:p>
    <w:p>
      <w:pPr>
        <w:spacing w:after="0" w:line="208" w:lineRule="exact"/>
        <w:rPr>
          <w:sz w:val="20"/>
          <w:szCs w:val="20"/>
          <w:color w:val="auto"/>
        </w:rPr>
      </w:pPr>
    </w:p>
    <w:p>
      <w:pPr>
        <w:ind w:left="580"/>
        <w:spacing w:after="0"/>
        <w:tabs>
          <w:tab w:leader="none" w:pos="1680" w:val="left"/>
        </w:tabs>
        <w:rPr>
          <w:sz w:val="20"/>
          <w:szCs w:val="20"/>
          <w:color w:val="auto"/>
        </w:rPr>
      </w:pPr>
      <w:r>
        <w:rPr>
          <w:rFonts w:ascii="Arial" w:cs="Arial" w:eastAsia="Arial" w:hAnsi="Arial"/>
          <w:sz w:val="18"/>
          <w:szCs w:val="18"/>
          <w:b w:val="1"/>
          <w:bCs w:val="1"/>
          <w:color w:val="auto"/>
        </w:rPr>
        <w:t>3.5.</w:t>
      </w:r>
      <w:r>
        <w:rPr>
          <w:sz w:val="20"/>
          <w:szCs w:val="20"/>
          <w:color w:val="auto"/>
        </w:rPr>
        <w:tab/>
      </w:r>
      <w:r>
        <w:rPr>
          <w:rFonts w:ascii="Arial" w:cs="Arial" w:eastAsia="Arial" w:hAnsi="Arial"/>
          <w:sz w:val="17"/>
          <w:szCs w:val="17"/>
          <w:b w:val="1"/>
          <w:bCs w:val="1"/>
          <w:color w:val="auto"/>
        </w:rPr>
        <w:t>No Liability.</w:t>
      </w:r>
    </w:p>
    <w:p>
      <w:pPr>
        <w:spacing w:after="0" w:line="234" w:lineRule="exact"/>
        <w:rPr>
          <w:sz w:val="20"/>
          <w:szCs w:val="20"/>
          <w:color w:val="auto"/>
        </w:rPr>
      </w:pPr>
    </w:p>
    <w:p>
      <w:pPr>
        <w:ind w:right="400" w:firstLine="799"/>
        <w:spacing w:after="0" w:line="246" w:lineRule="auto"/>
        <w:rPr>
          <w:sz w:val="20"/>
          <w:szCs w:val="20"/>
          <w:color w:val="auto"/>
        </w:rPr>
      </w:pPr>
      <w:r>
        <w:rPr>
          <w:rFonts w:ascii="Arial" w:cs="Arial" w:eastAsia="Arial" w:hAnsi="Arial"/>
          <w:sz w:val="18"/>
          <w:szCs w:val="18"/>
          <w:color w:val="auto"/>
        </w:rPr>
        <w:t>No member of the Board shall be liable for any action or determination made in good faith with respect to the Plan, any Award or Award Agreement.</w:t>
      </w:r>
    </w:p>
    <w:p>
      <w:pPr>
        <w:spacing w:after="0" w:line="202" w:lineRule="exact"/>
        <w:rPr>
          <w:sz w:val="20"/>
          <w:szCs w:val="20"/>
          <w:color w:val="auto"/>
        </w:rPr>
      </w:pPr>
    </w:p>
    <w:p>
      <w:pPr>
        <w:ind w:left="580"/>
        <w:spacing w:after="0"/>
        <w:tabs>
          <w:tab w:leader="none" w:pos="1680" w:val="left"/>
        </w:tabs>
        <w:rPr>
          <w:sz w:val="20"/>
          <w:szCs w:val="20"/>
          <w:color w:val="auto"/>
        </w:rPr>
      </w:pPr>
      <w:r>
        <w:rPr>
          <w:rFonts w:ascii="Arial" w:cs="Arial" w:eastAsia="Arial" w:hAnsi="Arial"/>
          <w:sz w:val="18"/>
          <w:szCs w:val="18"/>
          <w:b w:val="1"/>
          <w:bCs w:val="1"/>
          <w:color w:val="auto"/>
        </w:rPr>
        <w:t>3.6.</w:t>
      </w:r>
      <w:r>
        <w:rPr>
          <w:sz w:val="20"/>
          <w:szCs w:val="20"/>
          <w:color w:val="auto"/>
        </w:rPr>
        <w:tab/>
      </w:r>
      <w:r>
        <w:rPr>
          <w:rFonts w:ascii="Arial" w:cs="Arial" w:eastAsia="Arial" w:hAnsi="Arial"/>
          <w:sz w:val="17"/>
          <w:szCs w:val="17"/>
          <w:b w:val="1"/>
          <w:bCs w:val="1"/>
          <w:color w:val="auto"/>
        </w:rPr>
        <w:t>Book Entry.</w:t>
      </w:r>
    </w:p>
    <w:p>
      <w:pPr>
        <w:spacing w:after="0" w:line="234" w:lineRule="exact"/>
        <w:rPr>
          <w:sz w:val="20"/>
          <w:szCs w:val="20"/>
          <w:color w:val="auto"/>
        </w:rPr>
      </w:pPr>
    </w:p>
    <w:p>
      <w:pPr>
        <w:ind w:firstLine="799"/>
        <w:spacing w:after="0" w:line="246" w:lineRule="auto"/>
        <w:rPr>
          <w:sz w:val="20"/>
          <w:szCs w:val="20"/>
          <w:color w:val="auto"/>
        </w:rPr>
      </w:pPr>
      <w:r>
        <w:rPr>
          <w:rFonts w:ascii="Arial" w:cs="Arial" w:eastAsia="Arial" w:hAnsi="Arial"/>
          <w:sz w:val="18"/>
          <w:szCs w:val="18"/>
          <w:color w:val="auto"/>
        </w:rPr>
        <w:t>Notwithstanding any other provision of this Plan to the contrary, the Company may elect to satisfy any requirement under this Plan for the delivery of stock certificates through the use of book-entry.</w:t>
      </w:r>
    </w:p>
    <w:p>
      <w:pPr>
        <w:spacing w:after="0" w:line="202" w:lineRule="exact"/>
        <w:rPr>
          <w:sz w:val="20"/>
          <w:szCs w:val="20"/>
          <w:color w:val="auto"/>
        </w:rPr>
      </w:pPr>
    </w:p>
    <w:p>
      <w:pPr>
        <w:ind w:left="800" w:hanging="792"/>
        <w:spacing w:after="0"/>
        <w:tabs>
          <w:tab w:leader="none" w:pos="800" w:val="left"/>
        </w:tabs>
        <w:numPr>
          <w:ilvl w:val="0"/>
          <w:numId w:val="104"/>
        </w:numPr>
        <w:rPr>
          <w:rFonts w:ascii="Arial" w:cs="Arial" w:eastAsia="Arial" w:hAnsi="Arial"/>
          <w:sz w:val="18"/>
          <w:szCs w:val="18"/>
          <w:b w:val="1"/>
          <w:bCs w:val="1"/>
          <w:color w:val="auto"/>
        </w:rPr>
      </w:pPr>
      <w:r>
        <w:rPr>
          <w:rFonts w:ascii="Arial" w:cs="Arial" w:eastAsia="Arial" w:hAnsi="Arial"/>
          <w:sz w:val="18"/>
          <w:szCs w:val="18"/>
          <w:b w:val="1"/>
          <w:bCs w:val="1"/>
          <w:color w:val="auto"/>
        </w:rPr>
        <w:t>STOCK SUBJECT TO THE PLAN</w:t>
      </w:r>
    </w:p>
    <w:p>
      <w:pPr>
        <w:spacing w:after="0" w:line="239" w:lineRule="exact"/>
        <w:rPr>
          <w:sz w:val="20"/>
          <w:szCs w:val="20"/>
          <w:color w:val="auto"/>
        </w:rPr>
      </w:pPr>
    </w:p>
    <w:p>
      <w:pPr>
        <w:ind w:left="580"/>
        <w:spacing w:after="0"/>
        <w:tabs>
          <w:tab w:leader="none" w:pos="1680" w:val="left"/>
        </w:tabs>
        <w:rPr>
          <w:sz w:val="20"/>
          <w:szCs w:val="20"/>
          <w:color w:val="auto"/>
        </w:rPr>
      </w:pPr>
      <w:r>
        <w:rPr>
          <w:rFonts w:ascii="Arial" w:cs="Arial" w:eastAsia="Arial" w:hAnsi="Arial"/>
          <w:sz w:val="18"/>
          <w:szCs w:val="18"/>
          <w:b w:val="1"/>
          <w:bCs w:val="1"/>
          <w:color w:val="auto"/>
        </w:rPr>
        <w:t>4.1.</w:t>
      </w:r>
      <w:r>
        <w:rPr>
          <w:sz w:val="20"/>
          <w:szCs w:val="20"/>
          <w:color w:val="auto"/>
        </w:rPr>
        <w:tab/>
      </w:r>
      <w:r>
        <w:rPr>
          <w:rFonts w:ascii="Arial" w:cs="Arial" w:eastAsia="Arial" w:hAnsi="Arial"/>
          <w:sz w:val="18"/>
          <w:szCs w:val="18"/>
          <w:b w:val="1"/>
          <w:bCs w:val="1"/>
          <w:color w:val="auto"/>
        </w:rPr>
        <w:t>Authorized Number of Shares</w:t>
      </w:r>
    </w:p>
    <w:p>
      <w:pPr>
        <w:spacing w:after="0" w:line="212" w:lineRule="exact"/>
        <w:rPr>
          <w:sz w:val="20"/>
          <w:szCs w:val="20"/>
          <w:color w:val="auto"/>
        </w:rPr>
      </w:pPr>
    </w:p>
    <w:p>
      <w:pPr>
        <w:ind w:firstLine="799"/>
        <w:spacing w:after="0"/>
        <w:rPr>
          <w:sz w:val="20"/>
          <w:szCs w:val="20"/>
          <w:color w:val="auto"/>
        </w:rPr>
      </w:pPr>
      <w:r>
        <w:rPr>
          <w:rFonts w:ascii="Arial" w:cs="Arial" w:eastAsia="Arial" w:hAnsi="Arial"/>
          <w:sz w:val="18"/>
          <w:szCs w:val="18"/>
          <w:color w:val="auto"/>
        </w:rPr>
        <w:t xml:space="preserve">Subject to adjustment under </w:t>
      </w:r>
      <w:r>
        <w:rPr>
          <w:rFonts w:ascii="Arial" w:cs="Arial" w:eastAsia="Arial" w:hAnsi="Arial"/>
          <w:sz w:val="18"/>
          <w:szCs w:val="18"/>
          <w:b w:val="1"/>
          <w:bCs w:val="1"/>
          <w:color w:val="auto"/>
        </w:rPr>
        <w:t>Section 15</w:t>
      </w:r>
      <w:r>
        <w:rPr>
          <w:rFonts w:ascii="Arial" w:cs="Arial" w:eastAsia="Arial" w:hAnsi="Arial"/>
          <w:sz w:val="18"/>
          <w:szCs w:val="18"/>
          <w:color w:val="auto"/>
        </w:rPr>
        <w:t xml:space="preserve">, the total number of shares of Common Stock authorized to be awarded under the Plan shall not exceed the sum of (A) 7,500,000 and (B) the number of shares of Common Stock available for the grant of awards as of the Effective Date under the Predecessor Plan. In addition, shares of Common Stock underlying any outstanding award granted under the Predecessor Plan that, following the Effective Date, (i) expires, or is terminated, surrendered or forfeited for any reason without issuance of such shares or (ii) are withheld by the Company in payment or satisfaction of the purchase price of an option or tax withholding obligation, shall be available for the grant of new Awards under this Plan. As provided in </w:t>
      </w:r>
      <w:r>
        <w:rPr>
          <w:rFonts w:ascii="Arial" w:cs="Arial" w:eastAsia="Arial" w:hAnsi="Arial"/>
          <w:sz w:val="18"/>
          <w:szCs w:val="18"/>
          <w:b w:val="1"/>
          <w:bCs w:val="1"/>
          <w:color w:val="auto"/>
        </w:rPr>
        <w:t>Section 1</w:t>
      </w:r>
      <w:r>
        <w:rPr>
          <w:rFonts w:ascii="Arial" w:cs="Arial" w:eastAsia="Arial" w:hAnsi="Arial"/>
          <w:sz w:val="18"/>
          <w:szCs w:val="18"/>
          <w:color w:val="auto"/>
        </w:rPr>
        <w:t>, no new awards shall be granted under the Predecessor Plan following the Effective Date. Shares issued under the Plan may consist in whole or in part of authorized but unissued shares, treasury shares, or shares purchased on the open market or otherwise, all as determined by the Company from time to time.</w:t>
      </w:r>
    </w:p>
    <w:p>
      <w:pPr>
        <w:spacing w:after="0" w:line="208" w:lineRule="exact"/>
        <w:rPr>
          <w:sz w:val="20"/>
          <w:szCs w:val="20"/>
          <w:color w:val="auto"/>
        </w:rPr>
      </w:pPr>
    </w:p>
    <w:p>
      <w:pPr>
        <w:ind w:left="580"/>
        <w:spacing w:after="0"/>
        <w:tabs>
          <w:tab w:leader="none" w:pos="1680" w:val="left"/>
        </w:tabs>
        <w:rPr>
          <w:sz w:val="20"/>
          <w:szCs w:val="20"/>
          <w:color w:val="auto"/>
        </w:rPr>
      </w:pPr>
      <w:r>
        <w:rPr>
          <w:rFonts w:ascii="Arial" w:cs="Arial" w:eastAsia="Arial" w:hAnsi="Arial"/>
          <w:sz w:val="18"/>
          <w:szCs w:val="18"/>
          <w:b w:val="1"/>
          <w:bCs w:val="1"/>
          <w:color w:val="auto"/>
        </w:rPr>
        <w:t>4.2.</w:t>
      </w:r>
      <w:r>
        <w:rPr>
          <w:sz w:val="20"/>
          <w:szCs w:val="20"/>
          <w:color w:val="auto"/>
        </w:rPr>
        <w:tab/>
      </w:r>
      <w:r>
        <w:rPr>
          <w:rFonts w:ascii="Arial" w:cs="Arial" w:eastAsia="Arial" w:hAnsi="Arial"/>
          <w:sz w:val="17"/>
          <w:szCs w:val="17"/>
          <w:b w:val="1"/>
          <w:bCs w:val="1"/>
          <w:color w:val="auto"/>
        </w:rPr>
        <w:t>Share Counting</w:t>
      </w:r>
    </w:p>
    <w:p>
      <w:pPr>
        <w:spacing w:after="0" w:line="239" w:lineRule="exact"/>
        <w:rPr>
          <w:sz w:val="20"/>
          <w:szCs w:val="20"/>
          <w:color w:val="auto"/>
        </w:rPr>
      </w:pPr>
    </w:p>
    <w:p>
      <w:pPr>
        <w:ind w:left="1260"/>
        <w:spacing w:after="0"/>
        <w:tabs>
          <w:tab w:leader="none" w:pos="2600" w:val="left"/>
        </w:tabs>
        <w:rPr>
          <w:sz w:val="20"/>
          <w:szCs w:val="20"/>
          <w:color w:val="auto"/>
        </w:rPr>
      </w:pPr>
      <w:r>
        <w:rPr>
          <w:rFonts w:ascii="Arial" w:cs="Arial" w:eastAsia="Arial" w:hAnsi="Arial"/>
          <w:sz w:val="18"/>
          <w:szCs w:val="18"/>
          <w:b w:val="1"/>
          <w:bCs w:val="1"/>
          <w:color w:val="auto"/>
        </w:rPr>
        <w:t>4.2.1.</w:t>
      </w:r>
      <w:r>
        <w:rPr>
          <w:sz w:val="20"/>
          <w:szCs w:val="20"/>
          <w:color w:val="auto"/>
        </w:rPr>
        <w:tab/>
      </w:r>
      <w:r>
        <w:rPr>
          <w:rFonts w:ascii="Arial" w:cs="Arial" w:eastAsia="Arial" w:hAnsi="Arial"/>
          <w:sz w:val="17"/>
          <w:szCs w:val="17"/>
          <w:b w:val="1"/>
          <w:bCs w:val="1"/>
          <w:color w:val="auto"/>
        </w:rPr>
        <w:t>General</w:t>
      </w:r>
    </w:p>
    <w:p>
      <w:pPr>
        <w:spacing w:after="0" w:line="212" w:lineRule="exact"/>
        <w:rPr>
          <w:sz w:val="20"/>
          <w:szCs w:val="20"/>
          <w:color w:val="auto"/>
        </w:rPr>
      </w:pPr>
    </w:p>
    <w:p>
      <w:pPr>
        <w:jc w:val="both"/>
        <w:ind w:right="220" w:firstLine="799"/>
        <w:spacing w:after="0" w:line="253" w:lineRule="auto"/>
        <w:rPr>
          <w:sz w:val="20"/>
          <w:szCs w:val="20"/>
          <w:color w:val="auto"/>
        </w:rPr>
      </w:pPr>
      <w:r>
        <w:rPr>
          <w:rFonts w:ascii="Arial" w:cs="Arial" w:eastAsia="Arial" w:hAnsi="Arial"/>
          <w:sz w:val="18"/>
          <w:szCs w:val="18"/>
          <w:color w:val="auto"/>
        </w:rPr>
        <w:t xml:space="preserve">Each share of Common Stock granted in connection with an Award shall be counted as one share against the limit in </w:t>
      </w:r>
      <w:r>
        <w:rPr>
          <w:rFonts w:ascii="Arial" w:cs="Arial" w:eastAsia="Arial" w:hAnsi="Arial"/>
          <w:sz w:val="18"/>
          <w:szCs w:val="18"/>
          <w:b w:val="1"/>
          <w:bCs w:val="1"/>
          <w:color w:val="auto"/>
        </w:rPr>
        <w:t>Section 4.1</w:t>
      </w:r>
      <w:r>
        <w:rPr>
          <w:rFonts w:ascii="Arial" w:cs="Arial" w:eastAsia="Arial" w:hAnsi="Arial"/>
          <w:sz w:val="18"/>
          <w:szCs w:val="18"/>
          <w:color w:val="auto"/>
        </w:rPr>
        <w:t xml:space="preserve">, subject to the provisions of this </w:t>
      </w:r>
      <w:r>
        <w:rPr>
          <w:rFonts w:ascii="Arial" w:cs="Arial" w:eastAsia="Arial" w:hAnsi="Arial"/>
          <w:sz w:val="18"/>
          <w:szCs w:val="18"/>
          <w:b w:val="1"/>
          <w:bCs w:val="1"/>
          <w:color w:val="auto"/>
        </w:rPr>
        <w:t>Section 4.2</w:t>
      </w:r>
      <w:r>
        <w:rPr>
          <w:rFonts w:ascii="Arial" w:cs="Arial" w:eastAsia="Arial" w:hAnsi="Arial"/>
          <w:sz w:val="18"/>
          <w:szCs w:val="18"/>
          <w:color w:val="auto"/>
        </w:rPr>
        <w:t>. Share-based Performance Awards shall be counted assuming maximum performance results (if applicable) until such time as actual performance results can be determined.</w:t>
      </w:r>
    </w:p>
    <w:p>
      <w:pPr>
        <w:spacing w:after="0" w:line="196" w:lineRule="exact"/>
        <w:rPr>
          <w:sz w:val="20"/>
          <w:szCs w:val="20"/>
          <w:color w:val="auto"/>
        </w:rPr>
      </w:pPr>
    </w:p>
    <w:p>
      <w:pPr>
        <w:ind w:left="1260"/>
        <w:spacing w:after="0"/>
        <w:tabs>
          <w:tab w:leader="none" w:pos="2600" w:val="left"/>
        </w:tabs>
        <w:rPr>
          <w:sz w:val="20"/>
          <w:szCs w:val="20"/>
          <w:color w:val="auto"/>
        </w:rPr>
      </w:pPr>
      <w:r>
        <w:rPr>
          <w:rFonts w:ascii="Arial" w:cs="Arial" w:eastAsia="Arial" w:hAnsi="Arial"/>
          <w:sz w:val="18"/>
          <w:szCs w:val="18"/>
          <w:b w:val="1"/>
          <w:bCs w:val="1"/>
          <w:color w:val="auto"/>
        </w:rPr>
        <w:t>4.2.2.</w:t>
      </w:r>
      <w:r>
        <w:rPr>
          <w:sz w:val="20"/>
          <w:szCs w:val="20"/>
          <w:color w:val="auto"/>
        </w:rPr>
        <w:tab/>
      </w:r>
      <w:r>
        <w:rPr>
          <w:rFonts w:ascii="Arial" w:cs="Arial" w:eastAsia="Arial" w:hAnsi="Arial"/>
          <w:sz w:val="17"/>
          <w:szCs w:val="17"/>
          <w:b w:val="1"/>
          <w:bCs w:val="1"/>
          <w:color w:val="auto"/>
        </w:rPr>
        <w:t>Cash-Settled Awards</w:t>
      </w:r>
    </w:p>
    <w:p>
      <w:pPr>
        <w:spacing w:after="0" w:line="234" w:lineRule="exact"/>
        <w:rPr>
          <w:sz w:val="20"/>
          <w:szCs w:val="20"/>
          <w:color w:val="auto"/>
        </w:rPr>
      </w:pPr>
    </w:p>
    <w:p>
      <w:pPr>
        <w:ind w:left="800"/>
        <w:spacing w:after="0"/>
        <w:rPr>
          <w:sz w:val="20"/>
          <w:szCs w:val="20"/>
          <w:color w:val="auto"/>
        </w:rPr>
      </w:pPr>
      <w:r>
        <w:rPr>
          <w:rFonts w:ascii="Arial" w:cs="Arial" w:eastAsia="Arial" w:hAnsi="Arial"/>
          <w:sz w:val="18"/>
          <w:szCs w:val="18"/>
          <w:color w:val="auto"/>
        </w:rPr>
        <w:t>Any Award settled in cash shall not be counted as shares of Common Stock for any purpose under this Plan.</w:t>
      </w:r>
    </w:p>
    <w:p>
      <w:pPr>
        <w:spacing w:after="0" w:line="217" w:lineRule="exact"/>
        <w:rPr>
          <w:sz w:val="20"/>
          <w:szCs w:val="20"/>
          <w:color w:val="auto"/>
        </w:rPr>
      </w:pPr>
    </w:p>
    <w:p>
      <w:pPr>
        <w:ind w:left="1260"/>
        <w:spacing w:after="0"/>
        <w:tabs>
          <w:tab w:leader="none" w:pos="2600" w:val="left"/>
        </w:tabs>
        <w:rPr>
          <w:sz w:val="20"/>
          <w:szCs w:val="20"/>
          <w:color w:val="auto"/>
        </w:rPr>
      </w:pPr>
      <w:r>
        <w:rPr>
          <w:rFonts w:ascii="Arial" w:cs="Arial" w:eastAsia="Arial" w:hAnsi="Arial"/>
          <w:sz w:val="18"/>
          <w:szCs w:val="18"/>
          <w:b w:val="1"/>
          <w:bCs w:val="1"/>
          <w:color w:val="auto"/>
        </w:rPr>
        <w:t>4.2.3.</w:t>
      </w:r>
      <w:r>
        <w:rPr>
          <w:sz w:val="20"/>
          <w:szCs w:val="20"/>
          <w:color w:val="auto"/>
        </w:rPr>
        <w:tab/>
      </w:r>
      <w:r>
        <w:rPr>
          <w:rFonts w:ascii="Arial" w:cs="Arial" w:eastAsia="Arial" w:hAnsi="Arial"/>
          <w:sz w:val="17"/>
          <w:szCs w:val="17"/>
          <w:b w:val="1"/>
          <w:bCs w:val="1"/>
          <w:color w:val="auto"/>
        </w:rPr>
        <w:t>Expired or Terminated Awards</w:t>
      </w:r>
    </w:p>
    <w:p>
      <w:pPr>
        <w:spacing w:after="0" w:line="234" w:lineRule="exact"/>
        <w:rPr>
          <w:sz w:val="20"/>
          <w:szCs w:val="20"/>
          <w:color w:val="auto"/>
        </w:rPr>
      </w:pPr>
    </w:p>
    <w:p>
      <w:pPr>
        <w:ind w:right="500" w:firstLine="799"/>
        <w:spacing w:after="0" w:line="246" w:lineRule="auto"/>
        <w:rPr>
          <w:sz w:val="20"/>
          <w:szCs w:val="20"/>
          <w:color w:val="auto"/>
        </w:rPr>
      </w:pPr>
      <w:r>
        <w:rPr>
          <w:rFonts w:ascii="Arial" w:cs="Arial" w:eastAsia="Arial" w:hAnsi="Arial"/>
          <w:sz w:val="18"/>
          <w:szCs w:val="18"/>
          <w:color w:val="auto"/>
        </w:rPr>
        <w:t>If any Award under the Plan expires, or is terminated, surrendered or forfeited, in whole or in part, the unissued Common Stock covered by such Award shall again be available for the grant of Awards under the Plan.</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1400"/>
          </w:cols>
          <w:pgMar w:left="240" w:top="459" w:right="25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60"/>
        <w:spacing w:after="0"/>
        <w:tabs>
          <w:tab w:leader="none" w:pos="2600" w:val="left"/>
        </w:tabs>
        <w:rPr>
          <w:sz w:val="20"/>
          <w:szCs w:val="20"/>
          <w:color w:val="auto"/>
        </w:rPr>
      </w:pPr>
      <w:r>
        <w:rPr>
          <w:rFonts w:ascii="Arial" w:cs="Arial" w:eastAsia="Arial" w:hAnsi="Arial"/>
          <w:sz w:val="18"/>
          <w:szCs w:val="18"/>
          <w:b w:val="1"/>
          <w:bCs w:val="1"/>
          <w:color w:val="auto"/>
        </w:rPr>
        <w:t>4.2.4.</w:t>
      </w:r>
      <w:r>
        <w:rPr>
          <w:sz w:val="20"/>
          <w:szCs w:val="20"/>
          <w:color w:val="auto"/>
        </w:rPr>
        <w:tab/>
      </w:r>
      <w:r>
        <w:rPr>
          <w:rFonts w:ascii="Arial" w:cs="Arial" w:eastAsia="Arial" w:hAnsi="Arial"/>
          <w:sz w:val="17"/>
          <w:szCs w:val="17"/>
          <w:b w:val="1"/>
          <w:bCs w:val="1"/>
          <w:color w:val="auto"/>
        </w:rPr>
        <w:t>Payment of Option Price or Tax Withholding in Shares</w:t>
      </w:r>
    </w:p>
    <w:p>
      <w:pPr>
        <w:spacing w:after="0" w:line="234" w:lineRule="exact"/>
        <w:rPr>
          <w:sz w:val="20"/>
          <w:szCs w:val="20"/>
          <w:color w:val="auto"/>
        </w:rPr>
      </w:pPr>
    </w:p>
    <w:p>
      <w:pPr>
        <w:ind w:right="100" w:firstLine="799"/>
        <w:spacing w:after="0" w:line="237" w:lineRule="auto"/>
        <w:rPr>
          <w:sz w:val="20"/>
          <w:szCs w:val="20"/>
          <w:color w:val="auto"/>
        </w:rPr>
      </w:pPr>
      <w:r>
        <w:rPr>
          <w:rFonts w:ascii="Arial" w:cs="Arial" w:eastAsia="Arial" w:hAnsi="Arial"/>
          <w:sz w:val="18"/>
          <w:szCs w:val="18"/>
          <w:color w:val="auto"/>
        </w:rPr>
        <w:t xml:space="preserve">If shares of Common Stock issuable upon exercise, vesting or settlement of an Award, or shares of Common Stock owned by a Grantee (which are not subject to any pledge or other security interest), are surrendered or tendered to the Company in payment of the Option Price or Purchase Price of an Award or any taxes required to be withheld in respect of an Award, in each case, in accordance with the terms and conditions of the Plan and any applicable Award Agreement, such surrendered or tendered shares of Common Stock shall again be available for the grant of Awards under the Plan. For a share-settled SAR, only the net shares actually issued upon exercise of the SAR shall be counted against the limit in </w:t>
      </w:r>
      <w:r>
        <w:rPr>
          <w:rFonts w:ascii="Arial" w:cs="Arial" w:eastAsia="Arial" w:hAnsi="Arial"/>
          <w:sz w:val="18"/>
          <w:szCs w:val="18"/>
          <w:b w:val="1"/>
          <w:bCs w:val="1"/>
          <w:color w:val="auto"/>
        </w:rPr>
        <w:t>Section 4.1.</w:t>
      </w:r>
    </w:p>
    <w:p>
      <w:pPr>
        <w:spacing w:after="0" w:line="210" w:lineRule="exact"/>
        <w:rPr>
          <w:sz w:val="20"/>
          <w:szCs w:val="20"/>
          <w:color w:val="auto"/>
        </w:rPr>
      </w:pPr>
    </w:p>
    <w:p>
      <w:pPr>
        <w:ind w:left="1260"/>
        <w:spacing w:after="0"/>
        <w:tabs>
          <w:tab w:leader="none" w:pos="2600" w:val="left"/>
        </w:tabs>
        <w:rPr>
          <w:sz w:val="20"/>
          <w:szCs w:val="20"/>
          <w:color w:val="auto"/>
        </w:rPr>
      </w:pPr>
      <w:r>
        <w:rPr>
          <w:rFonts w:ascii="Arial" w:cs="Arial" w:eastAsia="Arial" w:hAnsi="Arial"/>
          <w:sz w:val="18"/>
          <w:szCs w:val="18"/>
          <w:b w:val="1"/>
          <w:bCs w:val="1"/>
          <w:color w:val="auto"/>
        </w:rPr>
        <w:t>4.2.5.</w:t>
      </w:r>
      <w:r>
        <w:rPr>
          <w:sz w:val="20"/>
          <w:szCs w:val="20"/>
          <w:color w:val="auto"/>
        </w:rPr>
        <w:tab/>
      </w:r>
      <w:r>
        <w:rPr>
          <w:rFonts w:ascii="Arial" w:cs="Arial" w:eastAsia="Arial" w:hAnsi="Arial"/>
          <w:sz w:val="17"/>
          <w:szCs w:val="17"/>
          <w:b w:val="1"/>
          <w:bCs w:val="1"/>
          <w:color w:val="auto"/>
        </w:rPr>
        <w:t>Substitute Awards</w:t>
      </w:r>
    </w:p>
    <w:p>
      <w:pPr>
        <w:spacing w:after="0" w:line="22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In the case of any Substitute Award, such Substitute Award shall not be counted against the number of shares reserved under the</w:t>
      </w:r>
    </w:p>
    <w:p>
      <w:pPr>
        <w:spacing w:after="0"/>
        <w:rPr>
          <w:sz w:val="20"/>
          <w:szCs w:val="20"/>
          <w:color w:val="auto"/>
        </w:rPr>
      </w:pPr>
      <w:r>
        <w:rPr>
          <w:rFonts w:ascii="Arial" w:cs="Arial" w:eastAsia="Arial" w:hAnsi="Arial"/>
          <w:sz w:val="18"/>
          <w:szCs w:val="18"/>
          <w:color w:val="auto"/>
        </w:rPr>
        <w:t>Plan.</w:t>
      </w:r>
    </w:p>
    <w:p>
      <w:pPr>
        <w:spacing w:after="0" w:line="217" w:lineRule="exact"/>
        <w:rPr>
          <w:sz w:val="20"/>
          <w:szCs w:val="20"/>
          <w:color w:val="auto"/>
        </w:rPr>
      </w:pPr>
    </w:p>
    <w:tbl>
      <w:tblPr>
        <w:tblLayout w:type="fixed"/>
        <w:tblInd w:w="580" w:type="dxa"/>
        <w:tblCellMar>
          <w:top w:w="0" w:type="dxa"/>
          <w:left w:w="0" w:type="dxa"/>
          <w:bottom w:w="0" w:type="dxa"/>
          <w:right w:w="0" w:type="dxa"/>
        </w:tblCellMar>
      </w:tblPr>
      <w:tr>
        <w:trPr>
          <w:trHeight w:val="239"/>
        </w:trPr>
        <w:tc>
          <w:tcPr>
            <w:tcW w:w="1120" w:type="dxa"/>
            <w:vAlign w:val="bottom"/>
          </w:tcPr>
          <w:p>
            <w:pPr>
              <w:jc w:val="right"/>
              <w:ind w:right="730"/>
              <w:spacing w:after="0"/>
              <w:rPr>
                <w:sz w:val="20"/>
                <w:szCs w:val="20"/>
                <w:color w:val="auto"/>
              </w:rPr>
            </w:pPr>
            <w:r>
              <w:rPr>
                <w:rFonts w:ascii="Arial" w:cs="Arial" w:eastAsia="Arial" w:hAnsi="Arial"/>
                <w:sz w:val="18"/>
                <w:szCs w:val="18"/>
                <w:b w:val="1"/>
                <w:bCs w:val="1"/>
                <w:color w:val="auto"/>
                <w:w w:val="93"/>
              </w:rPr>
              <w:t>4.3.</w:t>
            </w:r>
          </w:p>
        </w:tc>
        <w:tc>
          <w:tcPr>
            <w:tcW w:w="3020" w:type="dxa"/>
            <w:vAlign w:val="bottom"/>
          </w:tcPr>
          <w:p>
            <w:pPr>
              <w:spacing w:after="0"/>
              <w:rPr>
                <w:sz w:val="20"/>
                <w:szCs w:val="20"/>
                <w:color w:val="auto"/>
              </w:rPr>
            </w:pPr>
            <w:r>
              <w:rPr>
                <w:rFonts w:ascii="Arial" w:cs="Arial" w:eastAsia="Arial" w:hAnsi="Arial"/>
                <w:sz w:val="18"/>
                <w:szCs w:val="18"/>
                <w:b w:val="1"/>
                <w:bCs w:val="1"/>
                <w:color w:val="auto"/>
              </w:rPr>
              <w:t>Award Limits</w:t>
            </w:r>
          </w:p>
        </w:tc>
      </w:tr>
      <w:tr>
        <w:trPr>
          <w:trHeight w:val="446"/>
        </w:trPr>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4.3.1.</w:t>
            </w:r>
          </w:p>
        </w:tc>
        <w:tc>
          <w:tcPr>
            <w:tcW w:w="3020" w:type="dxa"/>
            <w:vAlign w:val="bottom"/>
          </w:tcPr>
          <w:p>
            <w:pPr>
              <w:ind w:left="920"/>
              <w:spacing w:after="0"/>
              <w:rPr>
                <w:sz w:val="20"/>
                <w:szCs w:val="20"/>
                <w:color w:val="auto"/>
              </w:rPr>
            </w:pPr>
            <w:r>
              <w:rPr>
                <w:rFonts w:ascii="Arial" w:cs="Arial" w:eastAsia="Arial" w:hAnsi="Arial"/>
                <w:sz w:val="18"/>
                <w:szCs w:val="18"/>
                <w:b w:val="1"/>
                <w:bCs w:val="1"/>
                <w:color w:val="auto"/>
                <w:w w:val="98"/>
              </w:rPr>
              <w:t>Incentive Stock Options.</w:t>
            </w:r>
          </w:p>
        </w:tc>
      </w:tr>
    </w:tbl>
    <w:p>
      <w:pPr>
        <w:spacing w:after="0" w:line="180" w:lineRule="exact"/>
        <w:rPr>
          <w:sz w:val="20"/>
          <w:szCs w:val="20"/>
          <w:color w:val="auto"/>
        </w:rPr>
      </w:pPr>
    </w:p>
    <w:p>
      <w:pPr>
        <w:jc w:val="both"/>
        <w:ind w:right="20" w:firstLine="799"/>
        <w:spacing w:after="0" w:line="271" w:lineRule="auto"/>
        <w:rPr>
          <w:sz w:val="20"/>
          <w:szCs w:val="20"/>
          <w:color w:val="auto"/>
        </w:rPr>
      </w:pPr>
      <w:r>
        <w:rPr>
          <w:rFonts w:ascii="Arial" w:cs="Arial" w:eastAsia="Arial" w:hAnsi="Arial"/>
          <w:sz w:val="18"/>
          <w:szCs w:val="18"/>
          <w:color w:val="auto"/>
        </w:rPr>
        <w:t xml:space="preserve">Subject to adjustment under </w:t>
      </w:r>
      <w:r>
        <w:rPr>
          <w:rFonts w:ascii="Arial" w:cs="Arial" w:eastAsia="Arial" w:hAnsi="Arial"/>
          <w:sz w:val="18"/>
          <w:szCs w:val="18"/>
          <w:b w:val="1"/>
          <w:bCs w:val="1"/>
          <w:color w:val="auto"/>
        </w:rPr>
        <w:t>Section 15</w:t>
      </w:r>
      <w:r>
        <w:rPr>
          <w:rFonts w:ascii="Arial" w:cs="Arial" w:eastAsia="Arial" w:hAnsi="Arial"/>
          <w:sz w:val="18"/>
          <w:szCs w:val="18"/>
          <w:color w:val="auto"/>
        </w:rPr>
        <w:t>, 7,500,000 shares of Common Stock available for issuance under the Plan shall be available for issuance under Incentive Stock Options.</w:t>
      </w:r>
    </w:p>
    <w:p>
      <w:pPr>
        <w:spacing w:after="0" w:line="181" w:lineRule="exact"/>
        <w:rPr>
          <w:sz w:val="20"/>
          <w:szCs w:val="20"/>
          <w:color w:val="auto"/>
        </w:rPr>
      </w:pPr>
    </w:p>
    <w:p>
      <w:pPr>
        <w:ind w:left="1260"/>
        <w:spacing w:after="0"/>
        <w:tabs>
          <w:tab w:leader="none" w:pos="2600" w:val="left"/>
        </w:tabs>
        <w:rPr>
          <w:sz w:val="20"/>
          <w:szCs w:val="20"/>
          <w:color w:val="auto"/>
        </w:rPr>
      </w:pPr>
      <w:r>
        <w:rPr>
          <w:rFonts w:ascii="Arial" w:cs="Arial" w:eastAsia="Arial" w:hAnsi="Arial"/>
          <w:sz w:val="18"/>
          <w:szCs w:val="18"/>
          <w:b w:val="1"/>
          <w:bCs w:val="1"/>
          <w:color w:val="auto"/>
        </w:rPr>
        <w:t>4.3.2.</w:t>
      </w:r>
      <w:r>
        <w:rPr>
          <w:sz w:val="20"/>
          <w:szCs w:val="20"/>
          <w:color w:val="auto"/>
        </w:rPr>
        <w:tab/>
      </w:r>
      <w:r>
        <w:rPr>
          <w:rFonts w:ascii="Arial" w:cs="Arial" w:eastAsia="Arial" w:hAnsi="Arial"/>
          <w:sz w:val="17"/>
          <w:szCs w:val="17"/>
          <w:b w:val="1"/>
          <w:bCs w:val="1"/>
          <w:color w:val="auto"/>
        </w:rPr>
        <w:t>Individual Award Limits for Section 162(m) – Share-Based Awards.</w:t>
      </w:r>
    </w:p>
    <w:p>
      <w:pPr>
        <w:spacing w:after="0" w:line="212" w:lineRule="exact"/>
        <w:rPr>
          <w:sz w:val="20"/>
          <w:szCs w:val="20"/>
          <w:color w:val="auto"/>
        </w:rPr>
      </w:pPr>
    </w:p>
    <w:p>
      <w:pPr>
        <w:ind w:right="20" w:firstLine="799"/>
        <w:spacing w:after="0" w:line="247" w:lineRule="auto"/>
        <w:rPr>
          <w:sz w:val="20"/>
          <w:szCs w:val="20"/>
          <w:color w:val="auto"/>
        </w:rPr>
      </w:pPr>
      <w:r>
        <w:rPr>
          <w:rFonts w:ascii="Arial" w:cs="Arial" w:eastAsia="Arial" w:hAnsi="Arial"/>
          <w:sz w:val="18"/>
          <w:szCs w:val="18"/>
          <w:color w:val="auto"/>
        </w:rPr>
        <w:t xml:space="preserve">Subject to adjustment under </w:t>
      </w:r>
      <w:r>
        <w:rPr>
          <w:rFonts w:ascii="Arial" w:cs="Arial" w:eastAsia="Arial" w:hAnsi="Arial"/>
          <w:sz w:val="18"/>
          <w:szCs w:val="18"/>
          <w:b w:val="1"/>
          <w:bCs w:val="1"/>
          <w:color w:val="auto"/>
        </w:rPr>
        <w:t>Section 15</w:t>
      </w:r>
      <w:r>
        <w:rPr>
          <w:rFonts w:ascii="Arial" w:cs="Arial" w:eastAsia="Arial" w:hAnsi="Arial"/>
          <w:sz w:val="18"/>
          <w:szCs w:val="18"/>
          <w:color w:val="auto"/>
        </w:rPr>
        <w:t>, the maximum number of each type of Award (other than cash-based Performance Awards) granted to any Grantee in any calendar year shall not exceed the following number of shares of Common Stock: (i) Options and SARs: 750,000 shares; and (ii) all share-based Performance Awards intended to constitute “performance-based compensation” under Section 162(m) (including Restricted Stock, Restricted Stock Units and Other Stock-based Awards that are Performance Awards): 750,000 shares.</w:t>
      </w:r>
    </w:p>
    <w:p>
      <w:pPr>
        <w:spacing w:after="0" w:line="201" w:lineRule="exact"/>
        <w:rPr>
          <w:sz w:val="20"/>
          <w:szCs w:val="20"/>
          <w:color w:val="auto"/>
        </w:rPr>
      </w:pPr>
    </w:p>
    <w:p>
      <w:pPr>
        <w:ind w:left="1260"/>
        <w:spacing w:after="0"/>
        <w:tabs>
          <w:tab w:leader="none" w:pos="2600" w:val="left"/>
        </w:tabs>
        <w:rPr>
          <w:sz w:val="20"/>
          <w:szCs w:val="20"/>
          <w:color w:val="auto"/>
        </w:rPr>
      </w:pPr>
      <w:r>
        <w:rPr>
          <w:rFonts w:ascii="Arial" w:cs="Arial" w:eastAsia="Arial" w:hAnsi="Arial"/>
          <w:sz w:val="18"/>
          <w:szCs w:val="18"/>
          <w:b w:val="1"/>
          <w:bCs w:val="1"/>
          <w:color w:val="auto"/>
        </w:rPr>
        <w:t>4.3.3.</w:t>
      </w:r>
      <w:r>
        <w:rPr>
          <w:sz w:val="20"/>
          <w:szCs w:val="20"/>
          <w:color w:val="auto"/>
        </w:rPr>
        <w:tab/>
      </w:r>
      <w:r>
        <w:rPr>
          <w:rFonts w:ascii="Arial" w:cs="Arial" w:eastAsia="Arial" w:hAnsi="Arial"/>
          <w:sz w:val="17"/>
          <w:szCs w:val="17"/>
          <w:b w:val="1"/>
          <w:bCs w:val="1"/>
          <w:color w:val="auto"/>
        </w:rPr>
        <w:t>Individual Award Limits for Section 162(m) – Cash-Based Awards.</w:t>
      </w:r>
    </w:p>
    <w:p>
      <w:pPr>
        <w:spacing w:after="0" w:line="234" w:lineRule="exact"/>
        <w:rPr>
          <w:sz w:val="20"/>
          <w:szCs w:val="20"/>
          <w:color w:val="auto"/>
        </w:rPr>
      </w:pPr>
    </w:p>
    <w:p>
      <w:pPr>
        <w:ind w:right="100" w:firstLine="799"/>
        <w:spacing w:after="0"/>
        <w:rPr>
          <w:sz w:val="20"/>
          <w:szCs w:val="20"/>
          <w:color w:val="auto"/>
        </w:rPr>
      </w:pPr>
      <w:r>
        <w:rPr>
          <w:rFonts w:ascii="Arial" w:cs="Arial" w:eastAsia="Arial" w:hAnsi="Arial"/>
          <w:sz w:val="18"/>
          <w:szCs w:val="18"/>
          <w:color w:val="auto"/>
        </w:rPr>
        <w:t>The maximum amount of cash-based Performance Awards intended to constitute “performance-based compensation” under Section 162(m) granted to any Grantee in any calendar year shall not exceed the following: (i) Annual Incentive Award: $10,000,000; and (ii) all other cash-based Performance Awards: $10,000,000.</w:t>
      </w:r>
    </w:p>
    <w:p>
      <w:pPr>
        <w:spacing w:after="0" w:line="208" w:lineRule="exact"/>
        <w:rPr>
          <w:sz w:val="20"/>
          <w:szCs w:val="20"/>
          <w:color w:val="auto"/>
        </w:rPr>
      </w:pPr>
    </w:p>
    <w:p>
      <w:pPr>
        <w:ind w:left="1260"/>
        <w:spacing w:after="0"/>
        <w:tabs>
          <w:tab w:leader="none" w:pos="2600" w:val="left"/>
        </w:tabs>
        <w:rPr>
          <w:sz w:val="20"/>
          <w:szCs w:val="20"/>
          <w:color w:val="auto"/>
        </w:rPr>
      </w:pPr>
      <w:r>
        <w:rPr>
          <w:rFonts w:ascii="Arial" w:cs="Arial" w:eastAsia="Arial" w:hAnsi="Arial"/>
          <w:sz w:val="18"/>
          <w:szCs w:val="18"/>
          <w:b w:val="1"/>
          <w:bCs w:val="1"/>
          <w:color w:val="auto"/>
        </w:rPr>
        <w:t>4.3.4.</w:t>
      </w:r>
      <w:r>
        <w:rPr>
          <w:sz w:val="20"/>
          <w:szCs w:val="20"/>
          <w:color w:val="auto"/>
        </w:rPr>
        <w:tab/>
      </w:r>
      <w:r>
        <w:rPr>
          <w:rFonts w:ascii="Arial" w:cs="Arial" w:eastAsia="Arial" w:hAnsi="Arial"/>
          <w:sz w:val="17"/>
          <w:szCs w:val="17"/>
          <w:b w:val="1"/>
          <w:bCs w:val="1"/>
          <w:color w:val="auto"/>
        </w:rPr>
        <w:t>Limits on Awards to Non-Employee Directors.</w:t>
      </w:r>
    </w:p>
    <w:p>
      <w:pPr>
        <w:spacing w:after="0" w:line="234" w:lineRule="exact"/>
        <w:rPr>
          <w:sz w:val="20"/>
          <w:szCs w:val="20"/>
          <w:color w:val="auto"/>
        </w:rPr>
      </w:pPr>
    </w:p>
    <w:p>
      <w:pPr>
        <w:ind w:firstLine="799"/>
        <w:spacing w:after="0" w:line="239" w:lineRule="auto"/>
        <w:rPr>
          <w:sz w:val="20"/>
          <w:szCs w:val="20"/>
          <w:color w:val="auto"/>
        </w:rPr>
      </w:pPr>
      <w:r>
        <w:rPr>
          <w:rFonts w:ascii="Arial" w:cs="Arial" w:eastAsia="Arial" w:hAnsi="Arial"/>
          <w:sz w:val="18"/>
          <w:szCs w:val="18"/>
          <w:color w:val="auto"/>
        </w:rPr>
        <w:t>No share-based Awards may be granted under the Plan during any one calendar year to a Grantee who is a Non-Employee Director that exceed, together with any cash compensation received for such service during the applicable year , $750,000 (based on the Fair Market Value of the shares of Common Stock underlying the Award as of the applicable Grant Date in the case of Restricted Stock, Restricted Stock Units or Other Stock-based Awards, and based on the applicable grant date fair value for accounting purposes in the case of Options or SARs).</w:t>
      </w:r>
    </w:p>
    <w:p>
      <w:pPr>
        <w:spacing w:after="0" w:line="207" w:lineRule="exact"/>
        <w:rPr>
          <w:sz w:val="20"/>
          <w:szCs w:val="20"/>
          <w:color w:val="auto"/>
        </w:rPr>
      </w:pPr>
    </w:p>
    <w:p>
      <w:pPr>
        <w:ind w:left="800" w:hanging="792"/>
        <w:spacing w:after="0"/>
        <w:tabs>
          <w:tab w:leader="none" w:pos="800" w:val="left"/>
        </w:tabs>
        <w:numPr>
          <w:ilvl w:val="0"/>
          <w:numId w:val="105"/>
        </w:numPr>
        <w:rPr>
          <w:rFonts w:ascii="Arial" w:cs="Arial" w:eastAsia="Arial" w:hAnsi="Arial"/>
          <w:sz w:val="18"/>
          <w:szCs w:val="18"/>
          <w:b w:val="1"/>
          <w:bCs w:val="1"/>
          <w:color w:val="auto"/>
        </w:rPr>
      </w:pPr>
      <w:r>
        <w:rPr>
          <w:rFonts w:ascii="Arial" w:cs="Arial" w:eastAsia="Arial" w:hAnsi="Arial"/>
          <w:sz w:val="18"/>
          <w:szCs w:val="18"/>
          <w:b w:val="1"/>
          <w:bCs w:val="1"/>
          <w:color w:val="auto"/>
        </w:rPr>
        <w:t>EFFECTIVE DATE, DURATION AND AMENDMENTS</w:t>
      </w:r>
    </w:p>
    <w:p>
      <w:pPr>
        <w:spacing w:after="0" w:line="239" w:lineRule="exact"/>
        <w:rPr>
          <w:sz w:val="20"/>
          <w:szCs w:val="20"/>
          <w:color w:val="auto"/>
        </w:rPr>
      </w:pPr>
    </w:p>
    <w:p>
      <w:pPr>
        <w:ind w:left="580"/>
        <w:spacing w:after="0"/>
        <w:tabs>
          <w:tab w:leader="none" w:pos="1680" w:val="left"/>
        </w:tabs>
        <w:rPr>
          <w:sz w:val="20"/>
          <w:szCs w:val="20"/>
          <w:color w:val="auto"/>
        </w:rPr>
      </w:pPr>
      <w:r>
        <w:rPr>
          <w:rFonts w:ascii="Arial" w:cs="Arial" w:eastAsia="Arial" w:hAnsi="Arial"/>
          <w:sz w:val="18"/>
          <w:szCs w:val="18"/>
          <w:b w:val="1"/>
          <w:bCs w:val="1"/>
          <w:color w:val="auto"/>
        </w:rPr>
        <w:t>5.1.</w:t>
      </w:r>
      <w:r>
        <w:rPr>
          <w:sz w:val="20"/>
          <w:szCs w:val="20"/>
          <w:color w:val="auto"/>
        </w:rPr>
        <w:tab/>
      </w:r>
      <w:r>
        <w:rPr>
          <w:rFonts w:ascii="Arial" w:cs="Arial" w:eastAsia="Arial" w:hAnsi="Arial"/>
          <w:sz w:val="17"/>
          <w:szCs w:val="17"/>
          <w:b w:val="1"/>
          <w:bCs w:val="1"/>
          <w:color w:val="auto"/>
        </w:rPr>
        <w:t>Term.</w:t>
      </w:r>
    </w:p>
    <w:p>
      <w:pPr>
        <w:spacing w:after="0" w:line="234" w:lineRule="exact"/>
        <w:rPr>
          <w:sz w:val="20"/>
          <w:szCs w:val="20"/>
          <w:color w:val="auto"/>
        </w:rPr>
      </w:pPr>
    </w:p>
    <w:p>
      <w:pPr>
        <w:jc w:val="both"/>
        <w:ind w:right="260" w:firstLine="799"/>
        <w:spacing w:after="0"/>
        <w:rPr>
          <w:sz w:val="20"/>
          <w:szCs w:val="20"/>
          <w:color w:val="auto"/>
        </w:rPr>
      </w:pPr>
      <w:r>
        <w:rPr>
          <w:rFonts w:ascii="Arial" w:cs="Arial" w:eastAsia="Arial" w:hAnsi="Arial"/>
          <w:sz w:val="18"/>
          <w:szCs w:val="18"/>
          <w:color w:val="auto"/>
        </w:rPr>
        <w:t xml:space="preserve">The Plan shall be effective as of the Effective Date, provided that it has been approved by the Company’s stockholders. The Plan shall terminate automatically on the ten (10) year anniversary of the Effective Date and may be terminated on any earlier date as provided in </w:t>
      </w:r>
      <w:r>
        <w:rPr>
          <w:rFonts w:ascii="Arial" w:cs="Arial" w:eastAsia="Arial" w:hAnsi="Arial"/>
          <w:sz w:val="18"/>
          <w:szCs w:val="18"/>
          <w:b w:val="1"/>
          <w:bCs w:val="1"/>
          <w:color w:val="auto"/>
        </w:rPr>
        <w:t>Section 5.2</w:t>
      </w:r>
      <w:r>
        <w:rPr>
          <w:rFonts w:ascii="Arial" w:cs="Arial" w:eastAsia="Arial" w:hAnsi="Arial"/>
          <w:sz w:val="18"/>
          <w:szCs w:val="18"/>
          <w:color w:val="auto"/>
        </w:rPr>
        <w:t>.</w:t>
      </w:r>
    </w:p>
    <w:p>
      <w:pPr>
        <w:spacing w:after="0" w:line="208" w:lineRule="exact"/>
        <w:rPr>
          <w:sz w:val="20"/>
          <w:szCs w:val="20"/>
          <w:color w:val="auto"/>
        </w:rPr>
      </w:pPr>
    </w:p>
    <w:p>
      <w:pPr>
        <w:ind w:left="580"/>
        <w:spacing w:after="0"/>
        <w:tabs>
          <w:tab w:leader="none" w:pos="1680" w:val="left"/>
        </w:tabs>
        <w:rPr>
          <w:sz w:val="20"/>
          <w:szCs w:val="20"/>
          <w:color w:val="auto"/>
        </w:rPr>
      </w:pPr>
      <w:r>
        <w:rPr>
          <w:rFonts w:ascii="Arial" w:cs="Arial" w:eastAsia="Arial" w:hAnsi="Arial"/>
          <w:sz w:val="18"/>
          <w:szCs w:val="18"/>
          <w:b w:val="1"/>
          <w:bCs w:val="1"/>
          <w:color w:val="auto"/>
        </w:rPr>
        <w:t>5.2.</w:t>
      </w:r>
      <w:r>
        <w:rPr>
          <w:sz w:val="20"/>
          <w:szCs w:val="20"/>
          <w:color w:val="auto"/>
        </w:rPr>
        <w:tab/>
      </w:r>
      <w:r>
        <w:rPr>
          <w:rFonts w:ascii="Arial" w:cs="Arial" w:eastAsia="Arial" w:hAnsi="Arial"/>
          <w:sz w:val="17"/>
          <w:szCs w:val="17"/>
          <w:b w:val="1"/>
          <w:bCs w:val="1"/>
          <w:color w:val="auto"/>
        </w:rPr>
        <w:t>Amendment and Termination of the Plan.</w:t>
      </w:r>
    </w:p>
    <w:p>
      <w:pPr>
        <w:spacing w:after="0" w:line="234" w:lineRule="exact"/>
        <w:rPr>
          <w:sz w:val="20"/>
          <w:szCs w:val="20"/>
          <w:color w:val="auto"/>
        </w:rPr>
      </w:pPr>
    </w:p>
    <w:p>
      <w:pPr>
        <w:ind w:right="340" w:firstLine="799"/>
        <w:spacing w:after="0" w:line="246" w:lineRule="auto"/>
        <w:rPr>
          <w:sz w:val="20"/>
          <w:szCs w:val="20"/>
          <w:color w:val="auto"/>
        </w:rPr>
      </w:pPr>
      <w:r>
        <w:rPr>
          <w:rFonts w:ascii="Arial" w:cs="Arial" w:eastAsia="Arial" w:hAnsi="Arial"/>
          <w:sz w:val="18"/>
          <w:szCs w:val="18"/>
          <w:color w:val="auto"/>
        </w:rPr>
        <w:t>The Board may, at any time and from time to time, amend, suspend, or terminate the Plan as to any Awards which have not been made. An amendment shall be contingent on approval of the Company’s stockholders to the extent stated</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1420"/>
          </w:cols>
          <w:pgMar w:left="240" w:top="459" w:right="2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220"/>
        <w:spacing w:after="0" w:line="238" w:lineRule="auto"/>
        <w:rPr>
          <w:sz w:val="20"/>
          <w:szCs w:val="20"/>
          <w:color w:val="auto"/>
        </w:rPr>
      </w:pPr>
      <w:r>
        <w:rPr>
          <w:rFonts w:ascii="Arial" w:cs="Arial" w:eastAsia="Arial" w:hAnsi="Arial"/>
          <w:sz w:val="18"/>
          <w:szCs w:val="18"/>
          <w:color w:val="auto"/>
        </w:rPr>
        <w:t xml:space="preserve">by the Board, required by applicable law or required by applicable stock exchange listing requirements. Notwithstanding the foregoing, any amendment to </w:t>
      </w:r>
      <w:r>
        <w:rPr>
          <w:rFonts w:ascii="Arial" w:cs="Arial" w:eastAsia="Arial" w:hAnsi="Arial"/>
          <w:sz w:val="18"/>
          <w:szCs w:val="18"/>
          <w:b w:val="1"/>
          <w:bCs w:val="1"/>
          <w:color w:val="auto"/>
        </w:rPr>
        <w:t>Section 3.2</w:t>
      </w:r>
      <w:r>
        <w:rPr>
          <w:rFonts w:ascii="Arial" w:cs="Arial" w:eastAsia="Arial" w:hAnsi="Arial"/>
          <w:sz w:val="18"/>
          <w:szCs w:val="18"/>
          <w:color w:val="auto"/>
        </w:rPr>
        <w:t xml:space="preserve"> shall be contingent upon the approval of the Company’s stockholders. No Awards shall be made after the Termination Date. The applicable terms of the Plan, and any terms and conditions applicable to Awards granted prior to the Termination Date shall survive the termination of the Plan and continue to apply to such Awards. No amendment, suspension, or termination of the Plan shall, without the consent of the Grantee, materially impair rights or obligations under any Award theretofore awarded.</w:t>
      </w:r>
    </w:p>
    <w:p>
      <w:pPr>
        <w:spacing w:after="0" w:line="208" w:lineRule="exact"/>
        <w:rPr>
          <w:sz w:val="20"/>
          <w:szCs w:val="20"/>
          <w:color w:val="auto"/>
        </w:rPr>
      </w:pPr>
    </w:p>
    <w:p>
      <w:pPr>
        <w:ind w:left="800" w:hanging="792"/>
        <w:spacing w:after="0"/>
        <w:tabs>
          <w:tab w:leader="none" w:pos="800" w:val="left"/>
        </w:tabs>
        <w:numPr>
          <w:ilvl w:val="0"/>
          <w:numId w:val="106"/>
        </w:numPr>
        <w:rPr>
          <w:rFonts w:ascii="Arial" w:cs="Arial" w:eastAsia="Arial" w:hAnsi="Arial"/>
          <w:sz w:val="18"/>
          <w:szCs w:val="18"/>
          <w:b w:val="1"/>
          <w:bCs w:val="1"/>
          <w:color w:val="auto"/>
        </w:rPr>
      </w:pPr>
      <w:r>
        <w:rPr>
          <w:rFonts w:ascii="Arial" w:cs="Arial" w:eastAsia="Arial" w:hAnsi="Arial"/>
          <w:sz w:val="18"/>
          <w:szCs w:val="18"/>
          <w:b w:val="1"/>
          <w:bCs w:val="1"/>
          <w:color w:val="auto"/>
        </w:rPr>
        <w:t>AWARD ELIGIBILITY AND LIMITATIONS</w:t>
      </w:r>
    </w:p>
    <w:p>
      <w:pPr>
        <w:spacing w:after="0" w:line="239" w:lineRule="exact"/>
        <w:rPr>
          <w:sz w:val="20"/>
          <w:szCs w:val="20"/>
          <w:color w:val="auto"/>
        </w:rPr>
      </w:pPr>
    </w:p>
    <w:p>
      <w:pPr>
        <w:ind w:left="580"/>
        <w:spacing w:after="0"/>
        <w:tabs>
          <w:tab w:leader="none" w:pos="1680" w:val="left"/>
        </w:tabs>
        <w:rPr>
          <w:sz w:val="20"/>
          <w:szCs w:val="20"/>
          <w:color w:val="auto"/>
        </w:rPr>
      </w:pPr>
      <w:r>
        <w:rPr>
          <w:rFonts w:ascii="Arial" w:cs="Arial" w:eastAsia="Arial" w:hAnsi="Arial"/>
          <w:sz w:val="18"/>
          <w:szCs w:val="18"/>
          <w:b w:val="1"/>
          <w:bCs w:val="1"/>
          <w:color w:val="auto"/>
        </w:rPr>
        <w:t>6.1.</w:t>
      </w:r>
      <w:r>
        <w:rPr>
          <w:sz w:val="20"/>
          <w:szCs w:val="20"/>
          <w:color w:val="auto"/>
        </w:rPr>
        <w:tab/>
      </w:r>
      <w:r>
        <w:rPr>
          <w:rFonts w:ascii="Arial" w:cs="Arial" w:eastAsia="Arial" w:hAnsi="Arial"/>
          <w:sz w:val="18"/>
          <w:szCs w:val="18"/>
          <w:b w:val="1"/>
          <w:bCs w:val="1"/>
          <w:color w:val="auto"/>
        </w:rPr>
        <w:t>Service Providers.</w:t>
      </w:r>
    </w:p>
    <w:p>
      <w:pPr>
        <w:spacing w:after="0" w:line="212" w:lineRule="exact"/>
        <w:rPr>
          <w:sz w:val="20"/>
          <w:szCs w:val="20"/>
          <w:color w:val="auto"/>
        </w:rPr>
      </w:pPr>
    </w:p>
    <w:p>
      <w:pPr>
        <w:ind w:right="220" w:firstLine="799"/>
        <w:spacing w:after="0" w:line="271" w:lineRule="auto"/>
        <w:rPr>
          <w:sz w:val="20"/>
          <w:szCs w:val="20"/>
          <w:color w:val="auto"/>
        </w:rPr>
      </w:pPr>
      <w:r>
        <w:rPr>
          <w:rFonts w:ascii="Arial" w:cs="Arial" w:eastAsia="Arial" w:hAnsi="Arial"/>
          <w:sz w:val="18"/>
          <w:szCs w:val="18"/>
          <w:color w:val="auto"/>
        </w:rPr>
        <w:t xml:space="preserve">Subject to this </w:t>
      </w:r>
      <w:r>
        <w:rPr>
          <w:rFonts w:ascii="Arial" w:cs="Arial" w:eastAsia="Arial" w:hAnsi="Arial"/>
          <w:sz w:val="18"/>
          <w:szCs w:val="18"/>
          <w:b w:val="1"/>
          <w:bCs w:val="1"/>
          <w:color w:val="auto"/>
        </w:rPr>
        <w:t>Section 6.1</w:t>
      </w:r>
      <w:r>
        <w:rPr>
          <w:rFonts w:ascii="Arial" w:cs="Arial" w:eastAsia="Arial" w:hAnsi="Arial"/>
          <w:sz w:val="18"/>
          <w:szCs w:val="18"/>
          <w:color w:val="auto"/>
        </w:rPr>
        <w:t>, Awards may be made to any Service Provider as the Board shall determine and designate from time to time in its discretion.</w:t>
      </w:r>
    </w:p>
    <w:p>
      <w:pPr>
        <w:spacing w:after="0" w:line="181" w:lineRule="exact"/>
        <w:rPr>
          <w:sz w:val="20"/>
          <w:szCs w:val="20"/>
          <w:color w:val="auto"/>
        </w:rPr>
      </w:pPr>
    </w:p>
    <w:p>
      <w:pPr>
        <w:ind w:left="580"/>
        <w:spacing w:after="0"/>
        <w:tabs>
          <w:tab w:leader="none" w:pos="1680" w:val="left"/>
        </w:tabs>
        <w:rPr>
          <w:sz w:val="20"/>
          <w:szCs w:val="20"/>
          <w:color w:val="auto"/>
        </w:rPr>
      </w:pPr>
      <w:r>
        <w:rPr>
          <w:rFonts w:ascii="Arial" w:cs="Arial" w:eastAsia="Arial" w:hAnsi="Arial"/>
          <w:sz w:val="18"/>
          <w:szCs w:val="18"/>
          <w:b w:val="1"/>
          <w:bCs w:val="1"/>
          <w:color w:val="auto"/>
        </w:rPr>
        <w:t>6.2.</w:t>
      </w:r>
      <w:r>
        <w:rPr>
          <w:sz w:val="20"/>
          <w:szCs w:val="20"/>
          <w:color w:val="auto"/>
        </w:rPr>
        <w:tab/>
      </w:r>
      <w:r>
        <w:rPr>
          <w:rFonts w:ascii="Arial" w:cs="Arial" w:eastAsia="Arial" w:hAnsi="Arial"/>
          <w:sz w:val="18"/>
          <w:szCs w:val="18"/>
          <w:b w:val="1"/>
          <w:bCs w:val="1"/>
          <w:color w:val="auto"/>
        </w:rPr>
        <w:t>Successive Awards.</w:t>
      </w:r>
    </w:p>
    <w:p>
      <w:pPr>
        <w:spacing w:after="0" w:line="234" w:lineRule="exact"/>
        <w:rPr>
          <w:sz w:val="20"/>
          <w:szCs w:val="20"/>
          <w:color w:val="auto"/>
        </w:rPr>
      </w:pPr>
    </w:p>
    <w:p>
      <w:pPr>
        <w:ind w:left="800"/>
        <w:spacing w:after="0"/>
        <w:rPr>
          <w:sz w:val="20"/>
          <w:szCs w:val="20"/>
          <w:color w:val="auto"/>
        </w:rPr>
      </w:pPr>
      <w:r>
        <w:rPr>
          <w:rFonts w:ascii="Arial" w:cs="Arial" w:eastAsia="Arial" w:hAnsi="Arial"/>
          <w:sz w:val="18"/>
          <w:szCs w:val="18"/>
          <w:color w:val="auto"/>
        </w:rPr>
        <w:t>An eligible person may receive more than one Award, subject to such restrictions as are provided herein.</w:t>
      </w:r>
    </w:p>
    <w:p>
      <w:pPr>
        <w:spacing w:after="0" w:line="217" w:lineRule="exact"/>
        <w:rPr>
          <w:sz w:val="20"/>
          <w:szCs w:val="20"/>
          <w:color w:val="auto"/>
        </w:rPr>
      </w:pPr>
    </w:p>
    <w:p>
      <w:pPr>
        <w:ind w:left="580"/>
        <w:spacing w:after="0"/>
        <w:tabs>
          <w:tab w:leader="none" w:pos="1680" w:val="left"/>
        </w:tabs>
        <w:rPr>
          <w:sz w:val="20"/>
          <w:szCs w:val="20"/>
          <w:color w:val="auto"/>
        </w:rPr>
      </w:pPr>
      <w:r>
        <w:rPr>
          <w:rFonts w:ascii="Arial" w:cs="Arial" w:eastAsia="Arial" w:hAnsi="Arial"/>
          <w:sz w:val="18"/>
          <w:szCs w:val="18"/>
          <w:b w:val="1"/>
          <w:bCs w:val="1"/>
          <w:color w:val="auto"/>
        </w:rPr>
        <w:t>6.3.</w:t>
      </w:r>
      <w:r>
        <w:rPr>
          <w:sz w:val="20"/>
          <w:szCs w:val="20"/>
          <w:color w:val="auto"/>
        </w:rPr>
        <w:tab/>
      </w:r>
      <w:r>
        <w:rPr>
          <w:rFonts w:ascii="Arial" w:cs="Arial" w:eastAsia="Arial" w:hAnsi="Arial"/>
          <w:sz w:val="17"/>
          <w:szCs w:val="17"/>
          <w:b w:val="1"/>
          <w:bCs w:val="1"/>
          <w:color w:val="auto"/>
        </w:rPr>
        <w:t>Stand-Alone, Additional, Tandem, and Substitute Awards.</w:t>
      </w:r>
    </w:p>
    <w:p>
      <w:pPr>
        <w:spacing w:after="0" w:line="234" w:lineRule="exact"/>
        <w:rPr>
          <w:sz w:val="20"/>
          <w:szCs w:val="20"/>
          <w:color w:val="auto"/>
        </w:rPr>
      </w:pPr>
    </w:p>
    <w:p>
      <w:pPr>
        <w:ind w:firstLine="799"/>
        <w:spacing w:after="0" w:line="236" w:lineRule="auto"/>
        <w:rPr>
          <w:sz w:val="20"/>
          <w:szCs w:val="20"/>
          <w:color w:val="auto"/>
        </w:rPr>
      </w:pPr>
      <w:r>
        <w:rPr>
          <w:rFonts w:ascii="Arial" w:cs="Arial" w:eastAsia="Arial" w:hAnsi="Arial"/>
          <w:sz w:val="18"/>
          <w:szCs w:val="18"/>
          <w:color w:val="auto"/>
        </w:rPr>
        <w:t xml:space="preserve">Awards may, in the discretion of the Board, be granted either alone or in addition to, in tandem with, or in substitution or exchange for, any other Award or any award granted under another plan of the Company, any Subsidiary, or any business entity to be acquired by the Company or a Subsidiary, or any other right of a Grantee to receive payment from the Company or any Subsidiary. Such additional, tandem, and substitute or exchange Awards may be granted at any time. If an Award is granted in substitution or exchange for another Award, the Board shall have the right to require the surrender of such other Award in consideration for the grant of the new Award. Subject to </w:t>
      </w:r>
      <w:r>
        <w:rPr>
          <w:rFonts w:ascii="Arial" w:cs="Arial" w:eastAsia="Arial" w:hAnsi="Arial"/>
          <w:sz w:val="18"/>
          <w:szCs w:val="18"/>
          <w:b w:val="1"/>
          <w:bCs w:val="1"/>
          <w:color w:val="auto"/>
        </w:rPr>
        <w:t>Section 3.2</w:t>
      </w:r>
      <w:r>
        <w:rPr>
          <w:rFonts w:ascii="Arial" w:cs="Arial" w:eastAsia="Arial" w:hAnsi="Arial"/>
          <w:sz w:val="18"/>
          <w:szCs w:val="18"/>
          <w:color w:val="auto"/>
        </w:rPr>
        <w:t>, the Board shall have the right, in its discretion, to make Awards in substitution or exchange for any other award under another plan of the Company, any Subsidiary, or any business entity to be acquired by the Company or a Subsidiary. In addition, Awards may be granted in lieu of cash compensation, including in lieu of cash amounts payable under other plans of the Company or any Subsidiary, in which the value of Stock subject to the Award is equivalent in value to the cash compensation (for example, Restricted Stock Units or Restricted Stock).</w:t>
      </w:r>
    </w:p>
    <w:p>
      <w:pPr>
        <w:spacing w:after="0" w:line="212" w:lineRule="exact"/>
        <w:rPr>
          <w:sz w:val="20"/>
          <w:szCs w:val="20"/>
          <w:color w:val="auto"/>
        </w:rPr>
      </w:pPr>
    </w:p>
    <w:p>
      <w:pPr>
        <w:ind w:left="800" w:hanging="792"/>
        <w:spacing w:after="0"/>
        <w:tabs>
          <w:tab w:leader="none" w:pos="800" w:val="left"/>
        </w:tabs>
        <w:numPr>
          <w:ilvl w:val="0"/>
          <w:numId w:val="107"/>
        </w:numPr>
        <w:rPr>
          <w:rFonts w:ascii="Arial" w:cs="Arial" w:eastAsia="Arial" w:hAnsi="Arial"/>
          <w:sz w:val="18"/>
          <w:szCs w:val="18"/>
          <w:b w:val="1"/>
          <w:bCs w:val="1"/>
          <w:color w:val="auto"/>
        </w:rPr>
      </w:pPr>
      <w:r>
        <w:rPr>
          <w:rFonts w:ascii="Arial" w:cs="Arial" w:eastAsia="Arial" w:hAnsi="Arial"/>
          <w:sz w:val="18"/>
          <w:szCs w:val="18"/>
          <w:b w:val="1"/>
          <w:bCs w:val="1"/>
          <w:color w:val="auto"/>
        </w:rPr>
        <w:t>AWARD AGREEMENT</w:t>
      </w:r>
    </w:p>
    <w:p>
      <w:pPr>
        <w:spacing w:after="0" w:line="234" w:lineRule="exact"/>
        <w:rPr>
          <w:sz w:val="20"/>
          <w:szCs w:val="20"/>
          <w:color w:val="auto"/>
        </w:rPr>
      </w:pPr>
    </w:p>
    <w:p>
      <w:pPr>
        <w:ind w:right="480" w:firstLine="799"/>
        <w:spacing w:after="0" w:line="237" w:lineRule="auto"/>
        <w:rPr>
          <w:sz w:val="20"/>
          <w:szCs w:val="20"/>
          <w:color w:val="auto"/>
        </w:rPr>
      </w:pPr>
      <w:r>
        <w:rPr>
          <w:rFonts w:ascii="Arial" w:cs="Arial" w:eastAsia="Arial" w:hAnsi="Arial"/>
          <w:sz w:val="18"/>
          <w:szCs w:val="18"/>
          <w:color w:val="auto"/>
        </w:rPr>
        <w:t>Each Award shall be evidenced by an Award Agreement, in such form or forms as the Board shall from time to time determine. Without limiting the foregoing, an Award Agreement may be provided in the form of a notice which provides that acceptance of the Award constitutes acceptance of all terms of the Plan and the notice. Award Agreements granted from time to time or at the same time need not contain similar provisions but shall be consistent with the terms of the Plan. Each Award Agreement evidencing an Award of Options shall specify whether such Options are intended to be Non-qualified Stock Options or Incentive Stock Options, and in the absence of such specification such options shall be deemed Non-qualified Stock Options.</w:t>
      </w:r>
    </w:p>
    <w:p>
      <w:pPr>
        <w:spacing w:after="0" w:line="210" w:lineRule="exact"/>
        <w:rPr>
          <w:sz w:val="20"/>
          <w:szCs w:val="20"/>
          <w:color w:val="auto"/>
        </w:rPr>
      </w:pPr>
    </w:p>
    <w:p>
      <w:pPr>
        <w:ind w:left="800" w:hanging="792"/>
        <w:spacing w:after="0"/>
        <w:tabs>
          <w:tab w:leader="none" w:pos="800" w:val="left"/>
        </w:tabs>
        <w:numPr>
          <w:ilvl w:val="0"/>
          <w:numId w:val="108"/>
        </w:numPr>
        <w:rPr>
          <w:rFonts w:ascii="Arial" w:cs="Arial" w:eastAsia="Arial" w:hAnsi="Arial"/>
          <w:sz w:val="18"/>
          <w:szCs w:val="18"/>
          <w:b w:val="1"/>
          <w:bCs w:val="1"/>
          <w:color w:val="auto"/>
        </w:rPr>
      </w:pPr>
      <w:r>
        <w:rPr>
          <w:rFonts w:ascii="Arial" w:cs="Arial" w:eastAsia="Arial" w:hAnsi="Arial"/>
          <w:sz w:val="18"/>
          <w:szCs w:val="18"/>
          <w:b w:val="1"/>
          <w:bCs w:val="1"/>
          <w:color w:val="auto"/>
        </w:rPr>
        <w:t>TERMS AND CONDITIONS OF OPTIONS</w:t>
      </w:r>
    </w:p>
    <w:p>
      <w:pPr>
        <w:spacing w:after="0" w:line="239" w:lineRule="exact"/>
        <w:rPr>
          <w:sz w:val="20"/>
          <w:szCs w:val="20"/>
          <w:color w:val="auto"/>
        </w:rPr>
      </w:pPr>
    </w:p>
    <w:p>
      <w:pPr>
        <w:ind w:left="580"/>
        <w:spacing w:after="0"/>
        <w:tabs>
          <w:tab w:leader="none" w:pos="1680" w:val="left"/>
        </w:tabs>
        <w:rPr>
          <w:sz w:val="20"/>
          <w:szCs w:val="20"/>
          <w:color w:val="auto"/>
        </w:rPr>
      </w:pPr>
      <w:r>
        <w:rPr>
          <w:rFonts w:ascii="Arial" w:cs="Arial" w:eastAsia="Arial" w:hAnsi="Arial"/>
          <w:sz w:val="18"/>
          <w:szCs w:val="18"/>
          <w:b w:val="1"/>
          <w:bCs w:val="1"/>
          <w:color w:val="auto"/>
        </w:rPr>
        <w:t>8.1.</w:t>
      </w:r>
      <w:r>
        <w:rPr>
          <w:sz w:val="20"/>
          <w:szCs w:val="20"/>
          <w:color w:val="auto"/>
        </w:rPr>
        <w:tab/>
      </w:r>
      <w:r>
        <w:rPr>
          <w:rFonts w:ascii="Arial" w:cs="Arial" w:eastAsia="Arial" w:hAnsi="Arial"/>
          <w:sz w:val="18"/>
          <w:szCs w:val="18"/>
          <w:b w:val="1"/>
          <w:bCs w:val="1"/>
          <w:color w:val="auto"/>
        </w:rPr>
        <w:t>Option Price.</w:t>
      </w:r>
    </w:p>
    <w:p>
      <w:pPr>
        <w:spacing w:after="0" w:line="234" w:lineRule="exact"/>
        <w:rPr>
          <w:sz w:val="20"/>
          <w:szCs w:val="20"/>
          <w:color w:val="auto"/>
        </w:rPr>
      </w:pPr>
    </w:p>
    <w:p>
      <w:pPr>
        <w:ind w:right="100" w:firstLine="799"/>
        <w:spacing w:after="0" w:line="238" w:lineRule="auto"/>
        <w:rPr>
          <w:sz w:val="20"/>
          <w:szCs w:val="20"/>
          <w:color w:val="auto"/>
        </w:rPr>
      </w:pPr>
      <w:r>
        <w:rPr>
          <w:rFonts w:ascii="Arial" w:cs="Arial" w:eastAsia="Arial" w:hAnsi="Arial"/>
          <w:sz w:val="18"/>
          <w:szCs w:val="18"/>
          <w:color w:val="auto"/>
        </w:rPr>
        <w:t xml:space="preserve">The Option Price of each Option shall be fixed by the Board and stated in the related Award Agreement. The Option Price of each Option (except those that constitute Substitute Awards) shall be at least the Fair Market Value on the Grant Date of a share of Stock;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in the event that a Grantee is a Ten Percent Stockholder as of the Grant Date, the Option Price of an Option granted to such</w:t>
      </w:r>
      <w:r>
        <w:rPr>
          <w:rFonts w:ascii="Arial" w:cs="Arial" w:eastAsia="Arial" w:hAnsi="Arial"/>
          <w:sz w:val="18"/>
          <w:szCs w:val="18"/>
          <w:i w:val="1"/>
          <w:iCs w:val="1"/>
          <w:color w:val="auto"/>
        </w:rPr>
        <w:t xml:space="preserve"> </w:t>
      </w:r>
      <w:r>
        <w:rPr>
          <w:rFonts w:ascii="Arial" w:cs="Arial" w:eastAsia="Arial" w:hAnsi="Arial"/>
          <w:sz w:val="18"/>
          <w:szCs w:val="18"/>
          <w:color w:val="auto"/>
        </w:rPr>
        <w:t>Grantee that is intended to be an Incentive Stock Option shall be not less than 110 percent of the Fair Market Value of a share of Stock on the Grant Date. In no case shall the Option Price of any Option be less than the par value of a share of Stock.</w:t>
      </w:r>
    </w:p>
    <w:p>
      <w:pPr>
        <w:spacing w:after="0" w:line="208" w:lineRule="exact"/>
        <w:rPr>
          <w:sz w:val="20"/>
          <w:szCs w:val="20"/>
          <w:color w:val="auto"/>
        </w:rPr>
      </w:pPr>
    </w:p>
    <w:p>
      <w:pPr>
        <w:ind w:left="580"/>
        <w:spacing w:after="0"/>
        <w:tabs>
          <w:tab w:leader="none" w:pos="1680" w:val="left"/>
        </w:tabs>
        <w:rPr>
          <w:sz w:val="20"/>
          <w:szCs w:val="20"/>
          <w:color w:val="auto"/>
        </w:rPr>
      </w:pPr>
      <w:r>
        <w:rPr>
          <w:rFonts w:ascii="Arial" w:cs="Arial" w:eastAsia="Arial" w:hAnsi="Arial"/>
          <w:sz w:val="18"/>
          <w:szCs w:val="18"/>
          <w:b w:val="1"/>
          <w:bCs w:val="1"/>
          <w:color w:val="auto"/>
        </w:rPr>
        <w:t>8.2.</w:t>
      </w:r>
      <w:r>
        <w:rPr>
          <w:sz w:val="20"/>
          <w:szCs w:val="20"/>
          <w:color w:val="auto"/>
        </w:rPr>
        <w:tab/>
      </w:r>
      <w:r>
        <w:rPr>
          <w:rFonts w:ascii="Arial" w:cs="Arial" w:eastAsia="Arial" w:hAnsi="Arial"/>
          <w:sz w:val="17"/>
          <w:szCs w:val="17"/>
          <w:b w:val="1"/>
          <w:bCs w:val="1"/>
          <w:color w:val="auto"/>
        </w:rPr>
        <w:t>Vesting.</w:t>
      </w:r>
    </w:p>
    <w:p>
      <w:pPr>
        <w:spacing w:after="0" w:line="212" w:lineRule="exact"/>
        <w:rPr>
          <w:sz w:val="20"/>
          <w:szCs w:val="20"/>
          <w:color w:val="auto"/>
        </w:rPr>
      </w:pPr>
    </w:p>
    <w:p>
      <w:pPr>
        <w:ind w:right="360" w:firstLine="799"/>
        <w:spacing w:after="0" w:line="271" w:lineRule="auto"/>
        <w:rPr>
          <w:sz w:val="20"/>
          <w:szCs w:val="20"/>
          <w:color w:val="auto"/>
        </w:rPr>
      </w:pPr>
      <w:r>
        <w:rPr>
          <w:rFonts w:ascii="Arial" w:cs="Arial" w:eastAsia="Arial" w:hAnsi="Arial"/>
          <w:sz w:val="18"/>
          <w:szCs w:val="18"/>
          <w:color w:val="auto"/>
        </w:rPr>
        <w:t xml:space="preserve">Subject to </w:t>
      </w:r>
      <w:r>
        <w:rPr>
          <w:rFonts w:ascii="Arial" w:cs="Arial" w:eastAsia="Arial" w:hAnsi="Arial"/>
          <w:sz w:val="18"/>
          <w:szCs w:val="18"/>
          <w:b w:val="1"/>
          <w:bCs w:val="1"/>
          <w:color w:val="auto"/>
        </w:rPr>
        <w:t>Section 8.3</w:t>
      </w:r>
      <w:r>
        <w:rPr>
          <w:rFonts w:ascii="Arial" w:cs="Arial" w:eastAsia="Arial" w:hAnsi="Arial"/>
          <w:sz w:val="18"/>
          <w:szCs w:val="18"/>
          <w:color w:val="auto"/>
        </w:rPr>
        <w:t xml:space="preserve"> hereof, each Option shall become exercisable at such times and under such conditions (including, without limitation, performance requirements) as shall be determined by the Board and stated in the Award Agreement.</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1420"/>
          </w:cols>
          <w:pgMar w:left="240" w:top="459" w:right="23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580"/>
        <w:spacing w:after="0"/>
        <w:tabs>
          <w:tab w:leader="none" w:pos="1680" w:val="left"/>
        </w:tabs>
        <w:rPr>
          <w:sz w:val="20"/>
          <w:szCs w:val="20"/>
          <w:color w:val="auto"/>
        </w:rPr>
      </w:pPr>
      <w:r>
        <w:rPr>
          <w:rFonts w:ascii="Arial" w:cs="Arial" w:eastAsia="Arial" w:hAnsi="Arial"/>
          <w:sz w:val="18"/>
          <w:szCs w:val="18"/>
          <w:b w:val="1"/>
          <w:bCs w:val="1"/>
          <w:color w:val="auto"/>
        </w:rPr>
        <w:t>8.3.</w:t>
      </w:r>
      <w:r>
        <w:rPr>
          <w:sz w:val="20"/>
          <w:szCs w:val="20"/>
          <w:color w:val="auto"/>
        </w:rPr>
        <w:tab/>
      </w:r>
      <w:r>
        <w:rPr>
          <w:rFonts w:ascii="Arial" w:cs="Arial" w:eastAsia="Arial" w:hAnsi="Arial"/>
          <w:sz w:val="17"/>
          <w:szCs w:val="17"/>
          <w:b w:val="1"/>
          <w:bCs w:val="1"/>
          <w:color w:val="auto"/>
        </w:rPr>
        <w:t>Term.</w:t>
      </w:r>
    </w:p>
    <w:p>
      <w:pPr>
        <w:spacing w:after="0" w:line="234" w:lineRule="exact"/>
        <w:rPr>
          <w:sz w:val="20"/>
          <w:szCs w:val="20"/>
          <w:color w:val="auto"/>
        </w:rPr>
      </w:pPr>
    </w:p>
    <w:p>
      <w:pPr>
        <w:ind w:firstLine="799"/>
        <w:spacing w:after="0" w:line="238" w:lineRule="auto"/>
        <w:rPr>
          <w:sz w:val="20"/>
          <w:szCs w:val="20"/>
          <w:color w:val="auto"/>
        </w:rPr>
      </w:pPr>
      <w:r>
        <w:rPr>
          <w:rFonts w:ascii="Arial" w:cs="Arial" w:eastAsia="Arial" w:hAnsi="Arial"/>
          <w:sz w:val="18"/>
          <w:szCs w:val="18"/>
          <w:color w:val="auto"/>
        </w:rPr>
        <w:t xml:space="preserve">Each Option shall terminate, and all rights to purchase shares of Stock thereunder shall cease, upon the expiration of a period not to exceed ten (10) years from the Grant Date, or under such circumstances and on such date prior thereto as is set forth in the Plan or as may be fixed by the Board and stated in the related Award Agreement;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in the event that the Grantee is a Ten Percent Stockholder, an Option granted to such Grantee that is intended to be an Incentive Stock Option at the Grant Date shall not be exercisable after the expiration of five (5) years from its Grant Date.</w:t>
      </w:r>
    </w:p>
    <w:p>
      <w:pPr>
        <w:spacing w:after="0" w:line="208" w:lineRule="exact"/>
        <w:rPr>
          <w:sz w:val="20"/>
          <w:szCs w:val="20"/>
          <w:color w:val="auto"/>
        </w:rPr>
      </w:pPr>
    </w:p>
    <w:p>
      <w:pPr>
        <w:ind w:left="580"/>
        <w:spacing w:after="0"/>
        <w:tabs>
          <w:tab w:leader="none" w:pos="1680" w:val="left"/>
        </w:tabs>
        <w:rPr>
          <w:sz w:val="20"/>
          <w:szCs w:val="20"/>
          <w:color w:val="auto"/>
        </w:rPr>
      </w:pPr>
      <w:r>
        <w:rPr>
          <w:rFonts w:ascii="Arial" w:cs="Arial" w:eastAsia="Arial" w:hAnsi="Arial"/>
          <w:sz w:val="18"/>
          <w:szCs w:val="18"/>
          <w:b w:val="1"/>
          <w:bCs w:val="1"/>
          <w:color w:val="auto"/>
        </w:rPr>
        <w:t>8.4.</w:t>
      </w:r>
      <w:r>
        <w:rPr>
          <w:sz w:val="20"/>
          <w:szCs w:val="20"/>
          <w:color w:val="auto"/>
        </w:rPr>
        <w:tab/>
      </w:r>
      <w:r>
        <w:rPr>
          <w:rFonts w:ascii="Arial" w:cs="Arial" w:eastAsia="Arial" w:hAnsi="Arial"/>
          <w:sz w:val="18"/>
          <w:szCs w:val="18"/>
          <w:b w:val="1"/>
          <w:bCs w:val="1"/>
          <w:color w:val="auto"/>
        </w:rPr>
        <w:t>Limitations on Exercise of Option.</w:t>
      </w:r>
    </w:p>
    <w:p>
      <w:pPr>
        <w:spacing w:after="0" w:line="234" w:lineRule="exact"/>
        <w:rPr>
          <w:sz w:val="20"/>
          <w:szCs w:val="20"/>
          <w:color w:val="auto"/>
        </w:rPr>
      </w:pPr>
    </w:p>
    <w:p>
      <w:pPr>
        <w:jc w:val="both"/>
        <w:ind w:right="100" w:firstLine="799"/>
        <w:spacing w:after="0"/>
        <w:rPr>
          <w:sz w:val="20"/>
          <w:szCs w:val="20"/>
          <w:color w:val="auto"/>
        </w:rPr>
      </w:pPr>
      <w:r>
        <w:rPr>
          <w:rFonts w:ascii="Arial" w:cs="Arial" w:eastAsia="Arial" w:hAnsi="Arial"/>
          <w:sz w:val="18"/>
          <w:szCs w:val="18"/>
          <w:color w:val="auto"/>
        </w:rPr>
        <w:t>Notwithstanding any other provision of the Plan, in no event may any Option be exercised, in whole or in part, (i) prior to the date the Plan is approved by the stockholders of the Company as provided herein or (ii) after the occurrence of an event which results in termination of the Option.</w:t>
      </w:r>
    </w:p>
    <w:p>
      <w:pPr>
        <w:spacing w:after="0" w:line="208" w:lineRule="exact"/>
        <w:rPr>
          <w:sz w:val="20"/>
          <w:szCs w:val="20"/>
          <w:color w:val="auto"/>
        </w:rPr>
      </w:pPr>
    </w:p>
    <w:p>
      <w:pPr>
        <w:ind w:left="580"/>
        <w:spacing w:after="0"/>
        <w:tabs>
          <w:tab w:leader="none" w:pos="1680" w:val="left"/>
        </w:tabs>
        <w:rPr>
          <w:sz w:val="20"/>
          <w:szCs w:val="20"/>
          <w:color w:val="auto"/>
        </w:rPr>
      </w:pPr>
      <w:r>
        <w:rPr>
          <w:rFonts w:ascii="Arial" w:cs="Arial" w:eastAsia="Arial" w:hAnsi="Arial"/>
          <w:sz w:val="18"/>
          <w:szCs w:val="18"/>
          <w:b w:val="1"/>
          <w:bCs w:val="1"/>
          <w:color w:val="auto"/>
        </w:rPr>
        <w:t>8.5.</w:t>
      </w:r>
      <w:r>
        <w:rPr>
          <w:sz w:val="20"/>
          <w:szCs w:val="20"/>
          <w:color w:val="auto"/>
        </w:rPr>
        <w:tab/>
      </w:r>
      <w:r>
        <w:rPr>
          <w:rFonts w:ascii="Arial" w:cs="Arial" w:eastAsia="Arial" w:hAnsi="Arial"/>
          <w:sz w:val="18"/>
          <w:szCs w:val="18"/>
          <w:b w:val="1"/>
          <w:bCs w:val="1"/>
          <w:color w:val="auto"/>
        </w:rPr>
        <w:t>Method of Exercise.</w:t>
      </w:r>
    </w:p>
    <w:p>
      <w:pPr>
        <w:spacing w:after="0" w:line="234" w:lineRule="exact"/>
        <w:rPr>
          <w:sz w:val="20"/>
          <w:szCs w:val="20"/>
          <w:color w:val="auto"/>
        </w:rPr>
      </w:pPr>
    </w:p>
    <w:p>
      <w:pPr>
        <w:jc w:val="both"/>
        <w:ind w:right="360" w:firstLine="799"/>
        <w:spacing w:after="0"/>
        <w:rPr>
          <w:sz w:val="20"/>
          <w:szCs w:val="20"/>
          <w:color w:val="auto"/>
        </w:rPr>
      </w:pPr>
      <w:r>
        <w:rPr>
          <w:rFonts w:ascii="Arial" w:cs="Arial" w:eastAsia="Arial" w:hAnsi="Arial"/>
          <w:sz w:val="18"/>
          <w:szCs w:val="18"/>
          <w:color w:val="auto"/>
        </w:rPr>
        <w:t>An Option that is exercisable may be exercised by the Grantee’s delivery of a notice of exercise to the Company, setting forth the number of shares of Stock with respect to which the Option is to be exercised, accompanied by full payment for the shares. To be effective, notice of exercise must be made in accordance with procedures established by the Company from time to time.</w:t>
      </w:r>
    </w:p>
    <w:p>
      <w:pPr>
        <w:spacing w:after="0" w:line="208" w:lineRule="exact"/>
        <w:rPr>
          <w:sz w:val="20"/>
          <w:szCs w:val="20"/>
          <w:color w:val="auto"/>
        </w:rPr>
      </w:pPr>
    </w:p>
    <w:p>
      <w:pPr>
        <w:ind w:left="580"/>
        <w:spacing w:after="0"/>
        <w:tabs>
          <w:tab w:leader="none" w:pos="1680" w:val="left"/>
        </w:tabs>
        <w:rPr>
          <w:sz w:val="20"/>
          <w:szCs w:val="20"/>
          <w:color w:val="auto"/>
        </w:rPr>
      </w:pPr>
      <w:r>
        <w:rPr>
          <w:rFonts w:ascii="Arial" w:cs="Arial" w:eastAsia="Arial" w:hAnsi="Arial"/>
          <w:sz w:val="18"/>
          <w:szCs w:val="18"/>
          <w:b w:val="1"/>
          <w:bCs w:val="1"/>
          <w:color w:val="auto"/>
        </w:rPr>
        <w:t>8.6.</w:t>
      </w:r>
      <w:r>
        <w:rPr>
          <w:sz w:val="20"/>
          <w:szCs w:val="20"/>
          <w:color w:val="auto"/>
        </w:rPr>
        <w:tab/>
      </w:r>
      <w:r>
        <w:rPr>
          <w:rFonts w:ascii="Arial" w:cs="Arial" w:eastAsia="Arial" w:hAnsi="Arial"/>
          <w:sz w:val="17"/>
          <w:szCs w:val="17"/>
          <w:b w:val="1"/>
          <w:bCs w:val="1"/>
          <w:color w:val="auto"/>
        </w:rPr>
        <w:t>Rights of Holders of Options.</w:t>
      </w:r>
    </w:p>
    <w:p>
      <w:pPr>
        <w:spacing w:after="0" w:line="234" w:lineRule="exact"/>
        <w:rPr>
          <w:sz w:val="20"/>
          <w:szCs w:val="20"/>
          <w:color w:val="auto"/>
        </w:rPr>
      </w:pPr>
    </w:p>
    <w:p>
      <w:pPr>
        <w:ind w:firstLine="799"/>
        <w:spacing w:after="0" w:line="238" w:lineRule="auto"/>
        <w:rPr>
          <w:sz w:val="20"/>
          <w:szCs w:val="20"/>
          <w:color w:val="auto"/>
        </w:rPr>
      </w:pPr>
      <w:r>
        <w:rPr>
          <w:rFonts w:ascii="Arial" w:cs="Arial" w:eastAsia="Arial" w:hAnsi="Arial"/>
          <w:sz w:val="18"/>
          <w:szCs w:val="18"/>
          <w:color w:val="auto"/>
        </w:rPr>
        <w:t xml:space="preserve">Unless otherwise stated in the related Award Agreement, an individual holding or exercising an Option shall have none of the rights of a stockholder (for example, the right to receive cash or dividend payments or distributions attributable to the subject shares of Stock or to direct the voting of the subject shares of Stock) until the shares of Stock covered thereby are fully paid and issued to him. Except as provided in </w:t>
      </w:r>
      <w:r>
        <w:rPr>
          <w:rFonts w:ascii="Arial" w:cs="Arial" w:eastAsia="Arial" w:hAnsi="Arial"/>
          <w:sz w:val="18"/>
          <w:szCs w:val="18"/>
          <w:b w:val="1"/>
          <w:bCs w:val="1"/>
          <w:color w:val="auto"/>
        </w:rPr>
        <w:t xml:space="preserve">Section 15 </w:t>
      </w:r>
      <w:r>
        <w:rPr>
          <w:rFonts w:ascii="Arial" w:cs="Arial" w:eastAsia="Arial" w:hAnsi="Arial"/>
          <w:sz w:val="18"/>
          <w:szCs w:val="18"/>
          <w:color w:val="auto"/>
        </w:rPr>
        <w:t>hereof or the related Award Agreement, no adjustment shall be made for dividends, distributions or other rights for which the record</w:t>
      </w:r>
      <w:r>
        <w:rPr>
          <w:rFonts w:ascii="Arial" w:cs="Arial" w:eastAsia="Arial" w:hAnsi="Arial"/>
          <w:sz w:val="18"/>
          <w:szCs w:val="18"/>
          <w:b w:val="1"/>
          <w:bCs w:val="1"/>
          <w:color w:val="auto"/>
        </w:rPr>
        <w:t xml:space="preserve"> </w:t>
      </w:r>
      <w:r>
        <w:rPr>
          <w:rFonts w:ascii="Arial" w:cs="Arial" w:eastAsia="Arial" w:hAnsi="Arial"/>
          <w:sz w:val="18"/>
          <w:szCs w:val="18"/>
          <w:color w:val="auto"/>
        </w:rPr>
        <w:t>date is prior to the date of such issuance.</w:t>
      </w:r>
    </w:p>
    <w:p>
      <w:pPr>
        <w:spacing w:after="0" w:line="208" w:lineRule="exact"/>
        <w:rPr>
          <w:sz w:val="20"/>
          <w:szCs w:val="20"/>
          <w:color w:val="auto"/>
        </w:rPr>
      </w:pPr>
    </w:p>
    <w:p>
      <w:pPr>
        <w:ind w:left="580"/>
        <w:spacing w:after="0"/>
        <w:tabs>
          <w:tab w:leader="none" w:pos="1680" w:val="left"/>
        </w:tabs>
        <w:rPr>
          <w:sz w:val="20"/>
          <w:szCs w:val="20"/>
          <w:color w:val="auto"/>
        </w:rPr>
      </w:pPr>
      <w:r>
        <w:rPr>
          <w:rFonts w:ascii="Arial" w:cs="Arial" w:eastAsia="Arial" w:hAnsi="Arial"/>
          <w:sz w:val="18"/>
          <w:szCs w:val="18"/>
          <w:b w:val="1"/>
          <w:bCs w:val="1"/>
          <w:color w:val="auto"/>
        </w:rPr>
        <w:t>8.7.</w:t>
      </w:r>
      <w:r>
        <w:rPr>
          <w:sz w:val="20"/>
          <w:szCs w:val="20"/>
          <w:color w:val="auto"/>
        </w:rPr>
        <w:tab/>
      </w:r>
      <w:r>
        <w:rPr>
          <w:rFonts w:ascii="Arial" w:cs="Arial" w:eastAsia="Arial" w:hAnsi="Arial"/>
          <w:sz w:val="18"/>
          <w:szCs w:val="18"/>
          <w:b w:val="1"/>
          <w:bCs w:val="1"/>
          <w:color w:val="auto"/>
        </w:rPr>
        <w:t>Limitations on Incentive Stock Options.</w:t>
      </w:r>
    </w:p>
    <w:p>
      <w:pPr>
        <w:spacing w:after="0" w:line="234" w:lineRule="exact"/>
        <w:rPr>
          <w:sz w:val="20"/>
          <w:szCs w:val="20"/>
          <w:color w:val="auto"/>
        </w:rPr>
      </w:pPr>
    </w:p>
    <w:p>
      <w:pPr>
        <w:ind w:right="60" w:firstLine="799"/>
        <w:spacing w:after="0" w:line="238" w:lineRule="auto"/>
        <w:rPr>
          <w:sz w:val="20"/>
          <w:szCs w:val="20"/>
          <w:color w:val="auto"/>
        </w:rPr>
      </w:pPr>
      <w:r>
        <w:rPr>
          <w:rFonts w:ascii="Arial" w:cs="Arial" w:eastAsia="Arial" w:hAnsi="Arial"/>
          <w:sz w:val="18"/>
          <w:szCs w:val="18"/>
          <w:color w:val="auto"/>
        </w:rPr>
        <w:t>An Option shall constitute an Incentive Stock Option only (i) if the Grantee of such Option is an employee of the Company or any Subsidiary of the Company; (ii) to the extent specifically provided in the related Award Agreement; and (iii) to the extent that the aggregate Fair Market Value (determined at the time the Option is granted) of the shares of Stock with respect to which all Incentive Stock Options held by such Grantee become exercisable for the first time during any calendar year (under the Plan and all other plans of the Grantee’s employer and its Affiliates) does not exceed $100,000. This limitation shall be applied by taking Options into account in the order in which they were granted.</w:t>
      </w:r>
    </w:p>
    <w:p>
      <w:pPr>
        <w:spacing w:after="0" w:line="208" w:lineRule="exact"/>
        <w:rPr>
          <w:sz w:val="20"/>
          <w:szCs w:val="20"/>
          <w:color w:val="auto"/>
        </w:rPr>
      </w:pPr>
    </w:p>
    <w:p>
      <w:pPr>
        <w:ind w:left="800" w:hanging="792"/>
        <w:spacing w:after="0"/>
        <w:tabs>
          <w:tab w:leader="none" w:pos="800" w:val="left"/>
        </w:tabs>
        <w:numPr>
          <w:ilvl w:val="0"/>
          <w:numId w:val="109"/>
        </w:numPr>
        <w:rPr>
          <w:rFonts w:ascii="Arial" w:cs="Arial" w:eastAsia="Arial" w:hAnsi="Arial"/>
          <w:sz w:val="18"/>
          <w:szCs w:val="18"/>
          <w:b w:val="1"/>
          <w:bCs w:val="1"/>
          <w:color w:val="auto"/>
        </w:rPr>
      </w:pPr>
      <w:r>
        <w:rPr>
          <w:rFonts w:ascii="Arial" w:cs="Arial" w:eastAsia="Arial" w:hAnsi="Arial"/>
          <w:sz w:val="18"/>
          <w:szCs w:val="18"/>
          <w:b w:val="1"/>
          <w:bCs w:val="1"/>
          <w:color w:val="auto"/>
        </w:rPr>
        <w:t>TERMS AND CONDITIONS OF STOCK APPRECIATION RIGHTS</w:t>
      </w:r>
    </w:p>
    <w:p>
      <w:pPr>
        <w:spacing w:after="0" w:line="239" w:lineRule="exact"/>
        <w:rPr>
          <w:sz w:val="20"/>
          <w:szCs w:val="20"/>
          <w:color w:val="auto"/>
        </w:rPr>
      </w:pPr>
    </w:p>
    <w:p>
      <w:pPr>
        <w:ind w:left="580"/>
        <w:spacing w:after="0"/>
        <w:tabs>
          <w:tab w:leader="none" w:pos="1680" w:val="left"/>
        </w:tabs>
        <w:rPr>
          <w:sz w:val="20"/>
          <w:szCs w:val="20"/>
          <w:color w:val="auto"/>
        </w:rPr>
      </w:pPr>
      <w:r>
        <w:rPr>
          <w:rFonts w:ascii="Arial" w:cs="Arial" w:eastAsia="Arial" w:hAnsi="Arial"/>
          <w:sz w:val="18"/>
          <w:szCs w:val="18"/>
          <w:b w:val="1"/>
          <w:bCs w:val="1"/>
          <w:color w:val="auto"/>
        </w:rPr>
        <w:t>9.1.</w:t>
      </w:r>
      <w:r>
        <w:rPr>
          <w:sz w:val="20"/>
          <w:szCs w:val="20"/>
          <w:color w:val="auto"/>
        </w:rPr>
        <w:tab/>
      </w:r>
      <w:r>
        <w:rPr>
          <w:rFonts w:ascii="Arial" w:cs="Arial" w:eastAsia="Arial" w:hAnsi="Arial"/>
          <w:sz w:val="18"/>
          <w:szCs w:val="18"/>
          <w:b w:val="1"/>
          <w:bCs w:val="1"/>
          <w:color w:val="auto"/>
        </w:rPr>
        <w:t>Right to Payment.</w:t>
      </w:r>
    </w:p>
    <w:p>
      <w:pPr>
        <w:spacing w:after="0" w:line="234" w:lineRule="exact"/>
        <w:rPr>
          <w:sz w:val="20"/>
          <w:szCs w:val="20"/>
          <w:color w:val="auto"/>
        </w:rPr>
      </w:pPr>
    </w:p>
    <w:p>
      <w:pPr>
        <w:ind w:firstLine="799"/>
        <w:spacing w:after="0" w:line="236" w:lineRule="auto"/>
        <w:rPr>
          <w:sz w:val="20"/>
          <w:szCs w:val="20"/>
          <w:color w:val="auto"/>
        </w:rPr>
      </w:pPr>
      <w:r>
        <w:rPr>
          <w:rFonts w:ascii="Arial" w:cs="Arial" w:eastAsia="Arial" w:hAnsi="Arial"/>
          <w:sz w:val="18"/>
          <w:szCs w:val="18"/>
          <w:color w:val="auto"/>
        </w:rPr>
        <w:t xml:space="preserve">A SAR shall confer on the Grantee a right to receive, upon exercise thereof, the excess of (i) the Fair Market Value of one share of Stock on the date of exercise over (ii) the SAR Exercise Price, as determined by the Board. The Award Agreement for a SAR (except those that constitute Substitute Awards) shall specify the SAR Exercise Price, which shall be fixed on the Grant Date as not less than the Fair Market Value of a share of Stock on that date. SARs may be granted alone or in conjunction with all or part of an Option or at any subsequent time during the term of such Option or in conjunction with all or part of any other Award. A SAR granted in tandem with an outstanding Option following the Grant Date of such Option shall have a SAR Exercise Price that is equal to the Option Price;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the SAR Exercise Price may not be less than the Fair Market Value of a share of Stock on the Grant Date of the SAR to the extent required by Section 409A.</w:t>
      </w:r>
    </w:p>
    <w:p>
      <w:pPr>
        <w:spacing w:after="0" w:line="213" w:lineRule="exact"/>
        <w:rPr>
          <w:sz w:val="20"/>
          <w:szCs w:val="20"/>
          <w:color w:val="auto"/>
        </w:rPr>
      </w:pPr>
    </w:p>
    <w:p>
      <w:pPr>
        <w:ind w:left="580"/>
        <w:spacing w:after="0"/>
        <w:tabs>
          <w:tab w:leader="none" w:pos="1680" w:val="left"/>
        </w:tabs>
        <w:rPr>
          <w:sz w:val="20"/>
          <w:szCs w:val="20"/>
          <w:color w:val="auto"/>
        </w:rPr>
      </w:pPr>
      <w:r>
        <w:rPr>
          <w:rFonts w:ascii="Arial" w:cs="Arial" w:eastAsia="Arial" w:hAnsi="Arial"/>
          <w:sz w:val="18"/>
          <w:szCs w:val="18"/>
          <w:b w:val="1"/>
          <w:bCs w:val="1"/>
          <w:color w:val="auto"/>
        </w:rPr>
        <w:t>9.2.</w:t>
      </w:r>
      <w:r>
        <w:rPr>
          <w:sz w:val="20"/>
          <w:szCs w:val="20"/>
          <w:color w:val="auto"/>
        </w:rPr>
        <w:tab/>
      </w:r>
      <w:r>
        <w:rPr>
          <w:rFonts w:ascii="Arial" w:cs="Arial" w:eastAsia="Arial" w:hAnsi="Arial"/>
          <w:sz w:val="17"/>
          <w:szCs w:val="17"/>
          <w:b w:val="1"/>
          <w:bCs w:val="1"/>
          <w:color w:val="auto"/>
        </w:rPr>
        <w:t>Other Terms.</w:t>
      </w:r>
    </w:p>
    <w:p>
      <w:pPr>
        <w:spacing w:after="0" w:line="234" w:lineRule="exact"/>
        <w:rPr>
          <w:sz w:val="20"/>
          <w:szCs w:val="20"/>
          <w:color w:val="auto"/>
        </w:rPr>
      </w:pPr>
    </w:p>
    <w:p>
      <w:pPr>
        <w:ind w:right="20" w:firstLine="799"/>
        <w:spacing w:after="0" w:line="246" w:lineRule="auto"/>
        <w:rPr>
          <w:sz w:val="20"/>
          <w:szCs w:val="20"/>
          <w:color w:val="auto"/>
        </w:rPr>
      </w:pPr>
      <w:r>
        <w:rPr>
          <w:rFonts w:ascii="Arial" w:cs="Arial" w:eastAsia="Arial" w:hAnsi="Arial"/>
          <w:sz w:val="18"/>
          <w:szCs w:val="18"/>
          <w:color w:val="auto"/>
        </w:rPr>
        <w:t>The Board shall determine at the Grant Date, the time or times at which and the circumstances under which a SAR may be exercised in whole or in part (including based on achievement of performance goals and/or future service</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11420"/>
          </w:cols>
          <w:pgMar w:left="240" w:top="459" w:right="23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140"/>
        <w:spacing w:after="0"/>
        <w:rPr>
          <w:sz w:val="20"/>
          <w:szCs w:val="20"/>
          <w:color w:val="auto"/>
        </w:rPr>
      </w:pPr>
      <w:r>
        <w:rPr>
          <w:rFonts w:ascii="Arial" w:cs="Arial" w:eastAsia="Arial" w:hAnsi="Arial"/>
          <w:sz w:val="18"/>
          <w:szCs w:val="18"/>
          <w:color w:val="auto"/>
        </w:rPr>
        <w:t>requirements), the time or times at which SARs shall cease to be or become exercisable following Separation from Service or upon other conditions, the method of exercise, whether or not a SAR shall be in tandem or in combination with any other Award, and any other terms and conditions of any SAR.</w:t>
      </w:r>
    </w:p>
    <w:p>
      <w:pPr>
        <w:spacing w:after="0" w:line="208" w:lineRule="exact"/>
        <w:rPr>
          <w:sz w:val="20"/>
          <w:szCs w:val="20"/>
          <w:color w:val="auto"/>
        </w:rPr>
      </w:pPr>
    </w:p>
    <w:p>
      <w:pPr>
        <w:ind w:left="580"/>
        <w:spacing w:after="0"/>
        <w:tabs>
          <w:tab w:leader="none" w:pos="1680" w:val="left"/>
        </w:tabs>
        <w:rPr>
          <w:sz w:val="20"/>
          <w:szCs w:val="20"/>
          <w:color w:val="auto"/>
        </w:rPr>
      </w:pPr>
      <w:r>
        <w:rPr>
          <w:rFonts w:ascii="Arial" w:cs="Arial" w:eastAsia="Arial" w:hAnsi="Arial"/>
          <w:sz w:val="18"/>
          <w:szCs w:val="18"/>
          <w:b w:val="1"/>
          <w:bCs w:val="1"/>
          <w:color w:val="auto"/>
        </w:rPr>
        <w:t>9.3.</w:t>
      </w:r>
      <w:r>
        <w:rPr>
          <w:sz w:val="20"/>
          <w:szCs w:val="20"/>
          <w:color w:val="auto"/>
        </w:rPr>
        <w:tab/>
      </w:r>
      <w:r>
        <w:rPr>
          <w:rFonts w:ascii="Arial" w:cs="Arial" w:eastAsia="Arial" w:hAnsi="Arial"/>
          <w:sz w:val="17"/>
          <w:szCs w:val="17"/>
          <w:b w:val="1"/>
          <w:bCs w:val="1"/>
          <w:color w:val="auto"/>
        </w:rPr>
        <w:t>Term of SARs.</w:t>
      </w:r>
    </w:p>
    <w:p>
      <w:pPr>
        <w:spacing w:after="0" w:line="216" w:lineRule="exact"/>
        <w:rPr>
          <w:sz w:val="20"/>
          <w:szCs w:val="20"/>
          <w:color w:val="auto"/>
        </w:rPr>
      </w:pPr>
    </w:p>
    <w:p>
      <w:pPr>
        <w:ind w:right="60" w:firstLine="799"/>
        <w:spacing w:after="0" w:line="267" w:lineRule="auto"/>
        <w:rPr>
          <w:sz w:val="20"/>
          <w:szCs w:val="20"/>
          <w:color w:val="auto"/>
        </w:rPr>
      </w:pPr>
      <w:r>
        <w:rPr>
          <w:rFonts w:ascii="Arial" w:cs="Arial" w:eastAsia="Arial" w:hAnsi="Arial"/>
          <w:sz w:val="18"/>
          <w:szCs w:val="18"/>
          <w:color w:val="auto"/>
        </w:rPr>
        <w:t xml:space="preserve">The term of a SAR granted under the Plan shall be determined by the Board, in its sole discretion;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such term shall not exceed ten (10) years.</w:t>
      </w:r>
    </w:p>
    <w:p>
      <w:pPr>
        <w:spacing w:after="0" w:line="184" w:lineRule="exact"/>
        <w:rPr>
          <w:sz w:val="20"/>
          <w:szCs w:val="20"/>
          <w:color w:val="auto"/>
        </w:rPr>
      </w:pPr>
    </w:p>
    <w:p>
      <w:pPr>
        <w:ind w:left="580"/>
        <w:spacing w:after="0"/>
        <w:tabs>
          <w:tab w:leader="none" w:pos="1680" w:val="left"/>
        </w:tabs>
        <w:rPr>
          <w:sz w:val="20"/>
          <w:szCs w:val="20"/>
          <w:color w:val="auto"/>
        </w:rPr>
      </w:pPr>
      <w:r>
        <w:rPr>
          <w:rFonts w:ascii="Arial" w:cs="Arial" w:eastAsia="Arial" w:hAnsi="Arial"/>
          <w:sz w:val="18"/>
          <w:szCs w:val="18"/>
          <w:b w:val="1"/>
          <w:bCs w:val="1"/>
          <w:color w:val="auto"/>
        </w:rPr>
        <w:t>9.4.</w:t>
      </w:r>
      <w:r>
        <w:rPr>
          <w:sz w:val="20"/>
          <w:szCs w:val="20"/>
          <w:color w:val="auto"/>
        </w:rPr>
        <w:tab/>
      </w:r>
      <w:r>
        <w:rPr>
          <w:rFonts w:ascii="Arial" w:cs="Arial" w:eastAsia="Arial" w:hAnsi="Arial"/>
          <w:sz w:val="17"/>
          <w:szCs w:val="17"/>
          <w:b w:val="1"/>
          <w:bCs w:val="1"/>
          <w:color w:val="auto"/>
        </w:rPr>
        <w:t>Payment of SAR Amount.</w:t>
      </w:r>
    </w:p>
    <w:p>
      <w:pPr>
        <w:spacing w:after="0" w:line="22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Upon exercise of a SAR, a Grantee shall be entitled to receive payment from the Company (in cash or Stock, as determined by the</w:t>
      </w:r>
    </w:p>
    <w:p>
      <w:pPr>
        <w:spacing w:after="0"/>
        <w:rPr>
          <w:sz w:val="20"/>
          <w:szCs w:val="20"/>
          <w:color w:val="auto"/>
        </w:rPr>
      </w:pPr>
      <w:r>
        <w:rPr>
          <w:rFonts w:ascii="Arial" w:cs="Arial" w:eastAsia="Arial" w:hAnsi="Arial"/>
          <w:sz w:val="18"/>
          <w:szCs w:val="18"/>
          <w:color w:val="auto"/>
        </w:rPr>
        <w:t>Board) in an amount determined by multiplying:</w:t>
      </w:r>
    </w:p>
    <w:p>
      <w:pPr>
        <w:spacing w:after="0" w:line="239" w:lineRule="exact"/>
        <w:rPr>
          <w:sz w:val="20"/>
          <w:szCs w:val="20"/>
          <w:color w:val="auto"/>
        </w:rPr>
      </w:pPr>
    </w:p>
    <w:p>
      <w:pPr>
        <w:ind w:left="1700" w:hanging="895"/>
        <w:spacing w:after="0"/>
        <w:tabs>
          <w:tab w:leader="none" w:pos="17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difference between the Fair Market Value of a share of Stock on the date of exercise over the SAR Exercise Price; by</w:t>
      </w:r>
    </w:p>
    <w:p>
      <w:pPr>
        <w:spacing w:after="0" w:line="238" w:lineRule="exact"/>
        <w:rPr>
          <w:rFonts w:ascii="Arial" w:cs="Arial" w:eastAsia="Arial" w:hAnsi="Arial"/>
          <w:sz w:val="18"/>
          <w:szCs w:val="18"/>
          <w:color w:val="auto"/>
        </w:rPr>
      </w:pPr>
    </w:p>
    <w:p>
      <w:pPr>
        <w:ind w:left="1700" w:hanging="895"/>
        <w:spacing w:after="0"/>
        <w:tabs>
          <w:tab w:leader="none" w:pos="17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number of shares of Stock with respect to which the SAR is exercised.</w:t>
      </w:r>
    </w:p>
    <w:p>
      <w:pPr>
        <w:spacing w:after="0" w:line="217" w:lineRule="exact"/>
        <w:rPr>
          <w:sz w:val="20"/>
          <w:szCs w:val="20"/>
          <w:color w:val="auto"/>
        </w:rPr>
      </w:pPr>
    </w:p>
    <w:p>
      <w:pPr>
        <w:ind w:left="800" w:hanging="792"/>
        <w:spacing w:after="0"/>
        <w:tabs>
          <w:tab w:leader="none" w:pos="800" w:val="left"/>
        </w:tabs>
        <w:numPr>
          <w:ilvl w:val="0"/>
          <w:numId w:val="111"/>
        </w:numPr>
        <w:rPr>
          <w:rFonts w:ascii="Arial" w:cs="Arial" w:eastAsia="Arial" w:hAnsi="Arial"/>
          <w:sz w:val="18"/>
          <w:szCs w:val="18"/>
          <w:b w:val="1"/>
          <w:bCs w:val="1"/>
          <w:color w:val="auto"/>
        </w:rPr>
      </w:pPr>
      <w:r>
        <w:rPr>
          <w:rFonts w:ascii="Arial" w:cs="Arial" w:eastAsia="Arial" w:hAnsi="Arial"/>
          <w:sz w:val="18"/>
          <w:szCs w:val="18"/>
          <w:b w:val="1"/>
          <w:bCs w:val="1"/>
          <w:color w:val="auto"/>
        </w:rPr>
        <w:t>TERMS AND CONDITIONS OF RESTRICTED STOCK AND RESTRICTED STOCK UNITS</w:t>
      </w:r>
    </w:p>
    <w:p>
      <w:pPr>
        <w:spacing w:after="0" w:line="239" w:lineRule="exact"/>
        <w:rPr>
          <w:sz w:val="20"/>
          <w:szCs w:val="20"/>
          <w:color w:val="auto"/>
        </w:rPr>
      </w:pPr>
    </w:p>
    <w:p>
      <w:pPr>
        <w:ind w:left="580"/>
        <w:spacing w:after="0"/>
        <w:tabs>
          <w:tab w:leader="none" w:pos="1680" w:val="left"/>
        </w:tabs>
        <w:rPr>
          <w:sz w:val="20"/>
          <w:szCs w:val="20"/>
          <w:color w:val="auto"/>
        </w:rPr>
      </w:pPr>
      <w:r>
        <w:rPr>
          <w:rFonts w:ascii="Arial" w:cs="Arial" w:eastAsia="Arial" w:hAnsi="Arial"/>
          <w:sz w:val="18"/>
          <w:szCs w:val="18"/>
          <w:b w:val="1"/>
          <w:bCs w:val="1"/>
          <w:color w:val="auto"/>
        </w:rPr>
        <w:t>10.1.</w:t>
      </w:r>
      <w:r>
        <w:rPr>
          <w:sz w:val="20"/>
          <w:szCs w:val="20"/>
          <w:color w:val="auto"/>
        </w:rPr>
        <w:tab/>
      </w:r>
      <w:r>
        <w:rPr>
          <w:rFonts w:ascii="Arial" w:cs="Arial" w:eastAsia="Arial" w:hAnsi="Arial"/>
          <w:sz w:val="18"/>
          <w:szCs w:val="18"/>
          <w:b w:val="1"/>
          <w:bCs w:val="1"/>
          <w:color w:val="auto"/>
        </w:rPr>
        <w:t>Restrictions.</w:t>
      </w:r>
    </w:p>
    <w:p>
      <w:pPr>
        <w:spacing w:after="0" w:line="212" w:lineRule="exact"/>
        <w:rPr>
          <w:sz w:val="20"/>
          <w:szCs w:val="20"/>
          <w:color w:val="auto"/>
        </w:rPr>
      </w:pPr>
    </w:p>
    <w:p>
      <w:pPr>
        <w:ind w:firstLine="799"/>
        <w:spacing w:after="0" w:line="244" w:lineRule="auto"/>
        <w:rPr>
          <w:sz w:val="20"/>
          <w:szCs w:val="20"/>
          <w:color w:val="auto"/>
        </w:rPr>
      </w:pPr>
      <w:r>
        <w:rPr>
          <w:rFonts w:ascii="Arial" w:cs="Arial" w:eastAsia="Arial" w:hAnsi="Arial"/>
          <w:sz w:val="18"/>
          <w:szCs w:val="18"/>
          <w:color w:val="auto"/>
        </w:rPr>
        <w:t>At the time of grant, the Board may, in its sole discretion, establish a period of time (a “</w:t>
      </w:r>
      <w:r>
        <w:rPr>
          <w:rFonts w:ascii="Arial" w:cs="Arial" w:eastAsia="Arial" w:hAnsi="Arial"/>
          <w:sz w:val="18"/>
          <w:szCs w:val="18"/>
          <w:b w:val="1"/>
          <w:bCs w:val="1"/>
          <w:color w:val="auto"/>
        </w:rPr>
        <w:t>Restricted Period</w:t>
      </w:r>
      <w:r>
        <w:rPr>
          <w:rFonts w:ascii="Arial" w:cs="Arial" w:eastAsia="Arial" w:hAnsi="Arial"/>
          <w:sz w:val="18"/>
          <w:szCs w:val="18"/>
          <w:color w:val="auto"/>
        </w:rPr>
        <w:t xml:space="preserve">”) and any additional restrictions including the satisfaction of corporate or individual performance objectives applicable to an Award of Restricted Stock or Restricted Stock Units in accordance with </w:t>
      </w:r>
      <w:r>
        <w:rPr>
          <w:rFonts w:ascii="Arial" w:cs="Arial" w:eastAsia="Arial" w:hAnsi="Arial"/>
          <w:sz w:val="18"/>
          <w:szCs w:val="18"/>
          <w:b w:val="1"/>
          <w:bCs w:val="1"/>
          <w:color w:val="auto"/>
        </w:rPr>
        <w:t>Section 12.1</w:t>
      </w:r>
      <w:r>
        <w:rPr>
          <w:rFonts w:ascii="Arial" w:cs="Arial" w:eastAsia="Arial" w:hAnsi="Arial"/>
          <w:sz w:val="18"/>
          <w:szCs w:val="18"/>
          <w:color w:val="auto"/>
        </w:rPr>
        <w:t xml:space="preserve"> and </w:t>
      </w:r>
      <w:r>
        <w:rPr>
          <w:rFonts w:ascii="Arial" w:cs="Arial" w:eastAsia="Arial" w:hAnsi="Arial"/>
          <w:sz w:val="18"/>
          <w:szCs w:val="18"/>
          <w:b w:val="1"/>
          <w:bCs w:val="1"/>
          <w:color w:val="auto"/>
        </w:rPr>
        <w:t>12.2</w:t>
      </w:r>
      <w:r>
        <w:rPr>
          <w:rFonts w:ascii="Arial" w:cs="Arial" w:eastAsia="Arial" w:hAnsi="Arial"/>
          <w:sz w:val="18"/>
          <w:szCs w:val="18"/>
          <w:color w:val="auto"/>
        </w:rPr>
        <w:t>. Each Award of Restricted Stock or Restricted Stock Units may be subject to a different Restricted Period and additional restrictions. Neither Restricted Stock nor Restricted Stock Units may be sold, transferred, assigned, pledged or otherwise encumbered or disposed of during the Restricted Period or prior to the satisfaction of any other applicable restrictions.</w:t>
      </w:r>
    </w:p>
    <w:p>
      <w:pPr>
        <w:spacing w:after="0" w:line="204" w:lineRule="exact"/>
        <w:rPr>
          <w:sz w:val="20"/>
          <w:szCs w:val="20"/>
          <w:color w:val="auto"/>
        </w:rPr>
      </w:pPr>
    </w:p>
    <w:p>
      <w:pPr>
        <w:ind w:left="580"/>
        <w:spacing w:after="0"/>
        <w:tabs>
          <w:tab w:leader="none" w:pos="1680" w:val="left"/>
        </w:tabs>
        <w:rPr>
          <w:sz w:val="20"/>
          <w:szCs w:val="20"/>
          <w:color w:val="auto"/>
        </w:rPr>
      </w:pPr>
      <w:r>
        <w:rPr>
          <w:rFonts w:ascii="Arial" w:cs="Arial" w:eastAsia="Arial" w:hAnsi="Arial"/>
          <w:sz w:val="18"/>
          <w:szCs w:val="18"/>
          <w:b w:val="1"/>
          <w:bCs w:val="1"/>
          <w:color w:val="auto"/>
        </w:rPr>
        <w:t>10.2.</w:t>
      </w:r>
      <w:r>
        <w:rPr>
          <w:sz w:val="20"/>
          <w:szCs w:val="20"/>
          <w:color w:val="auto"/>
        </w:rPr>
        <w:tab/>
      </w:r>
      <w:r>
        <w:rPr>
          <w:rFonts w:ascii="Arial" w:cs="Arial" w:eastAsia="Arial" w:hAnsi="Arial"/>
          <w:sz w:val="18"/>
          <w:szCs w:val="18"/>
          <w:b w:val="1"/>
          <w:bCs w:val="1"/>
          <w:color w:val="auto"/>
        </w:rPr>
        <w:t>Restricted Stock Certificates.</w:t>
      </w:r>
    </w:p>
    <w:p>
      <w:pPr>
        <w:spacing w:after="0" w:line="234" w:lineRule="exact"/>
        <w:rPr>
          <w:sz w:val="20"/>
          <w:szCs w:val="20"/>
          <w:color w:val="auto"/>
        </w:rPr>
      </w:pPr>
    </w:p>
    <w:p>
      <w:pPr>
        <w:jc w:val="both"/>
        <w:ind w:right="100" w:firstLine="799"/>
        <w:spacing w:after="0"/>
        <w:rPr>
          <w:sz w:val="20"/>
          <w:szCs w:val="20"/>
          <w:color w:val="auto"/>
        </w:rPr>
      </w:pPr>
      <w:r>
        <w:rPr>
          <w:rFonts w:ascii="Arial" w:cs="Arial" w:eastAsia="Arial" w:hAnsi="Arial"/>
          <w:sz w:val="18"/>
          <w:szCs w:val="18"/>
          <w:color w:val="auto"/>
        </w:rPr>
        <w:t>The Company shall issue stock, in the name of each Grantee to whom Restricted Stock has been granted, stock certificates or other evidence of ownership representing the total number of shares of Restricted Stock granted to the Grantee, as soon as reasonably practicable after the Grant Date.</w:t>
      </w:r>
    </w:p>
    <w:p>
      <w:pPr>
        <w:spacing w:after="0" w:line="208" w:lineRule="exact"/>
        <w:rPr>
          <w:sz w:val="20"/>
          <w:szCs w:val="20"/>
          <w:color w:val="auto"/>
        </w:rPr>
      </w:pPr>
    </w:p>
    <w:p>
      <w:pPr>
        <w:ind w:left="580"/>
        <w:spacing w:after="0"/>
        <w:tabs>
          <w:tab w:leader="none" w:pos="1680" w:val="left"/>
        </w:tabs>
        <w:rPr>
          <w:sz w:val="20"/>
          <w:szCs w:val="20"/>
          <w:color w:val="auto"/>
        </w:rPr>
      </w:pPr>
      <w:r>
        <w:rPr>
          <w:rFonts w:ascii="Arial" w:cs="Arial" w:eastAsia="Arial" w:hAnsi="Arial"/>
          <w:sz w:val="18"/>
          <w:szCs w:val="18"/>
          <w:b w:val="1"/>
          <w:bCs w:val="1"/>
          <w:color w:val="auto"/>
        </w:rPr>
        <w:t>10.3.</w:t>
      </w:r>
      <w:r>
        <w:rPr>
          <w:sz w:val="20"/>
          <w:szCs w:val="20"/>
          <w:color w:val="auto"/>
        </w:rPr>
        <w:tab/>
      </w:r>
      <w:r>
        <w:rPr>
          <w:rFonts w:ascii="Arial" w:cs="Arial" w:eastAsia="Arial" w:hAnsi="Arial"/>
          <w:sz w:val="18"/>
          <w:szCs w:val="18"/>
          <w:b w:val="1"/>
          <w:bCs w:val="1"/>
          <w:color w:val="auto"/>
        </w:rPr>
        <w:t>Rights of Holders of Restricted Stock.</w:t>
      </w:r>
    </w:p>
    <w:p>
      <w:pPr>
        <w:spacing w:after="0" w:line="212" w:lineRule="exact"/>
        <w:rPr>
          <w:sz w:val="20"/>
          <w:szCs w:val="20"/>
          <w:color w:val="auto"/>
        </w:rPr>
      </w:pPr>
    </w:p>
    <w:p>
      <w:pPr>
        <w:ind w:right="280" w:firstLine="799"/>
        <w:spacing w:after="0" w:line="271" w:lineRule="auto"/>
        <w:rPr>
          <w:sz w:val="20"/>
          <w:szCs w:val="20"/>
          <w:color w:val="auto"/>
        </w:rPr>
      </w:pPr>
      <w:r>
        <w:rPr>
          <w:rFonts w:ascii="Arial" w:cs="Arial" w:eastAsia="Arial" w:hAnsi="Arial"/>
          <w:sz w:val="18"/>
          <w:szCs w:val="18"/>
          <w:color w:val="auto"/>
        </w:rPr>
        <w:t xml:space="preserve">Unless the Board otherwise provides in an Award Agreement and subject to </w:t>
      </w:r>
      <w:r>
        <w:rPr>
          <w:rFonts w:ascii="Arial" w:cs="Arial" w:eastAsia="Arial" w:hAnsi="Arial"/>
          <w:sz w:val="18"/>
          <w:szCs w:val="18"/>
          <w:b w:val="1"/>
          <w:bCs w:val="1"/>
          <w:color w:val="auto"/>
        </w:rPr>
        <w:t>Section 17.12</w:t>
      </w:r>
      <w:r>
        <w:rPr>
          <w:rFonts w:ascii="Arial" w:cs="Arial" w:eastAsia="Arial" w:hAnsi="Arial"/>
          <w:sz w:val="18"/>
          <w:szCs w:val="18"/>
          <w:color w:val="auto"/>
        </w:rPr>
        <w:t>, holders of Restricted Stock shall have rights as stockholders of the Company, including voting and dividend rights.</w:t>
      </w:r>
    </w:p>
    <w:p>
      <w:pPr>
        <w:spacing w:after="0" w:line="181" w:lineRule="exact"/>
        <w:rPr>
          <w:sz w:val="20"/>
          <w:szCs w:val="20"/>
          <w:color w:val="auto"/>
        </w:rPr>
      </w:pPr>
    </w:p>
    <w:p>
      <w:pPr>
        <w:ind w:left="580"/>
        <w:spacing w:after="0"/>
        <w:tabs>
          <w:tab w:leader="none" w:pos="1680" w:val="left"/>
        </w:tabs>
        <w:rPr>
          <w:sz w:val="20"/>
          <w:szCs w:val="20"/>
          <w:color w:val="auto"/>
        </w:rPr>
      </w:pPr>
      <w:r>
        <w:rPr>
          <w:rFonts w:ascii="Arial" w:cs="Arial" w:eastAsia="Arial" w:hAnsi="Arial"/>
          <w:sz w:val="18"/>
          <w:szCs w:val="18"/>
          <w:b w:val="1"/>
          <w:bCs w:val="1"/>
          <w:color w:val="auto"/>
        </w:rPr>
        <w:t>10.4.</w:t>
      </w:r>
      <w:r>
        <w:rPr>
          <w:sz w:val="20"/>
          <w:szCs w:val="20"/>
          <w:color w:val="auto"/>
        </w:rPr>
        <w:tab/>
      </w:r>
      <w:r>
        <w:rPr>
          <w:rFonts w:ascii="Arial" w:cs="Arial" w:eastAsia="Arial" w:hAnsi="Arial"/>
          <w:sz w:val="18"/>
          <w:szCs w:val="18"/>
          <w:b w:val="1"/>
          <w:bCs w:val="1"/>
          <w:color w:val="auto"/>
        </w:rPr>
        <w:t>Rights of Holders of Restricted Stock Units.</w:t>
      </w:r>
    </w:p>
    <w:p>
      <w:pPr>
        <w:spacing w:after="0" w:line="239" w:lineRule="exact"/>
        <w:rPr>
          <w:sz w:val="20"/>
          <w:szCs w:val="20"/>
          <w:color w:val="auto"/>
        </w:rPr>
      </w:pPr>
    </w:p>
    <w:p>
      <w:pPr>
        <w:ind w:left="1260"/>
        <w:spacing w:after="0"/>
        <w:tabs>
          <w:tab w:leader="none" w:pos="2600" w:val="left"/>
        </w:tabs>
        <w:rPr>
          <w:sz w:val="20"/>
          <w:szCs w:val="20"/>
          <w:color w:val="auto"/>
        </w:rPr>
      </w:pPr>
      <w:r>
        <w:rPr>
          <w:rFonts w:ascii="Arial" w:cs="Arial" w:eastAsia="Arial" w:hAnsi="Arial"/>
          <w:sz w:val="18"/>
          <w:szCs w:val="18"/>
          <w:b w:val="1"/>
          <w:bCs w:val="1"/>
          <w:color w:val="auto"/>
        </w:rPr>
        <w:t>10.4.1.</w:t>
      </w:r>
      <w:r>
        <w:rPr>
          <w:sz w:val="20"/>
          <w:szCs w:val="20"/>
          <w:color w:val="auto"/>
        </w:rPr>
        <w:tab/>
      </w:r>
      <w:r>
        <w:rPr>
          <w:rFonts w:ascii="Arial" w:cs="Arial" w:eastAsia="Arial" w:hAnsi="Arial"/>
          <w:sz w:val="17"/>
          <w:szCs w:val="17"/>
          <w:b w:val="1"/>
          <w:bCs w:val="1"/>
          <w:color w:val="auto"/>
        </w:rPr>
        <w:t>Settlement of Restricted Stock Units.</w:t>
      </w:r>
    </w:p>
    <w:p>
      <w:pPr>
        <w:spacing w:after="0" w:line="234" w:lineRule="exact"/>
        <w:rPr>
          <w:sz w:val="20"/>
          <w:szCs w:val="20"/>
          <w:color w:val="auto"/>
        </w:rPr>
      </w:pPr>
    </w:p>
    <w:p>
      <w:pPr>
        <w:ind w:right="60" w:firstLine="799"/>
        <w:spacing w:after="0" w:line="239" w:lineRule="auto"/>
        <w:rPr>
          <w:sz w:val="20"/>
          <w:szCs w:val="20"/>
          <w:color w:val="auto"/>
        </w:rPr>
      </w:pPr>
      <w:r>
        <w:rPr>
          <w:rFonts w:ascii="Arial" w:cs="Arial" w:eastAsia="Arial" w:hAnsi="Arial"/>
          <w:sz w:val="18"/>
          <w:szCs w:val="18"/>
          <w:color w:val="auto"/>
        </w:rPr>
        <w:t>Restricted Stock Units may be settled in cash or Stock, as determined by the Board and set forth in the Award Agreement. The Award Agreement shall also set forth whether the Restricted Stock Units shall be settled (i) within the time period specified for “short term deferrals” under Section 409A or (ii) otherwise within the requirements of Section 409A, in which case the Award Agreement shall specify upon which events such Restricted Stock Units shall be settled.</w:t>
      </w:r>
    </w:p>
    <w:p>
      <w:pPr>
        <w:spacing w:after="0" w:line="207" w:lineRule="exact"/>
        <w:rPr>
          <w:sz w:val="20"/>
          <w:szCs w:val="20"/>
          <w:color w:val="auto"/>
        </w:rPr>
      </w:pPr>
    </w:p>
    <w:p>
      <w:pPr>
        <w:ind w:left="1260"/>
        <w:spacing w:after="0"/>
        <w:tabs>
          <w:tab w:leader="none" w:pos="2600" w:val="left"/>
        </w:tabs>
        <w:rPr>
          <w:sz w:val="20"/>
          <w:szCs w:val="20"/>
          <w:color w:val="auto"/>
        </w:rPr>
      </w:pPr>
      <w:r>
        <w:rPr>
          <w:rFonts w:ascii="Arial" w:cs="Arial" w:eastAsia="Arial" w:hAnsi="Arial"/>
          <w:sz w:val="18"/>
          <w:szCs w:val="18"/>
          <w:b w:val="1"/>
          <w:bCs w:val="1"/>
          <w:color w:val="auto"/>
        </w:rPr>
        <w:t>10.4.2.</w:t>
      </w:r>
      <w:r>
        <w:rPr>
          <w:sz w:val="20"/>
          <w:szCs w:val="20"/>
          <w:color w:val="auto"/>
        </w:rPr>
        <w:tab/>
      </w:r>
      <w:r>
        <w:rPr>
          <w:rFonts w:ascii="Arial" w:cs="Arial" w:eastAsia="Arial" w:hAnsi="Arial"/>
          <w:sz w:val="17"/>
          <w:szCs w:val="17"/>
          <w:b w:val="1"/>
          <w:bCs w:val="1"/>
          <w:color w:val="auto"/>
        </w:rPr>
        <w:t>Voting and Dividend Rights.</w:t>
      </w:r>
    </w:p>
    <w:p>
      <w:pPr>
        <w:spacing w:after="0" w:line="212" w:lineRule="exact"/>
        <w:rPr>
          <w:sz w:val="20"/>
          <w:szCs w:val="20"/>
          <w:color w:val="auto"/>
        </w:rPr>
      </w:pPr>
    </w:p>
    <w:p>
      <w:pPr>
        <w:ind w:right="60" w:firstLine="799"/>
        <w:spacing w:after="0" w:line="271" w:lineRule="auto"/>
        <w:rPr>
          <w:sz w:val="20"/>
          <w:szCs w:val="20"/>
          <w:color w:val="auto"/>
        </w:rPr>
      </w:pPr>
      <w:r>
        <w:rPr>
          <w:rFonts w:ascii="Arial" w:cs="Arial" w:eastAsia="Arial" w:hAnsi="Arial"/>
          <w:sz w:val="18"/>
          <w:szCs w:val="18"/>
          <w:color w:val="auto"/>
        </w:rPr>
        <w:t xml:space="preserve">Unless otherwise stated in the applicable Award Agreement and subject to </w:t>
      </w:r>
      <w:r>
        <w:rPr>
          <w:rFonts w:ascii="Arial" w:cs="Arial" w:eastAsia="Arial" w:hAnsi="Arial"/>
          <w:sz w:val="18"/>
          <w:szCs w:val="18"/>
          <w:b w:val="1"/>
          <w:bCs w:val="1"/>
          <w:color w:val="auto"/>
        </w:rPr>
        <w:t>Section 17.12</w:t>
      </w:r>
      <w:r>
        <w:rPr>
          <w:rFonts w:ascii="Arial" w:cs="Arial" w:eastAsia="Arial" w:hAnsi="Arial"/>
          <w:sz w:val="18"/>
          <w:szCs w:val="18"/>
          <w:color w:val="auto"/>
        </w:rPr>
        <w:t>, holders of Restricted Stock Units shall not have rights as stockholders of the Company, including no voting or dividend or dividend equivalents rights.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w:t>
      </w:r>
    </w:p>
    <w:p>
      <w:pPr>
        <w:sectPr>
          <w:pgSz w:w="11900" w:h="16838" w:orient="portrait"/>
          <w:cols w:equalWidth="0" w:num="1">
            <w:col w:w="11420"/>
          </w:cols>
          <w:pgMar w:left="240" w:top="459" w:right="2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60"/>
        <w:spacing w:after="0"/>
        <w:tabs>
          <w:tab w:leader="none" w:pos="2600" w:val="left"/>
        </w:tabs>
        <w:rPr>
          <w:sz w:val="20"/>
          <w:szCs w:val="20"/>
          <w:color w:val="auto"/>
        </w:rPr>
      </w:pPr>
      <w:r>
        <w:rPr>
          <w:rFonts w:ascii="Arial" w:cs="Arial" w:eastAsia="Arial" w:hAnsi="Arial"/>
          <w:sz w:val="18"/>
          <w:szCs w:val="18"/>
          <w:b w:val="1"/>
          <w:bCs w:val="1"/>
          <w:color w:val="auto"/>
        </w:rPr>
        <w:t>10.4.3.</w:t>
      </w:r>
      <w:r>
        <w:rPr>
          <w:sz w:val="20"/>
          <w:szCs w:val="20"/>
          <w:color w:val="auto"/>
        </w:rPr>
        <w:tab/>
      </w:r>
      <w:r>
        <w:rPr>
          <w:rFonts w:ascii="Arial" w:cs="Arial" w:eastAsia="Arial" w:hAnsi="Arial"/>
          <w:sz w:val="17"/>
          <w:szCs w:val="17"/>
          <w:b w:val="1"/>
          <w:bCs w:val="1"/>
          <w:color w:val="auto"/>
        </w:rPr>
        <w:t>Creditor’s Rights.</w:t>
      </w:r>
    </w:p>
    <w:p>
      <w:pPr>
        <w:spacing w:after="0" w:line="234" w:lineRule="exact"/>
        <w:rPr>
          <w:sz w:val="20"/>
          <w:szCs w:val="20"/>
          <w:color w:val="auto"/>
        </w:rPr>
      </w:pPr>
    </w:p>
    <w:p>
      <w:pPr>
        <w:ind w:right="120" w:firstLine="799"/>
        <w:spacing w:after="0" w:line="275" w:lineRule="auto"/>
        <w:rPr>
          <w:sz w:val="20"/>
          <w:szCs w:val="20"/>
          <w:color w:val="auto"/>
        </w:rPr>
      </w:pPr>
      <w:r>
        <w:rPr>
          <w:rFonts w:ascii="Arial" w:cs="Arial" w:eastAsia="Arial" w:hAnsi="Arial"/>
          <w:sz w:val="17"/>
          <w:szCs w:val="17"/>
          <w:color w:val="auto"/>
        </w:rPr>
        <w:t>A holder of Restricted Stock Units shall have no rights other than those of a general creditor of the Company. Restricted Stock Units represent an unfunded and unsecured obligation of the Company, subject to the terms and conditions of the applicable Award Agreement.</w:t>
      </w:r>
    </w:p>
    <w:p>
      <w:pPr>
        <w:spacing w:after="0" w:line="178" w:lineRule="exact"/>
        <w:rPr>
          <w:sz w:val="20"/>
          <w:szCs w:val="20"/>
          <w:color w:val="auto"/>
        </w:rPr>
      </w:pPr>
    </w:p>
    <w:p>
      <w:pPr>
        <w:ind w:left="580"/>
        <w:spacing w:after="0"/>
        <w:tabs>
          <w:tab w:leader="none" w:pos="1680" w:val="left"/>
        </w:tabs>
        <w:rPr>
          <w:sz w:val="20"/>
          <w:szCs w:val="20"/>
          <w:color w:val="auto"/>
        </w:rPr>
      </w:pPr>
      <w:r>
        <w:rPr>
          <w:rFonts w:ascii="Arial" w:cs="Arial" w:eastAsia="Arial" w:hAnsi="Arial"/>
          <w:sz w:val="18"/>
          <w:szCs w:val="18"/>
          <w:b w:val="1"/>
          <w:bCs w:val="1"/>
          <w:color w:val="auto"/>
        </w:rPr>
        <w:t>10.5.</w:t>
      </w:r>
      <w:r>
        <w:rPr>
          <w:sz w:val="20"/>
          <w:szCs w:val="20"/>
          <w:color w:val="auto"/>
        </w:rPr>
        <w:tab/>
      </w:r>
      <w:r>
        <w:rPr>
          <w:rFonts w:ascii="Arial" w:cs="Arial" w:eastAsia="Arial" w:hAnsi="Arial"/>
          <w:sz w:val="18"/>
          <w:szCs w:val="18"/>
          <w:b w:val="1"/>
          <w:bCs w:val="1"/>
          <w:color w:val="auto"/>
        </w:rPr>
        <w:t>Purchase of Restricted Stock.</w:t>
      </w:r>
    </w:p>
    <w:p>
      <w:pPr>
        <w:spacing w:after="0" w:line="234" w:lineRule="exact"/>
        <w:rPr>
          <w:sz w:val="20"/>
          <w:szCs w:val="20"/>
          <w:color w:val="auto"/>
        </w:rPr>
      </w:pPr>
    </w:p>
    <w:p>
      <w:pPr>
        <w:ind w:right="80" w:firstLine="799"/>
        <w:spacing w:after="0" w:line="238" w:lineRule="auto"/>
        <w:rPr>
          <w:sz w:val="20"/>
          <w:szCs w:val="20"/>
          <w:color w:val="auto"/>
        </w:rPr>
      </w:pPr>
      <w:r>
        <w:rPr>
          <w:rFonts w:ascii="Arial" w:cs="Arial" w:eastAsia="Arial" w:hAnsi="Arial"/>
          <w:sz w:val="18"/>
          <w:szCs w:val="18"/>
          <w:color w:val="auto"/>
        </w:rPr>
        <w:t xml:space="preserve">The Grantee shall be required, to the extent required by applicable law, to purchase the Restricted Stock from the Company at a Purchase Price equal to the greater of (i) the aggregate par value of the shares of Stock represented by such Restricted Stock or (ii) the Purchase Price, if any, specified in the related Award Agreement. If specified in the Award Agreement, the Purchase Price may be deemed paid by Services already rendered. The Purchase Price shall be payable in a form described in </w:t>
      </w:r>
      <w:r>
        <w:rPr>
          <w:rFonts w:ascii="Arial" w:cs="Arial" w:eastAsia="Arial" w:hAnsi="Arial"/>
          <w:sz w:val="18"/>
          <w:szCs w:val="18"/>
          <w:b w:val="1"/>
          <w:bCs w:val="1"/>
          <w:color w:val="auto"/>
        </w:rPr>
        <w:t>Section 11</w:t>
      </w:r>
      <w:r>
        <w:rPr>
          <w:rFonts w:ascii="Arial" w:cs="Arial" w:eastAsia="Arial" w:hAnsi="Arial"/>
          <w:sz w:val="18"/>
          <w:szCs w:val="18"/>
          <w:color w:val="auto"/>
        </w:rPr>
        <w:t xml:space="preserve"> or, in the discretion of the Board, in consideration for past Services rendered.</w:t>
      </w:r>
    </w:p>
    <w:p>
      <w:pPr>
        <w:spacing w:after="0" w:line="208" w:lineRule="exact"/>
        <w:rPr>
          <w:sz w:val="20"/>
          <w:szCs w:val="20"/>
          <w:color w:val="auto"/>
        </w:rPr>
      </w:pPr>
    </w:p>
    <w:p>
      <w:pPr>
        <w:ind w:left="580"/>
        <w:spacing w:after="0"/>
        <w:tabs>
          <w:tab w:leader="none" w:pos="1680" w:val="left"/>
        </w:tabs>
        <w:rPr>
          <w:sz w:val="20"/>
          <w:szCs w:val="20"/>
          <w:color w:val="auto"/>
        </w:rPr>
      </w:pPr>
      <w:r>
        <w:rPr>
          <w:rFonts w:ascii="Arial" w:cs="Arial" w:eastAsia="Arial" w:hAnsi="Arial"/>
          <w:sz w:val="18"/>
          <w:szCs w:val="18"/>
          <w:b w:val="1"/>
          <w:bCs w:val="1"/>
          <w:color w:val="auto"/>
        </w:rPr>
        <w:t>10.6.</w:t>
      </w:r>
      <w:r>
        <w:rPr>
          <w:sz w:val="20"/>
          <w:szCs w:val="20"/>
          <w:color w:val="auto"/>
        </w:rPr>
        <w:tab/>
      </w:r>
      <w:r>
        <w:rPr>
          <w:rFonts w:ascii="Arial" w:cs="Arial" w:eastAsia="Arial" w:hAnsi="Arial"/>
          <w:sz w:val="18"/>
          <w:szCs w:val="18"/>
          <w:b w:val="1"/>
          <w:bCs w:val="1"/>
          <w:color w:val="auto"/>
        </w:rPr>
        <w:t>Delivery of Stock.</w:t>
      </w:r>
    </w:p>
    <w:p>
      <w:pPr>
        <w:spacing w:after="0" w:line="234" w:lineRule="exact"/>
        <w:rPr>
          <w:sz w:val="20"/>
          <w:szCs w:val="20"/>
          <w:color w:val="auto"/>
        </w:rPr>
      </w:pPr>
    </w:p>
    <w:p>
      <w:pPr>
        <w:ind w:right="40" w:firstLine="799"/>
        <w:spacing w:after="0" w:line="239" w:lineRule="auto"/>
        <w:rPr>
          <w:sz w:val="20"/>
          <w:szCs w:val="20"/>
          <w:color w:val="auto"/>
        </w:rPr>
      </w:pPr>
      <w:r>
        <w:rPr>
          <w:rFonts w:ascii="Arial" w:cs="Arial" w:eastAsia="Arial" w:hAnsi="Arial"/>
          <w:sz w:val="18"/>
          <w:szCs w:val="18"/>
          <w:color w:val="auto"/>
        </w:rPr>
        <w:t>Upon the expiration or termination of any Restricted Period and the satisfaction of any other conditions prescribed by the Board, the restrictions applicable to shares of Restricted Stock or Restricted Stock Units settled in Stock shall lapse, and, unless otherwise provided in the Award Agreement, a stock certificate for such shares shall be delivered, free of all such restrictions, to the Grantee or the Grantee’s beneficiary or estate, as the case may be.</w:t>
      </w:r>
    </w:p>
    <w:p>
      <w:pPr>
        <w:spacing w:after="0" w:line="207" w:lineRule="exact"/>
        <w:rPr>
          <w:sz w:val="20"/>
          <w:szCs w:val="20"/>
          <w:color w:val="auto"/>
        </w:rPr>
      </w:pPr>
    </w:p>
    <w:p>
      <w:pPr>
        <w:ind w:left="800" w:hanging="792"/>
        <w:spacing w:after="0"/>
        <w:tabs>
          <w:tab w:leader="none" w:pos="800" w:val="left"/>
        </w:tabs>
        <w:numPr>
          <w:ilvl w:val="0"/>
          <w:numId w:val="112"/>
        </w:numPr>
        <w:rPr>
          <w:rFonts w:ascii="Arial" w:cs="Arial" w:eastAsia="Arial" w:hAnsi="Arial"/>
          <w:sz w:val="18"/>
          <w:szCs w:val="18"/>
          <w:b w:val="1"/>
          <w:bCs w:val="1"/>
          <w:color w:val="auto"/>
        </w:rPr>
      </w:pPr>
      <w:r>
        <w:rPr>
          <w:rFonts w:ascii="Arial" w:cs="Arial" w:eastAsia="Arial" w:hAnsi="Arial"/>
          <w:sz w:val="18"/>
          <w:szCs w:val="18"/>
          <w:b w:val="1"/>
          <w:bCs w:val="1"/>
          <w:color w:val="auto"/>
        </w:rPr>
        <w:t>FORM OF PAYMENT FOR OPTIONS AND RESTRICTED STOCK</w:t>
      </w:r>
    </w:p>
    <w:p>
      <w:pPr>
        <w:spacing w:after="0" w:line="239" w:lineRule="exact"/>
        <w:rPr>
          <w:sz w:val="20"/>
          <w:szCs w:val="20"/>
          <w:color w:val="auto"/>
        </w:rPr>
      </w:pPr>
    </w:p>
    <w:p>
      <w:pPr>
        <w:ind w:left="580"/>
        <w:spacing w:after="0"/>
        <w:tabs>
          <w:tab w:leader="none" w:pos="1680" w:val="left"/>
        </w:tabs>
        <w:rPr>
          <w:sz w:val="20"/>
          <w:szCs w:val="20"/>
          <w:color w:val="auto"/>
        </w:rPr>
      </w:pPr>
      <w:r>
        <w:rPr>
          <w:rFonts w:ascii="Arial" w:cs="Arial" w:eastAsia="Arial" w:hAnsi="Arial"/>
          <w:sz w:val="18"/>
          <w:szCs w:val="18"/>
          <w:b w:val="1"/>
          <w:bCs w:val="1"/>
          <w:color w:val="auto"/>
        </w:rPr>
        <w:t>11.1.</w:t>
      </w:r>
      <w:r>
        <w:rPr>
          <w:sz w:val="20"/>
          <w:szCs w:val="20"/>
          <w:color w:val="auto"/>
        </w:rPr>
        <w:tab/>
      </w:r>
      <w:r>
        <w:rPr>
          <w:rFonts w:ascii="Arial" w:cs="Arial" w:eastAsia="Arial" w:hAnsi="Arial"/>
          <w:sz w:val="18"/>
          <w:szCs w:val="18"/>
          <w:b w:val="1"/>
          <w:bCs w:val="1"/>
          <w:color w:val="auto"/>
        </w:rPr>
        <w:t>General Rule.</w:t>
      </w:r>
    </w:p>
    <w:p>
      <w:pPr>
        <w:spacing w:after="0" w:line="234" w:lineRule="exact"/>
        <w:rPr>
          <w:sz w:val="20"/>
          <w:szCs w:val="20"/>
          <w:color w:val="auto"/>
        </w:rPr>
      </w:pPr>
    </w:p>
    <w:p>
      <w:pPr>
        <w:ind w:right="400" w:firstLine="799"/>
        <w:spacing w:after="0" w:line="246" w:lineRule="auto"/>
        <w:rPr>
          <w:sz w:val="20"/>
          <w:szCs w:val="20"/>
          <w:color w:val="auto"/>
        </w:rPr>
      </w:pPr>
      <w:r>
        <w:rPr>
          <w:rFonts w:ascii="Arial" w:cs="Arial" w:eastAsia="Arial" w:hAnsi="Arial"/>
          <w:sz w:val="18"/>
          <w:szCs w:val="18"/>
          <w:color w:val="auto"/>
        </w:rPr>
        <w:t xml:space="preserve">Payment of the Option Price for the shares purchased pursuant to the exercise of an Option or the Purchase Price for Restricted Stock shall be made in cash or in cash equivalents acceptable to the Company, except as provided in this </w:t>
      </w:r>
      <w:r>
        <w:rPr>
          <w:rFonts w:ascii="Arial" w:cs="Arial" w:eastAsia="Arial" w:hAnsi="Arial"/>
          <w:sz w:val="18"/>
          <w:szCs w:val="18"/>
          <w:b w:val="1"/>
          <w:bCs w:val="1"/>
          <w:color w:val="auto"/>
        </w:rPr>
        <w:t>Section 11</w:t>
      </w:r>
      <w:r>
        <w:rPr>
          <w:rFonts w:ascii="Arial" w:cs="Arial" w:eastAsia="Arial" w:hAnsi="Arial"/>
          <w:sz w:val="18"/>
          <w:szCs w:val="18"/>
          <w:color w:val="auto"/>
        </w:rPr>
        <w:t>.</w:t>
      </w:r>
    </w:p>
    <w:p>
      <w:pPr>
        <w:spacing w:after="0" w:line="202" w:lineRule="exact"/>
        <w:rPr>
          <w:sz w:val="20"/>
          <w:szCs w:val="20"/>
          <w:color w:val="auto"/>
        </w:rPr>
      </w:pPr>
    </w:p>
    <w:p>
      <w:pPr>
        <w:ind w:left="580"/>
        <w:spacing w:after="0"/>
        <w:tabs>
          <w:tab w:leader="none" w:pos="1680" w:val="left"/>
        </w:tabs>
        <w:rPr>
          <w:sz w:val="20"/>
          <w:szCs w:val="20"/>
          <w:color w:val="auto"/>
        </w:rPr>
      </w:pPr>
      <w:r>
        <w:rPr>
          <w:rFonts w:ascii="Arial" w:cs="Arial" w:eastAsia="Arial" w:hAnsi="Arial"/>
          <w:sz w:val="18"/>
          <w:szCs w:val="18"/>
          <w:b w:val="1"/>
          <w:bCs w:val="1"/>
          <w:color w:val="auto"/>
        </w:rPr>
        <w:t>11.2.</w:t>
      </w:r>
      <w:r>
        <w:rPr>
          <w:sz w:val="20"/>
          <w:szCs w:val="20"/>
          <w:color w:val="auto"/>
        </w:rPr>
        <w:tab/>
      </w:r>
      <w:r>
        <w:rPr>
          <w:rFonts w:ascii="Arial" w:cs="Arial" w:eastAsia="Arial" w:hAnsi="Arial"/>
          <w:sz w:val="18"/>
          <w:szCs w:val="18"/>
          <w:b w:val="1"/>
          <w:bCs w:val="1"/>
          <w:color w:val="auto"/>
        </w:rPr>
        <w:t>Surrender of Stock.</w:t>
      </w:r>
    </w:p>
    <w:p>
      <w:pPr>
        <w:spacing w:after="0" w:line="234" w:lineRule="exact"/>
        <w:rPr>
          <w:sz w:val="20"/>
          <w:szCs w:val="20"/>
          <w:color w:val="auto"/>
        </w:rPr>
      </w:pPr>
    </w:p>
    <w:p>
      <w:pPr>
        <w:ind w:firstLine="799"/>
        <w:spacing w:after="0" w:line="238" w:lineRule="auto"/>
        <w:rPr>
          <w:sz w:val="20"/>
          <w:szCs w:val="20"/>
          <w:color w:val="auto"/>
        </w:rPr>
      </w:pPr>
      <w:r>
        <w:rPr>
          <w:rFonts w:ascii="Arial" w:cs="Arial" w:eastAsia="Arial" w:hAnsi="Arial"/>
          <w:sz w:val="18"/>
          <w:szCs w:val="18"/>
          <w:color w:val="auto"/>
        </w:rPr>
        <w:t>To the extent the Award Agreement so provides, payment of the Option Price for shares purchased pursuant to the exercise of an Option or the Purchase Price for Restricted Stock may be made all or in part through the tender to, or withholding by, the Company of shares of Stock, which shares shall be valued, for purposes of determining the extent to which the Option Price or Purchase Price for Restricted Stock has been paid thereby, at their Fair Market Value on the date of exercise or surrender. Notwithstanding the foregoing, in the case of an Incentive Stock Option, the right to make payment in the form of already owned shares of Stock may be authorized only at the time of grant.</w:t>
      </w:r>
    </w:p>
    <w:p>
      <w:pPr>
        <w:spacing w:after="0" w:line="208" w:lineRule="exact"/>
        <w:rPr>
          <w:sz w:val="20"/>
          <w:szCs w:val="20"/>
          <w:color w:val="auto"/>
        </w:rPr>
      </w:pPr>
    </w:p>
    <w:p>
      <w:pPr>
        <w:ind w:left="580"/>
        <w:spacing w:after="0"/>
        <w:tabs>
          <w:tab w:leader="none" w:pos="1680" w:val="left"/>
        </w:tabs>
        <w:rPr>
          <w:sz w:val="20"/>
          <w:szCs w:val="20"/>
          <w:color w:val="auto"/>
        </w:rPr>
      </w:pPr>
      <w:r>
        <w:rPr>
          <w:rFonts w:ascii="Arial" w:cs="Arial" w:eastAsia="Arial" w:hAnsi="Arial"/>
          <w:sz w:val="18"/>
          <w:szCs w:val="18"/>
          <w:b w:val="1"/>
          <w:bCs w:val="1"/>
          <w:color w:val="auto"/>
        </w:rPr>
        <w:t>11.3.</w:t>
      </w:r>
      <w:r>
        <w:rPr>
          <w:sz w:val="20"/>
          <w:szCs w:val="20"/>
          <w:color w:val="auto"/>
        </w:rPr>
        <w:tab/>
      </w:r>
      <w:r>
        <w:rPr>
          <w:rFonts w:ascii="Arial" w:cs="Arial" w:eastAsia="Arial" w:hAnsi="Arial"/>
          <w:sz w:val="18"/>
          <w:szCs w:val="18"/>
          <w:b w:val="1"/>
          <w:bCs w:val="1"/>
          <w:color w:val="auto"/>
        </w:rPr>
        <w:t>Cashless Exercise.</w:t>
      </w:r>
    </w:p>
    <w:p>
      <w:pPr>
        <w:spacing w:after="0" w:line="234" w:lineRule="exact"/>
        <w:rPr>
          <w:sz w:val="20"/>
          <w:szCs w:val="20"/>
          <w:color w:val="auto"/>
        </w:rPr>
      </w:pPr>
    </w:p>
    <w:p>
      <w:pPr>
        <w:ind w:right="140" w:firstLine="799"/>
        <w:spacing w:after="0" w:line="239" w:lineRule="auto"/>
        <w:rPr>
          <w:sz w:val="20"/>
          <w:szCs w:val="20"/>
          <w:color w:val="auto"/>
        </w:rPr>
      </w:pPr>
      <w:r>
        <w:rPr>
          <w:rFonts w:ascii="Arial" w:cs="Arial" w:eastAsia="Arial" w:hAnsi="Arial"/>
          <w:sz w:val="18"/>
          <w:szCs w:val="18"/>
          <w:color w:val="auto"/>
        </w:rPr>
        <w:t xml:space="preserve">With respect to an Option only (and not with respect to Restricted Stock), to the extent permitted by law and to the extent the Award Agreement so provides, payment of the Option Price may be made all or in part by delivery (on a form acceptable to the Company) of an irrevocable direction to a licensed securities broker acceptable to the Company to sell shares of Stock and to deliver all or part of the sales proceeds to the Company in payment of the Option Price and any withholding taxes described in </w:t>
      </w:r>
      <w:r>
        <w:rPr>
          <w:rFonts w:ascii="Arial" w:cs="Arial" w:eastAsia="Arial" w:hAnsi="Arial"/>
          <w:sz w:val="18"/>
          <w:szCs w:val="18"/>
          <w:b w:val="1"/>
          <w:bCs w:val="1"/>
          <w:color w:val="auto"/>
        </w:rPr>
        <w:t>Section 17.3</w:t>
      </w:r>
      <w:r>
        <w:rPr>
          <w:rFonts w:ascii="Arial" w:cs="Arial" w:eastAsia="Arial" w:hAnsi="Arial"/>
          <w:sz w:val="18"/>
          <w:szCs w:val="18"/>
          <w:color w:val="auto"/>
        </w:rPr>
        <w:t>.</w:t>
      </w:r>
    </w:p>
    <w:p>
      <w:pPr>
        <w:spacing w:after="0" w:line="207" w:lineRule="exact"/>
        <w:rPr>
          <w:sz w:val="20"/>
          <w:szCs w:val="20"/>
          <w:color w:val="auto"/>
        </w:rPr>
      </w:pPr>
    </w:p>
    <w:p>
      <w:pPr>
        <w:ind w:left="580"/>
        <w:spacing w:after="0"/>
        <w:tabs>
          <w:tab w:leader="none" w:pos="1680" w:val="left"/>
        </w:tabs>
        <w:rPr>
          <w:sz w:val="20"/>
          <w:szCs w:val="20"/>
          <w:color w:val="auto"/>
        </w:rPr>
      </w:pPr>
      <w:r>
        <w:rPr>
          <w:rFonts w:ascii="Arial" w:cs="Arial" w:eastAsia="Arial" w:hAnsi="Arial"/>
          <w:sz w:val="18"/>
          <w:szCs w:val="18"/>
          <w:b w:val="1"/>
          <w:bCs w:val="1"/>
          <w:color w:val="auto"/>
        </w:rPr>
        <w:t>11.4.</w:t>
      </w:r>
      <w:r>
        <w:rPr>
          <w:sz w:val="20"/>
          <w:szCs w:val="20"/>
          <w:color w:val="auto"/>
        </w:rPr>
        <w:tab/>
      </w:r>
      <w:r>
        <w:rPr>
          <w:rFonts w:ascii="Arial" w:cs="Arial" w:eastAsia="Arial" w:hAnsi="Arial"/>
          <w:sz w:val="18"/>
          <w:szCs w:val="18"/>
          <w:b w:val="1"/>
          <w:bCs w:val="1"/>
          <w:color w:val="auto"/>
        </w:rPr>
        <w:t>Other Forms of Payment.</w:t>
      </w:r>
    </w:p>
    <w:p>
      <w:pPr>
        <w:spacing w:after="0" w:line="234" w:lineRule="exact"/>
        <w:rPr>
          <w:sz w:val="20"/>
          <w:szCs w:val="20"/>
          <w:color w:val="auto"/>
        </w:rPr>
      </w:pPr>
    </w:p>
    <w:p>
      <w:pPr>
        <w:ind w:right="60" w:firstLine="799"/>
        <w:spacing w:after="0"/>
        <w:rPr>
          <w:sz w:val="20"/>
          <w:szCs w:val="20"/>
          <w:color w:val="auto"/>
        </w:rPr>
      </w:pPr>
      <w:r>
        <w:rPr>
          <w:rFonts w:ascii="Arial" w:cs="Arial" w:eastAsia="Arial" w:hAnsi="Arial"/>
          <w:sz w:val="18"/>
          <w:szCs w:val="18"/>
          <w:color w:val="auto"/>
        </w:rPr>
        <w:t>To the extent the Award Agreement so provides, payment of the Option Price or the Purchase Price for Restricted Stock may be made in any other form that is consistent with applicable laws, regulations and rules, including, but not limited to, the Company’s withholding of shares of Stock otherwise due to the exercising Grantee.</w:t>
      </w:r>
    </w:p>
    <w:p>
      <w:pPr>
        <w:spacing w:after="0" w:line="208" w:lineRule="exact"/>
        <w:rPr>
          <w:sz w:val="20"/>
          <w:szCs w:val="20"/>
          <w:color w:val="auto"/>
        </w:rPr>
      </w:pPr>
    </w:p>
    <w:p>
      <w:pPr>
        <w:ind w:left="800" w:hanging="792"/>
        <w:spacing w:after="0"/>
        <w:tabs>
          <w:tab w:leader="none" w:pos="800" w:val="left"/>
        </w:tabs>
        <w:numPr>
          <w:ilvl w:val="0"/>
          <w:numId w:val="113"/>
        </w:numPr>
        <w:rPr>
          <w:rFonts w:ascii="Arial" w:cs="Arial" w:eastAsia="Arial" w:hAnsi="Arial"/>
          <w:sz w:val="18"/>
          <w:szCs w:val="18"/>
          <w:b w:val="1"/>
          <w:bCs w:val="1"/>
          <w:color w:val="auto"/>
        </w:rPr>
      </w:pPr>
      <w:r>
        <w:rPr>
          <w:rFonts w:ascii="Arial" w:cs="Arial" w:eastAsia="Arial" w:hAnsi="Arial"/>
          <w:sz w:val="18"/>
          <w:szCs w:val="18"/>
          <w:b w:val="1"/>
          <w:bCs w:val="1"/>
          <w:color w:val="auto"/>
        </w:rPr>
        <w:t>TERMS AND CONDITIONS OF PERFORMANCE AWARDS</w:t>
      </w:r>
    </w:p>
    <w:p>
      <w:pPr>
        <w:spacing w:after="0" w:line="239" w:lineRule="exact"/>
        <w:rPr>
          <w:sz w:val="20"/>
          <w:szCs w:val="20"/>
          <w:color w:val="auto"/>
        </w:rPr>
      </w:pPr>
    </w:p>
    <w:p>
      <w:pPr>
        <w:ind w:left="580"/>
        <w:spacing w:after="0"/>
        <w:tabs>
          <w:tab w:leader="none" w:pos="1680" w:val="left"/>
        </w:tabs>
        <w:rPr>
          <w:sz w:val="20"/>
          <w:szCs w:val="20"/>
          <w:color w:val="auto"/>
        </w:rPr>
      </w:pPr>
      <w:r>
        <w:rPr>
          <w:rFonts w:ascii="Arial" w:cs="Arial" w:eastAsia="Arial" w:hAnsi="Arial"/>
          <w:sz w:val="18"/>
          <w:szCs w:val="18"/>
          <w:b w:val="1"/>
          <w:bCs w:val="1"/>
          <w:color w:val="auto"/>
        </w:rPr>
        <w:t>12.1.</w:t>
      </w:r>
      <w:r>
        <w:rPr>
          <w:sz w:val="20"/>
          <w:szCs w:val="20"/>
          <w:color w:val="auto"/>
        </w:rPr>
        <w:tab/>
      </w:r>
      <w:r>
        <w:rPr>
          <w:rFonts w:ascii="Arial" w:cs="Arial" w:eastAsia="Arial" w:hAnsi="Arial"/>
          <w:sz w:val="18"/>
          <w:szCs w:val="18"/>
          <w:b w:val="1"/>
          <w:bCs w:val="1"/>
          <w:color w:val="auto"/>
        </w:rPr>
        <w:t>Performance Conditions.</w:t>
      </w:r>
    </w:p>
    <w:p>
      <w:pPr>
        <w:spacing w:after="0" w:line="234" w:lineRule="exact"/>
        <w:rPr>
          <w:sz w:val="20"/>
          <w:szCs w:val="20"/>
          <w:color w:val="auto"/>
        </w:rPr>
      </w:pPr>
    </w:p>
    <w:p>
      <w:pPr>
        <w:ind w:right="60" w:firstLine="799"/>
        <w:spacing w:after="0"/>
        <w:rPr>
          <w:sz w:val="20"/>
          <w:szCs w:val="20"/>
          <w:color w:val="auto"/>
        </w:rPr>
      </w:pPr>
      <w:r>
        <w:rPr>
          <w:rFonts w:ascii="Arial" w:cs="Arial" w:eastAsia="Arial" w:hAnsi="Arial"/>
          <w:sz w:val="18"/>
          <w:szCs w:val="18"/>
          <w:color w:val="auto"/>
        </w:rPr>
        <w:t>The right of a Grantee to exercise or receive a grant or settlement of any Award, and the timing thereof, may be subject to such performance conditions as may be specified by the Board. The Board may use such business criteria and other measures of performance as it may deem appropriate in establishing any performance conditions.</w:t>
      </w:r>
    </w:p>
    <w:p>
      <w:pPr>
        <w:spacing w:after="0" w:line="13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00"/>
          </w:cols>
          <w:pgMar w:left="240" w:top="459" w:right="25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580"/>
        <w:spacing w:after="0"/>
        <w:tabs>
          <w:tab w:leader="none" w:pos="1680" w:val="left"/>
        </w:tabs>
        <w:rPr>
          <w:sz w:val="20"/>
          <w:szCs w:val="20"/>
          <w:color w:val="auto"/>
        </w:rPr>
      </w:pPr>
      <w:r>
        <w:rPr>
          <w:rFonts w:ascii="Arial" w:cs="Arial" w:eastAsia="Arial" w:hAnsi="Arial"/>
          <w:sz w:val="18"/>
          <w:szCs w:val="18"/>
          <w:b w:val="1"/>
          <w:bCs w:val="1"/>
          <w:color w:val="auto"/>
        </w:rPr>
        <w:t>12.2.</w:t>
      </w:r>
      <w:r>
        <w:rPr>
          <w:sz w:val="20"/>
          <w:szCs w:val="20"/>
          <w:color w:val="auto"/>
        </w:rPr>
        <w:tab/>
      </w:r>
      <w:r>
        <w:rPr>
          <w:rFonts w:ascii="Arial" w:cs="Arial" w:eastAsia="Arial" w:hAnsi="Arial"/>
          <w:sz w:val="17"/>
          <w:szCs w:val="17"/>
          <w:b w:val="1"/>
          <w:bCs w:val="1"/>
          <w:color w:val="auto"/>
        </w:rPr>
        <w:t>Performance Awards Granted to Designated Covered Employees.</w:t>
      </w:r>
    </w:p>
    <w:p>
      <w:pPr>
        <w:spacing w:after="0" w:line="234" w:lineRule="exact"/>
        <w:rPr>
          <w:sz w:val="20"/>
          <w:szCs w:val="20"/>
          <w:color w:val="auto"/>
        </w:rPr>
      </w:pPr>
    </w:p>
    <w:p>
      <w:pPr>
        <w:ind w:right="60" w:firstLine="799"/>
        <w:spacing w:after="0" w:line="237" w:lineRule="auto"/>
        <w:rPr>
          <w:sz w:val="20"/>
          <w:szCs w:val="20"/>
          <w:color w:val="auto"/>
        </w:rPr>
      </w:pPr>
      <w:r>
        <w:rPr>
          <w:rFonts w:ascii="Arial" w:cs="Arial" w:eastAsia="Arial" w:hAnsi="Arial"/>
          <w:sz w:val="18"/>
          <w:szCs w:val="18"/>
          <w:color w:val="auto"/>
        </w:rPr>
        <w:t xml:space="preserve">If and to the extent that the Committee determines that a Performance Award to be granted to a Grantee who is designated by the Committee as having the potential to be a Covered Employee should qualify as “performance-based compensation” for purposes of Section 162(m), the grant, exercise and/or settlement of such Performance Award shall be contingent upon achievement of pre-established performance goals and other terms set forth in this </w:t>
      </w:r>
      <w:r>
        <w:rPr>
          <w:rFonts w:ascii="Arial" w:cs="Arial" w:eastAsia="Arial" w:hAnsi="Arial"/>
          <w:sz w:val="18"/>
          <w:szCs w:val="18"/>
          <w:b w:val="1"/>
          <w:bCs w:val="1"/>
          <w:color w:val="auto"/>
        </w:rPr>
        <w:t>Section 12.2</w:t>
      </w:r>
      <w:r>
        <w:rPr>
          <w:rFonts w:ascii="Arial" w:cs="Arial" w:eastAsia="Arial" w:hAnsi="Arial"/>
          <w:sz w:val="18"/>
          <w:szCs w:val="18"/>
          <w:color w:val="auto"/>
        </w:rPr>
        <w:t>. Notwithstanding anything herein to the contrary, the Committee in its discretion may provide for Performance Awards to Covered Employees that are not intended to qualify as “performance-based compensation” for purposes of Section 162(m).</w:t>
      </w:r>
    </w:p>
    <w:p>
      <w:pPr>
        <w:spacing w:after="0" w:line="210" w:lineRule="exact"/>
        <w:rPr>
          <w:sz w:val="20"/>
          <w:szCs w:val="20"/>
          <w:color w:val="auto"/>
        </w:rPr>
      </w:pPr>
    </w:p>
    <w:p>
      <w:pPr>
        <w:ind w:left="1260"/>
        <w:spacing w:after="0"/>
        <w:tabs>
          <w:tab w:leader="none" w:pos="2600" w:val="left"/>
        </w:tabs>
        <w:rPr>
          <w:sz w:val="20"/>
          <w:szCs w:val="20"/>
          <w:color w:val="auto"/>
        </w:rPr>
      </w:pPr>
      <w:r>
        <w:rPr>
          <w:rFonts w:ascii="Arial" w:cs="Arial" w:eastAsia="Arial" w:hAnsi="Arial"/>
          <w:sz w:val="18"/>
          <w:szCs w:val="18"/>
          <w:b w:val="1"/>
          <w:bCs w:val="1"/>
          <w:color w:val="auto"/>
        </w:rPr>
        <w:t>12.2.1.</w:t>
      </w:r>
      <w:r>
        <w:rPr>
          <w:sz w:val="20"/>
          <w:szCs w:val="20"/>
          <w:color w:val="auto"/>
        </w:rPr>
        <w:tab/>
      </w:r>
      <w:r>
        <w:rPr>
          <w:rFonts w:ascii="Arial" w:cs="Arial" w:eastAsia="Arial" w:hAnsi="Arial"/>
          <w:sz w:val="17"/>
          <w:szCs w:val="17"/>
          <w:b w:val="1"/>
          <w:bCs w:val="1"/>
          <w:color w:val="auto"/>
        </w:rPr>
        <w:t>Performance Goals Generally.</w:t>
      </w:r>
    </w:p>
    <w:p>
      <w:pPr>
        <w:spacing w:after="0" w:line="234" w:lineRule="exact"/>
        <w:rPr>
          <w:sz w:val="20"/>
          <w:szCs w:val="20"/>
          <w:color w:val="auto"/>
        </w:rPr>
      </w:pPr>
    </w:p>
    <w:p>
      <w:pPr>
        <w:ind w:firstLine="799"/>
        <w:spacing w:after="0" w:line="236" w:lineRule="auto"/>
        <w:rPr>
          <w:sz w:val="20"/>
          <w:szCs w:val="20"/>
          <w:color w:val="auto"/>
        </w:rPr>
      </w:pPr>
      <w:r>
        <w:rPr>
          <w:rFonts w:ascii="Arial" w:cs="Arial" w:eastAsia="Arial" w:hAnsi="Arial"/>
          <w:sz w:val="18"/>
          <w:szCs w:val="18"/>
          <w:color w:val="auto"/>
        </w:rPr>
        <w:t xml:space="preserve">The performance goals for such Performance Awards shall consist of one or more business criteria and a targeted level or levels of performance with respect to each of such criteria, as specified by the Committee consistent with this </w:t>
      </w:r>
      <w:r>
        <w:rPr>
          <w:rFonts w:ascii="Arial" w:cs="Arial" w:eastAsia="Arial" w:hAnsi="Arial"/>
          <w:sz w:val="18"/>
          <w:szCs w:val="18"/>
          <w:b w:val="1"/>
          <w:bCs w:val="1"/>
          <w:color w:val="auto"/>
        </w:rPr>
        <w:t>Section 12.2</w:t>
      </w:r>
      <w:r>
        <w:rPr>
          <w:rFonts w:ascii="Arial" w:cs="Arial" w:eastAsia="Arial" w:hAnsi="Arial"/>
          <w:sz w:val="18"/>
          <w:szCs w:val="18"/>
          <w:color w:val="auto"/>
        </w:rPr>
        <w:t xml:space="preserve">. Performance goals shall be objective and shall otherwise meet the requirements of Section 162(m) and regulations thereunder including the requirement that the level or levels of performance targeted by the Committee result in the achievement of performance goals being “substantially uncertain.” The Committee may determine that such Performance Awards shall be granted, exercised and/or settled upon achievement of any one performance goal or that two or more of the performance goals must be achieved as a condition to grant, exercise and/or settlement of such Performance Awards. Performance goals may, in the discretion of the Committee, be established on a Company-wide basis, or with respect to one or more business units, divisions, subsidiaries or business segments, as applicable. Performance goals may be absolute or relative (to the performance of one or more comparable companies or indices or based on year-over-year growth). To the extent consistent with the requirements of Section 162(m), the Committee may determine at the time that goals under this </w:t>
      </w:r>
      <w:r>
        <w:rPr>
          <w:rFonts w:ascii="Arial" w:cs="Arial" w:eastAsia="Arial" w:hAnsi="Arial"/>
          <w:sz w:val="18"/>
          <w:szCs w:val="18"/>
          <w:b w:val="1"/>
          <w:bCs w:val="1"/>
          <w:color w:val="auto"/>
        </w:rPr>
        <w:t>Section 12</w:t>
      </w:r>
      <w:r>
        <w:rPr>
          <w:rFonts w:ascii="Arial" w:cs="Arial" w:eastAsia="Arial" w:hAnsi="Arial"/>
          <w:sz w:val="18"/>
          <w:szCs w:val="18"/>
          <w:color w:val="auto"/>
        </w:rPr>
        <w:t xml:space="preserve"> are established, the extent to which measurement of performance goals may include or exclude certain unusual or nonrecurring events, including, without limitation, the following: the impact of charges for restructuring, discontinued operations, debt redemption or retirement, asset write downs, litigation or claim judgments or settlements, acquisitions or divestitures, foreign exchange gains and losses, and other unusual non-recurring items, and the cumulative effects of tax or accounting changes. Performance goals may differ for Performance Awards granted to any one Grantee or to different Grantees.</w:t>
      </w:r>
    </w:p>
    <w:p>
      <w:pPr>
        <w:spacing w:after="0" w:line="207" w:lineRule="exact"/>
        <w:rPr>
          <w:sz w:val="20"/>
          <w:szCs w:val="20"/>
          <w:color w:val="auto"/>
        </w:rPr>
      </w:pPr>
    </w:p>
    <w:p>
      <w:pPr>
        <w:ind w:left="1260"/>
        <w:spacing w:after="0"/>
        <w:tabs>
          <w:tab w:leader="none" w:pos="2600" w:val="left"/>
        </w:tabs>
        <w:rPr>
          <w:sz w:val="20"/>
          <w:szCs w:val="20"/>
          <w:color w:val="auto"/>
        </w:rPr>
      </w:pPr>
      <w:r>
        <w:rPr>
          <w:rFonts w:ascii="Arial" w:cs="Arial" w:eastAsia="Arial" w:hAnsi="Arial"/>
          <w:sz w:val="18"/>
          <w:szCs w:val="18"/>
          <w:b w:val="1"/>
          <w:bCs w:val="1"/>
          <w:color w:val="auto"/>
        </w:rPr>
        <w:t>12.2.2.</w:t>
      </w:r>
      <w:r>
        <w:rPr>
          <w:sz w:val="20"/>
          <w:szCs w:val="20"/>
          <w:color w:val="auto"/>
        </w:rPr>
        <w:tab/>
      </w:r>
      <w:r>
        <w:rPr>
          <w:rFonts w:ascii="Arial" w:cs="Arial" w:eastAsia="Arial" w:hAnsi="Arial"/>
          <w:sz w:val="17"/>
          <w:szCs w:val="17"/>
          <w:b w:val="1"/>
          <w:bCs w:val="1"/>
          <w:color w:val="auto"/>
        </w:rPr>
        <w:t>Business Criteria.</w:t>
      </w:r>
    </w:p>
    <w:p>
      <w:pPr>
        <w:spacing w:after="0" w:line="234" w:lineRule="exact"/>
        <w:rPr>
          <w:sz w:val="20"/>
          <w:szCs w:val="20"/>
          <w:color w:val="auto"/>
        </w:rPr>
      </w:pPr>
    </w:p>
    <w:p>
      <w:pPr>
        <w:ind w:right="240" w:firstLine="799"/>
        <w:spacing w:after="0" w:line="248" w:lineRule="auto"/>
        <w:rPr>
          <w:sz w:val="20"/>
          <w:szCs w:val="20"/>
          <w:color w:val="auto"/>
        </w:rPr>
      </w:pPr>
      <w:r>
        <w:rPr>
          <w:rFonts w:ascii="Arial" w:cs="Arial" w:eastAsia="Arial" w:hAnsi="Arial"/>
          <w:sz w:val="17"/>
          <w:szCs w:val="17"/>
          <w:color w:val="auto"/>
        </w:rPr>
        <w:t>One or more of the following business criteria for the Company, on a consolidated basis, and/or specified subsidiaries or business units of the Company (except with respect to the total stockholder return and earnings per share criteria), shall be used exclusively by the Committee in establishing performance goals for such Performance Awards: (i) cash flow; (ii) earnings per share; (iii) earnings or income measures (including EBITDA)); (iv) return measures (including return on assets, capital, invested capital, equity, sales, or revenue); (v) total stockholder return; (vi) share price performance; (vii) revenue; (viii) profit margin; (ix) net order dollars; (x) contract bookings; (xi) contract awards; (xii) book-to-bill; (xiii) backlog; (xiv) customer metrics (including customer satisfaction, customer retention, or customer profitability);</w:t>
      </w:r>
    </w:p>
    <w:p>
      <w:pPr>
        <w:ind w:left="360" w:hanging="352"/>
        <w:spacing w:after="0"/>
        <w:tabs>
          <w:tab w:leader="none" w:pos="36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productivity; (xvi) expense targets; (xvii) market share; (xviii) cost control measures; (xix) balance sheet metrics; (xx) strategic initiatives;</w:t>
      </w:r>
    </w:p>
    <w:p>
      <w:pPr>
        <w:ind w:firstLine="8"/>
        <w:spacing w:after="0" w:line="236" w:lineRule="auto"/>
        <w:tabs>
          <w:tab w:leader="none" w:pos="39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 xml:space="preserve">implementation, completion or attainment of measurable objectives with respect to recruitment or retention of personnel or employee satisfaction; (xxii) successful completion of, or achievement of milestones or objectives related to, financing or capital raising transactions, strategic acquisitions or divestitures, joint ventures, partnerships, collaborations, or other transactions; (xxiii) debt levels or reduction or debt ratios; (xxiv) operating efficiency; (xxv) working capital targets, including days working capital; (xvi) quantifiable, objective measures of individual performance relevant to the particular individual’s job responsibilities or (xvii) any combination of the forgoing business criteria; </w:t>
      </w: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that such business criteria shall include any derivations of business criteria listed above (e.g., income shall include pre-tax</w:t>
      </w:r>
      <w:r>
        <w:rPr>
          <w:rFonts w:ascii="Arial" w:cs="Arial" w:eastAsia="Arial" w:hAnsi="Arial"/>
          <w:sz w:val="18"/>
          <w:szCs w:val="18"/>
          <w:i w:val="1"/>
          <w:iCs w:val="1"/>
          <w:color w:val="auto"/>
        </w:rPr>
        <w:t xml:space="preserve"> </w:t>
      </w:r>
      <w:r>
        <w:rPr>
          <w:rFonts w:ascii="Arial" w:cs="Arial" w:eastAsia="Arial" w:hAnsi="Arial"/>
          <w:sz w:val="18"/>
          <w:szCs w:val="18"/>
          <w:color w:val="auto"/>
        </w:rPr>
        <w:t>income, net income, or operating income). Any business criteria that are financial metrics may be determined in accordance with United States Generally Accepted Accounting Principles (“GAAP”) or may be adjusted when established (or to the extent permitted under Section 162(m), at any time thereafter) to include or exclude any items otherwise includable or excludable under GAAP.</w:t>
      </w:r>
    </w:p>
    <w:p>
      <w:pPr>
        <w:spacing w:after="0" w:line="212" w:lineRule="exact"/>
        <w:rPr>
          <w:sz w:val="20"/>
          <w:szCs w:val="20"/>
          <w:color w:val="auto"/>
        </w:rPr>
      </w:pPr>
    </w:p>
    <w:p>
      <w:pPr>
        <w:ind w:left="1260"/>
        <w:spacing w:after="0"/>
        <w:tabs>
          <w:tab w:leader="none" w:pos="2600" w:val="left"/>
        </w:tabs>
        <w:rPr>
          <w:sz w:val="20"/>
          <w:szCs w:val="20"/>
          <w:color w:val="auto"/>
        </w:rPr>
      </w:pPr>
      <w:r>
        <w:rPr>
          <w:rFonts w:ascii="Arial" w:cs="Arial" w:eastAsia="Arial" w:hAnsi="Arial"/>
          <w:sz w:val="18"/>
          <w:szCs w:val="18"/>
          <w:b w:val="1"/>
          <w:bCs w:val="1"/>
          <w:color w:val="auto"/>
        </w:rPr>
        <w:t>12.2.3.</w:t>
      </w:r>
      <w:r>
        <w:rPr>
          <w:sz w:val="20"/>
          <w:szCs w:val="20"/>
          <w:color w:val="auto"/>
        </w:rPr>
        <w:tab/>
      </w:r>
      <w:r>
        <w:rPr>
          <w:rFonts w:ascii="Arial" w:cs="Arial" w:eastAsia="Arial" w:hAnsi="Arial"/>
          <w:sz w:val="17"/>
          <w:szCs w:val="17"/>
          <w:b w:val="1"/>
          <w:bCs w:val="1"/>
          <w:color w:val="auto"/>
        </w:rPr>
        <w:t>Timing for Establishing Performance Goals.</w:t>
      </w:r>
    </w:p>
    <w:p>
      <w:pPr>
        <w:spacing w:after="0" w:line="234" w:lineRule="exact"/>
        <w:rPr>
          <w:sz w:val="20"/>
          <w:szCs w:val="20"/>
          <w:color w:val="auto"/>
        </w:rPr>
      </w:pPr>
    </w:p>
    <w:p>
      <w:pPr>
        <w:ind w:right="300" w:firstLine="799"/>
        <w:spacing w:after="0" w:line="246" w:lineRule="auto"/>
        <w:rPr>
          <w:sz w:val="20"/>
          <w:szCs w:val="20"/>
          <w:color w:val="auto"/>
        </w:rPr>
      </w:pPr>
      <w:r>
        <w:rPr>
          <w:rFonts w:ascii="Arial" w:cs="Arial" w:eastAsia="Arial" w:hAnsi="Arial"/>
          <w:sz w:val="18"/>
          <w:szCs w:val="18"/>
          <w:color w:val="auto"/>
        </w:rPr>
        <w:t>Performance goals shall be established not later than 90 days after the beginning of any performance period applicable to such Performance Awards, or at such other date as may be required or permitted for “performance-based compensation” under Section 162(m).</w:t>
      </w:r>
    </w:p>
    <w:p>
      <w:pPr>
        <w:spacing w:after="0" w:line="132"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340"/>
          </w:cols>
          <w:pgMar w:left="240" w:top="459" w:right="31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60"/>
        <w:spacing w:after="0"/>
        <w:tabs>
          <w:tab w:leader="none" w:pos="2600" w:val="left"/>
        </w:tabs>
        <w:rPr>
          <w:sz w:val="20"/>
          <w:szCs w:val="20"/>
          <w:color w:val="auto"/>
        </w:rPr>
      </w:pPr>
      <w:r>
        <w:rPr>
          <w:rFonts w:ascii="Arial" w:cs="Arial" w:eastAsia="Arial" w:hAnsi="Arial"/>
          <w:sz w:val="18"/>
          <w:szCs w:val="18"/>
          <w:b w:val="1"/>
          <w:bCs w:val="1"/>
          <w:color w:val="auto"/>
        </w:rPr>
        <w:t>12.2.4.</w:t>
      </w:r>
      <w:r>
        <w:rPr>
          <w:sz w:val="20"/>
          <w:szCs w:val="20"/>
          <w:color w:val="auto"/>
        </w:rPr>
        <w:tab/>
      </w:r>
      <w:r>
        <w:rPr>
          <w:rFonts w:ascii="Arial" w:cs="Arial" w:eastAsia="Arial" w:hAnsi="Arial"/>
          <w:sz w:val="17"/>
          <w:szCs w:val="17"/>
          <w:b w:val="1"/>
          <w:bCs w:val="1"/>
          <w:color w:val="auto"/>
        </w:rPr>
        <w:t>Settlement of Performance Awards; Other Terms.</w:t>
      </w:r>
    </w:p>
    <w:p>
      <w:pPr>
        <w:spacing w:after="0" w:line="234" w:lineRule="exact"/>
        <w:rPr>
          <w:sz w:val="20"/>
          <w:szCs w:val="20"/>
          <w:color w:val="auto"/>
        </w:rPr>
      </w:pPr>
    </w:p>
    <w:p>
      <w:pPr>
        <w:ind w:right="220" w:firstLine="799"/>
        <w:spacing w:after="0" w:line="275" w:lineRule="auto"/>
        <w:rPr>
          <w:sz w:val="20"/>
          <w:szCs w:val="20"/>
          <w:color w:val="auto"/>
        </w:rPr>
      </w:pPr>
      <w:r>
        <w:rPr>
          <w:rFonts w:ascii="Arial" w:cs="Arial" w:eastAsia="Arial" w:hAnsi="Arial"/>
          <w:sz w:val="17"/>
          <w:szCs w:val="17"/>
          <w:color w:val="auto"/>
        </w:rPr>
        <w:t>Settlement of Performance Awards shall be in cash, Stock, other Awards or other property, in the discretion of the Committee. The Committee may, in its discretion, reduce the amount of a settlement otherwise to be made in connection with such Performance Awards.</w:t>
      </w:r>
    </w:p>
    <w:p>
      <w:pPr>
        <w:spacing w:after="0" w:line="178" w:lineRule="exact"/>
        <w:rPr>
          <w:sz w:val="20"/>
          <w:szCs w:val="20"/>
          <w:color w:val="auto"/>
        </w:rPr>
      </w:pPr>
    </w:p>
    <w:p>
      <w:pPr>
        <w:ind w:left="580"/>
        <w:spacing w:after="0"/>
        <w:tabs>
          <w:tab w:leader="none" w:pos="1680" w:val="left"/>
        </w:tabs>
        <w:rPr>
          <w:sz w:val="20"/>
          <w:szCs w:val="20"/>
          <w:color w:val="auto"/>
        </w:rPr>
      </w:pPr>
      <w:r>
        <w:rPr>
          <w:rFonts w:ascii="Arial" w:cs="Arial" w:eastAsia="Arial" w:hAnsi="Arial"/>
          <w:sz w:val="18"/>
          <w:szCs w:val="18"/>
          <w:b w:val="1"/>
          <w:bCs w:val="1"/>
          <w:color w:val="auto"/>
        </w:rPr>
        <w:t>12.3.</w:t>
      </w:r>
      <w:r>
        <w:rPr>
          <w:sz w:val="20"/>
          <w:szCs w:val="20"/>
          <w:color w:val="auto"/>
        </w:rPr>
        <w:tab/>
      </w:r>
      <w:r>
        <w:rPr>
          <w:rFonts w:ascii="Arial" w:cs="Arial" w:eastAsia="Arial" w:hAnsi="Arial"/>
          <w:sz w:val="18"/>
          <w:szCs w:val="18"/>
          <w:b w:val="1"/>
          <w:bCs w:val="1"/>
          <w:color w:val="auto"/>
        </w:rPr>
        <w:t>Written Determinations.</w:t>
      </w:r>
    </w:p>
    <w:p>
      <w:pPr>
        <w:spacing w:after="0" w:line="234" w:lineRule="exact"/>
        <w:rPr>
          <w:sz w:val="20"/>
          <w:szCs w:val="20"/>
          <w:color w:val="auto"/>
        </w:rPr>
      </w:pPr>
    </w:p>
    <w:p>
      <w:pPr>
        <w:ind w:right="100" w:firstLine="799"/>
        <w:spacing w:after="0" w:line="239" w:lineRule="auto"/>
        <w:rPr>
          <w:sz w:val="20"/>
          <w:szCs w:val="20"/>
          <w:color w:val="auto"/>
        </w:rPr>
      </w:pPr>
      <w:r>
        <w:rPr>
          <w:rFonts w:ascii="Arial" w:cs="Arial" w:eastAsia="Arial" w:hAnsi="Arial"/>
          <w:sz w:val="18"/>
          <w:szCs w:val="18"/>
          <w:color w:val="auto"/>
        </w:rPr>
        <w:t>All determinations by the Committee as to the establishment of performance goals, the amount of any Performance Award pool or potential individual Performance Awards and as to the achievement of performance goals relating to Performance Awards, shall be made in writing in the case of any Award intended to qualify under Section 162(m) to the extent required by Section 162(m). To the extent permitted by Section 162(m), the Committee may delegate any responsibility relating to such Performance Awards.</w:t>
      </w:r>
    </w:p>
    <w:p>
      <w:pPr>
        <w:spacing w:after="0" w:line="207" w:lineRule="exact"/>
        <w:rPr>
          <w:sz w:val="20"/>
          <w:szCs w:val="20"/>
          <w:color w:val="auto"/>
        </w:rPr>
      </w:pPr>
    </w:p>
    <w:p>
      <w:pPr>
        <w:ind w:left="580"/>
        <w:spacing w:after="0"/>
        <w:tabs>
          <w:tab w:leader="none" w:pos="1680" w:val="left"/>
        </w:tabs>
        <w:rPr>
          <w:sz w:val="20"/>
          <w:szCs w:val="20"/>
          <w:color w:val="auto"/>
        </w:rPr>
      </w:pPr>
      <w:r>
        <w:rPr>
          <w:rFonts w:ascii="Arial" w:cs="Arial" w:eastAsia="Arial" w:hAnsi="Arial"/>
          <w:sz w:val="18"/>
          <w:szCs w:val="18"/>
          <w:b w:val="1"/>
          <w:bCs w:val="1"/>
          <w:color w:val="auto"/>
        </w:rPr>
        <w:t>12.4.</w:t>
      </w:r>
      <w:r>
        <w:rPr>
          <w:sz w:val="20"/>
          <w:szCs w:val="20"/>
          <w:color w:val="auto"/>
        </w:rPr>
        <w:tab/>
      </w:r>
      <w:r>
        <w:rPr>
          <w:rFonts w:ascii="Arial" w:cs="Arial" w:eastAsia="Arial" w:hAnsi="Arial"/>
          <w:sz w:val="17"/>
          <w:szCs w:val="17"/>
          <w:b w:val="1"/>
          <w:bCs w:val="1"/>
          <w:color w:val="auto"/>
        </w:rPr>
        <w:t>Status of Section 12.2 Awards under Section 162(m).</w:t>
      </w:r>
    </w:p>
    <w:p>
      <w:pPr>
        <w:spacing w:after="0" w:line="212" w:lineRule="exact"/>
        <w:rPr>
          <w:sz w:val="20"/>
          <w:szCs w:val="20"/>
          <w:color w:val="auto"/>
        </w:rPr>
      </w:pPr>
    </w:p>
    <w:p>
      <w:pPr>
        <w:ind w:right="180" w:firstLine="799"/>
        <w:spacing w:after="0" w:line="238" w:lineRule="auto"/>
        <w:rPr>
          <w:sz w:val="20"/>
          <w:szCs w:val="20"/>
          <w:color w:val="auto"/>
        </w:rPr>
      </w:pPr>
      <w:r>
        <w:rPr>
          <w:rFonts w:ascii="Arial" w:cs="Arial" w:eastAsia="Arial" w:hAnsi="Arial"/>
          <w:sz w:val="18"/>
          <w:szCs w:val="18"/>
          <w:color w:val="auto"/>
        </w:rPr>
        <w:t xml:space="preserve">It is the intent of the Company that Performance Awards under </w:t>
      </w:r>
      <w:r>
        <w:rPr>
          <w:rFonts w:ascii="Arial" w:cs="Arial" w:eastAsia="Arial" w:hAnsi="Arial"/>
          <w:sz w:val="18"/>
          <w:szCs w:val="18"/>
          <w:b w:val="1"/>
          <w:bCs w:val="1"/>
          <w:color w:val="auto"/>
        </w:rPr>
        <w:t>Section 12.2</w:t>
      </w:r>
      <w:r>
        <w:rPr>
          <w:rFonts w:ascii="Arial" w:cs="Arial" w:eastAsia="Arial" w:hAnsi="Arial"/>
          <w:sz w:val="18"/>
          <w:szCs w:val="18"/>
          <w:color w:val="auto"/>
        </w:rPr>
        <w:t xml:space="preserve"> hereof granted to persons who are designated by the Committee as having the potential to be Covered Employees within the meaning of Section 162(m) and regulations thereunder shall, if so designated by the Committee, constitute “qualified performance-based compensation” within the meaning of Section 162(m) and regulations thereunder. Accordingly, the terms of </w:t>
      </w:r>
      <w:r>
        <w:rPr>
          <w:rFonts w:ascii="Arial" w:cs="Arial" w:eastAsia="Arial" w:hAnsi="Arial"/>
          <w:sz w:val="18"/>
          <w:szCs w:val="18"/>
          <w:b w:val="1"/>
          <w:bCs w:val="1"/>
          <w:color w:val="auto"/>
        </w:rPr>
        <w:t>Section 12.2</w:t>
      </w:r>
      <w:r>
        <w:rPr>
          <w:rFonts w:ascii="Arial" w:cs="Arial" w:eastAsia="Arial" w:hAnsi="Arial"/>
          <w:sz w:val="18"/>
          <w:szCs w:val="18"/>
          <w:color w:val="auto"/>
        </w:rPr>
        <w:t>, including the definitions of Covered Employee and other terms used therein, shall be interpreted in a manner consistent with Section 162(m) and regulations thereunder. The foregoing notwithstanding, because the Committee cannot determine with certainty whether a given Grantee will be a Covered Employee with respect to a fiscal year that has not yet been completed, the term Covered Employee as used herein shall mean only a person designated by the Committee, at the time of grant of Performance Awards, as having the potential to be a Covered Employee with respect to that fiscal year or any subsequent fiscal year. If any provision of the Plan or any agreement relating to such Performance Awards does not comply or is inconsistent with the requirements of Section 162(m) or regulations thereunder, such provision shall be construed or deemed amended to the extent necessary to conform to such requirements.</w:t>
      </w:r>
    </w:p>
    <w:p>
      <w:pPr>
        <w:spacing w:after="0" w:line="214" w:lineRule="exact"/>
        <w:rPr>
          <w:sz w:val="20"/>
          <w:szCs w:val="20"/>
          <w:color w:val="auto"/>
        </w:rPr>
      </w:pPr>
    </w:p>
    <w:p>
      <w:pPr>
        <w:ind w:left="800" w:hanging="792"/>
        <w:spacing w:after="0"/>
        <w:tabs>
          <w:tab w:leader="none" w:pos="800" w:val="left"/>
        </w:tabs>
        <w:numPr>
          <w:ilvl w:val="0"/>
          <w:numId w:val="116"/>
        </w:numPr>
        <w:rPr>
          <w:rFonts w:ascii="Arial" w:cs="Arial" w:eastAsia="Arial" w:hAnsi="Arial"/>
          <w:sz w:val="18"/>
          <w:szCs w:val="18"/>
          <w:b w:val="1"/>
          <w:bCs w:val="1"/>
          <w:color w:val="auto"/>
        </w:rPr>
      </w:pPr>
      <w:r>
        <w:rPr>
          <w:rFonts w:ascii="Arial" w:cs="Arial" w:eastAsia="Arial" w:hAnsi="Arial"/>
          <w:sz w:val="18"/>
          <w:szCs w:val="18"/>
          <w:b w:val="1"/>
          <w:bCs w:val="1"/>
          <w:color w:val="auto"/>
        </w:rPr>
        <w:t>OTHER STOCK-BASED AWARDS</w:t>
      </w:r>
    </w:p>
    <w:p>
      <w:pPr>
        <w:spacing w:after="0" w:line="238" w:lineRule="exact"/>
        <w:rPr>
          <w:rFonts w:ascii="Arial" w:cs="Arial" w:eastAsia="Arial" w:hAnsi="Arial"/>
          <w:sz w:val="18"/>
          <w:szCs w:val="18"/>
          <w:b w:val="1"/>
          <w:bCs w:val="1"/>
          <w:color w:val="auto"/>
        </w:rPr>
      </w:pPr>
    </w:p>
    <w:p>
      <w:pPr>
        <w:ind w:left="80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13.1.</w:t>
      </w:r>
      <w:r>
        <w:rPr>
          <w:rFonts w:ascii="Arial" w:cs="Arial" w:eastAsia="Arial" w:hAnsi="Arial"/>
          <w:sz w:val="17"/>
          <w:szCs w:val="17"/>
          <w:b w:val="1"/>
          <w:bCs w:val="1"/>
          <w:color w:val="auto"/>
        </w:rPr>
        <w:t>Grant of Other Stock-based Awards.</w:t>
      </w:r>
    </w:p>
    <w:p>
      <w:pPr>
        <w:spacing w:after="0" w:line="234" w:lineRule="exact"/>
        <w:rPr>
          <w:sz w:val="20"/>
          <w:szCs w:val="20"/>
          <w:color w:val="auto"/>
        </w:rPr>
      </w:pPr>
    </w:p>
    <w:p>
      <w:pPr>
        <w:ind w:right="40" w:firstLine="799"/>
        <w:spacing w:after="0" w:line="236" w:lineRule="auto"/>
        <w:rPr>
          <w:sz w:val="20"/>
          <w:szCs w:val="20"/>
          <w:color w:val="auto"/>
        </w:rPr>
      </w:pPr>
      <w:r>
        <w:rPr>
          <w:rFonts w:ascii="Arial" w:cs="Arial" w:eastAsia="Arial" w:hAnsi="Arial"/>
          <w:sz w:val="18"/>
          <w:szCs w:val="18"/>
          <w:color w:val="auto"/>
        </w:rPr>
        <w:t>Other Stock-based Awards may be granted either alone or in addition to or in conjunction with other Awards under the Plan. Other Stock-based Awards may be granted in lieu of other cash or other compensation to which a Service Provider is entitled from the Company or may be used in the settlement of amounts payable in shares of Common Stock under any other compensation plan or arrangement of the Company. Subject to the provisions of the Plan, the Board shall have the sole and complete authority to determine the persons to whom and the time or times at which such Awards shall be made, the number of shares of Common Stock to be granted pursuant to such Awards, and all other conditions of such Awards. Unless the Board determines otherwise, any such Award shall be confirmed by an Award Agreement, which shall contain such provisions as the Board determines to be necessary or appropriate to carry out the intent of this Plan with respect to such Award.</w:t>
      </w:r>
    </w:p>
    <w:p>
      <w:pPr>
        <w:spacing w:after="0" w:line="213" w:lineRule="exact"/>
        <w:rPr>
          <w:sz w:val="20"/>
          <w:szCs w:val="20"/>
          <w:color w:val="auto"/>
        </w:rPr>
      </w:pPr>
    </w:p>
    <w:p>
      <w:pPr>
        <w:ind w:left="800"/>
        <w:spacing w:after="0"/>
        <w:tabs>
          <w:tab w:leader="none" w:pos="1680" w:val="left"/>
        </w:tabs>
        <w:rPr>
          <w:sz w:val="20"/>
          <w:szCs w:val="20"/>
          <w:color w:val="auto"/>
        </w:rPr>
      </w:pPr>
      <w:r>
        <w:rPr>
          <w:rFonts w:ascii="Arial" w:cs="Arial" w:eastAsia="Arial" w:hAnsi="Arial"/>
          <w:sz w:val="18"/>
          <w:szCs w:val="18"/>
          <w:b w:val="1"/>
          <w:bCs w:val="1"/>
          <w:color w:val="auto"/>
        </w:rPr>
        <w:t>13.2.</w:t>
      </w:r>
      <w:r>
        <w:rPr>
          <w:sz w:val="20"/>
          <w:szCs w:val="20"/>
          <w:color w:val="auto"/>
        </w:rPr>
        <w:tab/>
      </w:r>
      <w:r>
        <w:rPr>
          <w:rFonts w:ascii="Arial" w:cs="Arial" w:eastAsia="Arial" w:hAnsi="Arial"/>
          <w:sz w:val="17"/>
          <w:szCs w:val="17"/>
          <w:b w:val="1"/>
          <w:bCs w:val="1"/>
          <w:color w:val="auto"/>
        </w:rPr>
        <w:t>Terms of Other Stock-based Awards.</w:t>
      </w:r>
    </w:p>
    <w:p>
      <w:pPr>
        <w:spacing w:after="0" w:line="212" w:lineRule="exact"/>
        <w:rPr>
          <w:sz w:val="20"/>
          <w:szCs w:val="20"/>
          <w:color w:val="auto"/>
        </w:rPr>
      </w:pPr>
    </w:p>
    <w:p>
      <w:pPr>
        <w:ind w:right="180" w:firstLine="799"/>
        <w:spacing w:after="0" w:line="253" w:lineRule="auto"/>
        <w:rPr>
          <w:sz w:val="20"/>
          <w:szCs w:val="20"/>
          <w:color w:val="auto"/>
        </w:rPr>
      </w:pPr>
      <w:r>
        <w:rPr>
          <w:rFonts w:ascii="Arial" w:cs="Arial" w:eastAsia="Arial" w:hAnsi="Arial"/>
          <w:sz w:val="18"/>
          <w:szCs w:val="18"/>
          <w:color w:val="auto"/>
        </w:rPr>
        <w:t xml:space="preserve">Any Common Stock subject to Awards made under this </w:t>
      </w:r>
      <w:r>
        <w:rPr>
          <w:rFonts w:ascii="Arial" w:cs="Arial" w:eastAsia="Arial" w:hAnsi="Arial"/>
          <w:sz w:val="18"/>
          <w:szCs w:val="18"/>
          <w:b w:val="1"/>
          <w:bCs w:val="1"/>
          <w:color w:val="auto"/>
        </w:rPr>
        <w:t>Section 13</w:t>
      </w:r>
      <w:r>
        <w:rPr>
          <w:rFonts w:ascii="Arial" w:cs="Arial" w:eastAsia="Arial" w:hAnsi="Arial"/>
          <w:sz w:val="18"/>
          <w:szCs w:val="18"/>
          <w:color w:val="auto"/>
        </w:rPr>
        <w:t xml:space="preserve"> may not be sold, assigned, transferred, pledged or otherwise encumbered prior to the date on which the shares are issued, or, if later, the date on which any applicable restriction, performance or deferral period lapses.</w:t>
      </w:r>
    </w:p>
    <w:p>
      <w:pPr>
        <w:spacing w:after="0" w:line="196" w:lineRule="exact"/>
        <w:rPr>
          <w:sz w:val="20"/>
          <w:szCs w:val="20"/>
          <w:color w:val="auto"/>
        </w:rPr>
      </w:pPr>
    </w:p>
    <w:p>
      <w:pPr>
        <w:ind w:left="800" w:hanging="792"/>
        <w:spacing w:after="0"/>
        <w:tabs>
          <w:tab w:leader="none" w:pos="800" w:val="left"/>
        </w:tabs>
        <w:numPr>
          <w:ilvl w:val="0"/>
          <w:numId w:val="117"/>
        </w:numPr>
        <w:rPr>
          <w:rFonts w:ascii="Arial" w:cs="Arial" w:eastAsia="Arial" w:hAnsi="Arial"/>
          <w:sz w:val="18"/>
          <w:szCs w:val="18"/>
          <w:b w:val="1"/>
          <w:bCs w:val="1"/>
          <w:color w:val="auto"/>
        </w:rPr>
      </w:pPr>
      <w:r>
        <w:rPr>
          <w:rFonts w:ascii="Arial" w:cs="Arial" w:eastAsia="Arial" w:hAnsi="Arial"/>
          <w:sz w:val="18"/>
          <w:szCs w:val="18"/>
          <w:b w:val="1"/>
          <w:bCs w:val="1"/>
          <w:color w:val="auto"/>
        </w:rPr>
        <w:t>REQUIREMENTS OF LAW</w:t>
      </w:r>
    </w:p>
    <w:p>
      <w:pPr>
        <w:spacing w:after="0" w:line="239" w:lineRule="exact"/>
        <w:rPr>
          <w:sz w:val="20"/>
          <w:szCs w:val="20"/>
          <w:color w:val="auto"/>
        </w:rPr>
      </w:pPr>
    </w:p>
    <w:p>
      <w:pPr>
        <w:ind w:left="580"/>
        <w:spacing w:after="0"/>
        <w:tabs>
          <w:tab w:leader="none" w:pos="1680" w:val="left"/>
        </w:tabs>
        <w:rPr>
          <w:sz w:val="20"/>
          <w:szCs w:val="20"/>
          <w:color w:val="auto"/>
        </w:rPr>
      </w:pPr>
      <w:r>
        <w:rPr>
          <w:rFonts w:ascii="Arial" w:cs="Arial" w:eastAsia="Arial" w:hAnsi="Arial"/>
          <w:sz w:val="18"/>
          <w:szCs w:val="18"/>
          <w:b w:val="1"/>
          <w:bCs w:val="1"/>
          <w:color w:val="auto"/>
        </w:rPr>
        <w:t>14.1.</w:t>
      </w:r>
      <w:r>
        <w:rPr>
          <w:sz w:val="20"/>
          <w:szCs w:val="20"/>
          <w:color w:val="auto"/>
        </w:rPr>
        <w:tab/>
      </w:r>
      <w:r>
        <w:rPr>
          <w:rFonts w:ascii="Arial" w:cs="Arial" w:eastAsia="Arial" w:hAnsi="Arial"/>
          <w:sz w:val="18"/>
          <w:szCs w:val="18"/>
          <w:b w:val="1"/>
          <w:bCs w:val="1"/>
          <w:color w:val="auto"/>
        </w:rPr>
        <w:t>General.</w:t>
      </w:r>
    </w:p>
    <w:p>
      <w:pPr>
        <w:spacing w:after="0" w:line="234" w:lineRule="exact"/>
        <w:rPr>
          <w:sz w:val="20"/>
          <w:szCs w:val="20"/>
          <w:color w:val="auto"/>
        </w:rPr>
      </w:pPr>
    </w:p>
    <w:p>
      <w:pPr>
        <w:ind w:firstLine="799"/>
        <w:spacing w:after="0" w:line="246" w:lineRule="auto"/>
        <w:rPr>
          <w:sz w:val="20"/>
          <w:szCs w:val="20"/>
          <w:color w:val="auto"/>
        </w:rPr>
      </w:pPr>
      <w:r>
        <w:rPr>
          <w:rFonts w:ascii="Arial" w:cs="Arial" w:eastAsia="Arial" w:hAnsi="Arial"/>
          <w:sz w:val="18"/>
          <w:szCs w:val="18"/>
          <w:color w:val="auto"/>
        </w:rPr>
        <w:t>The Company shall not be required to sell or issue any shares of Stock under any Award if the sale or issuance of such shares would constitute a violation by the Grantee, any other individual exercising an Option, or the Company of any</w:t>
      </w:r>
    </w:p>
    <w:p>
      <w:pPr>
        <w:spacing w:after="0" w:line="13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380"/>
          </w:cols>
          <w:pgMar w:left="240" w:top="459" w:right="27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provision of any law or regulation of any governmental authority, including without limitation any federal or state securities laws or regulations. If at any time the Company shall determine, in its discretion, that the listing, registration or qualification of any shares subject to an Award upon any securities exchange or under any governmental regulatory body is necessary or desirable as a condition of, or in connection with, the issuance or purchase of shares hereunder, no shares of Stock may be issued or sold to the Grantee or any other individual exercising an Option pursuant to such Award unless such listing, registration, qualification, consent or approval shall have been effected or obtained free of any conditions not acceptable to the Company, and any delay caused thereby shall in no way affect the date of termination of the Award. Specifically, in connection with the Securities Act, upon the exercise of any Option or the delivery of any shares of Stock underlying an Award, unless a registration statement under such Act is in effect with respect to the shares of Stock covered by such Award, the Company shall not be required to sell or issue such shares unless the Board has received evidence satisfactory to it that the Grantee or any other individual exercising an Option may acquire such shares pursuant to an exemption from registration under the Securities Act. Any determination in this connection by the Board shall be final, binding, and conclusive. The Company may, but shall in no event be obligated to, register any securities covered hereby pursuant to the Securities Act. The Company shall not be obligated to take any affirmative action in order to cause the exercise of an Option or the issuance of shares of Stock pursuant to the Plan to comply with any law or regulation of any governmental authority. As to any jurisdiction that expressly imposes the requirement that an Option shall not be exercisable until the shares of Stock covered by such Option are registered or are exempt from registration, the exercise of such Option (under circumstances in which the laws of such jurisdiction apply) shall be deemed conditioned upon the effectiveness of such registration or the availability of such an exemption.</w:t>
      </w:r>
    </w:p>
    <w:p>
      <w:pPr>
        <w:spacing w:after="0" w:line="220" w:lineRule="exact"/>
        <w:rPr>
          <w:sz w:val="20"/>
          <w:szCs w:val="20"/>
          <w:color w:val="auto"/>
        </w:rPr>
      </w:pPr>
    </w:p>
    <w:p>
      <w:pPr>
        <w:ind w:left="580"/>
        <w:spacing w:after="0"/>
        <w:tabs>
          <w:tab w:leader="none" w:pos="1680" w:val="left"/>
        </w:tabs>
        <w:rPr>
          <w:sz w:val="20"/>
          <w:szCs w:val="20"/>
          <w:color w:val="auto"/>
        </w:rPr>
      </w:pPr>
      <w:r>
        <w:rPr>
          <w:rFonts w:ascii="Arial" w:cs="Arial" w:eastAsia="Arial" w:hAnsi="Arial"/>
          <w:sz w:val="18"/>
          <w:szCs w:val="18"/>
          <w:b w:val="1"/>
          <w:bCs w:val="1"/>
          <w:color w:val="auto"/>
        </w:rPr>
        <w:t>14.2.</w:t>
      </w:r>
      <w:r>
        <w:rPr>
          <w:sz w:val="20"/>
          <w:szCs w:val="20"/>
          <w:color w:val="auto"/>
        </w:rPr>
        <w:tab/>
      </w:r>
      <w:r>
        <w:rPr>
          <w:rFonts w:ascii="Arial" w:cs="Arial" w:eastAsia="Arial" w:hAnsi="Arial"/>
          <w:sz w:val="18"/>
          <w:szCs w:val="18"/>
          <w:b w:val="1"/>
          <w:bCs w:val="1"/>
          <w:color w:val="auto"/>
        </w:rPr>
        <w:t>Rule 16b-3.</w:t>
      </w:r>
    </w:p>
    <w:p>
      <w:pPr>
        <w:spacing w:after="0" w:line="234" w:lineRule="exact"/>
        <w:rPr>
          <w:sz w:val="20"/>
          <w:szCs w:val="20"/>
          <w:color w:val="auto"/>
        </w:rPr>
      </w:pPr>
    </w:p>
    <w:p>
      <w:pPr>
        <w:ind w:right="120" w:firstLine="799"/>
        <w:spacing w:after="0" w:line="237" w:lineRule="auto"/>
        <w:rPr>
          <w:sz w:val="20"/>
          <w:szCs w:val="20"/>
          <w:color w:val="auto"/>
        </w:rPr>
      </w:pPr>
      <w:r>
        <w:rPr>
          <w:rFonts w:ascii="Arial" w:cs="Arial" w:eastAsia="Arial" w:hAnsi="Arial"/>
          <w:sz w:val="18"/>
          <w:szCs w:val="18"/>
          <w:color w:val="auto"/>
        </w:rPr>
        <w:t>During any time when the Company has a class of equity security registered under Section 12 of the Exchange Act, it is the intent of the Company that Awards and the exercise of Options granted to officers and directors hereunder will qualify for the exemption provided by Rule 16b-3 under the Exchange Act. To the extent that any provision of the Plan or action by the Board does not comply with the requirements of Rule 16b-3, it shall be deemed inoperative to the extent permitted by law and deemed advisable by the Board, and shall not affect the validity of the Plan. In the event that Rule 16b-3 is revised or replaced, the Board may exercise its discretion to modify this Plan in any respect necessary to satisfy the requirements of, or to take advantage of any features of, the revised exemption or its replacement.</w:t>
      </w:r>
    </w:p>
    <w:p>
      <w:pPr>
        <w:spacing w:after="0" w:line="210" w:lineRule="exact"/>
        <w:rPr>
          <w:sz w:val="20"/>
          <w:szCs w:val="20"/>
          <w:color w:val="auto"/>
        </w:rPr>
      </w:pPr>
    </w:p>
    <w:p>
      <w:pPr>
        <w:ind w:left="800" w:hanging="792"/>
        <w:spacing w:after="0"/>
        <w:tabs>
          <w:tab w:leader="none" w:pos="800" w:val="left"/>
        </w:tabs>
        <w:numPr>
          <w:ilvl w:val="0"/>
          <w:numId w:val="118"/>
        </w:numPr>
        <w:rPr>
          <w:rFonts w:ascii="Arial" w:cs="Arial" w:eastAsia="Arial" w:hAnsi="Arial"/>
          <w:sz w:val="18"/>
          <w:szCs w:val="18"/>
          <w:b w:val="1"/>
          <w:bCs w:val="1"/>
          <w:color w:val="auto"/>
        </w:rPr>
      </w:pPr>
      <w:r>
        <w:rPr>
          <w:rFonts w:ascii="Arial" w:cs="Arial" w:eastAsia="Arial" w:hAnsi="Arial"/>
          <w:sz w:val="18"/>
          <w:szCs w:val="18"/>
          <w:b w:val="1"/>
          <w:bCs w:val="1"/>
          <w:color w:val="auto"/>
        </w:rPr>
        <w:t>EFFECT OF CHANGES IN CAPITALIZATION</w:t>
      </w:r>
    </w:p>
    <w:p>
      <w:pPr>
        <w:spacing w:after="0" w:line="239" w:lineRule="exact"/>
        <w:rPr>
          <w:sz w:val="20"/>
          <w:szCs w:val="20"/>
          <w:color w:val="auto"/>
        </w:rPr>
      </w:pPr>
    </w:p>
    <w:p>
      <w:pPr>
        <w:ind w:left="580"/>
        <w:spacing w:after="0"/>
        <w:tabs>
          <w:tab w:leader="none" w:pos="1680" w:val="left"/>
        </w:tabs>
        <w:rPr>
          <w:sz w:val="20"/>
          <w:szCs w:val="20"/>
          <w:color w:val="auto"/>
        </w:rPr>
      </w:pPr>
      <w:r>
        <w:rPr>
          <w:rFonts w:ascii="Arial" w:cs="Arial" w:eastAsia="Arial" w:hAnsi="Arial"/>
          <w:sz w:val="18"/>
          <w:szCs w:val="18"/>
          <w:b w:val="1"/>
          <w:bCs w:val="1"/>
          <w:color w:val="auto"/>
        </w:rPr>
        <w:t>15.1.</w:t>
      </w:r>
      <w:r>
        <w:rPr>
          <w:sz w:val="20"/>
          <w:szCs w:val="20"/>
          <w:color w:val="auto"/>
        </w:rPr>
        <w:tab/>
      </w:r>
      <w:r>
        <w:rPr>
          <w:rFonts w:ascii="Arial" w:cs="Arial" w:eastAsia="Arial" w:hAnsi="Arial"/>
          <w:sz w:val="18"/>
          <w:szCs w:val="18"/>
          <w:b w:val="1"/>
          <w:bCs w:val="1"/>
          <w:color w:val="auto"/>
        </w:rPr>
        <w:t>Changes in Stock.</w:t>
      </w:r>
    </w:p>
    <w:p>
      <w:pPr>
        <w:spacing w:after="0" w:line="234" w:lineRule="exact"/>
        <w:rPr>
          <w:sz w:val="20"/>
          <w:szCs w:val="20"/>
          <w:color w:val="auto"/>
        </w:rPr>
      </w:pPr>
    </w:p>
    <w:p>
      <w:pPr>
        <w:ind w:right="20" w:firstLine="799"/>
        <w:spacing w:after="0" w:line="236" w:lineRule="auto"/>
        <w:rPr>
          <w:sz w:val="20"/>
          <w:szCs w:val="20"/>
          <w:color w:val="auto"/>
        </w:rPr>
      </w:pPr>
      <w:r>
        <w:rPr>
          <w:rFonts w:ascii="Arial" w:cs="Arial" w:eastAsia="Arial" w:hAnsi="Arial"/>
          <w:sz w:val="18"/>
          <w:szCs w:val="18"/>
          <w:color w:val="auto"/>
        </w:rPr>
        <w:t xml:space="preserve">If (i) the number of outstanding shares of Stock is increased or decreased or the shares of Stock are changed into or exchanged for a different number or kind of shares or other securities of the Company on account of any recapitalization, reclassification, stock split, reverse split, combination of shares, exchange of shares, stock dividend or other distribution payable in capital stock, or other increase or decrease in such shares effected without receipt of consideration by the Company occurring after the Effective Date or (ii) there occurs any spin-off, split-up, extraordinary cash dividend or other distribution of assets by the Company, (x) the number and kinds of shares for which grants of Awards may be made under the Plan (including the per-Grantee maximums set forth in </w:t>
      </w:r>
      <w:r>
        <w:rPr>
          <w:rFonts w:ascii="Arial" w:cs="Arial" w:eastAsia="Arial" w:hAnsi="Arial"/>
          <w:sz w:val="18"/>
          <w:szCs w:val="18"/>
          <w:b w:val="1"/>
          <w:bCs w:val="1"/>
          <w:color w:val="auto"/>
        </w:rPr>
        <w:t>Section 4</w:t>
      </w:r>
      <w:r>
        <w:rPr>
          <w:rFonts w:ascii="Arial" w:cs="Arial" w:eastAsia="Arial" w:hAnsi="Arial"/>
          <w:sz w:val="18"/>
          <w:szCs w:val="18"/>
          <w:color w:val="auto"/>
        </w:rPr>
        <w:t>), (y) the number and kinds of shares for which outstanding Awards may be exercised or settled and (z) the performance goals relating to outstanding Awards, shall be equitably adjusted by the Company; provided that any such adjustment shall comply with Section 409A. In addition, in the event of any such increase or decease in the number of outstanding shares or other transaction described in clause (ii) above, the number and kind of shares for which Awards are outstanding and the Option Price per share of outstanding Options and SAR Exercise Price per share of outstanding SARs shall be equitably adjusted; provided that any such adjustment shall comply with Section 409A.</w:t>
      </w:r>
    </w:p>
    <w:p>
      <w:pPr>
        <w:spacing w:after="0" w:line="211" w:lineRule="exact"/>
        <w:rPr>
          <w:sz w:val="20"/>
          <w:szCs w:val="20"/>
          <w:color w:val="auto"/>
        </w:rPr>
      </w:pPr>
    </w:p>
    <w:p>
      <w:pPr>
        <w:ind w:left="580"/>
        <w:spacing w:after="0"/>
        <w:tabs>
          <w:tab w:leader="none" w:pos="1680" w:val="left"/>
        </w:tabs>
        <w:rPr>
          <w:sz w:val="20"/>
          <w:szCs w:val="20"/>
          <w:color w:val="auto"/>
        </w:rPr>
      </w:pPr>
      <w:r>
        <w:rPr>
          <w:rFonts w:ascii="Arial" w:cs="Arial" w:eastAsia="Arial" w:hAnsi="Arial"/>
          <w:sz w:val="18"/>
          <w:szCs w:val="18"/>
          <w:b w:val="1"/>
          <w:bCs w:val="1"/>
          <w:color w:val="auto"/>
        </w:rPr>
        <w:t>15.2.</w:t>
      </w:r>
      <w:r>
        <w:rPr>
          <w:sz w:val="20"/>
          <w:szCs w:val="20"/>
          <w:color w:val="auto"/>
        </w:rPr>
        <w:tab/>
      </w:r>
      <w:r>
        <w:rPr>
          <w:rFonts w:ascii="Arial" w:cs="Arial" w:eastAsia="Arial" w:hAnsi="Arial"/>
          <w:sz w:val="18"/>
          <w:szCs w:val="18"/>
          <w:b w:val="1"/>
          <w:bCs w:val="1"/>
          <w:color w:val="auto"/>
        </w:rPr>
        <w:t>Effect of Certain Transactions.</w:t>
      </w:r>
    </w:p>
    <w:p>
      <w:pPr>
        <w:spacing w:after="0" w:line="234" w:lineRule="exact"/>
        <w:rPr>
          <w:sz w:val="20"/>
          <w:szCs w:val="20"/>
          <w:color w:val="auto"/>
        </w:rPr>
      </w:pPr>
    </w:p>
    <w:p>
      <w:pPr>
        <w:ind w:right="240" w:firstLine="799"/>
        <w:spacing w:after="0" w:line="238" w:lineRule="auto"/>
        <w:rPr>
          <w:sz w:val="20"/>
          <w:szCs w:val="20"/>
          <w:color w:val="auto"/>
        </w:rPr>
      </w:pPr>
      <w:r>
        <w:rPr>
          <w:rFonts w:ascii="Arial" w:cs="Arial" w:eastAsia="Arial" w:hAnsi="Arial"/>
          <w:sz w:val="18"/>
          <w:szCs w:val="18"/>
          <w:color w:val="auto"/>
        </w:rPr>
        <w:t>Except as otherwise provided in an Award Agreement, in the event of a Corporate Transaction, the Plan and the Awards issued hereunder shall continue in effect in accordance with their respective terms, except that following a Corporate Transaction either (i) each outstanding Award shall be treated as provided for in the agreement entered into in connection with the Corporate Transaction or (ii) if not so provided in such agreement, each Grantee shall be entitled to receive in respect of each share of Common Stock subject to any outstanding Awards, upon exercise or payment or</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20"/>
          </w:cols>
          <w:pgMar w:left="240" w:top="459" w:right="23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 xml:space="preserve">transfer in respect of any Award, the same number and kind of stock, securities, cash, property or other consideration that each holder of a share of Common Stock was entitled to receive in the Corporate Transaction in respect of a share of Common stock;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xml:space="preserve">, that, unless otherwise determined by the Board, such stock, securities, cash, property or other consideration shall remain subject to all of the conditions, restrictions and performance criteria which were applicable to the Awards prior to such Corporate Transaction. Without limiting the generality of the foregoing, the treatment of outstanding Options and SARs pursuant to this </w:t>
      </w:r>
      <w:r>
        <w:rPr>
          <w:rFonts w:ascii="Arial" w:cs="Arial" w:eastAsia="Arial" w:hAnsi="Arial"/>
          <w:sz w:val="18"/>
          <w:szCs w:val="18"/>
          <w:b w:val="1"/>
          <w:bCs w:val="1"/>
          <w:color w:val="auto"/>
        </w:rPr>
        <w:t>Section 15.2</w:t>
      </w:r>
      <w:r>
        <w:rPr>
          <w:rFonts w:ascii="Arial" w:cs="Arial" w:eastAsia="Arial" w:hAnsi="Arial"/>
          <w:sz w:val="18"/>
          <w:szCs w:val="18"/>
          <w:color w:val="auto"/>
        </w:rPr>
        <w:t xml:space="preserve"> in connection with a Corporate Transaction in which the consideration paid or distributed to the Company’s stockholders is not entirely shares of common stock of the acquiring or resulting corporation may include the cancellation of outstanding Options and SARs upon consummation of the Corporate Transaction as long as, at the election of the Board, (i) the holders of affected Options and SARs have been given a period of at least fifteen days prior to the date of the consummation of the Corporate Transaction to exercise the Options or SARs (to the extent otherwise exercisable) or (ii) the holders of the affected Options and SARs are paid (in cash or cash equivalents) in respect of each Share covered by the Option or SAR being canceled an amount equal to the excess, if any, of the per share price paid or distributed to stockholders in the Corporate Transaction (the value of any non-cash consideration to be determined by the Board in its sole discretion) over the Option Price or SAR Exercise Price, as applicable. For avoidance of doubt, (1) the cancellation of Options and SARs pursuant to clause (ii) of the preceding sentence may be effected notwithstanding anything to the contrary contained in this Plan or any Award Agreement and (2) if the amount determined pursuant to clause (ii) of the preceding sentence is zero or less, the affected Option or SAR may be cancelled without any payment therefore. The treatment of any Award as provided in this </w:t>
      </w:r>
      <w:r>
        <w:rPr>
          <w:rFonts w:ascii="Arial" w:cs="Arial" w:eastAsia="Arial" w:hAnsi="Arial"/>
          <w:sz w:val="18"/>
          <w:szCs w:val="18"/>
          <w:b w:val="1"/>
          <w:bCs w:val="1"/>
          <w:color w:val="auto"/>
        </w:rPr>
        <w:t>Section 15.2</w:t>
      </w:r>
      <w:r>
        <w:rPr>
          <w:rFonts w:ascii="Arial" w:cs="Arial" w:eastAsia="Arial" w:hAnsi="Arial"/>
          <w:sz w:val="18"/>
          <w:szCs w:val="18"/>
          <w:color w:val="auto"/>
        </w:rPr>
        <w:t xml:space="preserve"> shall be conclusively presumed to be appropriate for purposes of </w:t>
      </w:r>
      <w:r>
        <w:rPr>
          <w:rFonts w:ascii="Arial" w:cs="Arial" w:eastAsia="Arial" w:hAnsi="Arial"/>
          <w:sz w:val="18"/>
          <w:szCs w:val="18"/>
          <w:b w:val="1"/>
          <w:bCs w:val="1"/>
          <w:color w:val="auto"/>
        </w:rPr>
        <w:t>Section 15.1</w:t>
      </w:r>
      <w:r>
        <w:rPr>
          <w:rFonts w:ascii="Arial" w:cs="Arial" w:eastAsia="Arial" w:hAnsi="Arial"/>
          <w:sz w:val="18"/>
          <w:szCs w:val="18"/>
          <w:color w:val="auto"/>
        </w:rPr>
        <w:t>.</w:t>
      </w:r>
    </w:p>
    <w:p>
      <w:pPr>
        <w:spacing w:after="0" w:line="220" w:lineRule="exact"/>
        <w:rPr>
          <w:sz w:val="20"/>
          <w:szCs w:val="20"/>
          <w:color w:val="auto"/>
        </w:rPr>
      </w:pPr>
    </w:p>
    <w:p>
      <w:pPr>
        <w:ind w:left="580"/>
        <w:spacing w:after="0"/>
        <w:tabs>
          <w:tab w:leader="none" w:pos="1680" w:val="left"/>
        </w:tabs>
        <w:rPr>
          <w:sz w:val="20"/>
          <w:szCs w:val="20"/>
          <w:color w:val="auto"/>
        </w:rPr>
      </w:pPr>
      <w:r>
        <w:rPr>
          <w:rFonts w:ascii="Arial" w:cs="Arial" w:eastAsia="Arial" w:hAnsi="Arial"/>
          <w:sz w:val="18"/>
          <w:szCs w:val="18"/>
          <w:b w:val="1"/>
          <w:bCs w:val="1"/>
          <w:color w:val="auto"/>
        </w:rPr>
        <w:t>15.3.</w:t>
      </w:r>
      <w:r>
        <w:rPr>
          <w:sz w:val="20"/>
          <w:szCs w:val="20"/>
          <w:color w:val="auto"/>
        </w:rPr>
        <w:tab/>
      </w:r>
      <w:r>
        <w:rPr>
          <w:rFonts w:ascii="Arial" w:cs="Arial" w:eastAsia="Arial" w:hAnsi="Arial"/>
          <w:sz w:val="17"/>
          <w:szCs w:val="17"/>
          <w:b w:val="1"/>
          <w:bCs w:val="1"/>
          <w:color w:val="auto"/>
        </w:rPr>
        <w:t>Change in Control</w:t>
      </w:r>
    </w:p>
    <w:p>
      <w:pPr>
        <w:spacing w:after="0" w:line="239" w:lineRule="exact"/>
        <w:rPr>
          <w:sz w:val="20"/>
          <w:szCs w:val="20"/>
          <w:color w:val="auto"/>
        </w:rPr>
      </w:pPr>
    </w:p>
    <w:p>
      <w:pPr>
        <w:ind w:left="1260"/>
        <w:spacing w:after="0"/>
        <w:tabs>
          <w:tab w:leader="none" w:pos="2600" w:val="left"/>
        </w:tabs>
        <w:rPr>
          <w:sz w:val="20"/>
          <w:szCs w:val="20"/>
          <w:color w:val="auto"/>
        </w:rPr>
      </w:pPr>
      <w:r>
        <w:rPr>
          <w:rFonts w:ascii="Arial" w:cs="Arial" w:eastAsia="Arial" w:hAnsi="Arial"/>
          <w:sz w:val="18"/>
          <w:szCs w:val="18"/>
          <w:b w:val="1"/>
          <w:bCs w:val="1"/>
          <w:color w:val="auto"/>
        </w:rPr>
        <w:t>15.3.1.</w:t>
      </w:r>
      <w:r>
        <w:rPr>
          <w:sz w:val="20"/>
          <w:szCs w:val="20"/>
          <w:color w:val="auto"/>
        </w:rPr>
        <w:tab/>
      </w:r>
      <w:r>
        <w:rPr>
          <w:rFonts w:ascii="Arial" w:cs="Arial" w:eastAsia="Arial" w:hAnsi="Arial"/>
          <w:sz w:val="17"/>
          <w:szCs w:val="17"/>
          <w:b w:val="1"/>
          <w:bCs w:val="1"/>
          <w:color w:val="auto"/>
        </w:rPr>
        <w:t>Consequences of a Change in Control</w:t>
      </w:r>
    </w:p>
    <w:p>
      <w:pPr>
        <w:spacing w:after="0" w:line="234" w:lineRule="exact"/>
        <w:rPr>
          <w:sz w:val="20"/>
          <w:szCs w:val="20"/>
          <w:color w:val="auto"/>
        </w:rPr>
      </w:pPr>
    </w:p>
    <w:p>
      <w:pPr>
        <w:ind w:right="120" w:firstLine="799"/>
        <w:spacing w:after="0"/>
        <w:rPr>
          <w:sz w:val="20"/>
          <w:szCs w:val="20"/>
          <w:color w:val="auto"/>
        </w:rPr>
      </w:pPr>
      <w:r>
        <w:rPr>
          <w:rFonts w:ascii="Arial" w:cs="Arial" w:eastAsia="Arial" w:hAnsi="Arial"/>
          <w:sz w:val="18"/>
          <w:szCs w:val="18"/>
          <w:color w:val="auto"/>
        </w:rPr>
        <w:t>For any Awards outstanding as of the date of a Change in Control, either of the following provisions shall apply, depending on whether, and the extent to which, Awards are assumed, converted or replaced by the resulting entity in a Change in Control, unless otherwise provided by the Award Agreement:</w:t>
      </w:r>
    </w:p>
    <w:p>
      <w:pPr>
        <w:spacing w:after="0" w:line="230" w:lineRule="exact"/>
        <w:rPr>
          <w:sz w:val="20"/>
          <w:szCs w:val="20"/>
          <w:color w:val="auto"/>
        </w:rPr>
      </w:pPr>
    </w:p>
    <w:p>
      <w:pPr>
        <w:ind w:left="1700" w:right="60" w:hanging="895"/>
        <w:spacing w:after="0" w:line="237" w:lineRule="auto"/>
        <w:tabs>
          <w:tab w:leader="none" w:pos="17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To the extent such Awards are not assumed, converted or replaced by the resulting entity in the Change in Control, then upon the Change in Control such outstanding Awards that may be exercised shall become fully exercisable, all restrictions with respect to such outstanding Awards, other than for Performance Awards, shall lapse and become vested and non-forfeitable, and for any outstanding Performance Awards the target payout opportunities attainable under such Awards shall be deemed to have been fully earned as of the Change in Control based upon the greater of: (A) an assumed achievement of all relevant performance goals at the “target” level, or (B) the actual level of achievement of all relevant performance goals against target as of the Company’s fiscal quarter end preceding the Change in Control.</w:t>
      </w:r>
    </w:p>
    <w:p>
      <w:pPr>
        <w:spacing w:after="0" w:line="230" w:lineRule="exact"/>
        <w:rPr>
          <w:rFonts w:ascii="Arial" w:cs="Arial" w:eastAsia="Arial" w:hAnsi="Arial"/>
          <w:sz w:val="18"/>
          <w:szCs w:val="18"/>
          <w:color w:val="auto"/>
        </w:rPr>
      </w:pPr>
    </w:p>
    <w:p>
      <w:pPr>
        <w:ind w:left="1700" w:hanging="895"/>
        <w:spacing w:after="0" w:line="236" w:lineRule="auto"/>
        <w:tabs>
          <w:tab w:leader="none" w:pos="17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To the extent such Awards are assumed, converted or replaced by the resulting entity in the Change in Control, if, within 24 months after the date of the Change in Control, the Service Provider has a Separation from Service by the Company other than for “cause” (which may include a Separation from Service by the Service Provider for “good reason” if provided in the applicable Award Agreement), as such terms are defined in the Award Agreement, then such outstanding Awards that may be exercised shall become fully exercisable, all restrictions with respect to such outstanding Awards, other than for Performance Awards, shall lapse and become vested and non-forfeitable, and for any outstanding Performance Awards the target payout opportunities attainable under such Awards shall be deemed to have been fully earned as of the Separation from Service based upon the greater of: (A) an assumed achievement of all relevant performance goals at the “target” level, or (B) the actual level of achievement of all relevant performance goals against target as of the Company’s fiscal quarter end preceding the Change in Control.</w:t>
      </w:r>
    </w:p>
    <w:p>
      <w:pPr>
        <w:spacing w:after="0" w:line="212" w:lineRule="exact"/>
        <w:rPr>
          <w:sz w:val="20"/>
          <w:szCs w:val="20"/>
          <w:color w:val="auto"/>
        </w:rPr>
      </w:pPr>
    </w:p>
    <w:p>
      <w:pPr>
        <w:ind w:left="1260"/>
        <w:spacing w:after="0"/>
        <w:tabs>
          <w:tab w:leader="none" w:pos="2600" w:val="left"/>
        </w:tabs>
        <w:rPr>
          <w:sz w:val="20"/>
          <w:szCs w:val="20"/>
          <w:color w:val="auto"/>
        </w:rPr>
      </w:pPr>
      <w:r>
        <w:rPr>
          <w:rFonts w:ascii="Arial" w:cs="Arial" w:eastAsia="Arial" w:hAnsi="Arial"/>
          <w:sz w:val="18"/>
          <w:szCs w:val="18"/>
          <w:b w:val="1"/>
          <w:bCs w:val="1"/>
          <w:color w:val="auto"/>
        </w:rPr>
        <w:t>15.3.2.</w:t>
      </w:r>
      <w:r>
        <w:rPr>
          <w:sz w:val="20"/>
          <w:szCs w:val="20"/>
          <w:color w:val="auto"/>
        </w:rPr>
        <w:tab/>
      </w:r>
      <w:r>
        <w:rPr>
          <w:rFonts w:ascii="Arial" w:cs="Arial" w:eastAsia="Arial" w:hAnsi="Arial"/>
          <w:sz w:val="17"/>
          <w:szCs w:val="17"/>
          <w:b w:val="1"/>
          <w:bCs w:val="1"/>
          <w:color w:val="auto"/>
        </w:rPr>
        <w:t>Change in Control Defined</w:t>
      </w:r>
    </w:p>
    <w:p>
      <w:pPr>
        <w:spacing w:after="0" w:line="212" w:lineRule="exact"/>
        <w:rPr>
          <w:sz w:val="20"/>
          <w:szCs w:val="20"/>
          <w:color w:val="auto"/>
        </w:rPr>
      </w:pPr>
    </w:p>
    <w:p>
      <w:pPr>
        <w:ind w:right="620" w:firstLine="799"/>
        <w:spacing w:after="0" w:line="271" w:lineRule="auto"/>
        <w:rPr>
          <w:sz w:val="20"/>
          <w:szCs w:val="20"/>
          <w:color w:val="auto"/>
        </w:rPr>
      </w:pPr>
      <w:r>
        <w:rPr>
          <w:rFonts w:ascii="Arial" w:cs="Arial" w:eastAsia="Arial" w:hAnsi="Arial"/>
          <w:sz w:val="18"/>
          <w:szCs w:val="18"/>
          <w:color w:val="auto"/>
        </w:rPr>
        <w:t>Except as may otherwise be defined in an Award Agreement, a “</w:t>
      </w:r>
      <w:r>
        <w:rPr>
          <w:rFonts w:ascii="Arial" w:cs="Arial" w:eastAsia="Arial" w:hAnsi="Arial"/>
          <w:sz w:val="18"/>
          <w:szCs w:val="18"/>
          <w:b w:val="1"/>
          <w:bCs w:val="1"/>
          <w:color w:val="auto"/>
        </w:rPr>
        <w:t>Change in Control</w:t>
      </w:r>
      <w:r>
        <w:rPr>
          <w:rFonts w:ascii="Arial" w:cs="Arial" w:eastAsia="Arial" w:hAnsi="Arial"/>
          <w:sz w:val="18"/>
          <w:szCs w:val="18"/>
          <w:color w:val="auto"/>
        </w:rPr>
        <w:t>” shall mean the occurrence of any of the following events:</w:t>
      </w:r>
    </w:p>
    <w:p>
      <w:pPr>
        <w:spacing w:after="0" w:line="203" w:lineRule="exact"/>
        <w:rPr>
          <w:sz w:val="20"/>
          <w:szCs w:val="20"/>
          <w:color w:val="auto"/>
        </w:rPr>
      </w:pPr>
    </w:p>
    <w:p>
      <w:pPr>
        <w:ind w:left="1700" w:right="340" w:hanging="895"/>
        <w:spacing w:after="0" w:line="246" w:lineRule="auto"/>
        <w:tabs>
          <w:tab w:leader="none" w:pos="17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acquisition by any Person of Beneficial Ownership of twenty-five percent (25%) or more of the outstanding voting power; provided, however, that the following acquisitions shall not constitute a Change</w:t>
      </w:r>
    </w:p>
    <w:p>
      <w:pPr>
        <w:spacing w:after="0" w:line="13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380"/>
          </w:cols>
          <w:pgMar w:left="240" w:top="459" w:right="27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700" w:right="100"/>
        <w:spacing w:after="0" w:line="239" w:lineRule="auto"/>
        <w:rPr>
          <w:sz w:val="20"/>
          <w:szCs w:val="20"/>
          <w:color w:val="auto"/>
        </w:rPr>
      </w:pPr>
      <w:r>
        <w:rPr>
          <w:rFonts w:ascii="Arial" w:cs="Arial" w:eastAsia="Arial" w:hAnsi="Arial"/>
          <w:sz w:val="18"/>
          <w:szCs w:val="18"/>
          <w:color w:val="auto"/>
        </w:rPr>
        <w:t>in Control for purposes of this subparagraph (i): (A) any acquisition directly from the Company; (B) any acquisition by the Company or any of its Subsidiaries; (C) any acquisition by any employee benefit plan (or related trust) sponsored or maintained by the Company or any of its Subsidiaries; or (D) any acquisition by any corporation pursuant to a transaction which complies with clauses (A), (B) and (C) of subparagraph (iii) below; or</w:t>
      </w:r>
    </w:p>
    <w:p>
      <w:pPr>
        <w:spacing w:after="0" w:line="229" w:lineRule="exact"/>
        <w:rPr>
          <w:sz w:val="20"/>
          <w:szCs w:val="20"/>
          <w:color w:val="auto"/>
        </w:rPr>
      </w:pPr>
    </w:p>
    <w:p>
      <w:pPr>
        <w:ind w:left="1700" w:hanging="895"/>
        <w:spacing w:after="0" w:line="236" w:lineRule="auto"/>
        <w:tabs>
          <w:tab w:leader="none" w:pos="17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Individuals who at the beginning of any two year period constitute the Board (the “Incumbent Board”) cease for any reason to constitute at least a majority of the Board; provided, however, that any individual who becomes a director of the Company during such two year period and whose election, or whose nomination for election by the Company’s stockholders, to the Board was either (A) approved by a vote of at least a majority of the directors then comprising the Incumbent Board or (B) recommended by a nominating committee comprised entirely of directors who are then Incumbent Board members shall be considered as though such individual were a member of the Incumbent Board, but excluding, for this purpose, any such individual whose initial assumption of office occurs as a result of either an actual or threatened election contest (as such terms are used in Rule 14a-11 of Regulation 14A promulgated under the Securities Exchange Act), other actual or threatened solicitation of proxies or consents or an actual or threatened tender offer; or</w:t>
      </w:r>
    </w:p>
    <w:p>
      <w:pPr>
        <w:spacing w:after="0" w:line="234" w:lineRule="exact"/>
        <w:rPr>
          <w:rFonts w:ascii="Arial" w:cs="Arial" w:eastAsia="Arial" w:hAnsi="Arial"/>
          <w:sz w:val="18"/>
          <w:szCs w:val="18"/>
          <w:color w:val="auto"/>
        </w:rPr>
      </w:pPr>
    </w:p>
    <w:p>
      <w:pPr>
        <w:ind w:left="1700" w:right="40" w:hanging="895"/>
        <w:spacing w:after="0" w:line="234" w:lineRule="auto"/>
        <w:tabs>
          <w:tab w:leader="none" w:pos="17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Consummation of a reorganization, merger, or consolidation or sale or other disposition of all or substantially all of the assets of the Company (a “Business Combination”), in each case unless following such Business Combination, (A) all or substantially all of the Persons who were the Beneficial Owners, respectively, of the outstanding shares and outstanding voting securities immediately prior to such Business Combination own, directly or indirectly, more than fifty percent (50%) of the combined voting power of the then outstanding voting securities entitled to vote generally in the election of directors of the Company, as the case may be, of the entity resulting from the Business Combination (including, without limitation, an entity which as a result of such transaction owns the Company or all or substantially all of the Company’s assets either directly or through one or more subsidiaries) in substantially the same proportions as their ownership, immediately prior to such Business Combination, of the outstanding voting securities (provided, however, that for purposes of this clause</w:t>
      </w:r>
    </w:p>
    <w:p>
      <w:pPr>
        <w:spacing w:after="0" w:line="6" w:lineRule="exact"/>
        <w:rPr>
          <w:rFonts w:ascii="Arial" w:cs="Arial" w:eastAsia="Arial" w:hAnsi="Arial"/>
          <w:sz w:val="18"/>
          <w:szCs w:val="18"/>
          <w:color w:val="auto"/>
        </w:rPr>
      </w:pPr>
    </w:p>
    <w:p>
      <w:pPr>
        <w:ind w:left="1700" w:right="20"/>
        <w:spacing w:after="0" w:line="236" w:lineRule="auto"/>
        <w:rPr>
          <w:rFonts w:ascii="Arial" w:cs="Arial" w:eastAsia="Arial" w:hAnsi="Arial"/>
          <w:sz w:val="18"/>
          <w:szCs w:val="18"/>
          <w:color w:val="auto"/>
        </w:rPr>
      </w:pPr>
      <w:r>
        <w:rPr>
          <w:rFonts w:ascii="Arial" w:cs="Arial" w:eastAsia="Arial" w:hAnsi="Arial"/>
          <w:sz w:val="18"/>
          <w:szCs w:val="18"/>
          <w:color w:val="auto"/>
        </w:rPr>
        <w:t>(A) any shares of common stock or voting securities of such resulting entity received by such Beneficial Owners in such Business Combination other than as the result of such Beneficial Owners’ ownership of outstanding shares or outstanding voting securities immediately prior to such Business Combination shall not be considered to be owned by such Beneficial Owners for the purposes of calculating their percentage of ownership of the outstanding common stock and voting power of the resulting entity); (B) no Person (excluding any entity resulting from such Business Combination or any employee benefit plan (or related trust) of the Company or such entity resulting from the Business Combination) beneficially owns, directly or indirectly, twenty-five percent (25%) or more of the combined voting power of the then outstanding voting securities of such entity resulting from the Business Combination unless such Person owned twenty-five percent (25%) or more of the outstanding shares or outstanding voting securities immediately prior to the Business Combination; and (C) at least a majority of the members of the Board of the entity resulting from such Business Combination were members of the Incumbent Board at the time of the execution of the initial agreement, or the action of the Board, providing for such Business Combination; or</w:t>
      </w:r>
    </w:p>
    <w:p>
      <w:pPr>
        <w:spacing w:after="0" w:line="231" w:lineRule="exact"/>
        <w:rPr>
          <w:rFonts w:ascii="Arial" w:cs="Arial" w:eastAsia="Arial" w:hAnsi="Arial"/>
          <w:sz w:val="18"/>
          <w:szCs w:val="18"/>
          <w:color w:val="auto"/>
        </w:rPr>
      </w:pPr>
    </w:p>
    <w:p>
      <w:pPr>
        <w:ind w:left="1700" w:hanging="895"/>
        <w:spacing w:after="0"/>
        <w:tabs>
          <w:tab w:leader="none" w:pos="17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Approval by the Company’s stockholders of a complete liquidation or dissolution of the Company.</w:t>
      </w:r>
    </w:p>
    <w:p>
      <w:pPr>
        <w:spacing w:after="0" w:line="212" w:lineRule="exact"/>
        <w:rPr>
          <w:sz w:val="20"/>
          <w:szCs w:val="20"/>
          <w:color w:val="auto"/>
        </w:rPr>
      </w:pPr>
    </w:p>
    <w:p>
      <w:pPr>
        <w:ind w:right="40" w:firstLine="799"/>
        <w:spacing w:after="0" w:line="238" w:lineRule="auto"/>
        <w:rPr>
          <w:sz w:val="20"/>
          <w:szCs w:val="20"/>
          <w:color w:val="auto"/>
        </w:rPr>
      </w:pPr>
      <w:r>
        <w:rPr>
          <w:rFonts w:ascii="Arial" w:cs="Arial" w:eastAsia="Arial" w:hAnsi="Arial"/>
          <w:sz w:val="18"/>
          <w:szCs w:val="18"/>
          <w:color w:val="auto"/>
        </w:rPr>
        <w:t>For purposes of subparagraph (iii), any Person who acquires outstanding voting securities of the entity resulting from the Business Combination by virtue of ownership, prior to such Business Combination, of outstanding voting securities of both the Company and the entity or entities with which the Company is combined shall be treated as two Persons after the Business Combination, who shall be treated as owning outstanding voting securities of the entity resulting from the Business Combination by virtue of ownership, prior to such Business Combination of, respectively, outstanding voting securities of the Company, and of the entity or entities with which the Company is combined.</w:t>
      </w:r>
    </w:p>
    <w:p>
      <w:pPr>
        <w:spacing w:after="0" w:line="203" w:lineRule="exact"/>
        <w:rPr>
          <w:sz w:val="20"/>
          <w:szCs w:val="20"/>
          <w:color w:val="auto"/>
        </w:rPr>
      </w:pPr>
    </w:p>
    <w:p>
      <w:pPr>
        <w:ind w:right="100" w:firstLine="799"/>
        <w:spacing w:after="0" w:line="239" w:lineRule="auto"/>
        <w:rPr>
          <w:sz w:val="20"/>
          <w:szCs w:val="20"/>
          <w:color w:val="auto"/>
        </w:rPr>
      </w:pPr>
      <w:r>
        <w:rPr>
          <w:rFonts w:ascii="Arial" w:cs="Arial" w:eastAsia="Arial" w:hAnsi="Arial"/>
          <w:sz w:val="18"/>
          <w:szCs w:val="18"/>
          <w:color w:val="auto"/>
        </w:rPr>
        <w:t>Solely to the extent required by Section 409A, an event described above shall not constitute a Change in Control for purposes of the payment (but not vesting) provisions of any Award subject to Section 409A unless such event also constitutes a change in ownership or effective control of the Company or a change in the ownership of a substantial portion of the Company’s assets within the meaning of Section 409A.</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420"/>
          </w:cols>
          <w:pgMar w:left="240" w:top="459" w:right="23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580"/>
        <w:spacing w:after="0"/>
        <w:tabs>
          <w:tab w:leader="none" w:pos="1680" w:val="left"/>
        </w:tabs>
        <w:rPr>
          <w:sz w:val="20"/>
          <w:szCs w:val="20"/>
          <w:color w:val="auto"/>
        </w:rPr>
      </w:pPr>
      <w:r>
        <w:rPr>
          <w:rFonts w:ascii="Arial" w:cs="Arial" w:eastAsia="Arial" w:hAnsi="Arial"/>
          <w:sz w:val="18"/>
          <w:szCs w:val="18"/>
          <w:b w:val="1"/>
          <w:bCs w:val="1"/>
          <w:color w:val="auto"/>
        </w:rPr>
        <w:t>15.4.</w:t>
      </w:r>
      <w:r>
        <w:rPr>
          <w:sz w:val="20"/>
          <w:szCs w:val="20"/>
          <w:color w:val="auto"/>
        </w:rPr>
        <w:tab/>
      </w:r>
      <w:r>
        <w:rPr>
          <w:rFonts w:ascii="Arial" w:cs="Arial" w:eastAsia="Arial" w:hAnsi="Arial"/>
          <w:sz w:val="18"/>
          <w:szCs w:val="18"/>
          <w:b w:val="1"/>
          <w:bCs w:val="1"/>
          <w:color w:val="auto"/>
        </w:rPr>
        <w:t>Adjustments</w:t>
      </w:r>
    </w:p>
    <w:p>
      <w:pPr>
        <w:spacing w:after="0" w:line="212" w:lineRule="exact"/>
        <w:rPr>
          <w:sz w:val="20"/>
          <w:szCs w:val="20"/>
          <w:color w:val="auto"/>
        </w:rPr>
      </w:pPr>
    </w:p>
    <w:p>
      <w:pPr>
        <w:ind w:right="20" w:firstLine="571"/>
        <w:spacing w:after="0" w:line="247" w:lineRule="auto"/>
        <w:rPr>
          <w:sz w:val="20"/>
          <w:szCs w:val="20"/>
          <w:color w:val="auto"/>
        </w:rPr>
      </w:pPr>
      <w:r>
        <w:rPr>
          <w:rFonts w:ascii="Arial" w:cs="Arial" w:eastAsia="Arial" w:hAnsi="Arial"/>
          <w:sz w:val="18"/>
          <w:szCs w:val="18"/>
          <w:color w:val="auto"/>
        </w:rPr>
        <w:t xml:space="preserve">Adjustments under this </w:t>
      </w:r>
      <w:r>
        <w:rPr>
          <w:rFonts w:ascii="Arial" w:cs="Arial" w:eastAsia="Arial" w:hAnsi="Arial"/>
          <w:sz w:val="18"/>
          <w:szCs w:val="18"/>
          <w:b w:val="1"/>
          <w:bCs w:val="1"/>
          <w:color w:val="auto"/>
        </w:rPr>
        <w:t>Section 15</w:t>
      </w:r>
      <w:r>
        <w:rPr>
          <w:rFonts w:ascii="Arial" w:cs="Arial" w:eastAsia="Arial" w:hAnsi="Arial"/>
          <w:sz w:val="18"/>
          <w:szCs w:val="18"/>
          <w:color w:val="auto"/>
        </w:rPr>
        <w:t xml:space="preserve"> related to shares of Stock or securities of the Company shall be made by the Board, whose determination in that respect shall be final, binding and conclusive. No fractional shares or other securities shall be issued pursuant to any such adjustment, and any fractions resulting from any such adjustment shall be eliminated in each case by rounding downward to the nearest whole share.</w:t>
      </w:r>
    </w:p>
    <w:p>
      <w:pPr>
        <w:spacing w:after="0" w:line="201" w:lineRule="exact"/>
        <w:rPr>
          <w:sz w:val="20"/>
          <w:szCs w:val="20"/>
          <w:color w:val="auto"/>
        </w:rPr>
      </w:pPr>
    </w:p>
    <w:p>
      <w:pPr>
        <w:ind w:left="800" w:hanging="792"/>
        <w:spacing w:after="0"/>
        <w:tabs>
          <w:tab w:leader="none" w:pos="800" w:val="left"/>
        </w:tabs>
        <w:numPr>
          <w:ilvl w:val="0"/>
          <w:numId w:val="122"/>
        </w:numPr>
        <w:rPr>
          <w:rFonts w:ascii="Arial" w:cs="Arial" w:eastAsia="Arial" w:hAnsi="Arial"/>
          <w:sz w:val="18"/>
          <w:szCs w:val="18"/>
          <w:b w:val="1"/>
          <w:bCs w:val="1"/>
          <w:color w:val="auto"/>
        </w:rPr>
      </w:pPr>
      <w:r>
        <w:rPr>
          <w:rFonts w:ascii="Arial" w:cs="Arial" w:eastAsia="Arial" w:hAnsi="Arial"/>
          <w:sz w:val="18"/>
          <w:szCs w:val="18"/>
          <w:b w:val="1"/>
          <w:bCs w:val="1"/>
          <w:color w:val="auto"/>
        </w:rPr>
        <w:t>NO LIMITATIONS ON COMPANY</w:t>
      </w:r>
    </w:p>
    <w:p>
      <w:pPr>
        <w:spacing w:after="0" w:line="234" w:lineRule="exact"/>
        <w:rPr>
          <w:sz w:val="20"/>
          <w:szCs w:val="20"/>
          <w:color w:val="auto"/>
        </w:rPr>
      </w:pPr>
    </w:p>
    <w:p>
      <w:pPr>
        <w:ind w:right="60" w:firstLine="799"/>
        <w:spacing w:after="0"/>
        <w:rPr>
          <w:sz w:val="20"/>
          <w:szCs w:val="20"/>
          <w:color w:val="auto"/>
        </w:rPr>
      </w:pPr>
      <w:r>
        <w:rPr>
          <w:rFonts w:ascii="Arial" w:cs="Arial" w:eastAsia="Arial" w:hAnsi="Arial"/>
          <w:sz w:val="18"/>
          <w:szCs w:val="18"/>
          <w:color w:val="auto"/>
        </w:rPr>
        <w:t>The making of Awards pursuant to the Plan shall not affect or limit in any way the right or power of the Company to make adjustments, reclassifications, reorganizations, or changes of its capital or business structure or to merge, consolidate, dissolve, or liquidate, or to sell or transfer all or any part of its business or assets.</w:t>
      </w:r>
    </w:p>
    <w:p>
      <w:pPr>
        <w:spacing w:after="0" w:line="208" w:lineRule="exact"/>
        <w:rPr>
          <w:sz w:val="20"/>
          <w:szCs w:val="20"/>
          <w:color w:val="auto"/>
        </w:rPr>
      </w:pPr>
    </w:p>
    <w:p>
      <w:pPr>
        <w:ind w:left="800" w:hanging="792"/>
        <w:spacing w:after="0"/>
        <w:tabs>
          <w:tab w:leader="none" w:pos="800" w:val="left"/>
        </w:tabs>
        <w:numPr>
          <w:ilvl w:val="0"/>
          <w:numId w:val="123"/>
        </w:numPr>
        <w:rPr>
          <w:rFonts w:ascii="Arial" w:cs="Arial" w:eastAsia="Arial" w:hAnsi="Arial"/>
          <w:sz w:val="18"/>
          <w:szCs w:val="18"/>
          <w:b w:val="1"/>
          <w:bCs w:val="1"/>
          <w:color w:val="auto"/>
        </w:rPr>
      </w:pPr>
      <w:r>
        <w:rPr>
          <w:rFonts w:ascii="Arial" w:cs="Arial" w:eastAsia="Arial" w:hAnsi="Arial"/>
          <w:sz w:val="18"/>
          <w:szCs w:val="18"/>
          <w:b w:val="1"/>
          <w:bCs w:val="1"/>
          <w:color w:val="auto"/>
        </w:rPr>
        <w:t>TERMS APPLICABLE GENERALLY TO AWARDS GRANTED UNDER THE PLAN</w:t>
      </w:r>
    </w:p>
    <w:p>
      <w:pPr>
        <w:spacing w:after="0" w:line="239" w:lineRule="exact"/>
        <w:rPr>
          <w:sz w:val="20"/>
          <w:szCs w:val="20"/>
          <w:color w:val="auto"/>
        </w:rPr>
      </w:pPr>
    </w:p>
    <w:p>
      <w:pPr>
        <w:ind w:left="580"/>
        <w:spacing w:after="0"/>
        <w:tabs>
          <w:tab w:leader="none" w:pos="1680" w:val="left"/>
        </w:tabs>
        <w:rPr>
          <w:sz w:val="20"/>
          <w:szCs w:val="20"/>
          <w:color w:val="auto"/>
        </w:rPr>
      </w:pPr>
      <w:r>
        <w:rPr>
          <w:rFonts w:ascii="Arial" w:cs="Arial" w:eastAsia="Arial" w:hAnsi="Arial"/>
          <w:sz w:val="18"/>
          <w:szCs w:val="18"/>
          <w:b w:val="1"/>
          <w:bCs w:val="1"/>
          <w:color w:val="auto"/>
        </w:rPr>
        <w:t>17.1.</w:t>
      </w:r>
      <w:r>
        <w:rPr>
          <w:sz w:val="20"/>
          <w:szCs w:val="20"/>
          <w:color w:val="auto"/>
        </w:rPr>
        <w:tab/>
      </w:r>
      <w:r>
        <w:rPr>
          <w:rFonts w:ascii="Arial" w:cs="Arial" w:eastAsia="Arial" w:hAnsi="Arial"/>
          <w:sz w:val="18"/>
          <w:szCs w:val="18"/>
          <w:b w:val="1"/>
          <w:bCs w:val="1"/>
          <w:color w:val="auto"/>
        </w:rPr>
        <w:t>Disclaimer of Rights.</w:t>
      </w:r>
    </w:p>
    <w:p>
      <w:pPr>
        <w:spacing w:after="0" w:line="234" w:lineRule="exact"/>
        <w:rPr>
          <w:sz w:val="20"/>
          <w:szCs w:val="20"/>
          <w:color w:val="auto"/>
        </w:rPr>
      </w:pPr>
    </w:p>
    <w:p>
      <w:pPr>
        <w:ind w:firstLine="799"/>
        <w:spacing w:after="0" w:line="236" w:lineRule="auto"/>
        <w:rPr>
          <w:sz w:val="20"/>
          <w:szCs w:val="20"/>
          <w:color w:val="auto"/>
        </w:rPr>
      </w:pPr>
      <w:r>
        <w:rPr>
          <w:rFonts w:ascii="Arial" w:cs="Arial" w:eastAsia="Arial" w:hAnsi="Arial"/>
          <w:sz w:val="18"/>
          <w:szCs w:val="18"/>
          <w:color w:val="auto"/>
        </w:rPr>
        <w:t>No provision in the Plan or in any Award Agreement shall be construed to confer upon any individual the right to remain in the employ or service of the Company or any Subsidiary, or to interfere in any way with any contractual or other right or authority of the Company either to increase or decrease the compensation or other payments to any individual at any time, or to terminate any employment or other relationship between any individual and the Company. In addition, notwithstanding anything contained in the Plan to the contrary, unless otherwise stated in the applicable Award Agreement, no Award granted under the Plan shall be affected by any change of duties or position of the Grantee, so long as such Grantee continues to be a Service Provider. The obligation of the Company to pay any benefits pursuant to this Plan shall be interpreted as a contractual obligation to pay only those amounts described herein, in the manner and under the conditions prescribed herein. The Plan shall in no way be interpreted to require the Company to transfer any amounts to a third party trustee or otherwise hold any amounts in trust or escrow for payment to any Grantee or beneficiary under the terms of the Plan.</w:t>
      </w:r>
    </w:p>
    <w:p>
      <w:pPr>
        <w:spacing w:after="0" w:line="212" w:lineRule="exact"/>
        <w:rPr>
          <w:sz w:val="20"/>
          <w:szCs w:val="20"/>
          <w:color w:val="auto"/>
        </w:rPr>
      </w:pPr>
    </w:p>
    <w:p>
      <w:pPr>
        <w:ind w:left="580"/>
        <w:spacing w:after="0"/>
        <w:tabs>
          <w:tab w:leader="none" w:pos="1680" w:val="left"/>
        </w:tabs>
        <w:rPr>
          <w:sz w:val="20"/>
          <w:szCs w:val="20"/>
          <w:color w:val="auto"/>
        </w:rPr>
      </w:pPr>
      <w:r>
        <w:rPr>
          <w:rFonts w:ascii="Arial" w:cs="Arial" w:eastAsia="Arial" w:hAnsi="Arial"/>
          <w:sz w:val="18"/>
          <w:szCs w:val="18"/>
          <w:b w:val="1"/>
          <w:bCs w:val="1"/>
          <w:color w:val="auto"/>
        </w:rPr>
        <w:t>17.2.</w:t>
      </w:r>
      <w:r>
        <w:rPr>
          <w:sz w:val="20"/>
          <w:szCs w:val="20"/>
          <w:color w:val="auto"/>
        </w:rPr>
        <w:tab/>
      </w:r>
      <w:r>
        <w:rPr>
          <w:rFonts w:ascii="Arial" w:cs="Arial" w:eastAsia="Arial" w:hAnsi="Arial"/>
          <w:sz w:val="18"/>
          <w:szCs w:val="18"/>
          <w:b w:val="1"/>
          <w:bCs w:val="1"/>
          <w:color w:val="auto"/>
        </w:rPr>
        <w:t>Nonexclusivity of the Plan.</w:t>
      </w:r>
    </w:p>
    <w:p>
      <w:pPr>
        <w:spacing w:after="0" w:line="234" w:lineRule="exact"/>
        <w:rPr>
          <w:sz w:val="20"/>
          <w:szCs w:val="20"/>
          <w:color w:val="auto"/>
        </w:rPr>
      </w:pPr>
    </w:p>
    <w:p>
      <w:pPr>
        <w:ind w:right="220" w:firstLine="799"/>
        <w:spacing w:after="0" w:line="239" w:lineRule="auto"/>
        <w:rPr>
          <w:sz w:val="20"/>
          <w:szCs w:val="20"/>
          <w:color w:val="auto"/>
        </w:rPr>
      </w:pPr>
      <w:r>
        <w:rPr>
          <w:rFonts w:ascii="Arial" w:cs="Arial" w:eastAsia="Arial" w:hAnsi="Arial"/>
          <w:sz w:val="18"/>
          <w:szCs w:val="18"/>
          <w:color w:val="auto"/>
        </w:rPr>
        <w:t>Neither the adoption of the Plan nor the submission of the Plan to the stockholders of the Company for approval shall be construed as creating any limitations upon the right and authority of the Board to adopt such other incentive compensation arrangements (which arrangements may be applicable either generally to a class or classes of individuals or specifically to a particular individual or particular individuals), including, without limitation, the granting of stock options as the Board in its discretion determines desirable.</w:t>
      </w:r>
    </w:p>
    <w:p>
      <w:pPr>
        <w:spacing w:after="0" w:line="207" w:lineRule="exact"/>
        <w:rPr>
          <w:sz w:val="20"/>
          <w:szCs w:val="20"/>
          <w:color w:val="auto"/>
        </w:rPr>
      </w:pPr>
    </w:p>
    <w:p>
      <w:pPr>
        <w:ind w:left="580"/>
        <w:spacing w:after="0"/>
        <w:tabs>
          <w:tab w:leader="none" w:pos="1680" w:val="left"/>
        </w:tabs>
        <w:rPr>
          <w:sz w:val="20"/>
          <w:szCs w:val="20"/>
          <w:color w:val="auto"/>
        </w:rPr>
      </w:pPr>
      <w:r>
        <w:rPr>
          <w:rFonts w:ascii="Arial" w:cs="Arial" w:eastAsia="Arial" w:hAnsi="Arial"/>
          <w:sz w:val="18"/>
          <w:szCs w:val="18"/>
          <w:b w:val="1"/>
          <w:bCs w:val="1"/>
          <w:color w:val="auto"/>
        </w:rPr>
        <w:t>17.3.</w:t>
      </w:r>
      <w:r>
        <w:rPr>
          <w:sz w:val="20"/>
          <w:szCs w:val="20"/>
          <w:color w:val="auto"/>
        </w:rPr>
        <w:tab/>
      </w:r>
      <w:r>
        <w:rPr>
          <w:rFonts w:ascii="Arial" w:cs="Arial" w:eastAsia="Arial" w:hAnsi="Arial"/>
          <w:sz w:val="17"/>
          <w:szCs w:val="17"/>
          <w:b w:val="1"/>
          <w:bCs w:val="1"/>
          <w:color w:val="auto"/>
        </w:rPr>
        <w:t>Withholding Taxes.</w:t>
      </w:r>
    </w:p>
    <w:p>
      <w:pPr>
        <w:spacing w:after="0" w:line="234" w:lineRule="exact"/>
        <w:rPr>
          <w:sz w:val="20"/>
          <w:szCs w:val="20"/>
          <w:color w:val="auto"/>
        </w:rPr>
      </w:pPr>
    </w:p>
    <w:p>
      <w:pPr>
        <w:ind w:firstLine="799"/>
        <w:spacing w:after="0" w:line="236" w:lineRule="auto"/>
        <w:rPr>
          <w:sz w:val="20"/>
          <w:szCs w:val="20"/>
          <w:color w:val="auto"/>
        </w:rPr>
      </w:pPr>
      <w:r>
        <w:rPr>
          <w:rFonts w:ascii="Arial" w:cs="Arial" w:eastAsia="Arial" w:hAnsi="Arial"/>
          <w:sz w:val="18"/>
          <w:szCs w:val="18"/>
          <w:color w:val="auto"/>
        </w:rPr>
        <w:t>The Company or a Subsidiary, as the case may be, shall have the right to deduct from payments of any kind otherwise due to a Grantee any federal, state, or local taxes of any kind required by law to be withheld (i) with respect to the vesting of or other lapse of restrictions applicable to an Award, (ii) upon the issuance of any shares of Stock upon the exercise of an Option or SAR, or (iii) otherwise due in connection with an Award. At the time of such vesting, lapse, or exercise, the Grantee shall pay to the Company or the Subsidiary, as the case may be, any amount that the Company or the Subsidiary may reasonably determine to be necessary to satisfy such withholding obligation. The Company or the Subsidiary, as the case may be, may in its sole discretion, require or permit the Grantee to satisfy such obligations, in whole or in part, (i) by causing the Company or the Subsidiary to withhold the up to the maximum required number of shares of Stock otherwise issuable to the Grantee as may be necessary to satisfy such withholding obligation or (ii) by delivering to the Company or the Subsidiary shares of Stock already owned by the Grantee. The shares of Stock so delivered or withheld shall have an aggregate Fair Market Value equal to such withholding obligations. The Fair Market Value of the shares of Stock used to satisfy such withholding obligation shall be determined by the Company or the Subsidiary as of the date that the amount of tax to be withheld is to be determined. To the extent applicable, a Grantee may satisfy his or her withholding obligation only with shares of Stock that are not subject to any repurchase, forfeiture, unfulfilled vesting, or other similar requirements.</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420"/>
          </w:cols>
          <w:pgMar w:left="240" w:top="459" w:right="23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580"/>
        <w:spacing w:after="0"/>
        <w:tabs>
          <w:tab w:leader="none" w:pos="1680" w:val="left"/>
        </w:tabs>
        <w:rPr>
          <w:sz w:val="20"/>
          <w:szCs w:val="20"/>
          <w:color w:val="auto"/>
        </w:rPr>
      </w:pPr>
      <w:r>
        <w:rPr>
          <w:rFonts w:ascii="Arial" w:cs="Arial" w:eastAsia="Arial" w:hAnsi="Arial"/>
          <w:sz w:val="18"/>
          <w:szCs w:val="18"/>
          <w:b w:val="1"/>
          <w:bCs w:val="1"/>
          <w:color w:val="auto"/>
        </w:rPr>
        <w:t>17.4.</w:t>
      </w:r>
      <w:r>
        <w:rPr>
          <w:sz w:val="20"/>
          <w:szCs w:val="20"/>
          <w:color w:val="auto"/>
        </w:rPr>
        <w:tab/>
      </w:r>
      <w:r>
        <w:rPr>
          <w:rFonts w:ascii="Arial" w:cs="Arial" w:eastAsia="Arial" w:hAnsi="Arial"/>
          <w:sz w:val="17"/>
          <w:szCs w:val="17"/>
          <w:b w:val="1"/>
          <w:bCs w:val="1"/>
          <w:color w:val="auto"/>
        </w:rPr>
        <w:t>Captions.</w:t>
      </w:r>
    </w:p>
    <w:p>
      <w:pPr>
        <w:spacing w:after="0" w:line="234" w:lineRule="exact"/>
        <w:rPr>
          <w:sz w:val="20"/>
          <w:szCs w:val="20"/>
          <w:color w:val="auto"/>
        </w:rPr>
      </w:pPr>
    </w:p>
    <w:p>
      <w:pPr>
        <w:ind w:right="80" w:firstLine="799"/>
        <w:spacing w:after="0" w:line="246" w:lineRule="auto"/>
        <w:rPr>
          <w:sz w:val="20"/>
          <w:szCs w:val="20"/>
          <w:color w:val="auto"/>
        </w:rPr>
      </w:pPr>
      <w:r>
        <w:rPr>
          <w:rFonts w:ascii="Arial" w:cs="Arial" w:eastAsia="Arial" w:hAnsi="Arial"/>
          <w:sz w:val="18"/>
          <w:szCs w:val="18"/>
          <w:color w:val="auto"/>
        </w:rPr>
        <w:t>The use of captions in this Plan or any Award Agreement is for the convenience of reference only and shall not affect the meaning of any provision of the Plan or any Award Agreement.</w:t>
      </w:r>
    </w:p>
    <w:p>
      <w:pPr>
        <w:spacing w:after="0" w:line="202" w:lineRule="exact"/>
        <w:rPr>
          <w:sz w:val="20"/>
          <w:szCs w:val="20"/>
          <w:color w:val="auto"/>
        </w:rPr>
      </w:pPr>
    </w:p>
    <w:p>
      <w:pPr>
        <w:ind w:left="580"/>
        <w:spacing w:after="0"/>
        <w:tabs>
          <w:tab w:leader="none" w:pos="1680" w:val="left"/>
        </w:tabs>
        <w:rPr>
          <w:sz w:val="20"/>
          <w:szCs w:val="20"/>
          <w:color w:val="auto"/>
        </w:rPr>
      </w:pPr>
      <w:r>
        <w:rPr>
          <w:rFonts w:ascii="Arial" w:cs="Arial" w:eastAsia="Arial" w:hAnsi="Arial"/>
          <w:sz w:val="18"/>
          <w:szCs w:val="18"/>
          <w:b w:val="1"/>
          <w:bCs w:val="1"/>
          <w:color w:val="auto"/>
        </w:rPr>
        <w:t>17.5.</w:t>
      </w:r>
      <w:r>
        <w:rPr>
          <w:sz w:val="20"/>
          <w:szCs w:val="20"/>
          <w:color w:val="auto"/>
        </w:rPr>
        <w:tab/>
      </w:r>
      <w:r>
        <w:rPr>
          <w:rFonts w:ascii="Arial" w:cs="Arial" w:eastAsia="Arial" w:hAnsi="Arial"/>
          <w:sz w:val="18"/>
          <w:szCs w:val="18"/>
          <w:b w:val="1"/>
          <w:bCs w:val="1"/>
          <w:color w:val="auto"/>
        </w:rPr>
        <w:t>Other Provisions.</w:t>
      </w:r>
    </w:p>
    <w:p>
      <w:pPr>
        <w:spacing w:after="0" w:line="234" w:lineRule="exact"/>
        <w:rPr>
          <w:sz w:val="20"/>
          <w:szCs w:val="20"/>
          <w:color w:val="auto"/>
        </w:rPr>
      </w:pPr>
    </w:p>
    <w:p>
      <w:pPr>
        <w:ind w:right="340" w:firstLine="799"/>
        <w:spacing w:after="0"/>
        <w:rPr>
          <w:sz w:val="20"/>
          <w:szCs w:val="20"/>
          <w:color w:val="auto"/>
        </w:rPr>
      </w:pPr>
      <w:r>
        <w:rPr>
          <w:rFonts w:ascii="Arial" w:cs="Arial" w:eastAsia="Arial" w:hAnsi="Arial"/>
          <w:sz w:val="18"/>
          <w:szCs w:val="18"/>
          <w:color w:val="auto"/>
        </w:rPr>
        <w:t>Each Award Agreement may contain such other terms and conditions not inconsistent with the Plan as may be determined by the Board, in its sole discretion. In the event of any conflict between the terms of an employment agreement and the Plan, the terms of the employment agreement govern.</w:t>
      </w:r>
    </w:p>
    <w:p>
      <w:pPr>
        <w:spacing w:after="0" w:line="208" w:lineRule="exact"/>
        <w:rPr>
          <w:sz w:val="20"/>
          <w:szCs w:val="20"/>
          <w:color w:val="auto"/>
        </w:rPr>
      </w:pPr>
    </w:p>
    <w:p>
      <w:pPr>
        <w:ind w:left="580"/>
        <w:spacing w:after="0"/>
        <w:tabs>
          <w:tab w:leader="none" w:pos="1680" w:val="left"/>
        </w:tabs>
        <w:rPr>
          <w:sz w:val="20"/>
          <w:szCs w:val="20"/>
          <w:color w:val="auto"/>
        </w:rPr>
      </w:pPr>
      <w:r>
        <w:rPr>
          <w:rFonts w:ascii="Arial" w:cs="Arial" w:eastAsia="Arial" w:hAnsi="Arial"/>
          <w:sz w:val="18"/>
          <w:szCs w:val="18"/>
          <w:b w:val="1"/>
          <w:bCs w:val="1"/>
          <w:color w:val="auto"/>
        </w:rPr>
        <w:t>17.6.</w:t>
      </w:r>
      <w:r>
        <w:rPr>
          <w:sz w:val="20"/>
          <w:szCs w:val="20"/>
          <w:color w:val="auto"/>
        </w:rPr>
        <w:tab/>
      </w:r>
      <w:r>
        <w:rPr>
          <w:rFonts w:ascii="Arial" w:cs="Arial" w:eastAsia="Arial" w:hAnsi="Arial"/>
          <w:sz w:val="17"/>
          <w:szCs w:val="17"/>
          <w:b w:val="1"/>
          <w:bCs w:val="1"/>
          <w:color w:val="auto"/>
        </w:rPr>
        <w:t>Number and Gender.</w:t>
      </w:r>
    </w:p>
    <w:p>
      <w:pPr>
        <w:spacing w:after="0" w:line="234" w:lineRule="exact"/>
        <w:rPr>
          <w:sz w:val="20"/>
          <w:szCs w:val="20"/>
          <w:color w:val="auto"/>
        </w:rPr>
      </w:pPr>
    </w:p>
    <w:p>
      <w:pPr>
        <w:ind w:right="660" w:firstLine="799"/>
        <w:spacing w:after="0" w:line="246" w:lineRule="auto"/>
        <w:rPr>
          <w:sz w:val="20"/>
          <w:szCs w:val="20"/>
          <w:color w:val="auto"/>
        </w:rPr>
      </w:pPr>
      <w:r>
        <w:rPr>
          <w:rFonts w:ascii="Arial" w:cs="Arial" w:eastAsia="Arial" w:hAnsi="Arial"/>
          <w:sz w:val="18"/>
          <w:szCs w:val="18"/>
          <w:color w:val="auto"/>
        </w:rPr>
        <w:t>With respect to words used in this Plan, the singular form shall include the plural form, the masculine gender shall include the feminine gender, etc., as the context requires.</w:t>
      </w:r>
    </w:p>
    <w:p>
      <w:pPr>
        <w:spacing w:after="0" w:line="202" w:lineRule="exact"/>
        <w:rPr>
          <w:sz w:val="20"/>
          <w:szCs w:val="20"/>
          <w:color w:val="auto"/>
        </w:rPr>
      </w:pPr>
    </w:p>
    <w:p>
      <w:pPr>
        <w:ind w:left="580"/>
        <w:spacing w:after="0"/>
        <w:tabs>
          <w:tab w:leader="none" w:pos="1680" w:val="left"/>
        </w:tabs>
        <w:rPr>
          <w:sz w:val="20"/>
          <w:szCs w:val="20"/>
          <w:color w:val="auto"/>
        </w:rPr>
      </w:pPr>
      <w:r>
        <w:rPr>
          <w:rFonts w:ascii="Arial" w:cs="Arial" w:eastAsia="Arial" w:hAnsi="Arial"/>
          <w:sz w:val="18"/>
          <w:szCs w:val="18"/>
          <w:b w:val="1"/>
          <w:bCs w:val="1"/>
          <w:color w:val="auto"/>
        </w:rPr>
        <w:t>17.7.</w:t>
      </w:r>
      <w:r>
        <w:rPr>
          <w:sz w:val="20"/>
          <w:szCs w:val="20"/>
          <w:color w:val="auto"/>
        </w:rPr>
        <w:tab/>
      </w:r>
      <w:r>
        <w:rPr>
          <w:rFonts w:ascii="Arial" w:cs="Arial" w:eastAsia="Arial" w:hAnsi="Arial"/>
          <w:sz w:val="17"/>
          <w:szCs w:val="17"/>
          <w:b w:val="1"/>
          <w:bCs w:val="1"/>
          <w:color w:val="auto"/>
        </w:rPr>
        <w:t>Severability.</w:t>
      </w:r>
    </w:p>
    <w:p>
      <w:pPr>
        <w:spacing w:after="0" w:line="234" w:lineRule="exact"/>
        <w:rPr>
          <w:sz w:val="20"/>
          <w:szCs w:val="20"/>
          <w:color w:val="auto"/>
        </w:rPr>
      </w:pPr>
    </w:p>
    <w:p>
      <w:pPr>
        <w:ind w:right="220" w:firstLine="799"/>
        <w:spacing w:after="0"/>
        <w:rPr>
          <w:sz w:val="20"/>
          <w:szCs w:val="20"/>
          <w:color w:val="auto"/>
        </w:rPr>
      </w:pPr>
      <w:r>
        <w:rPr>
          <w:rFonts w:ascii="Arial" w:cs="Arial" w:eastAsia="Arial" w:hAnsi="Arial"/>
          <w:sz w:val="18"/>
          <w:szCs w:val="18"/>
          <w:color w:val="auto"/>
        </w:rPr>
        <w:t>If any provision of the Plan or any Award Agreement shall be determined to be illegal or unenforceable by any court of law in any jurisdiction, the remaining provisions hereof and thereof shall be severable and enforceable in accordance with their terms, and all provisions shall remain enforceable in any other jurisdiction.</w:t>
      </w:r>
    </w:p>
    <w:p>
      <w:pPr>
        <w:spacing w:after="0" w:line="208" w:lineRule="exact"/>
        <w:rPr>
          <w:sz w:val="20"/>
          <w:szCs w:val="20"/>
          <w:color w:val="auto"/>
        </w:rPr>
      </w:pPr>
    </w:p>
    <w:p>
      <w:pPr>
        <w:ind w:left="580"/>
        <w:spacing w:after="0"/>
        <w:tabs>
          <w:tab w:leader="none" w:pos="1680" w:val="left"/>
        </w:tabs>
        <w:rPr>
          <w:sz w:val="20"/>
          <w:szCs w:val="20"/>
          <w:color w:val="auto"/>
        </w:rPr>
      </w:pPr>
      <w:r>
        <w:rPr>
          <w:rFonts w:ascii="Arial" w:cs="Arial" w:eastAsia="Arial" w:hAnsi="Arial"/>
          <w:sz w:val="18"/>
          <w:szCs w:val="18"/>
          <w:b w:val="1"/>
          <w:bCs w:val="1"/>
          <w:color w:val="auto"/>
        </w:rPr>
        <w:t>17.8.</w:t>
      </w:r>
      <w:r>
        <w:rPr>
          <w:sz w:val="20"/>
          <w:szCs w:val="20"/>
          <w:color w:val="auto"/>
        </w:rPr>
        <w:tab/>
      </w:r>
      <w:r>
        <w:rPr>
          <w:rFonts w:ascii="Arial" w:cs="Arial" w:eastAsia="Arial" w:hAnsi="Arial"/>
          <w:sz w:val="18"/>
          <w:szCs w:val="18"/>
          <w:b w:val="1"/>
          <w:bCs w:val="1"/>
          <w:color w:val="auto"/>
        </w:rPr>
        <w:t>Governing Law.</w:t>
      </w:r>
    </w:p>
    <w:p>
      <w:pPr>
        <w:spacing w:after="0" w:line="234" w:lineRule="exact"/>
        <w:rPr>
          <w:sz w:val="20"/>
          <w:szCs w:val="20"/>
          <w:color w:val="auto"/>
        </w:rPr>
      </w:pPr>
    </w:p>
    <w:p>
      <w:pPr>
        <w:ind w:right="320" w:firstLine="799"/>
        <w:spacing w:after="0" w:line="246" w:lineRule="auto"/>
        <w:rPr>
          <w:sz w:val="20"/>
          <w:szCs w:val="20"/>
          <w:color w:val="auto"/>
        </w:rPr>
      </w:pPr>
      <w:r>
        <w:rPr>
          <w:rFonts w:ascii="Arial" w:cs="Arial" w:eastAsia="Arial" w:hAnsi="Arial"/>
          <w:sz w:val="18"/>
          <w:szCs w:val="18"/>
          <w:color w:val="auto"/>
        </w:rPr>
        <w:t>The Plan shall be governed by and construed in accordance with the laws of the State of Pennsylvania without giving effect to the principles of conflicts of law, and applicable Federal law.</w:t>
      </w:r>
    </w:p>
    <w:p>
      <w:pPr>
        <w:spacing w:after="0" w:line="202" w:lineRule="exact"/>
        <w:rPr>
          <w:sz w:val="20"/>
          <w:szCs w:val="20"/>
          <w:color w:val="auto"/>
        </w:rPr>
      </w:pPr>
    </w:p>
    <w:p>
      <w:pPr>
        <w:ind w:left="580"/>
        <w:spacing w:after="0"/>
        <w:tabs>
          <w:tab w:leader="none" w:pos="1680" w:val="left"/>
        </w:tabs>
        <w:rPr>
          <w:sz w:val="20"/>
          <w:szCs w:val="20"/>
          <w:color w:val="auto"/>
        </w:rPr>
      </w:pPr>
      <w:r>
        <w:rPr>
          <w:rFonts w:ascii="Arial" w:cs="Arial" w:eastAsia="Arial" w:hAnsi="Arial"/>
          <w:sz w:val="18"/>
          <w:szCs w:val="18"/>
          <w:b w:val="1"/>
          <w:bCs w:val="1"/>
          <w:color w:val="auto"/>
        </w:rPr>
        <w:t>17.9.</w:t>
      </w:r>
      <w:r>
        <w:rPr>
          <w:sz w:val="20"/>
          <w:szCs w:val="20"/>
          <w:color w:val="auto"/>
        </w:rPr>
        <w:tab/>
      </w:r>
      <w:r>
        <w:rPr>
          <w:rFonts w:ascii="Arial" w:cs="Arial" w:eastAsia="Arial" w:hAnsi="Arial"/>
          <w:sz w:val="18"/>
          <w:szCs w:val="18"/>
          <w:b w:val="1"/>
          <w:bCs w:val="1"/>
          <w:color w:val="auto"/>
        </w:rPr>
        <w:t>Section 409A.</w:t>
      </w:r>
    </w:p>
    <w:p>
      <w:pPr>
        <w:spacing w:after="0" w:line="234" w:lineRule="exact"/>
        <w:rPr>
          <w:sz w:val="20"/>
          <w:szCs w:val="20"/>
          <w:color w:val="auto"/>
        </w:rPr>
      </w:pPr>
    </w:p>
    <w:p>
      <w:pPr>
        <w:ind w:firstLine="799"/>
        <w:spacing w:after="0" w:line="236" w:lineRule="auto"/>
        <w:rPr>
          <w:sz w:val="20"/>
          <w:szCs w:val="20"/>
          <w:color w:val="auto"/>
        </w:rPr>
      </w:pPr>
      <w:r>
        <w:rPr>
          <w:rFonts w:ascii="Arial" w:cs="Arial" w:eastAsia="Arial" w:hAnsi="Arial"/>
          <w:sz w:val="18"/>
          <w:szCs w:val="18"/>
          <w:color w:val="auto"/>
        </w:rPr>
        <w:t>The Plan is intended to comply with Section 409A to the extent subject thereto, and, accordingly, to the maximum extent permitted, the Plan shall be interpreted and administered to be in compliance therewith. Any payments described in the Plan that are due within the “short-term deferral period” as defined in Section 409A shall not be treated as deferred compensation unless applicable laws require otherwise. Notwithstanding anything to the contrary in the Plan, to the extent required to avoid accelerated taxation and tax penalties under Section 409A, amounts that would otherwise be payable and benefits that would otherwise be provided pursuant to the Plan during the six (6) month period immediately following the Grantee’s Separation from Service shall instead be paid on the first payroll date after the six-month anniversary of the Grantee’s Separation from Service (or the Grantee’s death, if earlier). Notwithstanding the foregoing, neither the Company nor the Board shall have any obligation to take any action to prevent the assessment of any excise tax or penalty on any Grantee under Section 409A and neither the Company nor the Board will have any liability to any Grantee for such tax or penalty.</w:t>
      </w:r>
    </w:p>
    <w:p>
      <w:pPr>
        <w:spacing w:after="0" w:line="212" w:lineRule="exact"/>
        <w:rPr>
          <w:sz w:val="20"/>
          <w:szCs w:val="20"/>
          <w:color w:val="auto"/>
        </w:rPr>
      </w:pPr>
    </w:p>
    <w:p>
      <w:pPr>
        <w:ind w:left="580"/>
        <w:spacing w:after="0"/>
        <w:tabs>
          <w:tab w:leader="none" w:pos="1680" w:val="left"/>
        </w:tabs>
        <w:rPr>
          <w:sz w:val="20"/>
          <w:szCs w:val="20"/>
          <w:color w:val="auto"/>
        </w:rPr>
      </w:pPr>
      <w:r>
        <w:rPr>
          <w:rFonts w:ascii="Arial" w:cs="Arial" w:eastAsia="Arial" w:hAnsi="Arial"/>
          <w:sz w:val="18"/>
          <w:szCs w:val="18"/>
          <w:b w:val="1"/>
          <w:bCs w:val="1"/>
          <w:color w:val="auto"/>
        </w:rPr>
        <w:t>17.10.</w:t>
      </w:r>
      <w:r>
        <w:rPr>
          <w:sz w:val="20"/>
          <w:szCs w:val="20"/>
          <w:color w:val="auto"/>
        </w:rPr>
        <w:tab/>
      </w:r>
      <w:r>
        <w:rPr>
          <w:rFonts w:ascii="Arial" w:cs="Arial" w:eastAsia="Arial" w:hAnsi="Arial"/>
          <w:sz w:val="18"/>
          <w:szCs w:val="18"/>
          <w:b w:val="1"/>
          <w:bCs w:val="1"/>
          <w:color w:val="auto"/>
        </w:rPr>
        <w:t>Separation from Service.</w:t>
      </w:r>
    </w:p>
    <w:p>
      <w:pPr>
        <w:spacing w:after="0" w:line="234" w:lineRule="exact"/>
        <w:rPr>
          <w:sz w:val="20"/>
          <w:szCs w:val="20"/>
          <w:color w:val="auto"/>
        </w:rPr>
      </w:pPr>
    </w:p>
    <w:p>
      <w:pPr>
        <w:jc w:val="both"/>
        <w:ind w:right="160" w:firstLine="799"/>
        <w:spacing w:after="0" w:line="239" w:lineRule="auto"/>
        <w:rPr>
          <w:sz w:val="20"/>
          <w:szCs w:val="20"/>
          <w:color w:val="auto"/>
        </w:rPr>
      </w:pPr>
      <w:r>
        <w:rPr>
          <w:rFonts w:ascii="Arial" w:cs="Arial" w:eastAsia="Arial" w:hAnsi="Arial"/>
          <w:sz w:val="18"/>
          <w:szCs w:val="18"/>
          <w:color w:val="auto"/>
        </w:rPr>
        <w:t>The Board shall determine the effect of a Separation from Service upon Awards, and such effect shall be set forth in the appropriate Award Agreement. Without limiting the foregoing, the Board may provide in the Award Agreements at the time of grant, or any time thereafter with the consent of the Grantee, the actions that will be taken upon the occurrence of a Separation from Service, including, but not limited to, accelerated vesting or termination, depending upon the circumstances surrounding the Separation from Service.</w:t>
      </w:r>
    </w:p>
    <w:p>
      <w:pPr>
        <w:spacing w:after="0" w:line="207" w:lineRule="exact"/>
        <w:rPr>
          <w:sz w:val="20"/>
          <w:szCs w:val="20"/>
          <w:color w:val="auto"/>
        </w:rPr>
      </w:pPr>
    </w:p>
    <w:p>
      <w:pPr>
        <w:ind w:left="580"/>
        <w:spacing w:after="0"/>
        <w:tabs>
          <w:tab w:leader="none" w:pos="1680" w:val="left"/>
        </w:tabs>
        <w:rPr>
          <w:sz w:val="20"/>
          <w:szCs w:val="20"/>
          <w:color w:val="auto"/>
        </w:rPr>
      </w:pPr>
      <w:r>
        <w:rPr>
          <w:rFonts w:ascii="Arial" w:cs="Arial" w:eastAsia="Arial" w:hAnsi="Arial"/>
          <w:sz w:val="18"/>
          <w:szCs w:val="18"/>
          <w:b w:val="1"/>
          <w:bCs w:val="1"/>
          <w:color w:val="auto"/>
        </w:rPr>
        <w:t>17.11.</w:t>
      </w:r>
      <w:r>
        <w:rPr>
          <w:sz w:val="20"/>
          <w:szCs w:val="20"/>
          <w:color w:val="auto"/>
        </w:rPr>
        <w:tab/>
      </w:r>
      <w:r>
        <w:rPr>
          <w:rFonts w:ascii="Arial" w:cs="Arial" w:eastAsia="Arial" w:hAnsi="Arial"/>
          <w:sz w:val="17"/>
          <w:szCs w:val="17"/>
          <w:b w:val="1"/>
          <w:bCs w:val="1"/>
          <w:color w:val="auto"/>
        </w:rPr>
        <w:t>Transferability of Awards.</w:t>
      </w:r>
    </w:p>
    <w:p>
      <w:pPr>
        <w:spacing w:after="0" w:line="239" w:lineRule="exact"/>
        <w:rPr>
          <w:sz w:val="20"/>
          <w:szCs w:val="20"/>
          <w:color w:val="auto"/>
        </w:rPr>
      </w:pPr>
    </w:p>
    <w:p>
      <w:pPr>
        <w:ind w:left="1260"/>
        <w:spacing w:after="0"/>
        <w:tabs>
          <w:tab w:leader="none" w:pos="2600" w:val="left"/>
        </w:tabs>
        <w:rPr>
          <w:sz w:val="20"/>
          <w:szCs w:val="20"/>
          <w:color w:val="auto"/>
        </w:rPr>
      </w:pPr>
      <w:r>
        <w:rPr>
          <w:rFonts w:ascii="Arial" w:cs="Arial" w:eastAsia="Arial" w:hAnsi="Arial"/>
          <w:sz w:val="18"/>
          <w:szCs w:val="18"/>
          <w:b w:val="1"/>
          <w:bCs w:val="1"/>
          <w:color w:val="auto"/>
        </w:rPr>
        <w:t>17.11.1.</w:t>
      </w:r>
      <w:r>
        <w:rPr>
          <w:sz w:val="20"/>
          <w:szCs w:val="20"/>
          <w:color w:val="auto"/>
        </w:rPr>
        <w:tab/>
      </w:r>
      <w:r>
        <w:rPr>
          <w:rFonts w:ascii="Arial" w:cs="Arial" w:eastAsia="Arial" w:hAnsi="Arial"/>
          <w:sz w:val="17"/>
          <w:szCs w:val="17"/>
          <w:b w:val="1"/>
          <w:bCs w:val="1"/>
          <w:color w:val="auto"/>
        </w:rPr>
        <w:t>Transfers in General.</w:t>
      </w:r>
    </w:p>
    <w:p>
      <w:pPr>
        <w:spacing w:after="0" w:line="212" w:lineRule="exact"/>
        <w:rPr>
          <w:sz w:val="20"/>
          <w:szCs w:val="20"/>
          <w:color w:val="auto"/>
        </w:rPr>
      </w:pPr>
    </w:p>
    <w:p>
      <w:pPr>
        <w:ind w:right="40" w:firstLine="799"/>
        <w:spacing w:after="0" w:line="253" w:lineRule="auto"/>
        <w:rPr>
          <w:sz w:val="20"/>
          <w:szCs w:val="20"/>
          <w:color w:val="auto"/>
        </w:rPr>
      </w:pPr>
      <w:r>
        <w:rPr>
          <w:rFonts w:ascii="Arial" w:cs="Arial" w:eastAsia="Arial" w:hAnsi="Arial"/>
          <w:sz w:val="18"/>
          <w:szCs w:val="18"/>
          <w:color w:val="auto"/>
        </w:rPr>
        <w:t xml:space="preserve">Except as provided in </w:t>
      </w:r>
      <w:r>
        <w:rPr>
          <w:rFonts w:ascii="Arial" w:cs="Arial" w:eastAsia="Arial" w:hAnsi="Arial"/>
          <w:sz w:val="18"/>
          <w:szCs w:val="18"/>
          <w:b w:val="1"/>
          <w:bCs w:val="1"/>
          <w:color w:val="auto"/>
        </w:rPr>
        <w:t>Section 17.11.2</w:t>
      </w:r>
      <w:r>
        <w:rPr>
          <w:rFonts w:ascii="Arial" w:cs="Arial" w:eastAsia="Arial" w:hAnsi="Arial"/>
          <w:sz w:val="18"/>
          <w:szCs w:val="18"/>
          <w:color w:val="auto"/>
        </w:rPr>
        <w:t>, no Award shall be assignable or transferable by the Grantee to whom it is granted, other than by will or the laws of descent and distribution, and, during the lifetime of the Grantee, only the Grantee personally (or the Grantee’s personal representative) may exercise rights under the Plan.</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420"/>
          </w:cols>
          <w:pgMar w:left="240" w:top="459" w:right="23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60"/>
        <w:spacing w:after="0"/>
        <w:tabs>
          <w:tab w:leader="none" w:pos="2600" w:val="left"/>
        </w:tabs>
        <w:rPr>
          <w:sz w:val="20"/>
          <w:szCs w:val="20"/>
          <w:color w:val="auto"/>
        </w:rPr>
      </w:pPr>
      <w:r>
        <w:rPr>
          <w:rFonts w:ascii="Arial" w:cs="Arial" w:eastAsia="Arial" w:hAnsi="Arial"/>
          <w:sz w:val="18"/>
          <w:szCs w:val="18"/>
          <w:b w:val="1"/>
          <w:bCs w:val="1"/>
          <w:color w:val="auto"/>
        </w:rPr>
        <w:t>17.11.2.</w:t>
      </w:r>
      <w:r>
        <w:rPr>
          <w:sz w:val="20"/>
          <w:szCs w:val="20"/>
          <w:color w:val="auto"/>
        </w:rPr>
        <w:tab/>
      </w:r>
      <w:r>
        <w:rPr>
          <w:rFonts w:ascii="Arial" w:cs="Arial" w:eastAsia="Arial" w:hAnsi="Arial"/>
          <w:sz w:val="17"/>
          <w:szCs w:val="17"/>
          <w:b w:val="1"/>
          <w:bCs w:val="1"/>
          <w:color w:val="auto"/>
        </w:rPr>
        <w:t>Family Transfers.</w:t>
      </w:r>
    </w:p>
    <w:p>
      <w:pPr>
        <w:spacing w:after="0" w:line="234" w:lineRule="exact"/>
        <w:rPr>
          <w:sz w:val="20"/>
          <w:szCs w:val="20"/>
          <w:color w:val="auto"/>
        </w:rPr>
      </w:pPr>
    </w:p>
    <w:p>
      <w:pPr>
        <w:ind w:right="20" w:firstLine="799"/>
        <w:spacing w:after="0" w:line="237" w:lineRule="auto"/>
        <w:rPr>
          <w:sz w:val="20"/>
          <w:szCs w:val="20"/>
          <w:color w:val="auto"/>
        </w:rPr>
      </w:pPr>
      <w:r>
        <w:rPr>
          <w:rFonts w:ascii="Arial" w:cs="Arial" w:eastAsia="Arial" w:hAnsi="Arial"/>
          <w:sz w:val="18"/>
          <w:szCs w:val="18"/>
          <w:color w:val="auto"/>
        </w:rPr>
        <w:t xml:space="preserve">If authorized in the applicable Award Agreement, a Grantee may transfer, not for value, all or part of an Award (other than Incentive Stock Options) to any Family Member. For the purpose of this </w:t>
      </w:r>
      <w:r>
        <w:rPr>
          <w:rFonts w:ascii="Arial" w:cs="Arial" w:eastAsia="Arial" w:hAnsi="Arial"/>
          <w:sz w:val="18"/>
          <w:szCs w:val="18"/>
          <w:b w:val="1"/>
          <w:bCs w:val="1"/>
          <w:color w:val="auto"/>
        </w:rPr>
        <w:t>Section 17.11.2</w:t>
      </w:r>
      <w:r>
        <w:rPr>
          <w:rFonts w:ascii="Arial" w:cs="Arial" w:eastAsia="Arial" w:hAnsi="Arial"/>
          <w:sz w:val="18"/>
          <w:szCs w:val="18"/>
          <w:color w:val="auto"/>
        </w:rPr>
        <w:t xml:space="preserve">, a “not for value” transfer is a transfer which is (i) a gift, (ii) a transfer under a domestic relations order in settlement of marital property rights; or (iii) a transfer to an entity in which more than fifty percent of the voting interests are owned by Family Members (or the Grantee) in exchange for an interest in that entity. Following a transfer under this </w:t>
      </w:r>
      <w:r>
        <w:rPr>
          <w:rFonts w:ascii="Arial" w:cs="Arial" w:eastAsia="Arial" w:hAnsi="Arial"/>
          <w:sz w:val="18"/>
          <w:szCs w:val="18"/>
          <w:b w:val="1"/>
          <w:bCs w:val="1"/>
          <w:color w:val="auto"/>
        </w:rPr>
        <w:t>Section 17.11.2</w:t>
      </w:r>
      <w:r>
        <w:rPr>
          <w:rFonts w:ascii="Arial" w:cs="Arial" w:eastAsia="Arial" w:hAnsi="Arial"/>
          <w:sz w:val="18"/>
          <w:szCs w:val="18"/>
          <w:color w:val="auto"/>
        </w:rPr>
        <w:t>, any such Award shall continue to be subject to the same terms and conditions as were applicable immediately prior to</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transfer. Subsequent transfers of transferred Awards are prohibited except to Family Members of the original Grantee in accordance with this </w:t>
      </w:r>
      <w:r>
        <w:rPr>
          <w:rFonts w:ascii="Arial" w:cs="Arial" w:eastAsia="Arial" w:hAnsi="Arial"/>
          <w:sz w:val="18"/>
          <w:szCs w:val="18"/>
          <w:b w:val="1"/>
          <w:bCs w:val="1"/>
          <w:color w:val="auto"/>
        </w:rPr>
        <w:t xml:space="preserve">Section 17.11.2 </w:t>
      </w:r>
      <w:r>
        <w:rPr>
          <w:rFonts w:ascii="Arial" w:cs="Arial" w:eastAsia="Arial" w:hAnsi="Arial"/>
          <w:sz w:val="18"/>
          <w:szCs w:val="18"/>
          <w:color w:val="auto"/>
        </w:rPr>
        <w:t>or by will or the laws of descent and distribution.</w:t>
      </w:r>
    </w:p>
    <w:p>
      <w:pPr>
        <w:spacing w:after="0" w:line="208" w:lineRule="exact"/>
        <w:rPr>
          <w:sz w:val="20"/>
          <w:szCs w:val="20"/>
          <w:color w:val="auto"/>
        </w:rPr>
      </w:pPr>
    </w:p>
    <w:p>
      <w:pPr>
        <w:ind w:left="580"/>
        <w:spacing w:after="0"/>
        <w:tabs>
          <w:tab w:leader="none" w:pos="1680" w:val="left"/>
        </w:tabs>
        <w:rPr>
          <w:sz w:val="20"/>
          <w:szCs w:val="20"/>
          <w:color w:val="auto"/>
        </w:rPr>
      </w:pPr>
      <w:r>
        <w:rPr>
          <w:rFonts w:ascii="Arial" w:cs="Arial" w:eastAsia="Arial" w:hAnsi="Arial"/>
          <w:sz w:val="18"/>
          <w:szCs w:val="18"/>
          <w:b w:val="1"/>
          <w:bCs w:val="1"/>
          <w:color w:val="auto"/>
        </w:rPr>
        <w:t>17.12.</w:t>
      </w:r>
      <w:r>
        <w:rPr>
          <w:sz w:val="20"/>
          <w:szCs w:val="20"/>
          <w:color w:val="auto"/>
        </w:rPr>
        <w:tab/>
      </w:r>
      <w:r>
        <w:rPr>
          <w:rFonts w:ascii="Arial" w:cs="Arial" w:eastAsia="Arial" w:hAnsi="Arial"/>
          <w:sz w:val="18"/>
          <w:szCs w:val="18"/>
          <w:b w:val="1"/>
          <w:bCs w:val="1"/>
          <w:color w:val="auto"/>
        </w:rPr>
        <w:t>Dividend Equivalent Rights.</w:t>
      </w:r>
    </w:p>
    <w:p>
      <w:pPr>
        <w:spacing w:after="0" w:line="234" w:lineRule="exact"/>
        <w:rPr>
          <w:sz w:val="20"/>
          <w:szCs w:val="20"/>
          <w:color w:val="auto"/>
        </w:rPr>
      </w:pPr>
    </w:p>
    <w:p>
      <w:pPr>
        <w:ind w:firstLine="799"/>
        <w:spacing w:after="0" w:line="237" w:lineRule="auto"/>
        <w:rPr>
          <w:sz w:val="20"/>
          <w:szCs w:val="20"/>
          <w:color w:val="auto"/>
        </w:rPr>
      </w:pPr>
      <w:r>
        <w:rPr>
          <w:rFonts w:ascii="Arial" w:cs="Arial" w:eastAsia="Arial" w:hAnsi="Arial"/>
          <w:sz w:val="18"/>
          <w:szCs w:val="18"/>
          <w:color w:val="auto"/>
        </w:rPr>
        <w:t>If specified in the Award Agreement, the recipient of an Award under this Plan may be entitled to receive dividend equivalent rights with respect to the Common Stock or other securities covered by an Award. The terms and conditions of a dividend equivalent right may be set forth in the Award Agreement. Dividend equivalents credited to a Grantee may be paid in cash or deemed to be reinvested in additional shares of Stock or other securities of the Company at a price per unit equal to the Fair Market Value of a share of Stock on the date that such dividend was paid to stockholders, as determined in the sole discretion of the Board. Notwithstanding the foregoing, in no event will dividends or dividend equivalents be paid on any Award or portion thereof that is unvested, nor on any Award that is subject to the achievement of performance criteria before the Award has become earned and payable.</w:t>
      </w:r>
    </w:p>
    <w:p>
      <w:pPr>
        <w:spacing w:after="0" w:line="139"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360"/>
          </w:cols>
          <w:pgMar w:left="240" w:top="459" w:right="29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236855</wp:posOffset>
            </wp:positionH>
            <wp:positionV relativeFrom="paragraph">
              <wp:posOffset>240030</wp:posOffset>
            </wp:positionV>
            <wp:extent cx="1311910" cy="31750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1311910" cy="317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560"/>
        <w:spacing w:after="0"/>
        <w:rPr>
          <w:sz w:val="20"/>
          <w:szCs w:val="20"/>
          <w:color w:val="auto"/>
        </w:rPr>
      </w:pPr>
      <w:r>
        <w:rPr>
          <w:rFonts w:ascii="Arial" w:cs="Arial" w:eastAsia="Arial" w:hAnsi="Arial"/>
          <w:sz w:val="17"/>
          <w:szCs w:val="17"/>
          <w:b w:val="1"/>
          <w:bCs w:val="1"/>
          <w:i w:val="1"/>
          <w:iCs w:val="1"/>
          <w:color w:val="auto"/>
        </w:rPr>
        <w:t>ATTN: STOCK PROGRAMS</w:t>
      </w:r>
    </w:p>
    <w:p>
      <w:pPr>
        <w:spacing w:after="0" w:line="4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11955 FREEDOM DRIVE</w:t>
      </w:r>
    </w:p>
    <w:p>
      <w:pPr>
        <w:spacing w:after="0" w:line="3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M/S: FS2-15-1</w:t>
      </w:r>
    </w:p>
    <w:p>
      <w:pPr>
        <w:spacing w:after="0" w:line="3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RESTON, VA 20190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9"/>
          <w:szCs w:val="9"/>
          <w:b w:val="1"/>
          <w:bCs w:val="1"/>
          <w:color w:val="auto"/>
        </w:rPr>
        <w:t xml:space="preserve">VOTE BY INTERNET - </w:t>
      </w:r>
      <w:r>
        <w:rPr>
          <w:rFonts w:ascii="Arial" w:cs="Arial" w:eastAsia="Arial" w:hAnsi="Arial"/>
          <w:sz w:val="9"/>
          <w:szCs w:val="9"/>
          <w:b w:val="1"/>
          <w:bCs w:val="1"/>
          <w:u w:val="single" w:color="auto"/>
          <w:color w:val="auto"/>
        </w:rPr>
        <w:t>www.proxyvote.com</w:t>
      </w:r>
      <w:r>
        <w:rPr>
          <w:rFonts w:ascii="Arial" w:cs="Arial" w:eastAsia="Arial" w:hAnsi="Arial"/>
          <w:sz w:val="9"/>
          <w:szCs w:val="9"/>
          <w:b w:val="1"/>
          <w:bCs w:val="1"/>
          <w:color w:val="auto"/>
        </w:rPr>
        <w:t xml:space="preserve"> or scan the barcode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-1267460</wp:posOffset>
            </wp:positionV>
            <wp:extent cx="7289165" cy="3810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-693420</wp:posOffset>
            </wp:positionV>
            <wp:extent cx="2684145" cy="63436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2684145" cy="634365"/>
                    </a:xfrm>
                    <a:prstGeom prst="rect">
                      <a:avLst/>
                    </a:prstGeom>
                    <a:noFill/>
                  </pic:spPr>
                </pic:pic>
              </a:graphicData>
            </a:graphic>
          </wp:anchor>
        </w:drawing>
      </w:r>
    </w:p>
    <w:p>
      <w:pPr>
        <w:jc w:val="both"/>
        <w:ind w:right="120"/>
        <w:spacing w:after="0" w:line="229" w:lineRule="auto"/>
        <w:rPr>
          <w:sz w:val="20"/>
          <w:szCs w:val="20"/>
          <w:color w:val="auto"/>
        </w:rPr>
      </w:pPr>
      <w:r>
        <w:rPr>
          <w:rFonts w:ascii="Arial" w:cs="Arial" w:eastAsia="Arial" w:hAnsi="Arial"/>
          <w:sz w:val="9"/>
          <w:szCs w:val="9"/>
          <w:color w:val="auto"/>
        </w:rPr>
        <w:t>Use the Internet to transmit your proxy and/or voting instructions and for electronic delivery of information. Have your proxy and voting instruction card in hand when you access the web site and follow the instructions to obtain your records and to create an electronic proxy and voting instruction form. Please see the reverse side of this card for information regarding specific voting deadlines.</w:t>
      </w:r>
    </w:p>
    <w:p>
      <w:pPr>
        <w:spacing w:after="0" w:line="58" w:lineRule="exact"/>
        <w:rPr>
          <w:sz w:val="20"/>
          <w:szCs w:val="20"/>
          <w:color w:val="auto"/>
        </w:rPr>
      </w:pPr>
    </w:p>
    <w:p>
      <w:pPr>
        <w:spacing w:after="0"/>
        <w:rPr>
          <w:sz w:val="20"/>
          <w:szCs w:val="20"/>
          <w:color w:val="auto"/>
        </w:rPr>
      </w:pPr>
      <w:r>
        <w:rPr>
          <w:rFonts w:ascii="Arial" w:cs="Arial" w:eastAsia="Arial" w:hAnsi="Arial"/>
          <w:sz w:val="9"/>
          <w:szCs w:val="9"/>
          <w:b w:val="1"/>
          <w:bCs w:val="1"/>
          <w:color w:val="auto"/>
        </w:rPr>
        <w:t>ELECTRONIC DELIVERY OF FUTURE STOCKHOLDER COMMUNICATIONS</w:t>
      </w:r>
    </w:p>
    <w:p>
      <w:pPr>
        <w:spacing w:after="0" w:line="1" w:lineRule="exact"/>
        <w:rPr>
          <w:sz w:val="20"/>
          <w:szCs w:val="20"/>
          <w:color w:val="auto"/>
        </w:rPr>
      </w:pPr>
    </w:p>
    <w:p>
      <w:pPr>
        <w:jc w:val="both"/>
        <w:ind w:right="120"/>
        <w:spacing w:after="0" w:line="226" w:lineRule="auto"/>
        <w:rPr>
          <w:sz w:val="20"/>
          <w:szCs w:val="20"/>
          <w:color w:val="auto"/>
        </w:rPr>
      </w:pPr>
      <w:r>
        <w:rPr>
          <w:rFonts w:ascii="Arial" w:cs="Arial" w:eastAsia="Arial" w:hAnsi="Arial"/>
          <w:sz w:val="9"/>
          <w:szCs w:val="9"/>
          <w:color w:val="auto"/>
        </w:rPr>
        <w:t>If you would like to reduce the costs incurred by Leidos in mailing proxy materials, you can consent to receiving all future proxy statements, proxy cards and annual reports electronically via e-mail or the Internet. To sign up for electronic delivery, please follow the instructions above to vote using the Internet and, when prompted, indicate that you agree to receive or access stockholder communications electronically in future years.</w:t>
      </w:r>
    </w:p>
    <w:p>
      <w:pPr>
        <w:spacing w:after="0" w:line="46" w:lineRule="exact"/>
        <w:rPr>
          <w:sz w:val="20"/>
          <w:szCs w:val="20"/>
          <w:color w:val="auto"/>
        </w:rPr>
      </w:pPr>
    </w:p>
    <w:p>
      <w:pPr>
        <w:spacing w:after="0"/>
        <w:rPr>
          <w:sz w:val="20"/>
          <w:szCs w:val="20"/>
          <w:color w:val="auto"/>
        </w:rPr>
      </w:pPr>
      <w:r>
        <w:rPr>
          <w:rFonts w:ascii="Arial" w:cs="Arial" w:eastAsia="Arial" w:hAnsi="Arial"/>
          <w:sz w:val="9"/>
          <w:szCs w:val="9"/>
          <w:b w:val="1"/>
          <w:bCs w:val="1"/>
          <w:color w:val="auto"/>
        </w:rPr>
        <w:t>BY PHONE - 1-800-690-6903</w:t>
      </w:r>
    </w:p>
    <w:p>
      <w:pPr>
        <w:spacing w:after="0" w:line="1" w:lineRule="exact"/>
        <w:rPr>
          <w:sz w:val="20"/>
          <w:szCs w:val="20"/>
          <w:color w:val="auto"/>
        </w:rPr>
      </w:pPr>
    </w:p>
    <w:p>
      <w:pPr>
        <w:jc w:val="both"/>
        <w:ind w:right="120"/>
        <w:spacing w:after="0" w:line="234" w:lineRule="auto"/>
        <w:rPr>
          <w:sz w:val="20"/>
          <w:szCs w:val="20"/>
          <w:color w:val="auto"/>
        </w:rPr>
      </w:pPr>
      <w:r>
        <w:rPr>
          <w:rFonts w:ascii="Arial" w:cs="Arial" w:eastAsia="Arial" w:hAnsi="Arial"/>
          <w:sz w:val="9"/>
          <w:szCs w:val="9"/>
          <w:color w:val="auto"/>
        </w:rPr>
        <w:t>Use any touch-tone telephone to transmit your proxy and/or voting instructions. Have your proxy and voting instruction card in hand when you call and then follow the instructions. Please see the reverse side of this card for information regarding specific voting deadlines.</w:t>
      </w:r>
    </w:p>
    <w:p>
      <w:pPr>
        <w:spacing w:after="0" w:line="45" w:lineRule="exact"/>
        <w:rPr>
          <w:sz w:val="20"/>
          <w:szCs w:val="20"/>
          <w:color w:val="auto"/>
        </w:rPr>
      </w:pPr>
    </w:p>
    <w:p>
      <w:pPr>
        <w:spacing w:after="0"/>
        <w:rPr>
          <w:sz w:val="20"/>
          <w:szCs w:val="20"/>
          <w:color w:val="auto"/>
        </w:rPr>
      </w:pPr>
      <w:r>
        <w:rPr>
          <w:rFonts w:ascii="Arial" w:cs="Arial" w:eastAsia="Arial" w:hAnsi="Arial"/>
          <w:sz w:val="9"/>
          <w:szCs w:val="9"/>
          <w:b w:val="1"/>
          <w:bCs w:val="1"/>
          <w:color w:val="auto"/>
        </w:rPr>
        <w:t>BY MAIL</w:t>
      </w:r>
    </w:p>
    <w:p>
      <w:pPr>
        <w:spacing w:after="0" w:line="1" w:lineRule="exact"/>
        <w:rPr>
          <w:sz w:val="20"/>
          <w:szCs w:val="20"/>
          <w:color w:val="auto"/>
        </w:rPr>
      </w:pPr>
    </w:p>
    <w:p>
      <w:pPr>
        <w:jc w:val="both"/>
        <w:ind w:right="120"/>
        <w:spacing w:after="0" w:line="234" w:lineRule="auto"/>
        <w:rPr>
          <w:sz w:val="20"/>
          <w:szCs w:val="20"/>
          <w:color w:val="auto"/>
        </w:rPr>
      </w:pPr>
      <w:r>
        <w:rPr>
          <w:rFonts w:ascii="Arial" w:cs="Arial" w:eastAsia="Arial" w:hAnsi="Arial"/>
          <w:sz w:val="9"/>
          <w:szCs w:val="9"/>
          <w:color w:val="auto"/>
        </w:rPr>
        <w:t>Mark, sign and date your proxy and voting instruction card and return it in the postage-paid envelope we have provided or return it to Leidos, c/o Broadridge, 51 Mercedes Way, Edgewood, NY 11717.</w:t>
      </w:r>
    </w:p>
    <w:p>
      <w:pPr>
        <w:spacing w:after="0" w:line="58" w:lineRule="exact"/>
        <w:rPr>
          <w:sz w:val="20"/>
          <w:szCs w:val="20"/>
          <w:color w:val="auto"/>
        </w:rPr>
      </w:pPr>
    </w:p>
    <w:p>
      <w:pPr>
        <w:spacing w:after="0"/>
        <w:rPr>
          <w:sz w:val="20"/>
          <w:szCs w:val="20"/>
          <w:color w:val="auto"/>
        </w:rPr>
      </w:pPr>
      <w:r>
        <w:rPr>
          <w:rFonts w:ascii="Arial" w:cs="Arial" w:eastAsia="Arial" w:hAnsi="Arial"/>
          <w:sz w:val="9"/>
          <w:szCs w:val="9"/>
          <w:b w:val="1"/>
          <w:bCs w:val="1"/>
          <w:color w:val="auto"/>
        </w:rPr>
        <w:t>VOTE CONFIRMATION</w:t>
      </w:r>
    </w:p>
    <w:p>
      <w:pPr>
        <w:spacing w:after="0" w:line="1" w:lineRule="exact"/>
        <w:rPr>
          <w:sz w:val="20"/>
          <w:szCs w:val="20"/>
          <w:color w:val="auto"/>
        </w:rPr>
      </w:pPr>
    </w:p>
    <w:p>
      <w:pPr>
        <w:jc w:val="both"/>
        <w:ind w:right="120"/>
        <w:spacing w:after="0" w:line="219" w:lineRule="auto"/>
        <w:rPr>
          <w:sz w:val="20"/>
          <w:szCs w:val="20"/>
          <w:color w:val="auto"/>
        </w:rPr>
      </w:pPr>
      <w:r>
        <w:rPr>
          <w:rFonts w:ascii="Arial" w:cs="Arial" w:eastAsia="Arial" w:hAnsi="Arial"/>
          <w:sz w:val="9"/>
          <w:szCs w:val="9"/>
          <w:color w:val="auto"/>
        </w:rPr>
        <w:t>You may confirm that your instructions were received and included in the final tabulation to be issued at the Annual Meeting on May 12, 2017 via the ProxyVote Confirmation link at www.proxyvote.com by using the information that is printed in the box marked by the arrow</w:t>
      </w:r>
    </w:p>
    <w:p>
      <w:pPr>
        <w:spacing w:after="0" w:line="1" w:lineRule="exact"/>
        <w:rPr>
          <w:sz w:val="20"/>
          <w:szCs w:val="20"/>
          <w:color w:val="auto"/>
        </w:rPr>
      </w:pPr>
    </w:p>
    <w:p>
      <w:pPr>
        <w:jc w:val="both"/>
        <w:ind w:right="120" w:firstLine="1"/>
        <w:spacing w:after="0" w:line="312" w:lineRule="auto"/>
        <w:rPr>
          <w:sz w:val="20"/>
          <w:szCs w:val="20"/>
          <w:color w:val="auto"/>
        </w:rPr>
      </w:pPr>
      <w:r>
        <w:rPr>
          <w:sz w:val="1"/>
          <w:szCs w:val="1"/>
          <w:color w:val="auto"/>
        </w:rPr>
        <w:drawing>
          <wp:inline distT="0" distB="0" distL="0" distR="0">
            <wp:extent cx="548640" cy="76200"/>
            <wp:effectExtent l="0" t="0" r="0" b="0"/>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548640" cy="76200"/>
                    </a:xfrm>
                    <a:prstGeom prst="rect">
                      <a:avLst/>
                    </a:prstGeom>
                    <a:noFill/>
                    <a:ln>
                      <a:noFill/>
                    </a:ln>
                  </pic:spPr>
                </pic:pic>
              </a:graphicData>
            </a:graphic>
          </wp:inline>
        </w:drawing>
      </w:r>
      <w:r>
        <w:rPr>
          <w:rFonts w:ascii="Arial" w:cs="Arial" w:eastAsia="Arial" w:hAnsi="Arial"/>
          <w:sz w:val="9"/>
          <w:szCs w:val="9"/>
          <w:color w:val="auto"/>
        </w:rPr>
        <w:t xml:space="preserve"> Vote Confirmation is available 24 hours after your vote is received beginning April 27, 2017, with the final vote tabulation remaining available through July 12, 2017.</w:t>
      </w:r>
    </w:p>
    <w:p>
      <w:pPr>
        <w:spacing w:after="0" w:line="200" w:lineRule="exact"/>
        <w:rPr>
          <w:sz w:val="20"/>
          <w:szCs w:val="20"/>
          <w:color w:val="auto"/>
        </w:rPr>
      </w:pPr>
    </w:p>
    <w:p>
      <w:pPr>
        <w:sectPr>
          <w:pgSz w:w="11900" w:h="16838" w:orient="portrait"/>
          <w:cols w:equalWidth="0" w:num="2">
            <w:col w:w="5100" w:space="720"/>
            <w:col w:w="5600"/>
          </w:cols>
          <w:pgMar w:left="240" w:top="459" w:right="239" w:bottom="1440" w:gutter="0" w:footer="0" w:header="0"/>
        </w:sect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13"/>
          <w:szCs w:val="13"/>
          <w:color w:val="auto"/>
        </w:rPr>
        <w:t>TO VOTE, MARK BLOCKS BELOW IN BLUE OR BLACK INK AS FOLLOWS:</w:t>
      </w:r>
    </w:p>
    <w:tbl>
      <w:tblPr>
        <w:tblLayout w:type="fixed"/>
        <w:tblInd w:w="6600" w:type="dxa"/>
        <w:tblCellMar>
          <w:top w:w="0" w:type="dxa"/>
          <w:left w:w="0" w:type="dxa"/>
          <w:bottom w:w="0" w:type="dxa"/>
          <w:right w:w="0" w:type="dxa"/>
        </w:tblCellMar>
      </w:tblPr>
      <w:tr>
        <w:trPr>
          <w:trHeight w:val="149"/>
        </w:trPr>
        <w:tc>
          <w:tcPr>
            <w:tcW w:w="1540" w:type="dxa"/>
            <w:vAlign w:val="bottom"/>
          </w:tcPr>
          <w:p>
            <w:pPr>
              <w:spacing w:after="0"/>
              <w:rPr>
                <w:sz w:val="20"/>
                <w:szCs w:val="20"/>
                <w:color w:val="auto"/>
              </w:rPr>
            </w:pPr>
            <w:r>
              <w:rPr>
                <w:rFonts w:ascii="Arial" w:cs="Arial" w:eastAsia="Arial" w:hAnsi="Arial"/>
                <w:sz w:val="13"/>
                <w:szCs w:val="13"/>
                <w:color w:val="auto"/>
              </w:rPr>
              <w:t>E21151-P90061</w:t>
            </w:r>
          </w:p>
        </w:tc>
        <w:tc>
          <w:tcPr>
            <w:tcW w:w="3280" w:type="dxa"/>
            <w:vAlign w:val="bottom"/>
          </w:tcPr>
          <w:p>
            <w:pPr>
              <w:jc w:val="right"/>
              <w:spacing w:after="0"/>
              <w:rPr>
                <w:sz w:val="20"/>
                <w:szCs w:val="20"/>
                <w:color w:val="auto"/>
              </w:rPr>
            </w:pPr>
            <w:r>
              <w:rPr>
                <w:rFonts w:ascii="Arial" w:cs="Arial" w:eastAsia="Arial" w:hAnsi="Arial"/>
                <w:sz w:val="13"/>
                <w:szCs w:val="13"/>
                <w:color w:val="auto"/>
              </w:rPr>
              <w:t>KEEP THIS PORTION FOR YOUR RECORDS</w:t>
            </w:r>
          </w:p>
        </w:tc>
      </w:tr>
      <w:tr>
        <w:trPr>
          <w:trHeight w:val="146"/>
        </w:trPr>
        <w:tc>
          <w:tcPr>
            <w:tcW w:w="1540" w:type="dxa"/>
            <w:vAlign w:val="bottom"/>
          </w:tcPr>
          <w:p>
            <w:pPr>
              <w:spacing w:after="0"/>
              <w:rPr>
                <w:sz w:val="12"/>
                <w:szCs w:val="12"/>
                <w:color w:val="auto"/>
              </w:rPr>
            </w:pPr>
          </w:p>
        </w:tc>
        <w:tc>
          <w:tcPr>
            <w:tcW w:w="3280" w:type="dxa"/>
            <w:vAlign w:val="bottom"/>
          </w:tcPr>
          <w:p>
            <w:pPr>
              <w:jc w:val="right"/>
              <w:spacing w:after="0" w:line="146" w:lineRule="exact"/>
              <w:rPr>
                <w:sz w:val="20"/>
                <w:szCs w:val="20"/>
                <w:color w:val="auto"/>
              </w:rPr>
            </w:pPr>
            <w:r>
              <w:rPr>
                <w:rFonts w:ascii="Arial" w:cs="Arial" w:eastAsia="Arial" w:hAnsi="Arial"/>
                <w:sz w:val="13"/>
                <w:szCs w:val="13"/>
                <w:color w:val="auto"/>
              </w:rPr>
              <w:t>DETACH AND RETURN THIS PORTION ONLY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-109220</wp:posOffset>
            </wp:positionV>
            <wp:extent cx="7272020" cy="342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72020" cy="342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4"/>
          <w:szCs w:val="14"/>
          <w:b w:val="1"/>
          <w:bCs w:val="1"/>
          <w:color w:val="auto"/>
        </w:rPr>
        <w:t>THIS PROXY AND VOTING INSTRUCTION CARD IS VALID ONLY WHEN SIGNED AND 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21590</wp:posOffset>
            </wp:positionV>
            <wp:extent cx="7276465" cy="446341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76465" cy="446341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type w:val="continuous"/>
        </w:sectPr>
      </w:pPr>
    </w:p>
    <w:p>
      <w:pPr>
        <w:spacing w:after="0" w:line="200" w:lineRule="exact"/>
        <w:rPr>
          <w:sz w:val="20"/>
          <w:szCs w:val="20"/>
          <w:color w:val="auto"/>
        </w:rPr>
      </w:pPr>
    </w:p>
    <w:p>
      <w:pPr>
        <w:spacing w:after="0" w:line="342" w:lineRule="exact"/>
        <w:rPr>
          <w:sz w:val="20"/>
          <w:szCs w:val="20"/>
          <w:color w:val="auto"/>
        </w:rPr>
      </w:pPr>
    </w:p>
    <w:p>
      <w:pPr>
        <w:jc w:val="both"/>
        <w:ind w:left="260" w:right="1640"/>
        <w:spacing w:after="0" w:line="234" w:lineRule="auto"/>
        <w:rPr>
          <w:sz w:val="20"/>
          <w:szCs w:val="20"/>
          <w:color w:val="auto"/>
        </w:rPr>
      </w:pPr>
      <w:r>
        <w:rPr>
          <w:rFonts w:ascii="Arial" w:cs="Arial" w:eastAsia="Arial" w:hAnsi="Arial"/>
          <w:sz w:val="13"/>
          <w:szCs w:val="13"/>
          <w:b w:val="1"/>
          <w:bCs w:val="1"/>
          <w:color w:val="auto"/>
        </w:rPr>
        <w:t>VOTE ON DIRECTORS - The Board of Directors recommends a vote FOR each of the nominees listed below.</w:t>
      </w:r>
    </w:p>
    <w:p>
      <w:pPr>
        <w:spacing w:after="0" w:line="103" w:lineRule="exact"/>
        <w:rPr>
          <w:sz w:val="20"/>
          <w:szCs w:val="20"/>
          <w:color w:val="auto"/>
        </w:rPr>
      </w:pPr>
    </w:p>
    <w:tbl>
      <w:tblPr>
        <w:tblLayout w:type="fixed"/>
        <w:tblInd w:w="260" w:type="dxa"/>
        <w:tblCellMar>
          <w:top w:w="0" w:type="dxa"/>
          <w:left w:w="0" w:type="dxa"/>
          <w:bottom w:w="0" w:type="dxa"/>
          <w:right w:w="0" w:type="dxa"/>
        </w:tblCellMar>
      </w:tblPr>
      <w:tr>
        <w:trPr>
          <w:trHeight w:val="168"/>
        </w:trPr>
        <w:tc>
          <w:tcPr>
            <w:tcW w:w="2860" w:type="dxa"/>
            <w:vAlign w:val="bottom"/>
            <w:gridSpan w:val="2"/>
          </w:tcPr>
          <w:p>
            <w:pPr>
              <w:spacing w:after="0"/>
              <w:rPr>
                <w:sz w:val="20"/>
                <w:szCs w:val="20"/>
                <w:color w:val="auto"/>
              </w:rPr>
            </w:pPr>
            <w:r>
              <w:rPr>
                <w:rFonts w:ascii="Arial" w:cs="Arial" w:eastAsia="Arial" w:hAnsi="Arial"/>
                <w:sz w:val="13"/>
                <w:szCs w:val="13"/>
                <w:b w:val="1"/>
                <w:bCs w:val="1"/>
                <w:color w:val="auto"/>
              </w:rPr>
              <w:t>1.   Nominees:</w:t>
            </w:r>
          </w:p>
        </w:tc>
        <w:tc>
          <w:tcPr>
            <w:tcW w:w="1200" w:type="dxa"/>
            <w:vAlign w:val="bottom"/>
          </w:tcPr>
          <w:p>
            <w:pPr>
              <w:jc w:val="center"/>
              <w:ind w:left="797"/>
              <w:spacing w:after="0"/>
              <w:rPr>
                <w:sz w:val="20"/>
                <w:szCs w:val="20"/>
                <w:color w:val="auto"/>
              </w:rPr>
            </w:pPr>
            <w:r>
              <w:rPr>
                <w:rFonts w:ascii="Arial" w:cs="Arial" w:eastAsia="Arial" w:hAnsi="Arial"/>
                <w:sz w:val="13"/>
                <w:szCs w:val="13"/>
                <w:b w:val="1"/>
                <w:bCs w:val="1"/>
                <w:color w:val="auto"/>
              </w:rPr>
              <w:t>For</w:t>
            </w:r>
          </w:p>
        </w:tc>
        <w:tc>
          <w:tcPr>
            <w:tcW w:w="620" w:type="dxa"/>
            <w:vAlign w:val="bottom"/>
          </w:tcPr>
          <w:p>
            <w:pPr>
              <w:ind w:left="80"/>
              <w:spacing w:after="0"/>
              <w:rPr>
                <w:sz w:val="20"/>
                <w:szCs w:val="20"/>
                <w:color w:val="auto"/>
              </w:rPr>
            </w:pPr>
            <w:r>
              <w:rPr>
                <w:rFonts w:ascii="Arial" w:cs="Arial" w:eastAsia="Arial" w:hAnsi="Arial"/>
                <w:sz w:val="13"/>
                <w:szCs w:val="13"/>
                <w:b w:val="1"/>
                <w:bCs w:val="1"/>
                <w:color w:val="auto"/>
              </w:rPr>
              <w:t>Against</w:t>
            </w:r>
          </w:p>
        </w:tc>
        <w:tc>
          <w:tcPr>
            <w:tcW w:w="540" w:type="dxa"/>
            <w:vAlign w:val="bottom"/>
          </w:tcPr>
          <w:p>
            <w:pPr>
              <w:ind w:left="80"/>
              <w:spacing w:after="0"/>
              <w:rPr>
                <w:sz w:val="20"/>
                <w:szCs w:val="20"/>
                <w:color w:val="auto"/>
              </w:rPr>
            </w:pPr>
            <w:r>
              <w:rPr>
                <w:rFonts w:ascii="Arial" w:cs="Arial" w:eastAsia="Arial" w:hAnsi="Arial"/>
                <w:sz w:val="13"/>
                <w:szCs w:val="13"/>
                <w:b w:val="1"/>
                <w:bCs w:val="1"/>
                <w:color w:val="auto"/>
                <w:w w:val="92"/>
              </w:rPr>
              <w:t>Abstain</w:t>
            </w:r>
          </w:p>
        </w:tc>
      </w:tr>
      <w:tr>
        <w:trPr>
          <w:trHeight w:val="338"/>
        </w:trPr>
        <w:tc>
          <w:tcPr>
            <w:tcW w:w="560" w:type="dxa"/>
            <w:vAlign w:val="bottom"/>
          </w:tcPr>
          <w:p>
            <w:pPr>
              <w:ind w:left="320"/>
              <w:spacing w:after="0"/>
              <w:rPr>
                <w:sz w:val="20"/>
                <w:szCs w:val="20"/>
                <w:color w:val="auto"/>
              </w:rPr>
            </w:pPr>
            <w:r>
              <w:rPr>
                <w:rFonts w:ascii="Arial" w:cs="Arial" w:eastAsia="Arial" w:hAnsi="Arial"/>
                <w:sz w:val="13"/>
                <w:szCs w:val="13"/>
                <w:color w:val="auto"/>
              </w:rPr>
              <w:t>1a.</w:t>
            </w:r>
          </w:p>
        </w:tc>
        <w:tc>
          <w:tcPr>
            <w:tcW w:w="2300" w:type="dxa"/>
            <w:vAlign w:val="bottom"/>
          </w:tcPr>
          <w:p>
            <w:pPr>
              <w:ind w:left="80"/>
              <w:spacing w:after="0"/>
              <w:rPr>
                <w:sz w:val="20"/>
                <w:szCs w:val="20"/>
                <w:color w:val="auto"/>
              </w:rPr>
            </w:pPr>
            <w:r>
              <w:rPr>
                <w:rFonts w:ascii="Arial" w:cs="Arial" w:eastAsia="Arial" w:hAnsi="Arial"/>
                <w:sz w:val="13"/>
                <w:szCs w:val="13"/>
                <w:color w:val="auto"/>
              </w:rPr>
              <w:t>Gregory R. Dahlberg</w:t>
            </w:r>
          </w:p>
        </w:tc>
        <w:tc>
          <w:tcPr>
            <w:tcW w:w="1200" w:type="dxa"/>
            <w:vAlign w:val="bottom"/>
          </w:tcPr>
          <w:p>
            <w:pPr>
              <w:jc w:val="center"/>
              <w:ind w:left="797"/>
              <w:spacing w:after="0" w:line="131" w:lineRule="exact"/>
              <w:rPr>
                <w:sz w:val="20"/>
                <w:szCs w:val="20"/>
                <w:color w:val="auto"/>
              </w:rPr>
            </w:pPr>
            <w:r>
              <w:rPr>
                <w:rFonts w:ascii="MS PGothic" w:cs="MS PGothic" w:eastAsia="MS PGothic" w:hAnsi="MS PGothic"/>
                <w:sz w:val="13"/>
                <w:szCs w:val="13"/>
                <w:color w:val="auto"/>
                <w:w w:val="76"/>
              </w:rPr>
              <w:t>☐</w:t>
            </w:r>
          </w:p>
        </w:tc>
        <w:tc>
          <w:tcPr>
            <w:tcW w:w="620" w:type="dxa"/>
            <w:vAlign w:val="bottom"/>
          </w:tcPr>
          <w:p>
            <w:pPr>
              <w:ind w:left="300"/>
              <w:spacing w:after="0" w:line="131" w:lineRule="exact"/>
              <w:rPr>
                <w:sz w:val="20"/>
                <w:szCs w:val="20"/>
                <w:color w:val="auto"/>
              </w:rPr>
            </w:pPr>
            <w:r>
              <w:rPr>
                <w:rFonts w:ascii="MS PGothic" w:cs="MS PGothic" w:eastAsia="MS PGothic" w:hAnsi="MS PGothic"/>
                <w:sz w:val="13"/>
                <w:szCs w:val="13"/>
                <w:color w:val="auto"/>
              </w:rPr>
              <w:t>☐</w:t>
            </w:r>
          </w:p>
        </w:tc>
        <w:tc>
          <w:tcPr>
            <w:tcW w:w="540" w:type="dxa"/>
            <w:vAlign w:val="bottom"/>
          </w:tcPr>
          <w:p>
            <w:pPr>
              <w:ind w:left="220"/>
              <w:spacing w:after="0" w:line="131" w:lineRule="exact"/>
              <w:rPr>
                <w:sz w:val="20"/>
                <w:szCs w:val="20"/>
                <w:color w:val="auto"/>
              </w:rPr>
            </w:pPr>
            <w:r>
              <w:rPr>
                <w:rFonts w:ascii="MS PGothic" w:cs="MS PGothic" w:eastAsia="MS PGothic" w:hAnsi="MS PGothic"/>
                <w:sz w:val="13"/>
                <w:szCs w:val="13"/>
                <w:color w:val="auto"/>
              </w:rPr>
              <w:t>☐</w:t>
            </w:r>
          </w:p>
        </w:tc>
      </w:tr>
      <w:tr>
        <w:trPr>
          <w:trHeight w:val="324"/>
        </w:trPr>
        <w:tc>
          <w:tcPr>
            <w:tcW w:w="560" w:type="dxa"/>
            <w:vAlign w:val="bottom"/>
          </w:tcPr>
          <w:p>
            <w:pPr>
              <w:ind w:left="320"/>
              <w:spacing w:after="0"/>
              <w:rPr>
                <w:sz w:val="20"/>
                <w:szCs w:val="20"/>
                <w:color w:val="auto"/>
              </w:rPr>
            </w:pPr>
            <w:r>
              <w:rPr>
                <w:rFonts w:ascii="Arial" w:cs="Arial" w:eastAsia="Arial" w:hAnsi="Arial"/>
                <w:sz w:val="13"/>
                <w:szCs w:val="13"/>
                <w:color w:val="auto"/>
              </w:rPr>
              <w:t>1b.</w:t>
            </w:r>
          </w:p>
        </w:tc>
        <w:tc>
          <w:tcPr>
            <w:tcW w:w="2300" w:type="dxa"/>
            <w:vAlign w:val="bottom"/>
          </w:tcPr>
          <w:p>
            <w:pPr>
              <w:ind w:left="80"/>
              <w:spacing w:after="0"/>
              <w:rPr>
                <w:sz w:val="20"/>
                <w:szCs w:val="20"/>
                <w:color w:val="auto"/>
              </w:rPr>
            </w:pPr>
            <w:r>
              <w:rPr>
                <w:rFonts w:ascii="Arial" w:cs="Arial" w:eastAsia="Arial" w:hAnsi="Arial"/>
                <w:sz w:val="13"/>
                <w:szCs w:val="13"/>
                <w:color w:val="auto"/>
              </w:rPr>
              <w:t>David G. Fubini</w:t>
            </w:r>
          </w:p>
        </w:tc>
        <w:tc>
          <w:tcPr>
            <w:tcW w:w="1200" w:type="dxa"/>
            <w:vAlign w:val="bottom"/>
          </w:tcPr>
          <w:p>
            <w:pPr>
              <w:jc w:val="center"/>
              <w:ind w:left="797"/>
              <w:spacing w:after="0" w:line="131" w:lineRule="exact"/>
              <w:rPr>
                <w:sz w:val="20"/>
                <w:szCs w:val="20"/>
                <w:color w:val="auto"/>
              </w:rPr>
            </w:pPr>
            <w:r>
              <w:rPr>
                <w:rFonts w:ascii="MS PGothic" w:cs="MS PGothic" w:eastAsia="MS PGothic" w:hAnsi="MS PGothic"/>
                <w:sz w:val="13"/>
                <w:szCs w:val="13"/>
                <w:color w:val="auto"/>
                <w:w w:val="76"/>
              </w:rPr>
              <w:t>☐</w:t>
            </w:r>
          </w:p>
        </w:tc>
        <w:tc>
          <w:tcPr>
            <w:tcW w:w="620" w:type="dxa"/>
            <w:vAlign w:val="bottom"/>
          </w:tcPr>
          <w:p>
            <w:pPr>
              <w:ind w:left="300"/>
              <w:spacing w:after="0" w:line="131" w:lineRule="exact"/>
              <w:rPr>
                <w:sz w:val="20"/>
                <w:szCs w:val="20"/>
                <w:color w:val="auto"/>
              </w:rPr>
            </w:pPr>
            <w:r>
              <w:rPr>
                <w:rFonts w:ascii="MS PGothic" w:cs="MS PGothic" w:eastAsia="MS PGothic" w:hAnsi="MS PGothic"/>
                <w:sz w:val="13"/>
                <w:szCs w:val="13"/>
                <w:color w:val="auto"/>
              </w:rPr>
              <w:t>☐</w:t>
            </w:r>
          </w:p>
        </w:tc>
        <w:tc>
          <w:tcPr>
            <w:tcW w:w="540" w:type="dxa"/>
            <w:vAlign w:val="bottom"/>
          </w:tcPr>
          <w:p>
            <w:pPr>
              <w:ind w:left="220"/>
              <w:spacing w:after="0" w:line="131" w:lineRule="exact"/>
              <w:rPr>
                <w:sz w:val="20"/>
                <w:szCs w:val="20"/>
                <w:color w:val="auto"/>
              </w:rPr>
            </w:pPr>
            <w:r>
              <w:rPr>
                <w:rFonts w:ascii="MS PGothic" w:cs="MS PGothic" w:eastAsia="MS PGothic" w:hAnsi="MS PGothic"/>
                <w:sz w:val="13"/>
                <w:szCs w:val="13"/>
                <w:color w:val="auto"/>
              </w:rPr>
              <w:t>☐</w:t>
            </w:r>
          </w:p>
        </w:tc>
      </w:tr>
      <w:tr>
        <w:trPr>
          <w:trHeight w:val="324"/>
        </w:trPr>
        <w:tc>
          <w:tcPr>
            <w:tcW w:w="560" w:type="dxa"/>
            <w:vAlign w:val="bottom"/>
          </w:tcPr>
          <w:p>
            <w:pPr>
              <w:ind w:left="320"/>
              <w:spacing w:after="0"/>
              <w:rPr>
                <w:sz w:val="20"/>
                <w:szCs w:val="20"/>
                <w:color w:val="auto"/>
              </w:rPr>
            </w:pPr>
            <w:r>
              <w:rPr>
                <w:rFonts w:ascii="Arial" w:cs="Arial" w:eastAsia="Arial" w:hAnsi="Arial"/>
                <w:sz w:val="13"/>
                <w:szCs w:val="13"/>
                <w:color w:val="auto"/>
              </w:rPr>
              <w:t>1c.</w:t>
            </w:r>
          </w:p>
        </w:tc>
        <w:tc>
          <w:tcPr>
            <w:tcW w:w="2300" w:type="dxa"/>
            <w:vAlign w:val="bottom"/>
          </w:tcPr>
          <w:p>
            <w:pPr>
              <w:ind w:left="80"/>
              <w:spacing w:after="0"/>
              <w:rPr>
                <w:sz w:val="20"/>
                <w:szCs w:val="20"/>
                <w:color w:val="auto"/>
              </w:rPr>
            </w:pPr>
            <w:r>
              <w:rPr>
                <w:rFonts w:ascii="Arial" w:cs="Arial" w:eastAsia="Arial" w:hAnsi="Arial"/>
                <w:sz w:val="13"/>
                <w:szCs w:val="13"/>
                <w:color w:val="auto"/>
              </w:rPr>
              <w:t>Miriam E. John</w:t>
            </w:r>
          </w:p>
        </w:tc>
        <w:tc>
          <w:tcPr>
            <w:tcW w:w="1200" w:type="dxa"/>
            <w:vAlign w:val="bottom"/>
          </w:tcPr>
          <w:p>
            <w:pPr>
              <w:jc w:val="center"/>
              <w:ind w:left="797"/>
              <w:spacing w:after="0" w:line="131" w:lineRule="exact"/>
              <w:rPr>
                <w:sz w:val="20"/>
                <w:szCs w:val="20"/>
                <w:color w:val="auto"/>
              </w:rPr>
            </w:pPr>
            <w:r>
              <w:rPr>
                <w:rFonts w:ascii="MS PGothic" w:cs="MS PGothic" w:eastAsia="MS PGothic" w:hAnsi="MS PGothic"/>
                <w:sz w:val="13"/>
                <w:szCs w:val="13"/>
                <w:color w:val="auto"/>
                <w:w w:val="76"/>
              </w:rPr>
              <w:t>☐</w:t>
            </w:r>
          </w:p>
        </w:tc>
        <w:tc>
          <w:tcPr>
            <w:tcW w:w="620" w:type="dxa"/>
            <w:vAlign w:val="bottom"/>
          </w:tcPr>
          <w:p>
            <w:pPr>
              <w:ind w:left="300"/>
              <w:spacing w:after="0" w:line="131" w:lineRule="exact"/>
              <w:rPr>
                <w:sz w:val="20"/>
                <w:szCs w:val="20"/>
                <w:color w:val="auto"/>
              </w:rPr>
            </w:pPr>
            <w:r>
              <w:rPr>
                <w:rFonts w:ascii="MS PGothic" w:cs="MS PGothic" w:eastAsia="MS PGothic" w:hAnsi="MS PGothic"/>
                <w:sz w:val="13"/>
                <w:szCs w:val="13"/>
                <w:color w:val="auto"/>
              </w:rPr>
              <w:t>☐</w:t>
            </w:r>
          </w:p>
        </w:tc>
        <w:tc>
          <w:tcPr>
            <w:tcW w:w="540" w:type="dxa"/>
            <w:vAlign w:val="bottom"/>
          </w:tcPr>
          <w:p>
            <w:pPr>
              <w:ind w:left="220"/>
              <w:spacing w:after="0" w:line="131" w:lineRule="exact"/>
              <w:rPr>
                <w:sz w:val="20"/>
                <w:szCs w:val="20"/>
                <w:color w:val="auto"/>
              </w:rPr>
            </w:pPr>
            <w:r>
              <w:rPr>
                <w:rFonts w:ascii="MS PGothic" w:cs="MS PGothic" w:eastAsia="MS PGothic" w:hAnsi="MS PGothic"/>
                <w:sz w:val="13"/>
                <w:szCs w:val="13"/>
                <w:color w:val="auto"/>
              </w:rPr>
              <w:t>☐</w:t>
            </w:r>
          </w:p>
        </w:tc>
      </w:tr>
      <w:tr>
        <w:trPr>
          <w:trHeight w:val="324"/>
        </w:trPr>
        <w:tc>
          <w:tcPr>
            <w:tcW w:w="560" w:type="dxa"/>
            <w:vAlign w:val="bottom"/>
          </w:tcPr>
          <w:p>
            <w:pPr>
              <w:ind w:left="320"/>
              <w:spacing w:after="0"/>
              <w:rPr>
                <w:sz w:val="20"/>
                <w:szCs w:val="20"/>
                <w:color w:val="auto"/>
              </w:rPr>
            </w:pPr>
            <w:r>
              <w:rPr>
                <w:rFonts w:ascii="Arial" w:cs="Arial" w:eastAsia="Arial" w:hAnsi="Arial"/>
                <w:sz w:val="13"/>
                <w:szCs w:val="13"/>
                <w:color w:val="auto"/>
              </w:rPr>
              <w:t>1d.</w:t>
            </w:r>
          </w:p>
        </w:tc>
        <w:tc>
          <w:tcPr>
            <w:tcW w:w="2300" w:type="dxa"/>
            <w:vAlign w:val="bottom"/>
          </w:tcPr>
          <w:p>
            <w:pPr>
              <w:ind w:left="80"/>
              <w:spacing w:after="0"/>
              <w:rPr>
                <w:sz w:val="20"/>
                <w:szCs w:val="20"/>
                <w:color w:val="auto"/>
              </w:rPr>
            </w:pPr>
            <w:r>
              <w:rPr>
                <w:rFonts w:ascii="Arial" w:cs="Arial" w:eastAsia="Arial" w:hAnsi="Arial"/>
                <w:sz w:val="13"/>
                <w:szCs w:val="13"/>
                <w:color w:val="auto"/>
              </w:rPr>
              <w:t>John P. Jumper</w:t>
            </w:r>
          </w:p>
        </w:tc>
        <w:tc>
          <w:tcPr>
            <w:tcW w:w="1200" w:type="dxa"/>
            <w:vAlign w:val="bottom"/>
          </w:tcPr>
          <w:p>
            <w:pPr>
              <w:jc w:val="center"/>
              <w:ind w:left="797"/>
              <w:spacing w:after="0" w:line="131" w:lineRule="exact"/>
              <w:rPr>
                <w:sz w:val="20"/>
                <w:szCs w:val="20"/>
                <w:color w:val="auto"/>
              </w:rPr>
            </w:pPr>
            <w:r>
              <w:rPr>
                <w:rFonts w:ascii="MS PGothic" w:cs="MS PGothic" w:eastAsia="MS PGothic" w:hAnsi="MS PGothic"/>
                <w:sz w:val="13"/>
                <w:szCs w:val="13"/>
                <w:color w:val="auto"/>
                <w:w w:val="76"/>
              </w:rPr>
              <w:t>☐</w:t>
            </w:r>
          </w:p>
        </w:tc>
        <w:tc>
          <w:tcPr>
            <w:tcW w:w="620" w:type="dxa"/>
            <w:vAlign w:val="bottom"/>
          </w:tcPr>
          <w:p>
            <w:pPr>
              <w:ind w:left="300"/>
              <w:spacing w:after="0" w:line="131" w:lineRule="exact"/>
              <w:rPr>
                <w:sz w:val="20"/>
                <w:szCs w:val="20"/>
                <w:color w:val="auto"/>
              </w:rPr>
            </w:pPr>
            <w:r>
              <w:rPr>
                <w:rFonts w:ascii="MS PGothic" w:cs="MS PGothic" w:eastAsia="MS PGothic" w:hAnsi="MS PGothic"/>
                <w:sz w:val="13"/>
                <w:szCs w:val="13"/>
                <w:color w:val="auto"/>
              </w:rPr>
              <w:t>☐</w:t>
            </w:r>
          </w:p>
        </w:tc>
        <w:tc>
          <w:tcPr>
            <w:tcW w:w="540" w:type="dxa"/>
            <w:vAlign w:val="bottom"/>
          </w:tcPr>
          <w:p>
            <w:pPr>
              <w:ind w:left="220"/>
              <w:spacing w:after="0" w:line="131" w:lineRule="exact"/>
              <w:rPr>
                <w:sz w:val="20"/>
                <w:szCs w:val="20"/>
                <w:color w:val="auto"/>
              </w:rPr>
            </w:pPr>
            <w:r>
              <w:rPr>
                <w:rFonts w:ascii="MS PGothic" w:cs="MS PGothic" w:eastAsia="MS PGothic" w:hAnsi="MS PGothic"/>
                <w:sz w:val="13"/>
                <w:szCs w:val="13"/>
                <w:color w:val="auto"/>
              </w:rPr>
              <w:t>☐</w:t>
            </w:r>
          </w:p>
        </w:tc>
      </w:tr>
      <w:tr>
        <w:trPr>
          <w:trHeight w:val="324"/>
        </w:trPr>
        <w:tc>
          <w:tcPr>
            <w:tcW w:w="560" w:type="dxa"/>
            <w:vAlign w:val="bottom"/>
          </w:tcPr>
          <w:p>
            <w:pPr>
              <w:ind w:left="320"/>
              <w:spacing w:after="0"/>
              <w:rPr>
                <w:sz w:val="20"/>
                <w:szCs w:val="20"/>
                <w:color w:val="auto"/>
              </w:rPr>
            </w:pPr>
            <w:r>
              <w:rPr>
                <w:rFonts w:ascii="Arial" w:cs="Arial" w:eastAsia="Arial" w:hAnsi="Arial"/>
                <w:sz w:val="13"/>
                <w:szCs w:val="13"/>
                <w:color w:val="auto"/>
              </w:rPr>
              <w:t>1e.</w:t>
            </w:r>
          </w:p>
        </w:tc>
        <w:tc>
          <w:tcPr>
            <w:tcW w:w="2300" w:type="dxa"/>
            <w:vAlign w:val="bottom"/>
          </w:tcPr>
          <w:p>
            <w:pPr>
              <w:ind w:left="80"/>
              <w:spacing w:after="0"/>
              <w:rPr>
                <w:sz w:val="20"/>
                <w:szCs w:val="20"/>
                <w:color w:val="auto"/>
              </w:rPr>
            </w:pPr>
            <w:r>
              <w:rPr>
                <w:rFonts w:ascii="Arial" w:cs="Arial" w:eastAsia="Arial" w:hAnsi="Arial"/>
                <w:sz w:val="13"/>
                <w:szCs w:val="13"/>
                <w:color w:val="auto"/>
              </w:rPr>
              <w:t>Harry M.J. Kraemer, Jr.</w:t>
            </w:r>
          </w:p>
        </w:tc>
        <w:tc>
          <w:tcPr>
            <w:tcW w:w="1200" w:type="dxa"/>
            <w:vAlign w:val="bottom"/>
          </w:tcPr>
          <w:p>
            <w:pPr>
              <w:jc w:val="center"/>
              <w:ind w:left="797"/>
              <w:spacing w:after="0" w:line="131" w:lineRule="exact"/>
              <w:rPr>
                <w:sz w:val="20"/>
                <w:szCs w:val="20"/>
                <w:color w:val="auto"/>
              </w:rPr>
            </w:pPr>
            <w:r>
              <w:rPr>
                <w:rFonts w:ascii="MS PGothic" w:cs="MS PGothic" w:eastAsia="MS PGothic" w:hAnsi="MS PGothic"/>
                <w:sz w:val="13"/>
                <w:szCs w:val="13"/>
                <w:color w:val="auto"/>
                <w:w w:val="76"/>
              </w:rPr>
              <w:t>☐</w:t>
            </w:r>
          </w:p>
        </w:tc>
        <w:tc>
          <w:tcPr>
            <w:tcW w:w="620" w:type="dxa"/>
            <w:vAlign w:val="bottom"/>
          </w:tcPr>
          <w:p>
            <w:pPr>
              <w:ind w:left="300"/>
              <w:spacing w:after="0" w:line="131" w:lineRule="exact"/>
              <w:rPr>
                <w:sz w:val="20"/>
                <w:szCs w:val="20"/>
                <w:color w:val="auto"/>
              </w:rPr>
            </w:pPr>
            <w:r>
              <w:rPr>
                <w:rFonts w:ascii="MS PGothic" w:cs="MS PGothic" w:eastAsia="MS PGothic" w:hAnsi="MS PGothic"/>
                <w:sz w:val="13"/>
                <w:szCs w:val="13"/>
                <w:color w:val="auto"/>
              </w:rPr>
              <w:t>☐</w:t>
            </w:r>
          </w:p>
        </w:tc>
        <w:tc>
          <w:tcPr>
            <w:tcW w:w="540" w:type="dxa"/>
            <w:vAlign w:val="bottom"/>
          </w:tcPr>
          <w:p>
            <w:pPr>
              <w:ind w:left="220"/>
              <w:spacing w:after="0" w:line="131" w:lineRule="exact"/>
              <w:rPr>
                <w:sz w:val="20"/>
                <w:szCs w:val="20"/>
                <w:color w:val="auto"/>
              </w:rPr>
            </w:pPr>
            <w:r>
              <w:rPr>
                <w:rFonts w:ascii="MS PGothic" w:cs="MS PGothic" w:eastAsia="MS PGothic" w:hAnsi="MS PGothic"/>
                <w:sz w:val="13"/>
                <w:szCs w:val="13"/>
                <w:color w:val="auto"/>
              </w:rPr>
              <w:t>☐</w:t>
            </w:r>
          </w:p>
        </w:tc>
      </w:tr>
      <w:tr>
        <w:trPr>
          <w:trHeight w:val="324"/>
        </w:trPr>
        <w:tc>
          <w:tcPr>
            <w:tcW w:w="560" w:type="dxa"/>
            <w:vAlign w:val="bottom"/>
          </w:tcPr>
          <w:p>
            <w:pPr>
              <w:ind w:left="320"/>
              <w:spacing w:after="0"/>
              <w:rPr>
                <w:sz w:val="20"/>
                <w:szCs w:val="20"/>
                <w:color w:val="auto"/>
              </w:rPr>
            </w:pPr>
            <w:r>
              <w:rPr>
                <w:rFonts w:ascii="Arial" w:cs="Arial" w:eastAsia="Arial" w:hAnsi="Arial"/>
                <w:sz w:val="13"/>
                <w:szCs w:val="13"/>
                <w:color w:val="auto"/>
              </w:rPr>
              <w:t>1f.</w:t>
            </w:r>
          </w:p>
        </w:tc>
        <w:tc>
          <w:tcPr>
            <w:tcW w:w="2300" w:type="dxa"/>
            <w:vAlign w:val="bottom"/>
          </w:tcPr>
          <w:p>
            <w:pPr>
              <w:ind w:left="80"/>
              <w:spacing w:after="0"/>
              <w:rPr>
                <w:sz w:val="20"/>
                <w:szCs w:val="20"/>
                <w:color w:val="auto"/>
              </w:rPr>
            </w:pPr>
            <w:r>
              <w:rPr>
                <w:rFonts w:ascii="Arial" w:cs="Arial" w:eastAsia="Arial" w:hAnsi="Arial"/>
                <w:sz w:val="13"/>
                <w:szCs w:val="13"/>
                <w:color w:val="auto"/>
              </w:rPr>
              <w:t>Roger A. Krone</w:t>
            </w:r>
          </w:p>
        </w:tc>
        <w:tc>
          <w:tcPr>
            <w:tcW w:w="1200" w:type="dxa"/>
            <w:vAlign w:val="bottom"/>
          </w:tcPr>
          <w:p>
            <w:pPr>
              <w:jc w:val="center"/>
              <w:ind w:left="797"/>
              <w:spacing w:after="0" w:line="131" w:lineRule="exact"/>
              <w:rPr>
                <w:sz w:val="20"/>
                <w:szCs w:val="20"/>
                <w:color w:val="auto"/>
              </w:rPr>
            </w:pPr>
            <w:r>
              <w:rPr>
                <w:rFonts w:ascii="MS PGothic" w:cs="MS PGothic" w:eastAsia="MS PGothic" w:hAnsi="MS PGothic"/>
                <w:sz w:val="13"/>
                <w:szCs w:val="13"/>
                <w:color w:val="auto"/>
                <w:w w:val="76"/>
              </w:rPr>
              <w:t>☐</w:t>
            </w:r>
          </w:p>
        </w:tc>
        <w:tc>
          <w:tcPr>
            <w:tcW w:w="620" w:type="dxa"/>
            <w:vAlign w:val="bottom"/>
          </w:tcPr>
          <w:p>
            <w:pPr>
              <w:ind w:left="300"/>
              <w:spacing w:after="0" w:line="131" w:lineRule="exact"/>
              <w:rPr>
                <w:sz w:val="20"/>
                <w:szCs w:val="20"/>
                <w:color w:val="auto"/>
              </w:rPr>
            </w:pPr>
            <w:r>
              <w:rPr>
                <w:rFonts w:ascii="MS PGothic" w:cs="MS PGothic" w:eastAsia="MS PGothic" w:hAnsi="MS PGothic"/>
                <w:sz w:val="13"/>
                <w:szCs w:val="13"/>
                <w:color w:val="auto"/>
              </w:rPr>
              <w:t>☐</w:t>
            </w:r>
          </w:p>
        </w:tc>
        <w:tc>
          <w:tcPr>
            <w:tcW w:w="540" w:type="dxa"/>
            <w:vAlign w:val="bottom"/>
          </w:tcPr>
          <w:p>
            <w:pPr>
              <w:ind w:left="220"/>
              <w:spacing w:after="0" w:line="131" w:lineRule="exact"/>
              <w:rPr>
                <w:sz w:val="20"/>
                <w:szCs w:val="20"/>
                <w:color w:val="auto"/>
              </w:rPr>
            </w:pPr>
            <w:r>
              <w:rPr>
                <w:rFonts w:ascii="MS PGothic" w:cs="MS PGothic" w:eastAsia="MS PGothic" w:hAnsi="MS PGothic"/>
                <w:sz w:val="13"/>
                <w:szCs w:val="13"/>
                <w:color w:val="auto"/>
              </w:rPr>
              <w:t>☐</w:t>
            </w:r>
          </w:p>
        </w:tc>
      </w:tr>
      <w:tr>
        <w:trPr>
          <w:trHeight w:val="324"/>
        </w:trPr>
        <w:tc>
          <w:tcPr>
            <w:tcW w:w="560" w:type="dxa"/>
            <w:vAlign w:val="bottom"/>
          </w:tcPr>
          <w:p>
            <w:pPr>
              <w:ind w:left="320"/>
              <w:spacing w:after="0"/>
              <w:rPr>
                <w:sz w:val="20"/>
                <w:szCs w:val="20"/>
                <w:color w:val="auto"/>
              </w:rPr>
            </w:pPr>
            <w:r>
              <w:rPr>
                <w:rFonts w:ascii="Arial" w:cs="Arial" w:eastAsia="Arial" w:hAnsi="Arial"/>
                <w:sz w:val="13"/>
                <w:szCs w:val="13"/>
                <w:color w:val="auto"/>
              </w:rPr>
              <w:t>1g.</w:t>
            </w:r>
          </w:p>
        </w:tc>
        <w:tc>
          <w:tcPr>
            <w:tcW w:w="2300" w:type="dxa"/>
            <w:vAlign w:val="bottom"/>
          </w:tcPr>
          <w:p>
            <w:pPr>
              <w:ind w:left="80"/>
              <w:spacing w:after="0"/>
              <w:rPr>
                <w:sz w:val="20"/>
                <w:szCs w:val="20"/>
                <w:color w:val="auto"/>
              </w:rPr>
            </w:pPr>
            <w:r>
              <w:rPr>
                <w:rFonts w:ascii="Arial" w:cs="Arial" w:eastAsia="Arial" w:hAnsi="Arial"/>
                <w:sz w:val="13"/>
                <w:szCs w:val="13"/>
                <w:color w:val="auto"/>
              </w:rPr>
              <w:t>Gary S. May</w:t>
            </w:r>
          </w:p>
        </w:tc>
        <w:tc>
          <w:tcPr>
            <w:tcW w:w="1200" w:type="dxa"/>
            <w:vAlign w:val="bottom"/>
          </w:tcPr>
          <w:p>
            <w:pPr>
              <w:jc w:val="center"/>
              <w:ind w:left="797"/>
              <w:spacing w:after="0" w:line="131" w:lineRule="exact"/>
              <w:rPr>
                <w:sz w:val="20"/>
                <w:szCs w:val="20"/>
                <w:color w:val="auto"/>
              </w:rPr>
            </w:pPr>
            <w:r>
              <w:rPr>
                <w:rFonts w:ascii="MS PGothic" w:cs="MS PGothic" w:eastAsia="MS PGothic" w:hAnsi="MS PGothic"/>
                <w:sz w:val="13"/>
                <w:szCs w:val="13"/>
                <w:color w:val="auto"/>
                <w:w w:val="76"/>
              </w:rPr>
              <w:t>☐</w:t>
            </w:r>
          </w:p>
        </w:tc>
        <w:tc>
          <w:tcPr>
            <w:tcW w:w="620" w:type="dxa"/>
            <w:vAlign w:val="bottom"/>
          </w:tcPr>
          <w:p>
            <w:pPr>
              <w:ind w:left="300"/>
              <w:spacing w:after="0" w:line="131" w:lineRule="exact"/>
              <w:rPr>
                <w:sz w:val="20"/>
                <w:szCs w:val="20"/>
                <w:color w:val="auto"/>
              </w:rPr>
            </w:pPr>
            <w:r>
              <w:rPr>
                <w:rFonts w:ascii="MS PGothic" w:cs="MS PGothic" w:eastAsia="MS PGothic" w:hAnsi="MS PGothic"/>
                <w:sz w:val="13"/>
                <w:szCs w:val="13"/>
                <w:color w:val="auto"/>
              </w:rPr>
              <w:t>☐</w:t>
            </w:r>
          </w:p>
        </w:tc>
        <w:tc>
          <w:tcPr>
            <w:tcW w:w="540" w:type="dxa"/>
            <w:vAlign w:val="bottom"/>
          </w:tcPr>
          <w:p>
            <w:pPr>
              <w:ind w:left="220"/>
              <w:spacing w:after="0" w:line="131" w:lineRule="exact"/>
              <w:rPr>
                <w:sz w:val="20"/>
                <w:szCs w:val="20"/>
                <w:color w:val="auto"/>
              </w:rPr>
            </w:pPr>
            <w:r>
              <w:rPr>
                <w:rFonts w:ascii="MS PGothic" w:cs="MS PGothic" w:eastAsia="MS PGothic" w:hAnsi="MS PGothic"/>
                <w:sz w:val="13"/>
                <w:szCs w:val="13"/>
                <w:color w:val="auto"/>
              </w:rPr>
              <w:t>☐</w:t>
            </w:r>
          </w:p>
        </w:tc>
      </w:tr>
      <w:tr>
        <w:trPr>
          <w:trHeight w:val="324"/>
        </w:trPr>
        <w:tc>
          <w:tcPr>
            <w:tcW w:w="560" w:type="dxa"/>
            <w:vAlign w:val="bottom"/>
          </w:tcPr>
          <w:p>
            <w:pPr>
              <w:ind w:left="320"/>
              <w:spacing w:after="0"/>
              <w:rPr>
                <w:sz w:val="20"/>
                <w:szCs w:val="20"/>
                <w:color w:val="auto"/>
              </w:rPr>
            </w:pPr>
            <w:r>
              <w:rPr>
                <w:rFonts w:ascii="Arial" w:cs="Arial" w:eastAsia="Arial" w:hAnsi="Arial"/>
                <w:sz w:val="13"/>
                <w:szCs w:val="13"/>
                <w:color w:val="auto"/>
              </w:rPr>
              <w:t>1h.</w:t>
            </w:r>
          </w:p>
        </w:tc>
        <w:tc>
          <w:tcPr>
            <w:tcW w:w="2300" w:type="dxa"/>
            <w:vAlign w:val="bottom"/>
          </w:tcPr>
          <w:p>
            <w:pPr>
              <w:ind w:left="80"/>
              <w:spacing w:after="0"/>
              <w:rPr>
                <w:sz w:val="20"/>
                <w:szCs w:val="20"/>
                <w:color w:val="auto"/>
              </w:rPr>
            </w:pPr>
            <w:r>
              <w:rPr>
                <w:rFonts w:ascii="Arial" w:cs="Arial" w:eastAsia="Arial" w:hAnsi="Arial"/>
                <w:sz w:val="13"/>
                <w:szCs w:val="13"/>
                <w:color w:val="auto"/>
              </w:rPr>
              <w:t>Surya N. Mohapatra</w:t>
            </w:r>
          </w:p>
        </w:tc>
        <w:tc>
          <w:tcPr>
            <w:tcW w:w="1200" w:type="dxa"/>
            <w:vAlign w:val="bottom"/>
          </w:tcPr>
          <w:p>
            <w:pPr>
              <w:jc w:val="center"/>
              <w:ind w:left="797"/>
              <w:spacing w:after="0" w:line="131" w:lineRule="exact"/>
              <w:rPr>
                <w:sz w:val="20"/>
                <w:szCs w:val="20"/>
                <w:color w:val="auto"/>
              </w:rPr>
            </w:pPr>
            <w:r>
              <w:rPr>
                <w:rFonts w:ascii="MS PGothic" w:cs="MS PGothic" w:eastAsia="MS PGothic" w:hAnsi="MS PGothic"/>
                <w:sz w:val="13"/>
                <w:szCs w:val="13"/>
                <w:color w:val="auto"/>
                <w:w w:val="76"/>
              </w:rPr>
              <w:t>☐</w:t>
            </w:r>
          </w:p>
        </w:tc>
        <w:tc>
          <w:tcPr>
            <w:tcW w:w="620" w:type="dxa"/>
            <w:vAlign w:val="bottom"/>
          </w:tcPr>
          <w:p>
            <w:pPr>
              <w:ind w:left="300"/>
              <w:spacing w:after="0" w:line="131" w:lineRule="exact"/>
              <w:rPr>
                <w:sz w:val="20"/>
                <w:szCs w:val="20"/>
                <w:color w:val="auto"/>
              </w:rPr>
            </w:pPr>
            <w:r>
              <w:rPr>
                <w:rFonts w:ascii="MS PGothic" w:cs="MS PGothic" w:eastAsia="MS PGothic" w:hAnsi="MS PGothic"/>
                <w:sz w:val="13"/>
                <w:szCs w:val="13"/>
                <w:color w:val="auto"/>
              </w:rPr>
              <w:t>☐</w:t>
            </w:r>
          </w:p>
        </w:tc>
        <w:tc>
          <w:tcPr>
            <w:tcW w:w="540" w:type="dxa"/>
            <w:vAlign w:val="bottom"/>
          </w:tcPr>
          <w:p>
            <w:pPr>
              <w:ind w:left="220"/>
              <w:spacing w:after="0" w:line="131" w:lineRule="exact"/>
              <w:rPr>
                <w:sz w:val="20"/>
                <w:szCs w:val="20"/>
                <w:color w:val="auto"/>
              </w:rPr>
            </w:pPr>
            <w:r>
              <w:rPr>
                <w:rFonts w:ascii="MS PGothic" w:cs="MS PGothic" w:eastAsia="MS PGothic" w:hAnsi="MS PGothic"/>
                <w:sz w:val="13"/>
                <w:szCs w:val="13"/>
                <w:color w:val="auto"/>
              </w:rPr>
              <w:t>☐</w:t>
            </w:r>
          </w:p>
        </w:tc>
      </w:tr>
      <w:tr>
        <w:trPr>
          <w:trHeight w:val="324"/>
        </w:trPr>
        <w:tc>
          <w:tcPr>
            <w:tcW w:w="560" w:type="dxa"/>
            <w:vAlign w:val="bottom"/>
          </w:tcPr>
          <w:p>
            <w:pPr>
              <w:ind w:left="320"/>
              <w:spacing w:after="0"/>
              <w:rPr>
                <w:sz w:val="20"/>
                <w:szCs w:val="20"/>
                <w:color w:val="auto"/>
              </w:rPr>
            </w:pPr>
            <w:r>
              <w:rPr>
                <w:rFonts w:ascii="Arial" w:cs="Arial" w:eastAsia="Arial" w:hAnsi="Arial"/>
                <w:sz w:val="13"/>
                <w:szCs w:val="13"/>
                <w:color w:val="auto"/>
              </w:rPr>
              <w:t>1i.</w:t>
            </w:r>
          </w:p>
        </w:tc>
        <w:tc>
          <w:tcPr>
            <w:tcW w:w="2300" w:type="dxa"/>
            <w:vAlign w:val="bottom"/>
          </w:tcPr>
          <w:p>
            <w:pPr>
              <w:ind w:left="80"/>
              <w:spacing w:after="0"/>
              <w:rPr>
                <w:sz w:val="20"/>
                <w:szCs w:val="20"/>
                <w:color w:val="auto"/>
              </w:rPr>
            </w:pPr>
            <w:r>
              <w:rPr>
                <w:rFonts w:ascii="Arial" w:cs="Arial" w:eastAsia="Arial" w:hAnsi="Arial"/>
                <w:sz w:val="13"/>
                <w:szCs w:val="13"/>
                <w:color w:val="auto"/>
              </w:rPr>
              <w:t>Lawrence C. Nussdorf</w:t>
            </w:r>
          </w:p>
        </w:tc>
        <w:tc>
          <w:tcPr>
            <w:tcW w:w="1200" w:type="dxa"/>
            <w:vAlign w:val="bottom"/>
          </w:tcPr>
          <w:p>
            <w:pPr>
              <w:jc w:val="center"/>
              <w:ind w:left="797"/>
              <w:spacing w:after="0" w:line="131" w:lineRule="exact"/>
              <w:rPr>
                <w:sz w:val="20"/>
                <w:szCs w:val="20"/>
                <w:color w:val="auto"/>
              </w:rPr>
            </w:pPr>
            <w:r>
              <w:rPr>
                <w:rFonts w:ascii="MS PGothic" w:cs="MS PGothic" w:eastAsia="MS PGothic" w:hAnsi="MS PGothic"/>
                <w:sz w:val="13"/>
                <w:szCs w:val="13"/>
                <w:color w:val="auto"/>
                <w:w w:val="76"/>
              </w:rPr>
              <w:t>☐</w:t>
            </w:r>
          </w:p>
        </w:tc>
        <w:tc>
          <w:tcPr>
            <w:tcW w:w="620" w:type="dxa"/>
            <w:vAlign w:val="bottom"/>
          </w:tcPr>
          <w:p>
            <w:pPr>
              <w:ind w:left="300"/>
              <w:spacing w:after="0" w:line="131" w:lineRule="exact"/>
              <w:rPr>
                <w:sz w:val="20"/>
                <w:szCs w:val="20"/>
                <w:color w:val="auto"/>
              </w:rPr>
            </w:pPr>
            <w:r>
              <w:rPr>
                <w:rFonts w:ascii="MS PGothic" w:cs="MS PGothic" w:eastAsia="MS PGothic" w:hAnsi="MS PGothic"/>
                <w:sz w:val="13"/>
                <w:szCs w:val="13"/>
                <w:color w:val="auto"/>
              </w:rPr>
              <w:t>☐</w:t>
            </w:r>
          </w:p>
        </w:tc>
        <w:tc>
          <w:tcPr>
            <w:tcW w:w="540" w:type="dxa"/>
            <w:vAlign w:val="bottom"/>
          </w:tcPr>
          <w:p>
            <w:pPr>
              <w:ind w:left="220"/>
              <w:spacing w:after="0" w:line="131" w:lineRule="exact"/>
              <w:rPr>
                <w:sz w:val="20"/>
                <w:szCs w:val="20"/>
                <w:color w:val="auto"/>
              </w:rPr>
            </w:pPr>
            <w:r>
              <w:rPr>
                <w:rFonts w:ascii="MS PGothic" w:cs="MS PGothic" w:eastAsia="MS PGothic" w:hAnsi="MS PGothic"/>
                <w:sz w:val="13"/>
                <w:szCs w:val="13"/>
                <w:color w:val="auto"/>
              </w:rPr>
              <w:t>☐</w:t>
            </w:r>
          </w:p>
        </w:tc>
      </w:tr>
      <w:tr>
        <w:trPr>
          <w:trHeight w:val="324"/>
        </w:trPr>
        <w:tc>
          <w:tcPr>
            <w:tcW w:w="560" w:type="dxa"/>
            <w:vAlign w:val="bottom"/>
          </w:tcPr>
          <w:p>
            <w:pPr>
              <w:ind w:left="320"/>
              <w:spacing w:after="0"/>
              <w:rPr>
                <w:sz w:val="20"/>
                <w:szCs w:val="20"/>
                <w:color w:val="auto"/>
              </w:rPr>
            </w:pPr>
            <w:r>
              <w:rPr>
                <w:rFonts w:ascii="Arial" w:cs="Arial" w:eastAsia="Arial" w:hAnsi="Arial"/>
                <w:sz w:val="13"/>
                <w:szCs w:val="13"/>
                <w:color w:val="auto"/>
              </w:rPr>
              <w:t>1j.</w:t>
            </w:r>
          </w:p>
        </w:tc>
        <w:tc>
          <w:tcPr>
            <w:tcW w:w="2300" w:type="dxa"/>
            <w:vAlign w:val="bottom"/>
          </w:tcPr>
          <w:p>
            <w:pPr>
              <w:ind w:left="80"/>
              <w:spacing w:after="0"/>
              <w:rPr>
                <w:sz w:val="20"/>
                <w:szCs w:val="20"/>
                <w:color w:val="auto"/>
              </w:rPr>
            </w:pPr>
            <w:r>
              <w:rPr>
                <w:rFonts w:ascii="Arial" w:cs="Arial" w:eastAsia="Arial" w:hAnsi="Arial"/>
                <w:sz w:val="13"/>
                <w:szCs w:val="13"/>
                <w:color w:val="auto"/>
              </w:rPr>
              <w:t>Robert S. Shapard</w:t>
            </w:r>
          </w:p>
        </w:tc>
        <w:tc>
          <w:tcPr>
            <w:tcW w:w="1200" w:type="dxa"/>
            <w:vAlign w:val="bottom"/>
          </w:tcPr>
          <w:p>
            <w:pPr>
              <w:jc w:val="center"/>
              <w:ind w:left="797"/>
              <w:spacing w:after="0" w:line="131" w:lineRule="exact"/>
              <w:rPr>
                <w:sz w:val="20"/>
                <w:szCs w:val="20"/>
                <w:color w:val="auto"/>
              </w:rPr>
            </w:pPr>
            <w:r>
              <w:rPr>
                <w:rFonts w:ascii="MS PGothic" w:cs="MS PGothic" w:eastAsia="MS PGothic" w:hAnsi="MS PGothic"/>
                <w:sz w:val="13"/>
                <w:szCs w:val="13"/>
                <w:color w:val="auto"/>
                <w:w w:val="76"/>
              </w:rPr>
              <w:t>☐</w:t>
            </w:r>
          </w:p>
        </w:tc>
        <w:tc>
          <w:tcPr>
            <w:tcW w:w="620" w:type="dxa"/>
            <w:vAlign w:val="bottom"/>
          </w:tcPr>
          <w:p>
            <w:pPr>
              <w:ind w:left="300"/>
              <w:spacing w:after="0" w:line="131" w:lineRule="exact"/>
              <w:rPr>
                <w:sz w:val="20"/>
                <w:szCs w:val="20"/>
                <w:color w:val="auto"/>
              </w:rPr>
            </w:pPr>
            <w:r>
              <w:rPr>
                <w:rFonts w:ascii="MS PGothic" w:cs="MS PGothic" w:eastAsia="MS PGothic" w:hAnsi="MS PGothic"/>
                <w:sz w:val="13"/>
                <w:szCs w:val="13"/>
                <w:color w:val="auto"/>
              </w:rPr>
              <w:t>☐</w:t>
            </w:r>
          </w:p>
        </w:tc>
        <w:tc>
          <w:tcPr>
            <w:tcW w:w="540" w:type="dxa"/>
            <w:vAlign w:val="bottom"/>
          </w:tcPr>
          <w:p>
            <w:pPr>
              <w:ind w:left="220"/>
              <w:spacing w:after="0" w:line="131" w:lineRule="exact"/>
              <w:rPr>
                <w:sz w:val="20"/>
                <w:szCs w:val="20"/>
                <w:color w:val="auto"/>
              </w:rPr>
            </w:pPr>
            <w:r>
              <w:rPr>
                <w:rFonts w:ascii="MS PGothic" w:cs="MS PGothic" w:eastAsia="MS PGothic" w:hAnsi="MS PGothic"/>
                <w:sz w:val="13"/>
                <w:szCs w:val="13"/>
                <w:color w:val="auto"/>
              </w:rPr>
              <w:t>☐</w:t>
            </w:r>
          </w:p>
        </w:tc>
      </w:tr>
      <w:tr>
        <w:trPr>
          <w:trHeight w:val="324"/>
        </w:trPr>
        <w:tc>
          <w:tcPr>
            <w:tcW w:w="560" w:type="dxa"/>
            <w:vAlign w:val="bottom"/>
          </w:tcPr>
          <w:p>
            <w:pPr>
              <w:ind w:left="320"/>
              <w:spacing w:after="0"/>
              <w:rPr>
                <w:sz w:val="20"/>
                <w:szCs w:val="20"/>
                <w:color w:val="auto"/>
              </w:rPr>
            </w:pPr>
            <w:r>
              <w:rPr>
                <w:rFonts w:ascii="Arial" w:cs="Arial" w:eastAsia="Arial" w:hAnsi="Arial"/>
                <w:sz w:val="13"/>
                <w:szCs w:val="13"/>
                <w:color w:val="auto"/>
              </w:rPr>
              <w:t>1k.</w:t>
            </w:r>
          </w:p>
        </w:tc>
        <w:tc>
          <w:tcPr>
            <w:tcW w:w="2300" w:type="dxa"/>
            <w:vAlign w:val="bottom"/>
          </w:tcPr>
          <w:p>
            <w:pPr>
              <w:ind w:left="80"/>
              <w:spacing w:after="0"/>
              <w:rPr>
                <w:sz w:val="20"/>
                <w:szCs w:val="20"/>
                <w:color w:val="auto"/>
              </w:rPr>
            </w:pPr>
            <w:r>
              <w:rPr>
                <w:rFonts w:ascii="Arial" w:cs="Arial" w:eastAsia="Arial" w:hAnsi="Arial"/>
                <w:sz w:val="13"/>
                <w:szCs w:val="13"/>
                <w:color w:val="auto"/>
              </w:rPr>
              <w:t>Susan M. Stalnecker</w:t>
            </w:r>
          </w:p>
        </w:tc>
        <w:tc>
          <w:tcPr>
            <w:tcW w:w="1200" w:type="dxa"/>
            <w:vAlign w:val="bottom"/>
          </w:tcPr>
          <w:p>
            <w:pPr>
              <w:jc w:val="center"/>
              <w:ind w:left="797"/>
              <w:spacing w:after="0" w:line="131" w:lineRule="exact"/>
              <w:rPr>
                <w:sz w:val="20"/>
                <w:szCs w:val="20"/>
                <w:color w:val="auto"/>
              </w:rPr>
            </w:pPr>
            <w:r>
              <w:rPr>
                <w:rFonts w:ascii="MS PGothic" w:cs="MS PGothic" w:eastAsia="MS PGothic" w:hAnsi="MS PGothic"/>
                <w:sz w:val="13"/>
                <w:szCs w:val="13"/>
                <w:color w:val="auto"/>
                <w:w w:val="76"/>
              </w:rPr>
              <w:t>☐</w:t>
            </w:r>
          </w:p>
        </w:tc>
        <w:tc>
          <w:tcPr>
            <w:tcW w:w="620" w:type="dxa"/>
            <w:vAlign w:val="bottom"/>
          </w:tcPr>
          <w:p>
            <w:pPr>
              <w:ind w:left="300"/>
              <w:spacing w:after="0" w:line="131" w:lineRule="exact"/>
              <w:rPr>
                <w:sz w:val="20"/>
                <w:szCs w:val="20"/>
                <w:color w:val="auto"/>
              </w:rPr>
            </w:pPr>
            <w:r>
              <w:rPr>
                <w:rFonts w:ascii="MS PGothic" w:cs="MS PGothic" w:eastAsia="MS PGothic" w:hAnsi="MS PGothic"/>
                <w:sz w:val="13"/>
                <w:szCs w:val="13"/>
                <w:color w:val="auto"/>
              </w:rPr>
              <w:t>☐</w:t>
            </w:r>
          </w:p>
        </w:tc>
        <w:tc>
          <w:tcPr>
            <w:tcW w:w="540" w:type="dxa"/>
            <w:vAlign w:val="bottom"/>
          </w:tcPr>
          <w:p>
            <w:pPr>
              <w:ind w:left="220"/>
              <w:spacing w:after="0" w:line="131" w:lineRule="exact"/>
              <w:rPr>
                <w:sz w:val="20"/>
                <w:szCs w:val="20"/>
                <w:color w:val="auto"/>
              </w:rPr>
            </w:pPr>
            <w:r>
              <w:rPr>
                <w:rFonts w:ascii="MS PGothic" w:cs="MS PGothic" w:eastAsia="MS PGothic" w:hAnsi="MS PGothic"/>
                <w:sz w:val="13"/>
                <w:szCs w:val="13"/>
                <w:color w:val="auto"/>
              </w:rPr>
              <w:t>☐</w:t>
            </w:r>
          </w:p>
        </w:tc>
      </w:tr>
      <w:tr>
        <w:trPr>
          <w:trHeight w:val="324"/>
        </w:trPr>
        <w:tc>
          <w:tcPr>
            <w:tcW w:w="560" w:type="dxa"/>
            <w:vAlign w:val="bottom"/>
          </w:tcPr>
          <w:p>
            <w:pPr>
              <w:ind w:left="320"/>
              <w:spacing w:after="0"/>
              <w:rPr>
                <w:sz w:val="20"/>
                <w:szCs w:val="20"/>
                <w:color w:val="auto"/>
              </w:rPr>
            </w:pPr>
            <w:r>
              <w:rPr>
                <w:rFonts w:ascii="Arial" w:cs="Arial" w:eastAsia="Arial" w:hAnsi="Arial"/>
                <w:sz w:val="13"/>
                <w:szCs w:val="13"/>
                <w:color w:val="auto"/>
              </w:rPr>
              <w:t>1l.</w:t>
            </w:r>
          </w:p>
        </w:tc>
        <w:tc>
          <w:tcPr>
            <w:tcW w:w="2300" w:type="dxa"/>
            <w:vAlign w:val="bottom"/>
          </w:tcPr>
          <w:p>
            <w:pPr>
              <w:ind w:left="80"/>
              <w:spacing w:after="0"/>
              <w:rPr>
                <w:sz w:val="20"/>
                <w:szCs w:val="20"/>
                <w:color w:val="auto"/>
              </w:rPr>
            </w:pPr>
            <w:r>
              <w:rPr>
                <w:rFonts w:ascii="Arial" w:cs="Arial" w:eastAsia="Arial" w:hAnsi="Arial"/>
                <w:sz w:val="13"/>
                <w:szCs w:val="13"/>
                <w:color w:val="auto"/>
              </w:rPr>
              <w:t>Noel B. Williams</w:t>
            </w:r>
          </w:p>
        </w:tc>
        <w:tc>
          <w:tcPr>
            <w:tcW w:w="1200" w:type="dxa"/>
            <w:vAlign w:val="bottom"/>
          </w:tcPr>
          <w:p>
            <w:pPr>
              <w:jc w:val="center"/>
              <w:ind w:left="797"/>
              <w:spacing w:after="0" w:line="131" w:lineRule="exact"/>
              <w:rPr>
                <w:sz w:val="20"/>
                <w:szCs w:val="20"/>
                <w:color w:val="auto"/>
              </w:rPr>
            </w:pPr>
            <w:r>
              <w:rPr>
                <w:rFonts w:ascii="MS PGothic" w:cs="MS PGothic" w:eastAsia="MS PGothic" w:hAnsi="MS PGothic"/>
                <w:sz w:val="13"/>
                <w:szCs w:val="13"/>
                <w:color w:val="auto"/>
                <w:w w:val="76"/>
              </w:rPr>
              <w:t>☐</w:t>
            </w:r>
          </w:p>
        </w:tc>
        <w:tc>
          <w:tcPr>
            <w:tcW w:w="620" w:type="dxa"/>
            <w:vAlign w:val="bottom"/>
          </w:tcPr>
          <w:p>
            <w:pPr>
              <w:ind w:left="300"/>
              <w:spacing w:after="0" w:line="131" w:lineRule="exact"/>
              <w:rPr>
                <w:sz w:val="20"/>
                <w:szCs w:val="20"/>
                <w:color w:val="auto"/>
              </w:rPr>
            </w:pPr>
            <w:r>
              <w:rPr>
                <w:rFonts w:ascii="MS PGothic" w:cs="MS PGothic" w:eastAsia="MS PGothic" w:hAnsi="MS PGothic"/>
                <w:sz w:val="13"/>
                <w:szCs w:val="13"/>
                <w:color w:val="auto"/>
              </w:rPr>
              <w:t>☐</w:t>
            </w:r>
          </w:p>
        </w:tc>
        <w:tc>
          <w:tcPr>
            <w:tcW w:w="540" w:type="dxa"/>
            <w:vAlign w:val="bottom"/>
          </w:tcPr>
          <w:p>
            <w:pPr>
              <w:ind w:left="220"/>
              <w:spacing w:after="0" w:line="131" w:lineRule="exact"/>
              <w:rPr>
                <w:sz w:val="20"/>
                <w:szCs w:val="20"/>
                <w:color w:val="auto"/>
              </w:rPr>
            </w:pPr>
            <w:r>
              <w:rPr>
                <w:rFonts w:ascii="MS PGothic" w:cs="MS PGothic" w:eastAsia="MS PGothic" w:hAnsi="MS PGothic"/>
                <w:sz w:val="13"/>
                <w:szCs w:val="13"/>
                <w:color w:val="auto"/>
              </w:rPr>
              <w:t>☐</w:t>
            </w:r>
          </w:p>
        </w:tc>
      </w:tr>
    </w:tbl>
    <w:p>
      <w:pPr>
        <w:spacing w:after="0" w:line="88" w:lineRule="exact"/>
        <w:rPr>
          <w:sz w:val="20"/>
          <w:szCs w:val="20"/>
          <w:color w:val="auto"/>
        </w:rPr>
      </w:pPr>
    </w:p>
    <w:p>
      <w:pPr>
        <w:jc w:val="both"/>
        <w:ind w:left="260" w:right="1640"/>
        <w:spacing w:after="0" w:line="246" w:lineRule="auto"/>
        <w:rPr>
          <w:sz w:val="20"/>
          <w:szCs w:val="20"/>
          <w:color w:val="auto"/>
        </w:rPr>
      </w:pPr>
      <w:r>
        <w:rPr>
          <w:rFonts w:ascii="Arial" w:cs="Arial" w:eastAsia="Arial" w:hAnsi="Arial"/>
          <w:sz w:val="13"/>
          <w:szCs w:val="13"/>
          <w:b w:val="1"/>
          <w:bCs w:val="1"/>
          <w:color w:val="auto"/>
        </w:rPr>
        <w:t>Please complete, date, sign and mail promptly in the enclosed envelope which requires no postage.</w:t>
      </w:r>
    </w:p>
    <w:p>
      <w:pPr>
        <w:spacing w:after="0" w:line="115" w:lineRule="exact"/>
        <w:rPr>
          <w:sz w:val="20"/>
          <w:szCs w:val="20"/>
          <w:color w:val="auto"/>
        </w:rPr>
      </w:pPr>
    </w:p>
    <w:p>
      <w:pPr>
        <w:jc w:val="both"/>
        <w:ind w:left="260" w:right="1640"/>
        <w:spacing w:after="0" w:line="222" w:lineRule="auto"/>
        <w:rPr>
          <w:sz w:val="20"/>
          <w:szCs w:val="20"/>
          <w:color w:val="auto"/>
        </w:rPr>
      </w:pPr>
      <w:r>
        <w:rPr>
          <w:rFonts w:ascii="Arial" w:cs="Arial" w:eastAsia="Arial" w:hAnsi="Arial"/>
          <w:sz w:val="13"/>
          <w:szCs w:val="13"/>
          <w:color w:val="auto"/>
        </w:rPr>
        <w:t>Please sign EXACTLY as name or names appear(s) hereon. When signing as attorney, executor, trustee, administrator or guardian, please give your full title. If a trust requires the signature of more than one trustee, all required trustees must sign.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3780" w:type="dxa"/>
            <w:vAlign w:val="bottom"/>
            <w:gridSpan w:val="3"/>
          </w:tcPr>
          <w:p>
            <w:pPr>
              <w:spacing w:after="0"/>
              <w:rPr>
                <w:sz w:val="20"/>
                <w:szCs w:val="20"/>
                <w:color w:val="auto"/>
              </w:rPr>
            </w:pPr>
            <w:r>
              <w:rPr>
                <w:rFonts w:ascii="Arial" w:cs="Arial" w:eastAsia="Arial" w:hAnsi="Arial"/>
                <w:sz w:val="13"/>
                <w:szCs w:val="13"/>
                <w:b w:val="1"/>
                <w:bCs w:val="1"/>
                <w:color w:val="auto"/>
                <w:w w:val="98"/>
              </w:rPr>
              <w:t>VOTE ON PROPOSAL 2 - The Board of Directors recommends</w:t>
            </w:r>
          </w:p>
        </w:tc>
        <w:tc>
          <w:tcPr>
            <w:tcW w:w="460" w:type="dxa"/>
            <w:vAlign w:val="bottom"/>
          </w:tcPr>
          <w:p>
            <w:pPr>
              <w:ind w:left="180"/>
              <w:spacing w:after="0"/>
              <w:rPr>
                <w:sz w:val="20"/>
                <w:szCs w:val="20"/>
                <w:color w:val="auto"/>
              </w:rPr>
            </w:pPr>
            <w:r>
              <w:rPr>
                <w:rFonts w:ascii="Arial" w:cs="Arial" w:eastAsia="Arial" w:hAnsi="Arial"/>
                <w:sz w:val="13"/>
                <w:szCs w:val="13"/>
                <w:b w:val="1"/>
                <w:bCs w:val="1"/>
                <w:color w:val="auto"/>
              </w:rPr>
              <w:t>For</w:t>
            </w:r>
          </w:p>
        </w:tc>
        <w:tc>
          <w:tcPr>
            <w:tcW w:w="640" w:type="dxa"/>
            <w:vAlign w:val="bottom"/>
          </w:tcPr>
          <w:p>
            <w:pPr>
              <w:ind w:left="100"/>
              <w:spacing w:after="0"/>
              <w:rPr>
                <w:sz w:val="20"/>
                <w:szCs w:val="20"/>
                <w:color w:val="auto"/>
              </w:rPr>
            </w:pPr>
            <w:r>
              <w:rPr>
                <w:rFonts w:ascii="Arial" w:cs="Arial" w:eastAsia="Arial" w:hAnsi="Arial"/>
                <w:sz w:val="13"/>
                <w:szCs w:val="13"/>
                <w:b w:val="1"/>
                <w:bCs w:val="1"/>
                <w:color w:val="auto"/>
              </w:rPr>
              <w:t>Against</w:t>
            </w:r>
          </w:p>
        </w:tc>
        <w:tc>
          <w:tcPr>
            <w:tcW w:w="560" w:type="dxa"/>
            <w:vAlign w:val="bottom"/>
          </w:tcPr>
          <w:p>
            <w:pPr>
              <w:ind w:left="100"/>
              <w:spacing w:after="0"/>
              <w:rPr>
                <w:sz w:val="20"/>
                <w:szCs w:val="20"/>
                <w:color w:val="auto"/>
              </w:rPr>
            </w:pPr>
            <w:r>
              <w:rPr>
                <w:rFonts w:ascii="Arial" w:cs="Arial" w:eastAsia="Arial" w:hAnsi="Arial"/>
                <w:sz w:val="13"/>
                <w:szCs w:val="13"/>
                <w:b w:val="1"/>
                <w:bCs w:val="1"/>
                <w:color w:val="auto"/>
                <w:w w:val="92"/>
              </w:rPr>
              <w:t>Abstain</w:t>
            </w:r>
          </w:p>
        </w:tc>
        <w:tc>
          <w:tcPr>
            <w:tcW w:w="0" w:type="dxa"/>
            <w:vAlign w:val="bottom"/>
          </w:tcPr>
          <w:p>
            <w:pPr>
              <w:spacing w:after="0"/>
              <w:rPr>
                <w:sz w:val="1"/>
                <w:szCs w:val="1"/>
                <w:color w:val="auto"/>
              </w:rPr>
            </w:pPr>
          </w:p>
        </w:tc>
      </w:tr>
      <w:tr>
        <w:trPr>
          <w:trHeight w:val="168"/>
        </w:trPr>
        <w:tc>
          <w:tcPr>
            <w:tcW w:w="3300" w:type="dxa"/>
            <w:vAlign w:val="bottom"/>
            <w:gridSpan w:val="2"/>
          </w:tcPr>
          <w:p>
            <w:pPr>
              <w:spacing w:after="0"/>
              <w:rPr>
                <w:sz w:val="20"/>
                <w:szCs w:val="20"/>
                <w:color w:val="auto"/>
              </w:rPr>
            </w:pPr>
            <w:r>
              <w:rPr>
                <w:rFonts w:ascii="Arial" w:cs="Arial" w:eastAsia="Arial" w:hAnsi="Arial"/>
                <w:sz w:val="13"/>
                <w:szCs w:val="13"/>
                <w:b w:val="1"/>
                <w:bCs w:val="1"/>
                <w:color w:val="auto"/>
              </w:rPr>
              <w:t>a vote FOR proposal 2.</w:t>
            </w:r>
          </w:p>
        </w:tc>
        <w:tc>
          <w:tcPr>
            <w:tcW w:w="4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0"/>
        </w:trPr>
        <w:tc>
          <w:tcPr>
            <w:tcW w:w="240" w:type="dxa"/>
            <w:vAlign w:val="bottom"/>
          </w:tcPr>
          <w:p>
            <w:pPr>
              <w:spacing w:after="0"/>
              <w:rPr>
                <w:sz w:val="20"/>
                <w:szCs w:val="20"/>
                <w:color w:val="auto"/>
              </w:rPr>
            </w:pPr>
            <w:r>
              <w:rPr>
                <w:rFonts w:ascii="Arial" w:cs="Arial" w:eastAsia="Arial" w:hAnsi="Arial"/>
                <w:sz w:val="13"/>
                <w:szCs w:val="13"/>
                <w:b w:val="1"/>
                <w:bCs w:val="1"/>
                <w:color w:val="auto"/>
              </w:rPr>
              <w:t>2.</w:t>
            </w:r>
          </w:p>
        </w:tc>
        <w:tc>
          <w:tcPr>
            <w:tcW w:w="3540" w:type="dxa"/>
            <w:vAlign w:val="bottom"/>
            <w:gridSpan w:val="2"/>
          </w:tcPr>
          <w:p>
            <w:pPr>
              <w:ind w:left="120"/>
              <w:spacing w:after="0"/>
              <w:rPr>
                <w:sz w:val="20"/>
                <w:szCs w:val="20"/>
                <w:color w:val="auto"/>
              </w:rPr>
            </w:pPr>
            <w:r>
              <w:rPr>
                <w:rFonts w:ascii="Arial" w:cs="Arial" w:eastAsia="Arial" w:hAnsi="Arial"/>
                <w:sz w:val="13"/>
                <w:szCs w:val="13"/>
                <w:color w:val="auto"/>
              </w:rPr>
              <w:t>Approve, by an advisory vote, executive compensation.</w:t>
            </w:r>
          </w:p>
        </w:tc>
        <w:tc>
          <w:tcPr>
            <w:tcW w:w="460" w:type="dxa"/>
            <w:vAlign w:val="bottom"/>
            <w:vMerge w:val="restart"/>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640" w:type="dxa"/>
            <w:vAlign w:val="bottom"/>
            <w:vMerge w:val="restart"/>
          </w:tcPr>
          <w:p>
            <w:pPr>
              <w:ind w:left="280"/>
              <w:spacing w:after="0" w:line="181" w:lineRule="exact"/>
              <w:rPr>
                <w:sz w:val="20"/>
                <w:szCs w:val="20"/>
                <w:color w:val="auto"/>
              </w:rPr>
            </w:pPr>
            <w:r>
              <w:rPr>
                <w:rFonts w:ascii="MS PGothic" w:cs="MS PGothic" w:eastAsia="MS PGothic" w:hAnsi="MS PGothic"/>
                <w:sz w:val="18"/>
                <w:szCs w:val="18"/>
                <w:color w:val="auto"/>
              </w:rPr>
              <w:t>☐</w:t>
            </w:r>
          </w:p>
        </w:tc>
        <w:tc>
          <w:tcPr>
            <w:tcW w:w="560" w:type="dxa"/>
            <w:vAlign w:val="bottom"/>
            <w:vMerge w:val="restart"/>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90"/>
        </w:trPr>
        <w:tc>
          <w:tcPr>
            <w:tcW w:w="240" w:type="dxa"/>
            <w:vAlign w:val="bottom"/>
          </w:tcPr>
          <w:p>
            <w:pPr>
              <w:spacing w:after="0"/>
              <w:rPr>
                <w:sz w:val="7"/>
                <w:szCs w:val="7"/>
                <w:color w:val="auto"/>
              </w:rPr>
            </w:pPr>
          </w:p>
        </w:tc>
        <w:tc>
          <w:tcPr>
            <w:tcW w:w="3060" w:type="dxa"/>
            <w:vAlign w:val="bottom"/>
          </w:tcPr>
          <w:p>
            <w:pPr>
              <w:spacing w:after="0"/>
              <w:rPr>
                <w:sz w:val="7"/>
                <w:szCs w:val="7"/>
                <w:color w:val="auto"/>
              </w:rPr>
            </w:pPr>
          </w:p>
        </w:tc>
        <w:tc>
          <w:tcPr>
            <w:tcW w:w="480" w:type="dxa"/>
            <w:vAlign w:val="bottom"/>
          </w:tcPr>
          <w:p>
            <w:pPr>
              <w:spacing w:after="0"/>
              <w:rPr>
                <w:sz w:val="7"/>
                <w:szCs w:val="7"/>
                <w:color w:val="auto"/>
              </w:rPr>
            </w:pPr>
          </w:p>
        </w:tc>
        <w:tc>
          <w:tcPr>
            <w:tcW w:w="460" w:type="dxa"/>
            <w:vAlign w:val="bottom"/>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50"/>
        </w:trPr>
        <w:tc>
          <w:tcPr>
            <w:tcW w:w="3300" w:type="dxa"/>
            <w:vAlign w:val="bottom"/>
            <w:gridSpan w:val="2"/>
          </w:tcPr>
          <w:p>
            <w:pPr>
              <w:spacing w:after="0"/>
              <w:rPr>
                <w:sz w:val="20"/>
                <w:szCs w:val="20"/>
                <w:color w:val="auto"/>
              </w:rPr>
            </w:pPr>
            <w:r>
              <w:rPr>
                <w:rFonts w:ascii="Arial" w:cs="Arial" w:eastAsia="Arial" w:hAnsi="Arial"/>
                <w:sz w:val="13"/>
                <w:szCs w:val="13"/>
                <w:b w:val="1"/>
                <w:bCs w:val="1"/>
                <w:color w:val="auto"/>
              </w:rPr>
              <w:t>VOTE ON PROPOSAL 3 - The Board of Directors</w:t>
            </w:r>
          </w:p>
        </w:tc>
        <w:tc>
          <w:tcPr>
            <w:tcW w:w="480" w:type="dxa"/>
            <w:vAlign w:val="bottom"/>
          </w:tcPr>
          <w:p>
            <w:pPr>
              <w:spacing w:after="0"/>
              <w:rPr>
                <w:sz w:val="24"/>
                <w:szCs w:val="24"/>
                <w:color w:val="auto"/>
              </w:rPr>
            </w:pPr>
          </w:p>
        </w:tc>
        <w:tc>
          <w:tcPr>
            <w:tcW w:w="460" w:type="dxa"/>
            <w:vAlign w:val="bottom"/>
          </w:tcPr>
          <w:p>
            <w:pPr>
              <w:jc w:val="center"/>
              <w:spacing w:after="0"/>
              <w:rPr>
                <w:sz w:val="20"/>
                <w:szCs w:val="20"/>
                <w:color w:val="auto"/>
              </w:rPr>
            </w:pPr>
            <w:r>
              <w:rPr>
                <w:rFonts w:ascii="Arial" w:cs="Arial" w:eastAsia="Arial" w:hAnsi="Arial"/>
                <w:sz w:val="13"/>
                <w:szCs w:val="13"/>
                <w:b w:val="1"/>
                <w:bCs w:val="1"/>
                <w:color w:val="auto"/>
                <w:w w:val="95"/>
              </w:rPr>
              <w:t>Every</w:t>
            </w:r>
          </w:p>
        </w:tc>
        <w:tc>
          <w:tcPr>
            <w:tcW w:w="640" w:type="dxa"/>
            <w:vAlign w:val="bottom"/>
          </w:tcPr>
          <w:p>
            <w:pPr>
              <w:jc w:val="center"/>
              <w:spacing w:after="0"/>
              <w:rPr>
                <w:sz w:val="20"/>
                <w:szCs w:val="20"/>
                <w:color w:val="auto"/>
              </w:rPr>
            </w:pPr>
            <w:r>
              <w:rPr>
                <w:rFonts w:ascii="Arial" w:cs="Arial" w:eastAsia="Arial" w:hAnsi="Arial"/>
                <w:sz w:val="13"/>
                <w:szCs w:val="13"/>
                <w:b w:val="1"/>
                <w:bCs w:val="1"/>
                <w:color w:val="auto"/>
                <w:w w:val="95"/>
              </w:rPr>
              <w:t>Every</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3780" w:type="dxa"/>
            <w:vAlign w:val="bottom"/>
            <w:gridSpan w:val="3"/>
          </w:tcPr>
          <w:p>
            <w:pPr>
              <w:spacing w:after="0" w:line="144" w:lineRule="exact"/>
              <w:rPr>
                <w:sz w:val="20"/>
                <w:szCs w:val="20"/>
                <w:color w:val="auto"/>
              </w:rPr>
            </w:pPr>
            <w:r>
              <w:rPr>
                <w:rFonts w:ascii="Arial" w:cs="Arial" w:eastAsia="Arial" w:hAnsi="Arial"/>
                <w:sz w:val="13"/>
                <w:szCs w:val="13"/>
                <w:b w:val="1"/>
                <w:bCs w:val="1"/>
                <w:color w:val="auto"/>
                <w:w w:val="99"/>
              </w:rPr>
              <w:t>recommends a vote FOR EVERY YEAR on proposal 3.   Every</w:t>
            </w:r>
          </w:p>
        </w:tc>
        <w:tc>
          <w:tcPr>
            <w:tcW w:w="46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2"/>
              </w:rPr>
              <w:t>Two</w:t>
            </w:r>
          </w:p>
        </w:tc>
        <w:tc>
          <w:tcPr>
            <w:tcW w:w="64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5"/>
              </w:rPr>
              <w:t>Three</w:t>
            </w: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40" w:type="dxa"/>
            <w:vAlign w:val="bottom"/>
          </w:tcPr>
          <w:p>
            <w:pPr>
              <w:spacing w:after="0"/>
              <w:rPr>
                <w:sz w:val="15"/>
                <w:szCs w:val="15"/>
                <w:color w:val="auto"/>
              </w:rPr>
            </w:pPr>
          </w:p>
        </w:tc>
        <w:tc>
          <w:tcPr>
            <w:tcW w:w="3060" w:type="dxa"/>
            <w:vAlign w:val="bottom"/>
          </w:tcPr>
          <w:p>
            <w:pPr>
              <w:spacing w:after="0"/>
              <w:rPr>
                <w:sz w:val="15"/>
                <w:szCs w:val="15"/>
                <w:color w:val="auto"/>
              </w:rPr>
            </w:pPr>
          </w:p>
        </w:tc>
        <w:tc>
          <w:tcPr>
            <w:tcW w:w="480" w:type="dxa"/>
            <w:vAlign w:val="bottom"/>
          </w:tcPr>
          <w:p>
            <w:pPr>
              <w:ind w:left="140"/>
              <w:spacing w:after="0"/>
              <w:rPr>
                <w:sz w:val="20"/>
                <w:szCs w:val="20"/>
                <w:color w:val="auto"/>
              </w:rPr>
            </w:pPr>
            <w:r>
              <w:rPr>
                <w:rFonts w:ascii="Arial" w:cs="Arial" w:eastAsia="Arial" w:hAnsi="Arial"/>
                <w:sz w:val="13"/>
                <w:szCs w:val="13"/>
                <w:b w:val="1"/>
                <w:bCs w:val="1"/>
                <w:color w:val="auto"/>
              </w:rPr>
              <w:t>Year</w:t>
            </w:r>
          </w:p>
        </w:tc>
        <w:tc>
          <w:tcPr>
            <w:tcW w:w="460" w:type="dxa"/>
            <w:vAlign w:val="bottom"/>
          </w:tcPr>
          <w:p>
            <w:pPr>
              <w:jc w:val="center"/>
              <w:spacing w:after="0"/>
              <w:rPr>
                <w:sz w:val="20"/>
                <w:szCs w:val="20"/>
                <w:color w:val="auto"/>
              </w:rPr>
            </w:pPr>
            <w:r>
              <w:rPr>
                <w:rFonts w:ascii="Arial" w:cs="Arial" w:eastAsia="Arial" w:hAnsi="Arial"/>
                <w:sz w:val="13"/>
                <w:szCs w:val="13"/>
                <w:b w:val="1"/>
                <w:bCs w:val="1"/>
                <w:color w:val="auto"/>
                <w:w w:val="95"/>
              </w:rPr>
              <w:t>Years</w:t>
            </w:r>
          </w:p>
        </w:tc>
        <w:tc>
          <w:tcPr>
            <w:tcW w:w="640" w:type="dxa"/>
            <w:vAlign w:val="bottom"/>
          </w:tcPr>
          <w:p>
            <w:pPr>
              <w:jc w:val="center"/>
              <w:spacing w:after="0"/>
              <w:rPr>
                <w:sz w:val="20"/>
                <w:szCs w:val="20"/>
                <w:color w:val="auto"/>
              </w:rPr>
            </w:pPr>
            <w:r>
              <w:rPr>
                <w:rFonts w:ascii="Arial" w:cs="Arial" w:eastAsia="Arial" w:hAnsi="Arial"/>
                <w:sz w:val="13"/>
                <w:szCs w:val="13"/>
                <w:b w:val="1"/>
                <w:bCs w:val="1"/>
                <w:color w:val="auto"/>
                <w:w w:val="95"/>
              </w:rPr>
              <w:t>Years</w:t>
            </w:r>
          </w:p>
        </w:tc>
        <w:tc>
          <w:tcPr>
            <w:tcW w:w="560" w:type="dxa"/>
            <w:vAlign w:val="bottom"/>
          </w:tcPr>
          <w:p>
            <w:pPr>
              <w:jc w:val="center"/>
              <w:spacing w:after="0"/>
              <w:rPr>
                <w:sz w:val="20"/>
                <w:szCs w:val="20"/>
                <w:color w:val="auto"/>
              </w:rPr>
            </w:pPr>
            <w:r>
              <w:rPr>
                <w:rFonts w:ascii="Arial" w:cs="Arial" w:eastAsia="Arial" w:hAnsi="Arial"/>
                <w:sz w:val="13"/>
                <w:szCs w:val="13"/>
                <w:b w:val="1"/>
                <w:bCs w:val="1"/>
                <w:color w:val="auto"/>
                <w:w w:val="96"/>
              </w:rPr>
              <w:t>Abstain</w:t>
            </w:r>
          </w:p>
        </w:tc>
        <w:tc>
          <w:tcPr>
            <w:tcW w:w="0" w:type="dxa"/>
            <w:vAlign w:val="bottom"/>
          </w:tcPr>
          <w:p>
            <w:pPr>
              <w:spacing w:after="0"/>
              <w:rPr>
                <w:sz w:val="1"/>
                <w:szCs w:val="1"/>
                <w:color w:val="auto"/>
              </w:rPr>
            </w:pPr>
          </w:p>
        </w:tc>
      </w:tr>
      <w:tr>
        <w:trPr>
          <w:trHeight w:val="280"/>
        </w:trPr>
        <w:tc>
          <w:tcPr>
            <w:tcW w:w="240" w:type="dxa"/>
            <w:vAlign w:val="bottom"/>
          </w:tcPr>
          <w:p>
            <w:pPr>
              <w:spacing w:after="0"/>
              <w:rPr>
                <w:sz w:val="20"/>
                <w:szCs w:val="20"/>
                <w:color w:val="auto"/>
              </w:rPr>
            </w:pPr>
            <w:r>
              <w:rPr>
                <w:rFonts w:ascii="Arial" w:cs="Arial" w:eastAsia="Arial" w:hAnsi="Arial"/>
                <w:sz w:val="13"/>
                <w:szCs w:val="13"/>
                <w:b w:val="1"/>
                <w:bCs w:val="1"/>
                <w:color w:val="auto"/>
              </w:rPr>
              <w:t>3.</w:t>
            </w:r>
          </w:p>
        </w:tc>
        <w:tc>
          <w:tcPr>
            <w:tcW w:w="3060" w:type="dxa"/>
            <w:vAlign w:val="bottom"/>
          </w:tcPr>
          <w:p>
            <w:pPr>
              <w:ind w:left="120"/>
              <w:spacing w:after="0"/>
              <w:rPr>
                <w:sz w:val="20"/>
                <w:szCs w:val="20"/>
                <w:color w:val="auto"/>
              </w:rPr>
            </w:pPr>
            <w:r>
              <w:rPr>
                <w:rFonts w:ascii="Arial" w:cs="Arial" w:eastAsia="Arial" w:hAnsi="Arial"/>
                <w:sz w:val="13"/>
                <w:szCs w:val="13"/>
                <w:color w:val="auto"/>
              </w:rPr>
              <w:t>Approve, by an advisory vote, the frequency of the</w:t>
            </w:r>
          </w:p>
        </w:tc>
        <w:tc>
          <w:tcPr>
            <w:tcW w:w="480" w:type="dxa"/>
            <w:vAlign w:val="bottom"/>
            <w:vMerge w:val="restart"/>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460" w:type="dxa"/>
            <w:vAlign w:val="bottom"/>
            <w:vMerge w:val="restart"/>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640" w:type="dxa"/>
            <w:vAlign w:val="bottom"/>
            <w:vMerge w:val="restart"/>
          </w:tcPr>
          <w:p>
            <w:pPr>
              <w:ind w:left="280"/>
              <w:spacing w:after="0" w:line="181" w:lineRule="exact"/>
              <w:rPr>
                <w:sz w:val="20"/>
                <w:szCs w:val="20"/>
                <w:color w:val="auto"/>
              </w:rPr>
            </w:pPr>
            <w:r>
              <w:rPr>
                <w:rFonts w:ascii="MS PGothic" w:cs="MS PGothic" w:eastAsia="MS PGothic" w:hAnsi="MS PGothic"/>
                <w:sz w:val="18"/>
                <w:szCs w:val="18"/>
                <w:color w:val="auto"/>
              </w:rPr>
              <w:t>☐</w:t>
            </w:r>
          </w:p>
        </w:tc>
        <w:tc>
          <w:tcPr>
            <w:tcW w:w="560" w:type="dxa"/>
            <w:vAlign w:val="bottom"/>
            <w:vMerge w:val="restart"/>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107"/>
        </w:trPr>
        <w:tc>
          <w:tcPr>
            <w:tcW w:w="240" w:type="dxa"/>
            <w:vAlign w:val="bottom"/>
          </w:tcPr>
          <w:p>
            <w:pPr>
              <w:spacing w:after="0"/>
              <w:rPr>
                <w:sz w:val="9"/>
                <w:szCs w:val="9"/>
                <w:color w:val="auto"/>
              </w:rPr>
            </w:pPr>
          </w:p>
        </w:tc>
        <w:tc>
          <w:tcPr>
            <w:tcW w:w="3060" w:type="dxa"/>
            <w:vAlign w:val="bottom"/>
            <w:vMerge w:val="restart"/>
          </w:tcPr>
          <w:p>
            <w:pPr>
              <w:ind w:left="120"/>
              <w:spacing w:after="0"/>
              <w:rPr>
                <w:sz w:val="20"/>
                <w:szCs w:val="20"/>
                <w:color w:val="auto"/>
              </w:rPr>
            </w:pPr>
            <w:r>
              <w:rPr>
                <w:rFonts w:ascii="Arial" w:cs="Arial" w:eastAsia="Arial" w:hAnsi="Arial"/>
                <w:sz w:val="13"/>
                <w:szCs w:val="13"/>
                <w:color w:val="auto"/>
              </w:rPr>
              <w:t>advisory vote on executive compensation.</w:t>
            </w:r>
          </w:p>
        </w:tc>
        <w:tc>
          <w:tcPr>
            <w:tcW w:w="480" w:type="dxa"/>
            <w:vAlign w:val="bottom"/>
            <w:vMerge w:val="continue"/>
          </w:tcPr>
          <w:p>
            <w:pPr>
              <w:spacing w:after="0"/>
              <w:rPr>
                <w:sz w:val="9"/>
                <w:szCs w:val="9"/>
                <w:color w:val="auto"/>
              </w:rPr>
            </w:pPr>
          </w:p>
        </w:tc>
        <w:tc>
          <w:tcPr>
            <w:tcW w:w="46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5"/>
        </w:trPr>
        <w:tc>
          <w:tcPr>
            <w:tcW w:w="240" w:type="dxa"/>
            <w:vAlign w:val="bottom"/>
          </w:tcPr>
          <w:p>
            <w:pPr>
              <w:spacing w:after="0"/>
              <w:rPr>
                <w:sz w:val="3"/>
                <w:szCs w:val="3"/>
                <w:color w:val="auto"/>
              </w:rPr>
            </w:pPr>
          </w:p>
        </w:tc>
        <w:tc>
          <w:tcPr>
            <w:tcW w:w="3060" w:type="dxa"/>
            <w:vAlign w:val="bottom"/>
            <w:vMerge w:val="continue"/>
          </w:tcPr>
          <w:p>
            <w:pPr>
              <w:spacing w:after="0"/>
              <w:rPr>
                <w:sz w:val="3"/>
                <w:szCs w:val="3"/>
                <w:color w:val="auto"/>
              </w:rPr>
            </w:pPr>
          </w:p>
        </w:tc>
        <w:tc>
          <w:tcPr>
            <w:tcW w:w="480" w:type="dxa"/>
            <w:vAlign w:val="bottom"/>
          </w:tcPr>
          <w:p>
            <w:pPr>
              <w:spacing w:after="0"/>
              <w:rPr>
                <w:sz w:val="3"/>
                <w:szCs w:val="3"/>
                <w:color w:val="auto"/>
              </w:rPr>
            </w:pPr>
          </w:p>
        </w:tc>
        <w:tc>
          <w:tcPr>
            <w:tcW w:w="4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9"/>
        </w:trPr>
        <w:tc>
          <w:tcPr>
            <w:tcW w:w="3780" w:type="dxa"/>
            <w:vAlign w:val="bottom"/>
            <w:gridSpan w:val="3"/>
          </w:tcPr>
          <w:p>
            <w:pPr>
              <w:spacing w:after="0"/>
              <w:rPr>
                <w:sz w:val="20"/>
                <w:szCs w:val="20"/>
                <w:color w:val="auto"/>
              </w:rPr>
            </w:pPr>
            <w:r>
              <w:rPr>
                <w:rFonts w:ascii="Arial" w:cs="Arial" w:eastAsia="Arial" w:hAnsi="Arial"/>
                <w:sz w:val="13"/>
                <w:szCs w:val="13"/>
                <w:b w:val="1"/>
                <w:bCs w:val="1"/>
                <w:color w:val="auto"/>
                <w:w w:val="98"/>
              </w:rPr>
              <w:t>VOTE ON PROPOSAL 4 - The Board of Directors recommends</w:t>
            </w:r>
          </w:p>
        </w:tc>
        <w:tc>
          <w:tcPr>
            <w:tcW w:w="460" w:type="dxa"/>
            <w:vAlign w:val="bottom"/>
          </w:tcPr>
          <w:p>
            <w:pPr>
              <w:ind w:left="180"/>
              <w:spacing w:after="0"/>
              <w:rPr>
                <w:sz w:val="20"/>
                <w:szCs w:val="20"/>
                <w:color w:val="auto"/>
              </w:rPr>
            </w:pPr>
            <w:r>
              <w:rPr>
                <w:rFonts w:ascii="Arial" w:cs="Arial" w:eastAsia="Arial" w:hAnsi="Arial"/>
                <w:sz w:val="13"/>
                <w:szCs w:val="13"/>
                <w:b w:val="1"/>
                <w:bCs w:val="1"/>
                <w:color w:val="auto"/>
              </w:rPr>
              <w:t>For</w:t>
            </w:r>
          </w:p>
        </w:tc>
        <w:tc>
          <w:tcPr>
            <w:tcW w:w="640" w:type="dxa"/>
            <w:vAlign w:val="bottom"/>
          </w:tcPr>
          <w:p>
            <w:pPr>
              <w:jc w:val="center"/>
              <w:spacing w:after="0"/>
              <w:rPr>
                <w:sz w:val="20"/>
                <w:szCs w:val="20"/>
                <w:color w:val="auto"/>
              </w:rPr>
            </w:pPr>
            <w:r>
              <w:rPr>
                <w:rFonts w:ascii="Arial" w:cs="Arial" w:eastAsia="Arial" w:hAnsi="Arial"/>
                <w:sz w:val="13"/>
                <w:szCs w:val="13"/>
                <w:b w:val="1"/>
                <w:bCs w:val="1"/>
                <w:color w:val="auto"/>
                <w:w w:val="96"/>
              </w:rPr>
              <w:t>Against</w:t>
            </w:r>
          </w:p>
        </w:tc>
        <w:tc>
          <w:tcPr>
            <w:tcW w:w="560" w:type="dxa"/>
            <w:vAlign w:val="bottom"/>
          </w:tcPr>
          <w:p>
            <w:pPr>
              <w:jc w:val="center"/>
              <w:spacing w:after="0"/>
              <w:rPr>
                <w:sz w:val="20"/>
                <w:szCs w:val="20"/>
                <w:color w:val="auto"/>
              </w:rPr>
            </w:pPr>
            <w:r>
              <w:rPr>
                <w:rFonts w:ascii="Arial" w:cs="Arial" w:eastAsia="Arial" w:hAnsi="Arial"/>
                <w:sz w:val="13"/>
                <w:szCs w:val="13"/>
                <w:b w:val="1"/>
                <w:bCs w:val="1"/>
                <w:color w:val="auto"/>
                <w:w w:val="96"/>
              </w:rPr>
              <w:t>Abstain</w:t>
            </w:r>
          </w:p>
        </w:tc>
        <w:tc>
          <w:tcPr>
            <w:tcW w:w="0" w:type="dxa"/>
            <w:vAlign w:val="bottom"/>
          </w:tcPr>
          <w:p>
            <w:pPr>
              <w:spacing w:after="0"/>
              <w:rPr>
                <w:sz w:val="1"/>
                <w:szCs w:val="1"/>
                <w:color w:val="auto"/>
              </w:rPr>
            </w:pPr>
          </w:p>
        </w:tc>
      </w:tr>
      <w:tr>
        <w:trPr>
          <w:trHeight w:val="168"/>
        </w:trPr>
        <w:tc>
          <w:tcPr>
            <w:tcW w:w="3300" w:type="dxa"/>
            <w:vAlign w:val="bottom"/>
            <w:gridSpan w:val="2"/>
          </w:tcPr>
          <w:p>
            <w:pPr>
              <w:spacing w:after="0"/>
              <w:rPr>
                <w:sz w:val="20"/>
                <w:szCs w:val="20"/>
                <w:color w:val="auto"/>
              </w:rPr>
            </w:pPr>
            <w:r>
              <w:rPr>
                <w:rFonts w:ascii="Arial" w:cs="Arial" w:eastAsia="Arial" w:hAnsi="Arial"/>
                <w:sz w:val="13"/>
                <w:szCs w:val="13"/>
                <w:b w:val="1"/>
                <w:bCs w:val="1"/>
                <w:color w:val="auto"/>
              </w:rPr>
              <w:t>a vote FOR proposal 4.</w:t>
            </w:r>
          </w:p>
        </w:tc>
        <w:tc>
          <w:tcPr>
            <w:tcW w:w="4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4"/>
        </w:trPr>
        <w:tc>
          <w:tcPr>
            <w:tcW w:w="240" w:type="dxa"/>
            <w:vAlign w:val="bottom"/>
          </w:tcPr>
          <w:p>
            <w:pPr>
              <w:spacing w:after="0"/>
              <w:rPr>
                <w:sz w:val="20"/>
                <w:szCs w:val="20"/>
                <w:color w:val="auto"/>
              </w:rPr>
            </w:pPr>
            <w:r>
              <w:rPr>
                <w:rFonts w:ascii="Arial" w:cs="Arial" w:eastAsia="Arial" w:hAnsi="Arial"/>
                <w:sz w:val="13"/>
                <w:szCs w:val="13"/>
                <w:b w:val="1"/>
                <w:bCs w:val="1"/>
                <w:color w:val="auto"/>
              </w:rPr>
              <w:t>4.</w:t>
            </w:r>
          </w:p>
        </w:tc>
        <w:tc>
          <w:tcPr>
            <w:tcW w:w="3540" w:type="dxa"/>
            <w:vAlign w:val="bottom"/>
            <w:gridSpan w:val="2"/>
          </w:tcPr>
          <w:p>
            <w:pPr>
              <w:ind w:left="120"/>
              <w:spacing w:after="0"/>
              <w:rPr>
                <w:sz w:val="20"/>
                <w:szCs w:val="20"/>
                <w:color w:val="auto"/>
              </w:rPr>
            </w:pPr>
            <w:r>
              <w:rPr>
                <w:rFonts w:ascii="Arial" w:cs="Arial" w:eastAsia="Arial" w:hAnsi="Arial"/>
                <w:sz w:val="13"/>
                <w:szCs w:val="13"/>
                <w:color w:val="auto"/>
              </w:rPr>
              <w:t>Approve our amended and restated 2006 Employee Stock</w:t>
            </w:r>
          </w:p>
        </w:tc>
        <w:tc>
          <w:tcPr>
            <w:tcW w:w="460" w:type="dxa"/>
            <w:vAlign w:val="bottom"/>
            <w:vMerge w:val="restart"/>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640" w:type="dxa"/>
            <w:vAlign w:val="bottom"/>
            <w:vMerge w:val="restart"/>
          </w:tcPr>
          <w:p>
            <w:pPr>
              <w:ind w:left="280"/>
              <w:spacing w:after="0" w:line="181" w:lineRule="exact"/>
              <w:rPr>
                <w:sz w:val="20"/>
                <w:szCs w:val="20"/>
                <w:color w:val="auto"/>
              </w:rPr>
            </w:pPr>
            <w:r>
              <w:rPr>
                <w:rFonts w:ascii="MS PGothic" w:cs="MS PGothic" w:eastAsia="MS PGothic" w:hAnsi="MS PGothic"/>
                <w:sz w:val="18"/>
                <w:szCs w:val="18"/>
                <w:color w:val="auto"/>
              </w:rPr>
              <w:t>☐</w:t>
            </w:r>
          </w:p>
        </w:tc>
        <w:tc>
          <w:tcPr>
            <w:tcW w:w="560" w:type="dxa"/>
            <w:vAlign w:val="bottom"/>
            <w:vMerge w:val="restart"/>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107"/>
        </w:trPr>
        <w:tc>
          <w:tcPr>
            <w:tcW w:w="240" w:type="dxa"/>
            <w:vAlign w:val="bottom"/>
          </w:tcPr>
          <w:p>
            <w:pPr>
              <w:spacing w:after="0"/>
              <w:rPr>
                <w:sz w:val="9"/>
                <w:szCs w:val="9"/>
                <w:color w:val="auto"/>
              </w:rPr>
            </w:pPr>
          </w:p>
        </w:tc>
        <w:tc>
          <w:tcPr>
            <w:tcW w:w="3060" w:type="dxa"/>
            <w:vAlign w:val="bottom"/>
            <w:vMerge w:val="restart"/>
          </w:tcPr>
          <w:p>
            <w:pPr>
              <w:ind w:left="120"/>
              <w:spacing w:after="0"/>
              <w:rPr>
                <w:sz w:val="20"/>
                <w:szCs w:val="20"/>
                <w:color w:val="auto"/>
              </w:rPr>
            </w:pPr>
            <w:r>
              <w:rPr>
                <w:rFonts w:ascii="Arial" w:cs="Arial" w:eastAsia="Arial" w:hAnsi="Arial"/>
                <w:sz w:val="13"/>
                <w:szCs w:val="13"/>
                <w:color w:val="auto"/>
              </w:rPr>
              <w:t>Purchase Plan.</w:t>
            </w:r>
          </w:p>
        </w:tc>
        <w:tc>
          <w:tcPr>
            <w:tcW w:w="480" w:type="dxa"/>
            <w:vAlign w:val="bottom"/>
          </w:tcPr>
          <w:p>
            <w:pPr>
              <w:spacing w:after="0"/>
              <w:rPr>
                <w:sz w:val="9"/>
                <w:szCs w:val="9"/>
                <w:color w:val="auto"/>
              </w:rPr>
            </w:pPr>
          </w:p>
        </w:tc>
        <w:tc>
          <w:tcPr>
            <w:tcW w:w="46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5"/>
        </w:trPr>
        <w:tc>
          <w:tcPr>
            <w:tcW w:w="240" w:type="dxa"/>
            <w:vAlign w:val="bottom"/>
          </w:tcPr>
          <w:p>
            <w:pPr>
              <w:spacing w:after="0"/>
              <w:rPr>
                <w:sz w:val="3"/>
                <w:szCs w:val="3"/>
                <w:color w:val="auto"/>
              </w:rPr>
            </w:pPr>
          </w:p>
        </w:tc>
        <w:tc>
          <w:tcPr>
            <w:tcW w:w="3060" w:type="dxa"/>
            <w:vAlign w:val="bottom"/>
            <w:vMerge w:val="continue"/>
          </w:tcPr>
          <w:p>
            <w:pPr>
              <w:spacing w:after="0"/>
              <w:rPr>
                <w:sz w:val="3"/>
                <w:szCs w:val="3"/>
                <w:color w:val="auto"/>
              </w:rPr>
            </w:pPr>
          </w:p>
        </w:tc>
        <w:tc>
          <w:tcPr>
            <w:tcW w:w="480" w:type="dxa"/>
            <w:vAlign w:val="bottom"/>
          </w:tcPr>
          <w:p>
            <w:pPr>
              <w:spacing w:after="0"/>
              <w:rPr>
                <w:sz w:val="3"/>
                <w:szCs w:val="3"/>
                <w:color w:val="auto"/>
              </w:rPr>
            </w:pPr>
          </w:p>
        </w:tc>
        <w:tc>
          <w:tcPr>
            <w:tcW w:w="4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9"/>
        </w:trPr>
        <w:tc>
          <w:tcPr>
            <w:tcW w:w="3780" w:type="dxa"/>
            <w:vAlign w:val="bottom"/>
            <w:gridSpan w:val="3"/>
          </w:tcPr>
          <w:p>
            <w:pPr>
              <w:spacing w:after="0"/>
              <w:rPr>
                <w:sz w:val="20"/>
                <w:szCs w:val="20"/>
                <w:color w:val="auto"/>
              </w:rPr>
            </w:pPr>
            <w:r>
              <w:rPr>
                <w:rFonts w:ascii="Arial" w:cs="Arial" w:eastAsia="Arial" w:hAnsi="Arial"/>
                <w:sz w:val="13"/>
                <w:szCs w:val="13"/>
                <w:b w:val="1"/>
                <w:bCs w:val="1"/>
                <w:color w:val="auto"/>
                <w:w w:val="98"/>
              </w:rPr>
              <w:t>VOTE ON PROPOSAL 5 - The Board of Directors recommends</w:t>
            </w:r>
          </w:p>
        </w:tc>
        <w:tc>
          <w:tcPr>
            <w:tcW w:w="460" w:type="dxa"/>
            <w:vAlign w:val="bottom"/>
          </w:tcPr>
          <w:p>
            <w:pPr>
              <w:ind w:left="180"/>
              <w:spacing w:after="0"/>
              <w:rPr>
                <w:sz w:val="20"/>
                <w:szCs w:val="20"/>
                <w:color w:val="auto"/>
              </w:rPr>
            </w:pPr>
            <w:r>
              <w:rPr>
                <w:rFonts w:ascii="Arial" w:cs="Arial" w:eastAsia="Arial" w:hAnsi="Arial"/>
                <w:sz w:val="13"/>
                <w:szCs w:val="13"/>
                <w:b w:val="1"/>
                <w:bCs w:val="1"/>
                <w:color w:val="auto"/>
              </w:rPr>
              <w:t>For</w:t>
            </w:r>
          </w:p>
        </w:tc>
        <w:tc>
          <w:tcPr>
            <w:tcW w:w="640" w:type="dxa"/>
            <w:vAlign w:val="bottom"/>
          </w:tcPr>
          <w:p>
            <w:pPr>
              <w:jc w:val="center"/>
              <w:spacing w:after="0"/>
              <w:rPr>
                <w:sz w:val="20"/>
                <w:szCs w:val="20"/>
                <w:color w:val="auto"/>
              </w:rPr>
            </w:pPr>
            <w:r>
              <w:rPr>
                <w:rFonts w:ascii="Arial" w:cs="Arial" w:eastAsia="Arial" w:hAnsi="Arial"/>
                <w:sz w:val="13"/>
                <w:szCs w:val="13"/>
                <w:b w:val="1"/>
                <w:bCs w:val="1"/>
                <w:color w:val="auto"/>
                <w:w w:val="96"/>
              </w:rPr>
              <w:t>Against</w:t>
            </w:r>
          </w:p>
        </w:tc>
        <w:tc>
          <w:tcPr>
            <w:tcW w:w="560" w:type="dxa"/>
            <w:vAlign w:val="bottom"/>
          </w:tcPr>
          <w:p>
            <w:pPr>
              <w:jc w:val="center"/>
              <w:spacing w:after="0"/>
              <w:rPr>
                <w:sz w:val="20"/>
                <w:szCs w:val="20"/>
                <w:color w:val="auto"/>
              </w:rPr>
            </w:pPr>
            <w:r>
              <w:rPr>
                <w:rFonts w:ascii="Arial" w:cs="Arial" w:eastAsia="Arial" w:hAnsi="Arial"/>
                <w:sz w:val="13"/>
                <w:szCs w:val="13"/>
                <w:b w:val="1"/>
                <w:bCs w:val="1"/>
                <w:color w:val="auto"/>
                <w:w w:val="96"/>
              </w:rPr>
              <w:t>Abstain</w:t>
            </w:r>
          </w:p>
        </w:tc>
        <w:tc>
          <w:tcPr>
            <w:tcW w:w="0" w:type="dxa"/>
            <w:vAlign w:val="bottom"/>
          </w:tcPr>
          <w:p>
            <w:pPr>
              <w:spacing w:after="0"/>
              <w:rPr>
                <w:sz w:val="1"/>
                <w:szCs w:val="1"/>
                <w:color w:val="auto"/>
              </w:rPr>
            </w:pPr>
          </w:p>
        </w:tc>
      </w:tr>
      <w:tr>
        <w:trPr>
          <w:trHeight w:val="168"/>
        </w:trPr>
        <w:tc>
          <w:tcPr>
            <w:tcW w:w="3300" w:type="dxa"/>
            <w:vAlign w:val="bottom"/>
            <w:gridSpan w:val="2"/>
          </w:tcPr>
          <w:p>
            <w:pPr>
              <w:spacing w:after="0"/>
              <w:rPr>
                <w:sz w:val="20"/>
                <w:szCs w:val="20"/>
                <w:color w:val="auto"/>
              </w:rPr>
            </w:pPr>
            <w:r>
              <w:rPr>
                <w:rFonts w:ascii="Arial" w:cs="Arial" w:eastAsia="Arial" w:hAnsi="Arial"/>
                <w:sz w:val="13"/>
                <w:szCs w:val="13"/>
                <w:b w:val="1"/>
                <w:bCs w:val="1"/>
                <w:color w:val="auto"/>
              </w:rPr>
              <w:t>a vote FOR proposal 5.</w:t>
            </w:r>
          </w:p>
        </w:tc>
        <w:tc>
          <w:tcPr>
            <w:tcW w:w="4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7"/>
        </w:trPr>
        <w:tc>
          <w:tcPr>
            <w:tcW w:w="240" w:type="dxa"/>
            <w:vAlign w:val="bottom"/>
          </w:tcPr>
          <w:p>
            <w:pPr>
              <w:spacing w:after="0"/>
              <w:rPr>
                <w:sz w:val="20"/>
                <w:szCs w:val="20"/>
                <w:color w:val="auto"/>
              </w:rPr>
            </w:pPr>
            <w:r>
              <w:rPr>
                <w:rFonts w:ascii="Arial" w:cs="Arial" w:eastAsia="Arial" w:hAnsi="Arial"/>
                <w:sz w:val="13"/>
                <w:szCs w:val="13"/>
                <w:b w:val="1"/>
                <w:bCs w:val="1"/>
                <w:color w:val="auto"/>
              </w:rPr>
              <w:t>5.</w:t>
            </w:r>
          </w:p>
        </w:tc>
        <w:tc>
          <w:tcPr>
            <w:tcW w:w="3060" w:type="dxa"/>
            <w:vAlign w:val="bottom"/>
          </w:tcPr>
          <w:p>
            <w:pPr>
              <w:ind w:left="120"/>
              <w:spacing w:after="0"/>
              <w:rPr>
                <w:sz w:val="20"/>
                <w:szCs w:val="20"/>
                <w:color w:val="auto"/>
              </w:rPr>
            </w:pPr>
            <w:r>
              <w:rPr>
                <w:rFonts w:ascii="Arial" w:cs="Arial" w:eastAsia="Arial" w:hAnsi="Arial"/>
                <w:sz w:val="13"/>
                <w:szCs w:val="13"/>
                <w:color w:val="auto"/>
              </w:rPr>
              <w:t>Approve our 2017 Omnibus Incentive Plan.</w:t>
            </w:r>
          </w:p>
        </w:tc>
        <w:tc>
          <w:tcPr>
            <w:tcW w:w="480" w:type="dxa"/>
            <w:vAlign w:val="bottom"/>
          </w:tcPr>
          <w:p>
            <w:pPr>
              <w:spacing w:after="0"/>
              <w:rPr>
                <w:sz w:val="24"/>
                <w:szCs w:val="24"/>
                <w:color w:val="auto"/>
              </w:rPr>
            </w:pPr>
          </w:p>
        </w:tc>
        <w:tc>
          <w:tcPr>
            <w:tcW w:w="460" w:type="dxa"/>
            <w:vAlign w:val="bottom"/>
            <w:vMerge w:val="restart"/>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640" w:type="dxa"/>
            <w:vAlign w:val="bottom"/>
            <w:vMerge w:val="restart"/>
          </w:tcPr>
          <w:p>
            <w:pPr>
              <w:ind w:left="280"/>
              <w:spacing w:after="0" w:line="181" w:lineRule="exact"/>
              <w:rPr>
                <w:sz w:val="20"/>
                <w:szCs w:val="20"/>
                <w:color w:val="auto"/>
              </w:rPr>
            </w:pPr>
            <w:r>
              <w:rPr>
                <w:rFonts w:ascii="MS PGothic" w:cs="MS PGothic" w:eastAsia="MS PGothic" w:hAnsi="MS PGothic"/>
                <w:sz w:val="18"/>
                <w:szCs w:val="18"/>
                <w:color w:val="auto"/>
              </w:rPr>
              <w:t>☐</w:t>
            </w:r>
          </w:p>
        </w:tc>
        <w:tc>
          <w:tcPr>
            <w:tcW w:w="560" w:type="dxa"/>
            <w:vAlign w:val="bottom"/>
            <w:vMerge w:val="restart"/>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90"/>
        </w:trPr>
        <w:tc>
          <w:tcPr>
            <w:tcW w:w="240" w:type="dxa"/>
            <w:vAlign w:val="bottom"/>
          </w:tcPr>
          <w:p>
            <w:pPr>
              <w:spacing w:after="0"/>
              <w:rPr>
                <w:sz w:val="7"/>
                <w:szCs w:val="7"/>
                <w:color w:val="auto"/>
              </w:rPr>
            </w:pPr>
          </w:p>
        </w:tc>
        <w:tc>
          <w:tcPr>
            <w:tcW w:w="3060" w:type="dxa"/>
            <w:vAlign w:val="bottom"/>
          </w:tcPr>
          <w:p>
            <w:pPr>
              <w:spacing w:after="0"/>
              <w:rPr>
                <w:sz w:val="7"/>
                <w:szCs w:val="7"/>
                <w:color w:val="auto"/>
              </w:rPr>
            </w:pPr>
          </w:p>
        </w:tc>
        <w:tc>
          <w:tcPr>
            <w:tcW w:w="480" w:type="dxa"/>
            <w:vAlign w:val="bottom"/>
          </w:tcPr>
          <w:p>
            <w:pPr>
              <w:spacing w:after="0"/>
              <w:rPr>
                <w:sz w:val="7"/>
                <w:szCs w:val="7"/>
                <w:color w:val="auto"/>
              </w:rPr>
            </w:pPr>
          </w:p>
        </w:tc>
        <w:tc>
          <w:tcPr>
            <w:tcW w:w="460" w:type="dxa"/>
            <w:vAlign w:val="bottom"/>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50"/>
        </w:trPr>
        <w:tc>
          <w:tcPr>
            <w:tcW w:w="3780" w:type="dxa"/>
            <w:vAlign w:val="bottom"/>
            <w:gridSpan w:val="3"/>
          </w:tcPr>
          <w:p>
            <w:pPr>
              <w:spacing w:after="0"/>
              <w:rPr>
                <w:sz w:val="20"/>
                <w:szCs w:val="20"/>
                <w:color w:val="auto"/>
              </w:rPr>
            </w:pPr>
            <w:r>
              <w:rPr>
                <w:rFonts w:ascii="Arial" w:cs="Arial" w:eastAsia="Arial" w:hAnsi="Arial"/>
                <w:sz w:val="13"/>
                <w:szCs w:val="13"/>
                <w:b w:val="1"/>
                <w:bCs w:val="1"/>
                <w:color w:val="auto"/>
                <w:w w:val="98"/>
              </w:rPr>
              <w:t>VOTE ON PROPOSAL 6 - The Board of Directors recommends</w:t>
            </w:r>
          </w:p>
        </w:tc>
        <w:tc>
          <w:tcPr>
            <w:tcW w:w="460" w:type="dxa"/>
            <w:vAlign w:val="bottom"/>
          </w:tcPr>
          <w:p>
            <w:pPr>
              <w:ind w:left="180"/>
              <w:spacing w:after="0"/>
              <w:rPr>
                <w:sz w:val="20"/>
                <w:szCs w:val="20"/>
                <w:color w:val="auto"/>
              </w:rPr>
            </w:pPr>
            <w:r>
              <w:rPr>
                <w:rFonts w:ascii="Arial" w:cs="Arial" w:eastAsia="Arial" w:hAnsi="Arial"/>
                <w:sz w:val="13"/>
                <w:szCs w:val="13"/>
                <w:b w:val="1"/>
                <w:bCs w:val="1"/>
                <w:color w:val="auto"/>
              </w:rPr>
              <w:t>For</w:t>
            </w:r>
          </w:p>
        </w:tc>
        <w:tc>
          <w:tcPr>
            <w:tcW w:w="640" w:type="dxa"/>
            <w:vAlign w:val="bottom"/>
          </w:tcPr>
          <w:p>
            <w:pPr>
              <w:jc w:val="center"/>
              <w:spacing w:after="0"/>
              <w:rPr>
                <w:sz w:val="20"/>
                <w:szCs w:val="20"/>
                <w:color w:val="auto"/>
              </w:rPr>
            </w:pPr>
            <w:r>
              <w:rPr>
                <w:rFonts w:ascii="Arial" w:cs="Arial" w:eastAsia="Arial" w:hAnsi="Arial"/>
                <w:sz w:val="13"/>
                <w:szCs w:val="13"/>
                <w:b w:val="1"/>
                <w:bCs w:val="1"/>
                <w:color w:val="auto"/>
                <w:w w:val="96"/>
              </w:rPr>
              <w:t>Against</w:t>
            </w:r>
          </w:p>
        </w:tc>
        <w:tc>
          <w:tcPr>
            <w:tcW w:w="560" w:type="dxa"/>
            <w:vAlign w:val="bottom"/>
          </w:tcPr>
          <w:p>
            <w:pPr>
              <w:jc w:val="center"/>
              <w:spacing w:after="0"/>
              <w:rPr>
                <w:sz w:val="20"/>
                <w:szCs w:val="20"/>
                <w:color w:val="auto"/>
              </w:rPr>
            </w:pPr>
            <w:r>
              <w:rPr>
                <w:rFonts w:ascii="Arial" w:cs="Arial" w:eastAsia="Arial" w:hAnsi="Arial"/>
                <w:sz w:val="13"/>
                <w:szCs w:val="13"/>
                <w:b w:val="1"/>
                <w:bCs w:val="1"/>
                <w:color w:val="auto"/>
                <w:w w:val="96"/>
              </w:rPr>
              <w:t>Abstain</w:t>
            </w:r>
          </w:p>
        </w:tc>
        <w:tc>
          <w:tcPr>
            <w:tcW w:w="0" w:type="dxa"/>
            <w:vAlign w:val="bottom"/>
          </w:tcPr>
          <w:p>
            <w:pPr>
              <w:spacing w:after="0"/>
              <w:rPr>
                <w:sz w:val="1"/>
                <w:szCs w:val="1"/>
                <w:color w:val="auto"/>
              </w:rPr>
            </w:pPr>
          </w:p>
        </w:tc>
      </w:tr>
      <w:tr>
        <w:trPr>
          <w:trHeight w:val="168"/>
        </w:trPr>
        <w:tc>
          <w:tcPr>
            <w:tcW w:w="3300" w:type="dxa"/>
            <w:vAlign w:val="bottom"/>
            <w:gridSpan w:val="2"/>
          </w:tcPr>
          <w:p>
            <w:pPr>
              <w:spacing w:after="0"/>
              <w:rPr>
                <w:sz w:val="20"/>
                <w:szCs w:val="20"/>
                <w:color w:val="auto"/>
              </w:rPr>
            </w:pPr>
            <w:r>
              <w:rPr>
                <w:rFonts w:ascii="Arial" w:cs="Arial" w:eastAsia="Arial" w:hAnsi="Arial"/>
                <w:sz w:val="13"/>
                <w:szCs w:val="13"/>
                <w:b w:val="1"/>
                <w:bCs w:val="1"/>
                <w:color w:val="auto"/>
              </w:rPr>
              <w:t>a vote FOR proposal 6.</w:t>
            </w:r>
          </w:p>
        </w:tc>
        <w:tc>
          <w:tcPr>
            <w:tcW w:w="4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4"/>
        </w:trPr>
        <w:tc>
          <w:tcPr>
            <w:tcW w:w="240" w:type="dxa"/>
            <w:vAlign w:val="bottom"/>
          </w:tcPr>
          <w:p>
            <w:pPr>
              <w:spacing w:after="0"/>
              <w:rPr>
                <w:sz w:val="20"/>
                <w:szCs w:val="20"/>
                <w:color w:val="auto"/>
              </w:rPr>
            </w:pPr>
            <w:r>
              <w:rPr>
                <w:rFonts w:ascii="Arial" w:cs="Arial" w:eastAsia="Arial" w:hAnsi="Arial"/>
                <w:sz w:val="13"/>
                <w:szCs w:val="13"/>
                <w:b w:val="1"/>
                <w:bCs w:val="1"/>
                <w:color w:val="auto"/>
              </w:rPr>
              <w:t>6.</w:t>
            </w:r>
          </w:p>
        </w:tc>
        <w:tc>
          <w:tcPr>
            <w:tcW w:w="3540" w:type="dxa"/>
            <w:vAlign w:val="bottom"/>
            <w:gridSpan w:val="2"/>
          </w:tcPr>
          <w:p>
            <w:pPr>
              <w:ind w:left="120"/>
              <w:spacing w:after="0"/>
              <w:rPr>
                <w:sz w:val="20"/>
                <w:szCs w:val="20"/>
                <w:color w:val="auto"/>
              </w:rPr>
            </w:pPr>
            <w:r>
              <w:rPr>
                <w:rFonts w:ascii="Arial" w:cs="Arial" w:eastAsia="Arial" w:hAnsi="Arial"/>
                <w:sz w:val="13"/>
                <w:szCs w:val="13"/>
                <w:color w:val="auto"/>
                <w:w w:val="98"/>
              </w:rPr>
              <w:t>The ratification of the appointment of Deloitte &amp; Touche LLP</w:t>
            </w:r>
          </w:p>
        </w:tc>
        <w:tc>
          <w:tcPr>
            <w:tcW w:w="4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640" w:type="dxa"/>
            <w:vAlign w:val="bottom"/>
          </w:tcPr>
          <w:p>
            <w:pPr>
              <w:ind w:left="280"/>
              <w:spacing w:after="0" w:line="181" w:lineRule="exact"/>
              <w:rPr>
                <w:sz w:val="20"/>
                <w:szCs w:val="20"/>
                <w:color w:val="auto"/>
              </w:rPr>
            </w:pPr>
            <w:r>
              <w:rPr>
                <w:rFonts w:ascii="MS PGothic" w:cs="MS PGothic" w:eastAsia="MS PGothic" w:hAnsi="MS PGothic"/>
                <w:sz w:val="18"/>
                <w:szCs w:val="18"/>
                <w:color w:val="auto"/>
              </w:rPr>
              <w:t>☐</w:t>
            </w:r>
          </w:p>
        </w:tc>
        <w:tc>
          <w:tcPr>
            <w:tcW w:w="56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135"/>
        </w:trPr>
        <w:tc>
          <w:tcPr>
            <w:tcW w:w="240" w:type="dxa"/>
            <w:vAlign w:val="bottom"/>
          </w:tcPr>
          <w:p>
            <w:pPr>
              <w:spacing w:after="0"/>
              <w:rPr>
                <w:sz w:val="11"/>
                <w:szCs w:val="11"/>
                <w:color w:val="auto"/>
              </w:rPr>
            </w:pPr>
          </w:p>
        </w:tc>
        <w:tc>
          <w:tcPr>
            <w:tcW w:w="3540" w:type="dxa"/>
            <w:vAlign w:val="bottom"/>
            <w:gridSpan w:val="2"/>
          </w:tcPr>
          <w:p>
            <w:pPr>
              <w:ind w:left="120"/>
              <w:spacing w:after="0" w:line="135" w:lineRule="exact"/>
              <w:rPr>
                <w:sz w:val="20"/>
                <w:szCs w:val="20"/>
                <w:color w:val="auto"/>
              </w:rPr>
            </w:pPr>
            <w:r>
              <w:rPr>
                <w:rFonts w:ascii="Arial" w:cs="Arial" w:eastAsia="Arial" w:hAnsi="Arial"/>
                <w:sz w:val="13"/>
                <w:szCs w:val="13"/>
                <w:color w:val="auto"/>
                <w:w w:val="99"/>
              </w:rPr>
              <w:t>as our independent registered public accounting firm for the</w:t>
            </w: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ind w:left="360"/>
        <w:spacing w:after="0"/>
        <w:rPr>
          <w:sz w:val="20"/>
          <w:szCs w:val="20"/>
          <w:color w:val="auto"/>
        </w:rPr>
      </w:pPr>
      <w:r>
        <w:rPr>
          <w:rFonts w:ascii="Arial" w:cs="Arial" w:eastAsia="Arial" w:hAnsi="Arial"/>
          <w:sz w:val="13"/>
          <w:szCs w:val="13"/>
          <w:color w:val="auto"/>
        </w:rPr>
        <w:t>fiscal year ending December 29, 2017.</w:t>
      </w:r>
    </w:p>
    <w:p>
      <w:pPr>
        <w:spacing w:after="0" w:line="524" w:lineRule="exact"/>
        <w:rPr>
          <w:sz w:val="20"/>
          <w:szCs w:val="20"/>
          <w:color w:val="auto"/>
        </w:rPr>
      </w:pPr>
    </w:p>
    <w:p>
      <w:pPr>
        <w:sectPr>
          <w:pgSz w:w="11900" w:h="16838" w:orient="portrait"/>
          <w:cols w:equalWidth="0" w:num="2">
            <w:col w:w="5480" w:space="360"/>
            <w:col w:w="5580"/>
          </w:cols>
          <w:pgMar w:left="240" w:top="459" w:right="239" w:bottom="1440" w:gutter="0" w:footer="0" w:header="0"/>
          <w:type w:val="continuous"/>
        </w:sectPr>
      </w:pPr>
    </w:p>
    <w:tbl>
      <w:tblPr>
        <w:tblLayout w:type="fixed"/>
        <w:tblInd w:w="270" w:type="dxa"/>
        <w:tblCellMar>
          <w:top w:w="0" w:type="dxa"/>
          <w:left w:w="0" w:type="dxa"/>
          <w:bottom w:w="0" w:type="dxa"/>
          <w:right w:w="0" w:type="dxa"/>
        </w:tblCellMar>
      </w:tblPr>
      <w:tr>
        <w:trPr>
          <w:trHeight w:val="318"/>
        </w:trPr>
        <w:tc>
          <w:tcPr>
            <w:tcW w:w="3000" w:type="dxa"/>
            <w:vAlign w:val="bottom"/>
            <w:tcBorders>
              <w:top w:val="single" w:sz="8" w:color="auto"/>
              <w:left w:val="single" w:sz="8" w:color="auto"/>
              <w:bottom w:val="single" w:sz="8" w:color="auto"/>
              <w:right w:val="single" w:sz="8" w:color="auto"/>
            </w:tcBorders>
          </w:tcPr>
          <w:p>
            <w:pPr>
              <w:spacing w:after="0"/>
              <w:rPr>
                <w:sz w:val="24"/>
                <w:szCs w:val="24"/>
                <w:color w:val="auto"/>
              </w:rPr>
            </w:pPr>
          </w:p>
        </w:tc>
        <w:tc>
          <w:tcPr>
            <w:tcW w:w="600" w:type="dxa"/>
            <w:vAlign w:val="bottom"/>
            <w:tcBorders>
              <w:top w:val="single" w:sz="8" w:color="auto"/>
              <w:bottom w:val="single" w:sz="8" w:color="auto"/>
              <w:right w:val="single" w:sz="8" w:color="auto"/>
            </w:tcBorders>
          </w:tcPr>
          <w:p>
            <w:pPr>
              <w:spacing w:after="0"/>
              <w:rPr>
                <w:sz w:val="24"/>
                <w:szCs w:val="24"/>
                <w:color w:val="auto"/>
              </w:rPr>
            </w:pPr>
          </w:p>
        </w:tc>
        <w:tc>
          <w:tcPr>
            <w:tcW w:w="1700" w:type="dxa"/>
            <w:vAlign w:val="bottom"/>
            <w:tcBorders>
              <w:right w:val="single" w:sz="8" w:color="auto"/>
            </w:tcBorders>
          </w:tcPr>
          <w:p>
            <w:pPr>
              <w:spacing w:after="0"/>
              <w:rPr>
                <w:sz w:val="24"/>
                <w:szCs w:val="24"/>
                <w:color w:val="auto"/>
              </w:rPr>
            </w:pPr>
          </w:p>
        </w:tc>
        <w:tc>
          <w:tcPr>
            <w:tcW w:w="2940" w:type="dxa"/>
            <w:vAlign w:val="bottom"/>
            <w:tcBorders>
              <w:top w:val="single" w:sz="8" w:color="auto"/>
              <w:bottom w:val="single" w:sz="8" w:color="auto"/>
              <w:right w:val="single" w:sz="8" w:color="auto"/>
            </w:tcBorders>
          </w:tcPr>
          <w:p>
            <w:pPr>
              <w:spacing w:after="0"/>
              <w:rPr>
                <w:sz w:val="24"/>
                <w:szCs w:val="24"/>
                <w:color w:val="auto"/>
              </w:rPr>
            </w:pPr>
          </w:p>
        </w:tc>
        <w:tc>
          <w:tcPr>
            <w:tcW w:w="560" w:type="dxa"/>
            <w:vAlign w:val="bottom"/>
            <w:tcBorders>
              <w:top w:val="single" w:sz="8" w:color="auto"/>
              <w:bottom w:val="single" w:sz="8" w:color="auto"/>
              <w:right w:val="single" w:sz="8" w:color="auto"/>
            </w:tcBorders>
          </w:tcPr>
          <w:p>
            <w:pPr>
              <w:spacing w:after="0"/>
              <w:rPr>
                <w:sz w:val="24"/>
                <w:szCs w:val="24"/>
                <w:color w:val="auto"/>
              </w:rPr>
            </w:pPr>
          </w:p>
        </w:tc>
      </w:tr>
      <w:tr>
        <w:trPr>
          <w:trHeight w:val="152"/>
        </w:trPr>
        <w:tc>
          <w:tcPr>
            <w:tcW w:w="3000" w:type="dxa"/>
            <w:vAlign w:val="bottom"/>
          </w:tcPr>
          <w:p>
            <w:pPr>
              <w:ind w:left="80"/>
              <w:spacing w:after="0"/>
              <w:rPr>
                <w:sz w:val="20"/>
                <w:szCs w:val="20"/>
                <w:color w:val="auto"/>
              </w:rPr>
            </w:pPr>
            <w:r>
              <w:rPr>
                <w:rFonts w:ascii="Arial" w:cs="Arial" w:eastAsia="Arial" w:hAnsi="Arial"/>
                <w:sz w:val="13"/>
                <w:szCs w:val="13"/>
                <w:color w:val="auto"/>
              </w:rPr>
              <w:t>Signature [PLEASE SIGN WITHIN BOX]</w:t>
            </w:r>
          </w:p>
        </w:tc>
        <w:tc>
          <w:tcPr>
            <w:tcW w:w="600" w:type="dxa"/>
            <w:vAlign w:val="bottom"/>
          </w:tcPr>
          <w:p>
            <w:pPr>
              <w:ind w:left="40"/>
              <w:spacing w:after="0"/>
              <w:rPr>
                <w:sz w:val="20"/>
                <w:szCs w:val="20"/>
                <w:color w:val="auto"/>
              </w:rPr>
            </w:pPr>
            <w:r>
              <w:rPr>
                <w:rFonts w:ascii="Arial" w:cs="Arial" w:eastAsia="Arial" w:hAnsi="Arial"/>
                <w:sz w:val="13"/>
                <w:szCs w:val="13"/>
                <w:color w:val="auto"/>
              </w:rPr>
              <w:t>Date</w:t>
            </w:r>
          </w:p>
        </w:tc>
        <w:tc>
          <w:tcPr>
            <w:tcW w:w="1700" w:type="dxa"/>
            <w:vAlign w:val="bottom"/>
          </w:tcPr>
          <w:p>
            <w:pPr>
              <w:spacing w:after="0"/>
              <w:rPr>
                <w:sz w:val="13"/>
                <w:szCs w:val="13"/>
                <w:color w:val="auto"/>
              </w:rPr>
            </w:pPr>
          </w:p>
        </w:tc>
        <w:tc>
          <w:tcPr>
            <w:tcW w:w="2940" w:type="dxa"/>
            <w:vAlign w:val="bottom"/>
          </w:tcPr>
          <w:p>
            <w:pPr>
              <w:ind w:left="80"/>
              <w:spacing w:after="0"/>
              <w:rPr>
                <w:sz w:val="20"/>
                <w:szCs w:val="20"/>
                <w:color w:val="auto"/>
              </w:rPr>
            </w:pPr>
            <w:r>
              <w:rPr>
                <w:rFonts w:ascii="Arial" w:cs="Arial" w:eastAsia="Arial" w:hAnsi="Arial"/>
                <w:sz w:val="13"/>
                <w:szCs w:val="13"/>
                <w:color w:val="auto"/>
              </w:rPr>
              <w:t>Signature (Joint Owners)</w:t>
            </w:r>
          </w:p>
        </w:tc>
        <w:tc>
          <w:tcPr>
            <w:tcW w:w="560" w:type="dxa"/>
            <w:vAlign w:val="bottom"/>
          </w:tcPr>
          <w:p>
            <w:pPr>
              <w:ind w:left="40"/>
              <w:spacing w:after="0"/>
              <w:rPr>
                <w:sz w:val="20"/>
                <w:szCs w:val="20"/>
                <w:color w:val="auto"/>
              </w:rPr>
            </w:pPr>
            <w:r>
              <w:rPr>
                <w:rFonts w:ascii="Arial" w:cs="Arial" w:eastAsia="Arial" w:hAnsi="Arial"/>
                <w:sz w:val="13"/>
                <w:szCs w:val="13"/>
                <w:color w:val="auto"/>
              </w:rPr>
              <w:t>Date</w:t>
            </w:r>
          </w:p>
        </w:tc>
      </w:tr>
    </w:tbl>
    <w:p>
      <w:pPr>
        <w:sectPr>
          <w:pgSz w:w="11900" w:h="16838" w:orient="portrait"/>
          <w:cols w:equalWidth="0" w:num="1">
            <w:col w:w="11420"/>
          </w:cols>
          <w:pgMar w:left="240" w:top="459" w:right="239" w:bottom="1440" w:gutter="0" w:footer="0" w:header="0"/>
          <w:type w:val="continuous"/>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*ADMISSION TICKET*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Please bring this top half of your proxy card, along with a government issued photo I.D.</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order to gain admission to the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You can view the Leidos Annual Report on Form 10-K and the proxy materials for the annual meeting on the</w:t>
      </w:r>
    </w:p>
    <w:p>
      <w:pPr>
        <w:jc w:val="center"/>
        <w:spacing w:after="0"/>
        <w:rPr>
          <w:sz w:val="20"/>
          <w:szCs w:val="20"/>
          <w:color w:val="auto"/>
        </w:rPr>
      </w:pPr>
      <w:r>
        <w:rPr>
          <w:rFonts w:ascii="Arial" w:cs="Arial" w:eastAsia="Arial" w:hAnsi="Arial"/>
          <w:sz w:val="18"/>
          <w:szCs w:val="18"/>
          <w:color w:val="auto"/>
        </w:rPr>
        <w:t>Internet at www.proxyvote.com</w:t>
      </w:r>
    </w:p>
    <w:p>
      <w:pPr>
        <w:spacing w:after="0" w:line="342" w:lineRule="exact"/>
        <w:rPr>
          <w:sz w:val="20"/>
          <w:szCs w:val="20"/>
          <w:color w:val="auto"/>
        </w:rPr>
      </w:pPr>
    </w:p>
    <w:p>
      <w:pPr>
        <w:jc w:val="right"/>
        <w:spacing w:after="0"/>
        <w:rPr>
          <w:sz w:val="20"/>
          <w:szCs w:val="20"/>
          <w:color w:val="auto"/>
        </w:rPr>
      </w:pPr>
      <w:r>
        <w:rPr>
          <w:rFonts w:ascii="Arial" w:cs="Arial" w:eastAsia="Arial" w:hAnsi="Arial"/>
          <w:sz w:val="13"/>
          <w:szCs w:val="13"/>
          <w:color w:val="auto"/>
        </w:rPr>
        <w:t>E21152-P90061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46355</wp:posOffset>
            </wp:positionV>
            <wp:extent cx="7263765" cy="439102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63765" cy="4391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99"/>
        <w:spacing w:after="0"/>
        <w:rPr>
          <w:sz w:val="20"/>
          <w:szCs w:val="20"/>
          <w:color w:val="auto"/>
        </w:rPr>
      </w:pPr>
      <w:r>
        <w:rPr>
          <w:rFonts w:ascii="Arial" w:cs="Arial" w:eastAsia="Arial" w:hAnsi="Arial"/>
          <w:sz w:val="22"/>
          <w:szCs w:val="22"/>
          <w:b w:val="1"/>
          <w:bCs w:val="1"/>
          <w:color w:val="auto"/>
        </w:rPr>
        <w:t>Proxy and Voting Instruction Card for the Annual Meeting of Stockholders - May 12, 2017</w:t>
      </w:r>
    </w:p>
    <w:p>
      <w:pPr>
        <w:spacing w:after="0" w:line="16" w:lineRule="exact"/>
        <w:rPr>
          <w:sz w:val="20"/>
          <w:szCs w:val="20"/>
          <w:color w:val="auto"/>
        </w:rPr>
      </w:pPr>
    </w:p>
    <w:p>
      <w:pPr>
        <w:jc w:val="center"/>
        <w:ind w:right="-99"/>
        <w:spacing w:after="0"/>
        <w:rPr>
          <w:sz w:val="20"/>
          <w:szCs w:val="20"/>
          <w:color w:val="auto"/>
        </w:rPr>
      </w:pPr>
      <w:r>
        <w:rPr>
          <w:rFonts w:ascii="Arial" w:cs="Arial" w:eastAsia="Arial" w:hAnsi="Arial"/>
          <w:sz w:val="22"/>
          <w:szCs w:val="22"/>
          <w:b w:val="1"/>
          <w:bCs w:val="1"/>
          <w:color w:val="auto"/>
        </w:rPr>
        <w:t>This Proxy and Voting Instruction Card is Solicited on Behalf of the Board of Directors</w:t>
      </w:r>
    </w:p>
    <w:p>
      <w:pPr>
        <w:spacing w:after="0" w:line="296" w:lineRule="exact"/>
        <w:rPr>
          <w:sz w:val="20"/>
          <w:szCs w:val="20"/>
          <w:color w:val="auto"/>
        </w:rPr>
      </w:pPr>
    </w:p>
    <w:p>
      <w:pPr>
        <w:jc w:val="both"/>
        <w:ind w:left="160" w:right="40" w:firstLine="648"/>
        <w:spacing w:after="0" w:line="251" w:lineRule="auto"/>
        <w:rPr>
          <w:sz w:val="20"/>
          <w:szCs w:val="20"/>
          <w:color w:val="auto"/>
        </w:rPr>
      </w:pPr>
      <w:r>
        <w:rPr>
          <w:rFonts w:ascii="Arial" w:cs="Arial" w:eastAsia="Arial" w:hAnsi="Arial"/>
          <w:sz w:val="16"/>
          <w:szCs w:val="16"/>
          <w:color w:val="auto"/>
        </w:rPr>
        <w:t>The undersigned hereby appoints Vincent A. Maffeo and Daniel J. Antal, and each of them, with full power of substitution, as proxies to represent the undersigned and to vote all of the shares of common stock the undersigned is entitled to vote at the Annual Meeting of Stockholders of Leidos Holdings, Inc. (the “Company”) to be held at the Company’s office, 700 N. Frederick Avenue, Gaithersburg, MD 20879, on Friday, May 12, 2017, at 9:00 a.m. (local time), and at any adjournment, postponement or continuation thereof (the “2017 Annual Meeting of Stockholders”), as indicated on the reverse side.</w:t>
      </w:r>
    </w:p>
    <w:p>
      <w:pPr>
        <w:spacing w:after="0" w:line="284" w:lineRule="exact"/>
        <w:rPr>
          <w:sz w:val="20"/>
          <w:szCs w:val="20"/>
          <w:color w:val="auto"/>
        </w:rPr>
      </w:pPr>
    </w:p>
    <w:p>
      <w:pPr>
        <w:jc w:val="both"/>
        <w:ind w:left="160" w:right="60" w:firstLine="648"/>
        <w:spacing w:after="0" w:line="253" w:lineRule="auto"/>
        <w:rPr>
          <w:sz w:val="20"/>
          <w:szCs w:val="20"/>
          <w:color w:val="auto"/>
        </w:rPr>
      </w:pPr>
      <w:r>
        <w:rPr>
          <w:rFonts w:ascii="Arial" w:cs="Arial" w:eastAsia="Arial" w:hAnsi="Arial"/>
          <w:sz w:val="16"/>
          <w:szCs w:val="16"/>
          <w:color w:val="auto"/>
        </w:rPr>
        <w:t>For stockholders who are participants in the Leidos, Inc. Retirement Plan (the “Leidos Retirement Plan”), the undersigned also hereby instructs the Trustee, Vanguard Fiduciary Trust Company, and any successor, to vote all of the shares of common stock held for the undersigned’s account in the Leidos Retirement Plan at the 2017 Annual Meeting of Stockholders, as indicated on the reverse side.</w:t>
      </w:r>
    </w:p>
    <w:p>
      <w:pPr>
        <w:spacing w:after="0" w:line="127" w:lineRule="exact"/>
        <w:rPr>
          <w:sz w:val="20"/>
          <w:szCs w:val="20"/>
          <w:color w:val="auto"/>
        </w:rPr>
      </w:pPr>
    </w:p>
    <w:p>
      <w:pPr>
        <w:jc w:val="both"/>
        <w:ind w:left="160" w:right="40" w:firstLine="648"/>
        <w:spacing w:after="0" w:line="251" w:lineRule="auto"/>
        <w:rPr>
          <w:sz w:val="20"/>
          <w:szCs w:val="20"/>
          <w:color w:val="auto"/>
        </w:rPr>
      </w:pPr>
      <w:r>
        <w:rPr>
          <w:rFonts w:ascii="Arial" w:cs="Arial" w:eastAsia="Arial" w:hAnsi="Arial"/>
          <w:sz w:val="16"/>
          <w:szCs w:val="16"/>
          <w:color w:val="auto"/>
        </w:rPr>
        <w:t xml:space="preserve">The shares of common stock to which this proxy and voting instruction card relates will be voted as directed. </w:t>
      </w:r>
      <w:r>
        <w:rPr>
          <w:rFonts w:ascii="Arial" w:cs="Arial" w:eastAsia="Arial" w:hAnsi="Arial"/>
          <w:sz w:val="16"/>
          <w:szCs w:val="16"/>
          <w:b w:val="1"/>
          <w:bCs w:val="1"/>
          <w:color w:val="auto"/>
        </w:rPr>
        <w:t>If this proxy and voting instruction</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card is properly signed and returned but no instructions are indicated with respect to a particular item, (A) the shares represented by this proxy and voting instruction card which the undersigned is entitled to vote will be voted (i) FOR each of the nominees standing for election as a director, (ii) FOR Proposal 2, (iii) in favor of EVERY YEAR on Proposal 3, (iv) FOR Proposal 4, (v) FOR Proposal 5, (vi) FOR Proposal 6 and (vii) in the discretion of the proxy holders, on any other matters properly coming before the meeting and any adjournment, postponement or continuation thereof and (B) the shares represented by this proxy and voting instruction card held for the undersigned’s account in the Leidos Retirement Plan will be voted in the same proportion as the shares held in the Leidos Retirement Plan for which voting instructions have been received are voted. </w:t>
      </w:r>
      <w:r>
        <w:rPr>
          <w:rFonts w:ascii="Arial" w:cs="Arial" w:eastAsia="Arial" w:hAnsi="Arial"/>
          <w:sz w:val="16"/>
          <w:szCs w:val="16"/>
          <w:color w:val="auto"/>
        </w:rPr>
        <w:t>This proxy and voting instruction card, if properly executed and delivered in a timely manner, will revoke all prior proxies and voting</w:t>
      </w:r>
      <w:r>
        <w:rPr>
          <w:rFonts w:ascii="Arial" w:cs="Arial" w:eastAsia="Arial" w:hAnsi="Arial"/>
          <w:sz w:val="16"/>
          <w:szCs w:val="16"/>
          <w:b w:val="1"/>
          <w:bCs w:val="1"/>
          <w:color w:val="auto"/>
        </w:rPr>
        <w:t xml:space="preserve"> </w:t>
      </w:r>
      <w:r>
        <w:rPr>
          <w:rFonts w:ascii="Arial" w:cs="Arial" w:eastAsia="Arial" w:hAnsi="Arial"/>
          <w:sz w:val="16"/>
          <w:szCs w:val="16"/>
          <w:color w:val="auto"/>
        </w:rPr>
        <w:t>instruction cards executed and delivered by the undersigned.</w:t>
      </w:r>
    </w:p>
    <w:p>
      <w:pPr>
        <w:spacing w:after="0" w:line="192" w:lineRule="exact"/>
        <w:rPr>
          <w:sz w:val="20"/>
          <w:szCs w:val="20"/>
          <w:color w:val="auto"/>
        </w:rPr>
      </w:pPr>
    </w:p>
    <w:p>
      <w:pPr>
        <w:jc w:val="both"/>
        <w:ind w:left="160" w:right="60" w:firstLine="648"/>
        <w:spacing w:after="0" w:line="246" w:lineRule="auto"/>
        <w:rPr>
          <w:sz w:val="20"/>
          <w:szCs w:val="20"/>
          <w:color w:val="auto"/>
        </w:rPr>
      </w:pPr>
      <w:r>
        <w:rPr>
          <w:rFonts w:ascii="Arial" w:cs="Arial" w:eastAsia="Arial" w:hAnsi="Arial"/>
          <w:sz w:val="16"/>
          <w:szCs w:val="16"/>
          <w:color w:val="auto"/>
        </w:rPr>
        <w:t>For shares not held in the Leidos Retirement Plan, the deadline for submitting a proxy using the Internet or the telephone is 11:59 p.m. Eastern time on May 11, 2017. For shares held in the Leidos Retirement Plan, the deadline for submitting voting instructions using any of the allowed methods is 11:59 p.m. Eastern time on May 9, 2017.</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Please complete, sign, date and return the Proxy and Voting Instruction Card promptly using the enclosed envelope.</w:t>
      </w:r>
    </w:p>
    <w:p>
      <w:pPr>
        <w:spacing w:after="0" w:line="248"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(Continued and to be signed on reverse side.)</w:t>
      </w:r>
    </w:p>
    <w:sectPr>
      <w:pgSz w:w="11900" w:h="16838" w:orient="portrait"/>
      <w:cols w:equalWidth="0" w:num="1">
        <w:col w:w="11420"/>
      </w:cols>
      <w:pgMar w:left="240" w:top="45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1574095"/>
    <w:multiLevelType w:val="hybridMultilevel"/>
    <w:lvl w:ilvl="0">
      <w:lvlJc w:val="left"/>
      <w:lvlText w:val="☐"/>
      <w:numFmt w:val="bullet"/>
      <w:start w:val="1"/>
    </w:lvl>
  </w:abstractNum>
  <w:abstractNum w:abstractNumId="1">
    <w:nsid w:val="7E0C57B1"/>
    <w:multiLevelType w:val="hybridMultilevel"/>
    <w:lvl w:ilvl="0">
      <w:lvlJc w:val="left"/>
      <w:lvlText w:val="☒"/>
      <w:numFmt w:val="bullet"/>
      <w:start w:val="1"/>
    </w:lvl>
  </w:abstractNum>
  <w:abstractNum w:abstractNumId="2">
    <w:nsid w:val="77AE35EB"/>
    <w:multiLevelType w:val="hybridMultilevel"/>
    <w:lvl w:ilvl="0">
      <w:lvlJc w:val="left"/>
      <w:lvlText w:val="☐"/>
      <w:numFmt w:val="bullet"/>
      <w:start w:val="1"/>
    </w:lvl>
    <w:lvl w:ilvl="1">
      <w:lvlJc w:val="left"/>
      <w:lvlText w:val="%2."/>
      <w:numFmt w:val="decimal"/>
      <w:start w:val="1"/>
    </w:lvl>
  </w:abstractNum>
  <w:abstractNum w:abstractNumId="3">
    <w:nsid w:val="579BE4F1"/>
    <w:multiLevelType w:val="hybridMultilevel"/>
    <w:lvl w:ilvl="0">
      <w:lvlJc w:val="left"/>
      <w:lvlText w:val="%1."/>
      <w:numFmt w:val="decimal"/>
      <w:start w:val="1"/>
    </w:lvl>
  </w:abstractNum>
  <w:abstractNum w:abstractNumId="4">
    <w:nsid w:val="310C50B3"/>
    <w:multiLevelType w:val="hybridMultilevel"/>
    <w:lvl w:ilvl="0">
      <w:lvlJc w:val="left"/>
      <w:lvlText w:val="u"/>
      <w:numFmt w:val="bullet"/>
      <w:start w:val="1"/>
    </w:lvl>
  </w:abstractNum>
  <w:abstractNum w:abstractNumId="5">
    <w:nsid w:val="5FF87E05"/>
    <w:multiLevelType w:val="hybridMultilevel"/>
    <w:lvl w:ilvl="0">
      <w:lvlJc w:val="left"/>
      <w:lvlText w:val="u"/>
      <w:numFmt w:val="bullet"/>
      <w:start w:val="1"/>
    </w:lvl>
  </w:abstractNum>
  <w:abstractNum w:abstractNumId="6">
    <w:nsid w:val="2F305DEF"/>
    <w:multiLevelType w:val="hybridMultilevel"/>
    <w:lvl w:ilvl="0">
      <w:lvlJc w:val="left"/>
      <w:lvlText w:val="u"/>
      <w:numFmt w:val="bullet"/>
      <w:start w:val="1"/>
    </w:lvl>
  </w:abstractNum>
  <w:abstractNum w:abstractNumId="7">
    <w:nsid w:val="25A70BF7"/>
    <w:multiLevelType w:val="hybridMultilevel"/>
    <w:lvl w:ilvl="0">
      <w:lvlJc w:val="left"/>
      <w:lvlText w:val="u"/>
      <w:numFmt w:val="bullet"/>
      <w:start w:val="1"/>
    </w:lvl>
  </w:abstractNum>
  <w:abstractNum w:abstractNumId="8">
    <w:nsid w:val="1DBABF00"/>
    <w:multiLevelType w:val="hybridMultilevel"/>
    <w:lvl w:ilvl="0">
      <w:lvlJc w:val="left"/>
      <w:lvlText w:val="u"/>
      <w:numFmt w:val="bullet"/>
      <w:start w:val="1"/>
    </w:lvl>
  </w:abstractNum>
  <w:abstractNum w:abstractNumId="9">
    <w:nsid w:val="4AD084E9"/>
    <w:multiLevelType w:val="hybridMultilevel"/>
    <w:lvl w:ilvl="0">
      <w:lvlJc w:val="left"/>
      <w:lvlText w:val="u"/>
      <w:numFmt w:val="bullet"/>
      <w:start w:val="1"/>
    </w:lvl>
  </w:abstractNum>
  <w:abstractNum w:abstractNumId="10">
    <w:nsid w:val="1F48EAA1"/>
    <w:multiLevelType w:val="hybridMultilevel"/>
    <w:lvl w:ilvl="0">
      <w:lvlJc w:val="left"/>
      <w:lvlText w:val="u"/>
      <w:numFmt w:val="bullet"/>
      <w:start w:val="1"/>
    </w:lvl>
  </w:abstractNum>
  <w:abstractNum w:abstractNumId="11">
    <w:nsid w:val="1381823A"/>
    <w:multiLevelType w:val="hybridMultilevel"/>
    <w:lvl w:ilvl="0">
      <w:lvlJc w:val="left"/>
      <w:lvlText w:val="u"/>
      <w:numFmt w:val="bullet"/>
      <w:start w:val="1"/>
    </w:lvl>
  </w:abstractNum>
  <w:abstractNum w:abstractNumId="12">
    <w:nsid w:val="5DB70AE5"/>
    <w:multiLevelType w:val="hybridMultilevel"/>
    <w:lvl w:ilvl="0">
      <w:lvlJc w:val="left"/>
      <w:lvlText w:val="2"/>
      <w:numFmt w:val="bullet"/>
      <w:start w:val="1"/>
    </w:lvl>
  </w:abstractNum>
  <w:abstractNum w:abstractNumId="13">
    <w:nsid w:val="100F8FCA"/>
    <w:multiLevelType w:val="hybridMultilevel"/>
    <w:lvl w:ilvl="0">
      <w:lvlJc w:val="left"/>
      <w:lvlText w:val="4"/>
      <w:numFmt w:val="bullet"/>
      <w:start w:val="1"/>
    </w:lvl>
  </w:abstractNum>
  <w:abstractNum w:abstractNumId="14">
    <w:nsid w:val="6590700B"/>
    <w:multiLevelType w:val="hybridMultilevel"/>
    <w:lvl w:ilvl="0">
      <w:lvlJc w:val="left"/>
      <w:lvlText w:val="6"/>
      <w:numFmt w:val="bullet"/>
      <w:start w:val="1"/>
    </w:lvl>
  </w:abstractNum>
  <w:abstractNum w:abstractNumId="15">
    <w:nsid w:val="15014ACB"/>
    <w:multiLevelType w:val="hybridMultilevel"/>
    <w:lvl w:ilvl="0">
      <w:lvlJc w:val="left"/>
      <w:lvlText w:val="8"/>
      <w:numFmt w:val="bullet"/>
      <w:start w:val="1"/>
    </w:lvl>
  </w:abstractNum>
  <w:abstractNum w:abstractNumId="16">
    <w:nsid w:val="5F5E7FD0"/>
    <w:multiLevelType w:val="hybridMultilevel"/>
    <w:lvl w:ilvl="0">
      <w:lvlJc w:val="left"/>
      <w:lvlText w:val="u"/>
      <w:numFmt w:val="bullet"/>
      <w:start w:val="1"/>
    </w:lvl>
  </w:abstractNum>
  <w:abstractNum w:abstractNumId="17">
    <w:nsid w:val="98A3148"/>
    <w:multiLevelType w:val="hybridMultilevel"/>
    <w:lvl w:ilvl="0">
      <w:lvlJc w:val="left"/>
      <w:lvlText w:val="u"/>
      <w:numFmt w:val="bullet"/>
      <w:start w:val="1"/>
    </w:lvl>
  </w:abstractNum>
  <w:abstractNum w:abstractNumId="18">
    <w:nsid w:val="799D0247"/>
    <w:multiLevelType w:val="hybridMultilevel"/>
    <w:lvl w:ilvl="0">
      <w:lvlJc w:val="left"/>
      <w:lvlText w:val="u"/>
      <w:numFmt w:val="bullet"/>
      <w:start w:val="1"/>
    </w:lvl>
  </w:abstractNum>
  <w:abstractNum w:abstractNumId="19">
    <w:nsid w:val="6B94764"/>
    <w:multiLevelType w:val="hybridMultilevel"/>
    <w:lvl w:ilvl="0">
      <w:lvlJc w:val="left"/>
      <w:lvlText w:val="u"/>
      <w:numFmt w:val="bullet"/>
      <w:start w:val="1"/>
    </w:lvl>
  </w:abstractNum>
  <w:abstractNum w:abstractNumId="20">
    <w:nsid w:val="42C296BD"/>
    <w:multiLevelType w:val="hybridMultilevel"/>
    <w:lvl w:ilvl="0">
      <w:lvlJc w:val="left"/>
      <w:lvlText w:val="u"/>
      <w:numFmt w:val="bullet"/>
      <w:start w:val="1"/>
    </w:lvl>
  </w:abstractNum>
  <w:abstractNum w:abstractNumId="21">
    <w:nsid w:val="168E121F"/>
    <w:multiLevelType w:val="hybridMultilevel"/>
    <w:lvl w:ilvl="0">
      <w:lvlJc w:val="left"/>
      <w:lvlText w:val="u"/>
      <w:numFmt w:val="bullet"/>
      <w:start w:val="1"/>
    </w:lvl>
  </w:abstractNum>
  <w:abstractNum w:abstractNumId="22">
    <w:nsid w:val="1EBA5D23"/>
    <w:multiLevelType w:val="hybridMultilevel"/>
    <w:lvl w:ilvl="0">
      <w:lvlJc w:val="left"/>
      <w:lvlText w:val="u"/>
      <w:numFmt w:val="bullet"/>
      <w:start w:val="1"/>
    </w:lvl>
  </w:abstractNum>
  <w:abstractNum w:abstractNumId="23">
    <w:nsid w:val="661E3F1E"/>
    <w:multiLevelType w:val="hybridMultilevel"/>
    <w:lvl w:ilvl="0">
      <w:lvlJc w:val="left"/>
      <w:lvlText w:val="u"/>
      <w:numFmt w:val="bullet"/>
      <w:start w:val="1"/>
    </w:lvl>
    <w:lvl w:ilvl="1">
      <w:lvlJc w:val="left"/>
      <w:lvlText w:val="\endash "/>
      <w:numFmt w:val="bullet"/>
      <w:start w:val="1"/>
    </w:lvl>
  </w:abstractNum>
  <w:abstractNum w:abstractNumId="24">
    <w:nsid w:val="5DC79EA8"/>
    <w:multiLevelType w:val="hybridMultilevel"/>
    <w:lvl w:ilvl="0">
      <w:lvlJc w:val="left"/>
      <w:lvlText w:val="u"/>
      <w:numFmt w:val="bullet"/>
      <w:start w:val="1"/>
    </w:lvl>
  </w:abstractNum>
  <w:abstractNum w:abstractNumId="25">
    <w:nsid w:val="540A471C"/>
    <w:multiLevelType w:val="hybridMultilevel"/>
    <w:lvl w:ilvl="0">
      <w:lvlJc w:val="left"/>
      <w:lvlText w:val="u"/>
      <w:numFmt w:val="bullet"/>
      <w:start w:val="1"/>
    </w:lvl>
  </w:abstractNum>
  <w:abstractNum w:abstractNumId="26">
    <w:nsid w:val="7BD3EE7B"/>
    <w:multiLevelType w:val="hybridMultilevel"/>
    <w:lvl w:ilvl="0">
      <w:lvlJc w:val="left"/>
      <w:lvlText w:val="u"/>
      <w:numFmt w:val="bullet"/>
      <w:start w:val="1"/>
    </w:lvl>
  </w:abstractNum>
  <w:abstractNum w:abstractNumId="27">
    <w:nsid w:val="51D9C564"/>
    <w:multiLevelType w:val="hybridMultilevel"/>
    <w:lvl w:ilvl="0">
      <w:lvlJc w:val="left"/>
      <w:lvlText w:val="(%1)"/>
      <w:numFmt w:val="lowerLetter"/>
      <w:start w:val="1"/>
    </w:lvl>
  </w:abstractNum>
  <w:abstractNum w:abstractNumId="28">
    <w:nsid w:val="613EFDC5"/>
    <w:multiLevelType w:val="hybridMultilevel"/>
    <w:lvl w:ilvl="0">
      <w:lvlJc w:val="left"/>
      <w:lvlText w:val="(%1)"/>
      <w:numFmt w:val="decimal"/>
      <w:start w:val="1"/>
    </w:lvl>
  </w:abstractNum>
  <w:abstractNum w:abstractNumId="29">
    <w:nsid w:val="BF72B14"/>
    <w:multiLevelType w:val="hybridMultilevel"/>
    <w:lvl w:ilvl="0">
      <w:lvlJc w:val="left"/>
      <w:lvlText w:val="(%1)"/>
      <w:numFmt w:val="decimal"/>
      <w:start w:val="4"/>
    </w:lvl>
    <w:lvl w:ilvl="1">
      <w:lvlJc w:val="left"/>
      <w:lvlText w:val="*"/>
      <w:numFmt w:val="bullet"/>
      <w:start w:val="1"/>
    </w:lvl>
  </w:abstractNum>
  <w:abstractNum w:abstractNumId="30">
    <w:nsid w:val="11447B73"/>
    <w:multiLevelType w:val="hybridMultilevel"/>
    <w:lvl w:ilvl="0">
      <w:lvlJc w:val="left"/>
      <w:lvlText w:val="u"/>
      <w:numFmt w:val="bullet"/>
      <w:start w:val="1"/>
    </w:lvl>
  </w:abstractNum>
  <w:abstractNum w:abstractNumId="31">
    <w:nsid w:val="42963E5A"/>
    <w:multiLevelType w:val="hybridMultilevel"/>
    <w:lvl w:ilvl="0">
      <w:lvlJc w:val="left"/>
      <w:lvlText w:val="u"/>
      <w:numFmt w:val="bullet"/>
      <w:start w:val="1"/>
    </w:lvl>
  </w:abstractNum>
  <w:abstractNum w:abstractNumId="32">
    <w:nsid w:val="A0382C5"/>
    <w:multiLevelType w:val="hybridMultilevel"/>
    <w:lvl w:ilvl="0">
      <w:lvlJc w:val="left"/>
      <w:lvlText w:val="u"/>
      <w:numFmt w:val="bullet"/>
      <w:start w:val="1"/>
    </w:lvl>
  </w:abstractNum>
  <w:abstractNum w:abstractNumId="33">
    <w:nsid w:val="8F2B15E"/>
    <w:multiLevelType w:val="hybridMultilevel"/>
    <w:lvl w:ilvl="0">
      <w:lvlJc w:val="left"/>
      <w:lvlText w:val="☑"/>
      <w:numFmt w:val="bullet"/>
      <w:start w:val="1"/>
    </w:lvl>
  </w:abstractNum>
  <w:abstractNum w:abstractNumId="34">
    <w:nsid w:val="1A32234B"/>
    <w:multiLevelType w:val="hybridMultilevel"/>
    <w:lvl w:ilvl="0">
      <w:lvlJc w:val="left"/>
      <w:lvlText w:val="☑"/>
      <w:numFmt w:val="bullet"/>
      <w:start w:val="1"/>
    </w:lvl>
  </w:abstractNum>
  <w:abstractNum w:abstractNumId="35">
    <w:nsid w:val="3B0FD379"/>
    <w:multiLevelType w:val="hybridMultilevel"/>
    <w:lvl w:ilvl="0">
      <w:lvlJc w:val="left"/>
      <w:lvlText w:val="☒"/>
      <w:numFmt w:val="bullet"/>
      <w:start w:val="1"/>
    </w:lvl>
  </w:abstractNum>
  <w:abstractNum w:abstractNumId="36">
    <w:nsid w:val="68EB2F63"/>
    <w:multiLevelType w:val="hybridMultilevel"/>
    <w:lvl w:ilvl="0">
      <w:lvlJc w:val="left"/>
      <w:lvlText w:val="u"/>
      <w:numFmt w:val="bullet"/>
      <w:start w:val="1"/>
    </w:lvl>
  </w:abstractNum>
  <w:abstractNum w:abstractNumId="37">
    <w:nsid w:val="4962813B"/>
    <w:multiLevelType w:val="hybridMultilevel"/>
    <w:lvl w:ilvl="0">
      <w:lvlJc w:val="left"/>
      <w:lvlText w:val="u"/>
      <w:numFmt w:val="bullet"/>
      <w:start w:val="1"/>
    </w:lvl>
  </w:abstractNum>
  <w:abstractNum w:abstractNumId="38">
    <w:nsid w:val="60B6DF70"/>
    <w:multiLevelType w:val="hybridMultilevel"/>
    <w:lvl w:ilvl="0">
      <w:lvlJc w:val="left"/>
      <w:lvlText w:val="(%1)"/>
      <w:numFmt w:val="decimal"/>
      <w:start w:val="1"/>
    </w:lvl>
  </w:abstractNum>
  <w:abstractNum w:abstractNumId="39">
    <w:nsid w:val="6A5EE64"/>
    <w:multiLevelType w:val="hybridMultilevel"/>
    <w:lvl w:ilvl="0">
      <w:lvlJc w:val="left"/>
      <w:lvlText w:val="(%1)"/>
      <w:numFmt w:val="decimal"/>
      <w:start w:val="2"/>
    </w:lvl>
  </w:abstractNum>
  <w:abstractNum w:abstractNumId="40">
    <w:nsid w:val="14330624"/>
    <w:multiLevelType w:val="hybridMultilevel"/>
    <w:lvl w:ilvl="0">
      <w:lvlJc w:val="left"/>
      <w:lvlText w:val="u"/>
      <w:numFmt w:val="bullet"/>
      <w:start w:val="1"/>
    </w:lvl>
  </w:abstractNum>
  <w:abstractNum w:abstractNumId="41">
    <w:nsid w:val="7FFFCA11"/>
    <w:multiLevelType w:val="hybridMultilevel"/>
    <w:lvl w:ilvl="0">
      <w:lvlJc w:val="left"/>
      <w:lvlText w:val="(%1)"/>
      <w:numFmt w:val="decimal"/>
      <w:start w:val="1"/>
    </w:lvl>
  </w:abstractNum>
  <w:abstractNum w:abstractNumId="42">
    <w:nsid w:val="1A27709E"/>
    <w:multiLevelType w:val="hybridMultilevel"/>
    <w:lvl w:ilvl="0">
      <w:lvlJc w:val="left"/>
      <w:lvlText w:val="(%1)"/>
      <w:numFmt w:val="decimal"/>
      <w:start w:val="6"/>
    </w:lvl>
  </w:abstractNum>
  <w:abstractNum w:abstractNumId="43">
    <w:nsid w:val="71EA1109"/>
    <w:multiLevelType w:val="hybridMultilevel"/>
    <w:lvl w:ilvl="0">
      <w:lvlJc w:val="left"/>
      <w:lvlText w:val="(%1)"/>
      <w:numFmt w:val="decimal"/>
      <w:start w:val="1"/>
    </w:lvl>
  </w:abstractNum>
  <w:abstractNum w:abstractNumId="44">
    <w:nsid w:val="100F59DC"/>
    <w:multiLevelType w:val="hybridMultilevel"/>
    <w:lvl w:ilvl="0">
      <w:lvlJc w:val="left"/>
      <w:lvlText w:val="(%1)"/>
      <w:numFmt w:val="decimal"/>
      <w:start w:val="3"/>
    </w:lvl>
  </w:abstractNum>
  <w:abstractNum w:abstractNumId="45">
    <w:nsid w:val="7FB7E0AA"/>
    <w:multiLevelType w:val="hybridMultilevel"/>
    <w:lvl w:ilvl="0">
      <w:lvlJc w:val="left"/>
      <w:lvlText w:val="(%1)"/>
      <w:numFmt w:val="decimal"/>
      <w:start w:val="1"/>
    </w:lvl>
  </w:abstractNum>
  <w:abstractNum w:abstractNumId="46">
    <w:nsid w:val="6EB5BD4"/>
    <w:multiLevelType w:val="hybridMultilevel"/>
    <w:lvl w:ilvl="0">
      <w:lvlJc w:val="left"/>
      <w:lvlText w:val="(%1)"/>
      <w:numFmt w:val="decimal"/>
      <w:start w:val="3"/>
    </w:lvl>
  </w:abstractNum>
  <w:abstractNum w:abstractNumId="47">
    <w:nsid w:val="6F6DD9AC"/>
    <w:multiLevelType w:val="hybridMultilevel"/>
    <w:lvl w:ilvl="0">
      <w:lvlJc w:val="left"/>
      <w:lvlText w:val="(%1)"/>
      <w:numFmt w:val="decimal"/>
      <w:start w:val="1"/>
    </w:lvl>
  </w:abstractNum>
  <w:abstractNum w:abstractNumId="48">
    <w:nsid w:val="94211F2"/>
    <w:multiLevelType w:val="hybridMultilevel"/>
    <w:lvl w:ilvl="0">
      <w:lvlJc w:val="left"/>
      <w:lvlText w:val="(%1)"/>
      <w:numFmt w:val="decimal"/>
      <w:start w:val="1"/>
    </w:lvl>
  </w:abstractNum>
  <w:abstractNum w:abstractNumId="49">
    <w:nsid w:val="885E1B"/>
    <w:multiLevelType w:val="hybridMultilevel"/>
    <w:lvl w:ilvl="0">
      <w:lvlJc w:val="left"/>
      <w:lvlText w:val="(%1)"/>
      <w:numFmt w:val="decimal"/>
      <w:start w:val="1"/>
    </w:lvl>
  </w:abstractNum>
  <w:abstractNum w:abstractNumId="50">
    <w:nsid w:val="76272110"/>
    <w:multiLevelType w:val="hybridMultilevel"/>
    <w:lvl w:ilvl="0">
      <w:lvlJc w:val="left"/>
      <w:lvlText w:val="(%1)"/>
      <w:numFmt w:val="decimal"/>
      <w:start w:val="3"/>
    </w:lvl>
  </w:abstractNum>
  <w:abstractNum w:abstractNumId="51">
    <w:nsid w:val="4C04A8AF"/>
    <w:multiLevelType w:val="hybridMultilevel"/>
    <w:lvl w:ilvl="0">
      <w:lvlJc w:val="left"/>
      <w:lvlText w:val="(%1)"/>
      <w:numFmt w:val="decimal"/>
      <w:start w:val="1"/>
    </w:lvl>
  </w:abstractNum>
  <w:abstractNum w:abstractNumId="52">
    <w:nsid w:val="1716703B"/>
    <w:multiLevelType w:val="hybridMultilevel"/>
    <w:lvl w:ilvl="0">
      <w:lvlJc w:val="left"/>
      <w:lvlText w:val="(%1)"/>
      <w:numFmt w:val="decimal"/>
      <w:start w:val="8"/>
    </w:lvl>
  </w:abstractNum>
  <w:abstractNum w:abstractNumId="53">
    <w:nsid w:val="14E17E33"/>
    <w:multiLevelType w:val="hybridMultilevel"/>
    <w:lvl w:ilvl="0">
      <w:lvlJc w:val="left"/>
      <w:lvlText w:val="(%1)"/>
      <w:numFmt w:val="decimal"/>
      <w:start w:val="1"/>
    </w:lvl>
  </w:abstractNum>
  <w:abstractNum w:abstractNumId="54">
    <w:nsid w:val="3222E7CD"/>
    <w:multiLevelType w:val="hybridMultilevel"/>
    <w:lvl w:ilvl="0">
      <w:lvlJc w:val="left"/>
      <w:lvlText w:val="(%1)"/>
      <w:numFmt w:val="decimal"/>
      <w:start w:val="4"/>
    </w:lvl>
  </w:abstractNum>
  <w:abstractNum w:abstractNumId="55">
    <w:nsid w:val="74DE0EE3"/>
    <w:multiLevelType w:val="hybridMultilevel"/>
    <w:lvl w:ilvl="0">
      <w:lvlJc w:val="left"/>
      <w:lvlText w:val="(%1)"/>
      <w:numFmt w:val="decimal"/>
      <w:start w:val="1"/>
    </w:lvl>
  </w:abstractNum>
  <w:abstractNum w:abstractNumId="56">
    <w:nsid w:val="68EBC550"/>
    <w:multiLevelType w:val="hybridMultilevel"/>
    <w:lvl w:ilvl="0">
      <w:lvlJc w:val="left"/>
      <w:lvlText w:val="(%1)"/>
      <w:numFmt w:val="decimal"/>
      <w:start w:val="1"/>
    </w:lvl>
  </w:abstractNum>
  <w:abstractNum w:abstractNumId="57">
    <w:nsid w:val="2DF6D648"/>
    <w:multiLevelType w:val="hybridMultilevel"/>
    <w:lvl w:ilvl="0">
      <w:lvlJc w:val="left"/>
      <w:lvlText w:val="(%1)"/>
      <w:numFmt w:val="decimal"/>
      <w:start w:val="1"/>
    </w:lvl>
  </w:abstractNum>
  <w:abstractNum w:abstractNumId="58">
    <w:nsid w:val="46B7D447"/>
    <w:multiLevelType w:val="hybridMultilevel"/>
    <w:lvl w:ilvl="0">
      <w:lvlJc w:val="left"/>
      <w:lvlText w:val="(%1)"/>
      <w:numFmt w:val="decimal"/>
      <w:start w:val="3"/>
    </w:lvl>
  </w:abstractNum>
  <w:abstractNum w:abstractNumId="59">
    <w:nsid w:val="4A2AC315"/>
    <w:multiLevelType w:val="hybridMultilevel"/>
    <w:lvl w:ilvl="0">
      <w:lvlJc w:val="left"/>
      <w:lvlText w:val="u"/>
      <w:numFmt w:val="bullet"/>
      <w:start w:val="1"/>
    </w:lvl>
  </w:abstractNum>
  <w:abstractNum w:abstractNumId="60">
    <w:nsid w:val="39EE015C"/>
    <w:multiLevelType w:val="hybridMultilevel"/>
    <w:lvl w:ilvl="0">
      <w:lvlJc w:val="left"/>
      <w:lvlText w:val="u"/>
      <w:numFmt w:val="bullet"/>
      <w:start w:val="1"/>
    </w:lvl>
  </w:abstractNum>
  <w:abstractNum w:abstractNumId="61">
    <w:nsid w:val="57FC4FBB"/>
    <w:multiLevelType w:val="hybridMultilevel"/>
    <w:lvl w:ilvl="0">
      <w:lvlJc w:val="left"/>
      <w:lvlText w:val="u"/>
      <w:numFmt w:val="bullet"/>
      <w:start w:val="1"/>
    </w:lvl>
  </w:abstractNum>
  <w:abstractNum w:abstractNumId="62">
    <w:nsid w:val="CC1016F"/>
    <w:multiLevelType w:val="hybridMultilevel"/>
    <w:lvl w:ilvl="0">
      <w:lvlJc w:val="left"/>
      <w:lvlText w:val="(%1)"/>
      <w:numFmt w:val="lowerLetter"/>
      <w:start w:val="2"/>
    </w:lvl>
  </w:abstractNum>
  <w:abstractNum w:abstractNumId="63">
    <w:nsid w:val="43F18422"/>
    <w:multiLevelType w:val="hybridMultilevel"/>
    <w:lvl w:ilvl="0">
      <w:lvlJc w:val="left"/>
      <w:lvlText w:val="(%1)"/>
      <w:numFmt w:val="lowerRoman"/>
      <w:start w:val="7"/>
    </w:lvl>
  </w:abstractNum>
  <w:abstractNum w:abstractNumId="64">
    <w:nsid w:val="60EF0119"/>
    <w:multiLevelType w:val="hybridMultilevel"/>
    <w:lvl w:ilvl="0">
      <w:lvlJc w:val="left"/>
      <w:lvlText w:val="u"/>
      <w:numFmt w:val="bullet"/>
      <w:start w:val="1"/>
    </w:lvl>
  </w:abstractNum>
  <w:abstractNum w:abstractNumId="65">
    <w:nsid w:val="26F324BA"/>
    <w:multiLevelType w:val="hybridMultilevel"/>
    <w:lvl w:ilvl="0">
      <w:lvlJc w:val="left"/>
      <w:lvlText w:val="(%1)"/>
      <w:numFmt w:val="decimal"/>
      <w:start w:val="1"/>
    </w:lvl>
  </w:abstractNum>
  <w:abstractNum w:abstractNumId="66">
    <w:nsid w:val="7F01579B"/>
    <w:multiLevelType w:val="hybridMultilevel"/>
    <w:lvl w:ilvl="0">
      <w:lvlJc w:val="left"/>
      <w:lvlText w:val="(%1)"/>
      <w:numFmt w:val="lowerLetter"/>
      <w:start w:val="1"/>
    </w:lvl>
  </w:abstractNum>
  <w:abstractNum w:abstractNumId="67">
    <w:nsid w:val="49DA307D"/>
    <w:multiLevelType w:val="hybridMultilevel"/>
    <w:lvl w:ilvl="0">
      <w:lvlJc w:val="left"/>
      <w:lvlText w:val="u"/>
      <w:numFmt w:val="bullet"/>
      <w:start w:val="1"/>
    </w:lvl>
  </w:abstractNum>
  <w:abstractNum w:abstractNumId="68">
    <w:nsid w:val="7055A5F5"/>
    <w:multiLevelType w:val="hybridMultilevel"/>
    <w:lvl w:ilvl="0">
      <w:lvlJc w:val="left"/>
      <w:lvlText w:val="(%1)"/>
      <w:numFmt w:val="decimal"/>
      <w:start w:val="1"/>
    </w:lvl>
  </w:abstractNum>
  <w:abstractNum w:abstractNumId="69">
    <w:nsid w:val="5FB8370B"/>
    <w:multiLevelType w:val="hybridMultilevel"/>
    <w:lvl w:ilvl="0">
      <w:lvlJc w:val="left"/>
      <w:lvlText w:val="(%1)"/>
      <w:numFmt w:val="decimal"/>
      <w:start w:val="1"/>
    </w:lvl>
  </w:abstractNum>
  <w:abstractNum w:abstractNumId="70">
    <w:nsid w:val="50801EE1"/>
    <w:multiLevelType w:val="hybridMultilevel"/>
    <w:lvl w:ilvl="0">
      <w:lvlJc w:val="left"/>
      <w:lvlText w:val="(%1)"/>
      <w:numFmt w:val="decimal"/>
      <w:start w:val="1"/>
    </w:lvl>
  </w:abstractNum>
  <w:abstractNum w:abstractNumId="71">
    <w:nsid w:val="488AC1A"/>
    <w:multiLevelType w:val="hybridMultilevel"/>
    <w:lvl w:ilvl="0">
      <w:lvlJc w:val="left"/>
      <w:lvlText w:val="%1."/>
      <w:numFmt w:val="decimal"/>
      <w:start w:val="1"/>
    </w:lvl>
  </w:abstractNum>
  <w:abstractNum w:abstractNumId="72">
    <w:nsid w:val="5FB8011C"/>
    <w:multiLevelType w:val="hybridMultilevel"/>
    <w:lvl w:ilvl="0">
      <w:lvlJc w:val="left"/>
      <w:lvlText w:val="%1."/>
      <w:numFmt w:val="decimal"/>
      <w:start w:val="2"/>
    </w:lvl>
  </w:abstractNum>
  <w:abstractNum w:abstractNumId="73">
    <w:nsid w:val="6AA78F7F"/>
    <w:multiLevelType w:val="hybridMultilevel"/>
    <w:lvl w:ilvl="0">
      <w:lvlJc w:val="left"/>
      <w:lvlText w:val="%1."/>
      <w:numFmt w:val="decimal"/>
      <w:start w:val="3"/>
    </w:lvl>
  </w:abstractNum>
  <w:abstractNum w:abstractNumId="74">
    <w:nsid w:val="7672BD23"/>
    <w:multiLevelType w:val="hybridMultilevel"/>
    <w:lvl w:ilvl="0">
      <w:lvlJc w:val="left"/>
      <w:lvlText w:val="%1."/>
      <w:numFmt w:val="decimal"/>
      <w:start w:val="4"/>
    </w:lvl>
  </w:abstractNum>
  <w:abstractNum w:abstractNumId="75">
    <w:nsid w:val="6FC75AF8"/>
    <w:multiLevelType w:val="hybridMultilevel"/>
    <w:lvl w:ilvl="0">
      <w:lvlJc w:val="left"/>
      <w:lvlText w:val="%1."/>
      <w:numFmt w:val="decimal"/>
      <w:start w:val="5"/>
    </w:lvl>
  </w:abstractNum>
  <w:abstractNum w:abstractNumId="76">
    <w:nsid w:val="6A5F7029"/>
    <w:multiLevelType w:val="hybridMultilevel"/>
    <w:lvl w:ilvl="0">
      <w:lvlJc w:val="left"/>
      <w:lvlText w:val="(%1)"/>
      <w:numFmt w:val="lowerLetter"/>
      <w:start w:val="1"/>
    </w:lvl>
  </w:abstractNum>
  <w:abstractNum w:abstractNumId="77">
    <w:nsid w:val="7D5E18F8"/>
    <w:multiLevelType w:val="hybridMultilevel"/>
    <w:lvl w:ilvl="0">
      <w:lvlJc w:val="left"/>
      <w:lvlText w:val="%1."/>
      <w:numFmt w:val="decimal"/>
      <w:start w:val="6"/>
    </w:lvl>
  </w:abstractNum>
  <w:abstractNum w:abstractNumId="78">
    <w:nsid w:val="5F3534A4"/>
    <w:multiLevelType w:val="hybridMultilevel"/>
    <w:lvl w:ilvl="0">
      <w:lvlJc w:val="left"/>
      <w:lvlText w:val="%1."/>
      <w:numFmt w:val="decimal"/>
      <w:start w:val="7"/>
    </w:lvl>
  </w:abstractNum>
  <w:abstractNum w:abstractNumId="79">
    <w:nsid w:val="73A1821B"/>
    <w:multiLevelType w:val="hybridMultilevel"/>
    <w:lvl w:ilvl="0">
      <w:lvlJc w:val="left"/>
      <w:lvlText w:val="%1."/>
      <w:numFmt w:val="decimal"/>
      <w:start w:val="8"/>
    </w:lvl>
  </w:abstractNum>
  <w:abstractNum w:abstractNumId="80">
    <w:nsid w:val="7DE67713"/>
    <w:multiLevelType w:val="hybridMultilevel"/>
    <w:lvl w:ilvl="0">
      <w:lvlJc w:val="left"/>
      <w:lvlText w:val="%1."/>
      <w:numFmt w:val="decimal"/>
      <w:start w:val="9"/>
    </w:lvl>
  </w:abstractNum>
  <w:abstractNum w:abstractNumId="81">
    <w:nsid w:val="555C55B5"/>
    <w:multiLevelType w:val="hybridMultilevel"/>
    <w:lvl w:ilvl="0">
      <w:lvlJc w:val="left"/>
      <w:lvlText w:val="%1."/>
      <w:numFmt w:val="decimal"/>
      <w:start w:val="10"/>
    </w:lvl>
    <w:lvl w:ilvl="1">
      <w:lvlJc w:val="left"/>
      <w:lvlText w:val="(%2)"/>
      <w:numFmt w:val="lowerLetter"/>
      <w:start w:val="1"/>
    </w:lvl>
  </w:abstractNum>
  <w:abstractNum w:abstractNumId="82">
    <w:nsid w:val="3FA62ACA"/>
    <w:multiLevelType w:val="hybridMultilevel"/>
    <w:lvl w:ilvl="0">
      <w:lvlJc w:val="left"/>
      <w:lvlText w:val="%1"/>
      <w:numFmt w:val="decimal"/>
      <w:start w:val="1"/>
    </w:lvl>
    <w:lvl w:ilvl="1">
      <w:lvlJc w:val="left"/>
      <w:lvlText w:val="(%2)"/>
      <w:numFmt w:val="lowerLetter"/>
      <w:start w:val="3"/>
    </w:lvl>
  </w:abstractNum>
  <w:abstractNum w:abstractNumId="83">
    <w:nsid w:val="14FCE74E"/>
    <w:multiLevelType w:val="hybridMultilevel"/>
    <w:lvl w:ilvl="0">
      <w:lvlJc w:val="left"/>
      <w:lvlText w:val="%1."/>
      <w:numFmt w:val="decimal"/>
      <w:start w:val="11"/>
    </w:lvl>
    <w:lvl w:ilvl="1">
      <w:lvlJc w:val="left"/>
      <w:lvlText w:val="(%2)"/>
      <w:numFmt w:val="lowerLetter"/>
      <w:start w:val="1"/>
    </w:lvl>
  </w:abstractNum>
  <w:abstractNum w:abstractNumId="84">
    <w:nsid w:val="6A3DD3E8"/>
    <w:multiLevelType w:val="hybridMultilevel"/>
    <w:lvl w:ilvl="0">
      <w:lvlJc w:val="left"/>
      <w:lvlText w:val="%1"/>
      <w:numFmt w:val="decimal"/>
      <w:start w:val="1"/>
    </w:lvl>
    <w:lvl w:ilvl="1">
      <w:lvlJc w:val="left"/>
      <w:lvlText w:val="(%2)"/>
      <w:numFmt w:val="lowerLetter"/>
      <w:start w:val="2"/>
    </w:lvl>
  </w:abstractNum>
  <w:abstractNum w:abstractNumId="85">
    <w:nsid w:val="71C91298"/>
    <w:multiLevelType w:val="hybridMultilevel"/>
    <w:lvl w:ilvl="0">
      <w:lvlJc w:val="left"/>
      <w:lvlText w:val="%1."/>
      <w:numFmt w:val="decimal"/>
      <w:start w:val="13"/>
    </w:lvl>
    <w:lvl w:ilvl="1">
      <w:lvlJc w:val="left"/>
      <w:lvlText w:val="%2"/>
      <w:numFmt w:val="lowerLetter"/>
      <w:start w:val="1"/>
    </w:lvl>
  </w:abstractNum>
  <w:abstractNum w:abstractNumId="86">
    <w:nsid w:val="9DAF632"/>
    <w:multiLevelType w:val="hybridMultilevel"/>
    <w:lvl w:ilvl="0">
      <w:lvlJc w:val="left"/>
      <w:lvlText w:val="%1."/>
      <w:numFmt w:val="decimal"/>
      <w:start w:val="14"/>
    </w:lvl>
  </w:abstractNum>
  <w:abstractNum w:abstractNumId="87">
    <w:nsid w:val="53299938"/>
    <w:multiLevelType w:val="hybridMultilevel"/>
    <w:lvl w:ilvl="0">
      <w:lvlJc w:val="left"/>
      <w:lvlText w:val="%1."/>
      <w:numFmt w:val="decimal"/>
      <w:start w:val="15"/>
    </w:lvl>
  </w:abstractNum>
  <w:abstractNum w:abstractNumId="88">
    <w:nsid w:val="1FBFE8E0"/>
    <w:multiLevelType w:val="hybridMultilevel"/>
    <w:lvl w:ilvl="0">
      <w:lvlJc w:val="left"/>
      <w:lvlText w:val="%1."/>
      <w:numFmt w:val="decimal"/>
      <w:start w:val="16"/>
    </w:lvl>
  </w:abstractNum>
  <w:abstractNum w:abstractNumId="89">
    <w:nsid w:val="5092CA79"/>
    <w:multiLevelType w:val="hybridMultilevel"/>
    <w:lvl w:ilvl="0">
      <w:lvlJc w:val="left"/>
      <w:lvlText w:val="%1."/>
      <w:numFmt w:val="decimal"/>
      <w:start w:val="17"/>
    </w:lvl>
  </w:abstractNum>
  <w:abstractNum w:abstractNumId="90">
    <w:nsid w:val="1D545C4D"/>
    <w:multiLevelType w:val="hybridMultilevel"/>
    <w:lvl w:ilvl="0">
      <w:lvlJc w:val="left"/>
      <w:lvlText w:val="%1."/>
      <w:numFmt w:val="decimal"/>
      <w:start w:val="18"/>
    </w:lvl>
  </w:abstractNum>
  <w:abstractNum w:abstractNumId="91">
    <w:nsid w:val="59ADEA3D"/>
    <w:multiLevelType w:val="hybridMultilevel"/>
    <w:lvl w:ilvl="0">
      <w:lvlJc w:val="left"/>
      <w:lvlText w:val="%1."/>
      <w:numFmt w:val="decimal"/>
      <w:start w:val="19"/>
    </w:lvl>
    <w:lvl w:ilvl="1">
      <w:lvlJc w:val="left"/>
      <w:lvlText w:val="(%2)"/>
      <w:numFmt w:val="lowerLetter"/>
      <w:start w:val="1"/>
    </w:lvl>
  </w:abstractNum>
  <w:abstractNum w:abstractNumId="92">
    <w:nsid w:val="288F1A34"/>
    <w:multiLevelType w:val="hybridMultilevel"/>
    <w:lvl w:ilvl="0">
      <w:lvlJc w:val="left"/>
      <w:lvlText w:val="%1."/>
      <w:numFmt w:val="decimal"/>
      <w:start w:val="21"/>
    </w:lvl>
  </w:abstractNum>
  <w:abstractNum w:abstractNumId="93">
    <w:nsid w:val="2A155DBC"/>
    <w:multiLevelType w:val="hybridMultilevel"/>
    <w:lvl w:ilvl="0">
      <w:lvlJc w:val="left"/>
      <w:lvlText w:val="%1."/>
      <w:numFmt w:val="decimal"/>
      <w:start w:val="22"/>
    </w:lvl>
  </w:abstractNum>
  <w:abstractNum w:abstractNumId="94">
    <w:nsid w:val="1D9F6E5F"/>
    <w:multiLevelType w:val="hybridMultilevel"/>
    <w:lvl w:ilvl="0">
      <w:lvlJc w:val="left"/>
      <w:lvlText w:val="%1."/>
      <w:numFmt w:val="decimal"/>
      <w:start w:val="23"/>
    </w:lvl>
  </w:abstractNum>
  <w:abstractNum w:abstractNumId="95">
    <w:nsid w:val="97E1B4E"/>
    <w:multiLevelType w:val="hybridMultilevel"/>
    <w:lvl w:ilvl="0">
      <w:lvlJc w:val="left"/>
      <w:lvlText w:val="%1."/>
      <w:numFmt w:val="decimal"/>
      <w:start w:val="24"/>
    </w:lvl>
  </w:abstractNum>
  <w:abstractNum w:abstractNumId="96">
    <w:nsid w:val="51088277"/>
    <w:multiLevelType w:val="hybridMultilevel"/>
    <w:lvl w:ilvl="0">
      <w:lvlJc w:val="left"/>
      <w:lvlText w:val="(%1)"/>
      <w:numFmt w:val="lowerLetter"/>
      <w:start w:val="1"/>
    </w:lvl>
  </w:abstractNum>
  <w:abstractNum w:abstractNumId="97">
    <w:nsid w:val="1CA0C5FA"/>
    <w:multiLevelType w:val="hybridMultilevel"/>
    <w:lvl w:ilvl="0">
      <w:lvlJc w:val="left"/>
      <w:lvlText w:val="%1."/>
      <w:numFmt w:val="decimal"/>
      <w:start w:val="26"/>
    </w:lvl>
  </w:abstractNum>
  <w:abstractNum w:abstractNumId="98">
    <w:nsid w:val="53584BCB"/>
    <w:multiLevelType w:val="hybridMultilevel"/>
    <w:lvl w:ilvl="0">
      <w:lvlJc w:val="left"/>
      <w:lvlText w:val="%1."/>
      <w:numFmt w:val="decimal"/>
      <w:start w:val="1"/>
    </w:lvl>
  </w:abstractNum>
  <w:abstractNum w:abstractNumId="99">
    <w:nsid w:val="415E286C"/>
    <w:multiLevelType w:val="hybridMultilevel"/>
    <w:lvl w:ilvl="0">
      <w:lvlJc w:val="left"/>
      <w:lvlText w:val="%1."/>
      <w:numFmt w:val="decimal"/>
      <w:start w:val="2"/>
    </w:lvl>
  </w:abstractNum>
  <w:abstractNum w:abstractNumId="100">
    <w:nsid w:val="7C58FD05"/>
    <w:multiLevelType w:val="hybridMultilevel"/>
    <w:lvl w:ilvl="0">
      <w:lvlJc w:val="left"/>
      <w:lvlText w:val="(%1)"/>
      <w:numFmt w:val="lowerRoman"/>
      <w:start w:val="2"/>
    </w:lvl>
  </w:abstractNum>
  <w:abstractNum w:abstractNumId="101">
    <w:nsid w:val="23D86AAC"/>
    <w:multiLevelType w:val="hybridMultilevel"/>
    <w:lvl w:ilvl="0">
      <w:lvlJc w:val="left"/>
      <w:lvlText w:val="%1."/>
      <w:numFmt w:val="decimal"/>
      <w:start w:val="3"/>
    </w:lvl>
  </w:abstractNum>
  <w:abstractNum w:abstractNumId="102">
    <w:nsid w:val="45E6D486"/>
    <w:multiLevelType w:val="hybridMultilevel"/>
    <w:lvl w:ilvl="0">
      <w:lvlJc w:val="left"/>
      <w:lvlText w:val="(%1)"/>
      <w:numFmt w:val="lowerRoman"/>
      <w:start w:val="1"/>
    </w:lvl>
  </w:abstractNum>
  <w:abstractNum w:abstractNumId="103">
    <w:nsid w:val="5C10FE21"/>
    <w:multiLevelType w:val="hybridMultilevel"/>
    <w:lvl w:ilvl="0">
      <w:lvlJc w:val="left"/>
      <w:lvlText w:val="%1."/>
      <w:numFmt w:val="decimal"/>
      <w:start w:val="4"/>
    </w:lvl>
  </w:abstractNum>
  <w:abstractNum w:abstractNumId="104">
    <w:nsid w:val="E7FFA2B"/>
    <w:multiLevelType w:val="hybridMultilevel"/>
    <w:lvl w:ilvl="0">
      <w:lvlJc w:val="left"/>
      <w:lvlText w:val="%1."/>
      <w:numFmt w:val="decimal"/>
      <w:start w:val="5"/>
    </w:lvl>
  </w:abstractNum>
  <w:abstractNum w:abstractNumId="105">
    <w:nsid w:val="3C5991AA"/>
    <w:multiLevelType w:val="hybridMultilevel"/>
    <w:lvl w:ilvl="0">
      <w:lvlJc w:val="left"/>
      <w:lvlText w:val="%1."/>
      <w:numFmt w:val="decimal"/>
      <w:start w:val="6"/>
    </w:lvl>
  </w:abstractNum>
  <w:abstractNum w:abstractNumId="106">
    <w:nsid w:val="4BD8591A"/>
    <w:multiLevelType w:val="hybridMultilevel"/>
    <w:lvl w:ilvl="0">
      <w:lvlJc w:val="left"/>
      <w:lvlText w:val="%1."/>
      <w:numFmt w:val="decimal"/>
      <w:start w:val="7"/>
    </w:lvl>
  </w:abstractNum>
  <w:abstractNum w:abstractNumId="107">
    <w:nsid w:val="78DF6A55"/>
    <w:multiLevelType w:val="hybridMultilevel"/>
    <w:lvl w:ilvl="0">
      <w:lvlJc w:val="left"/>
      <w:lvlText w:val="%1."/>
      <w:numFmt w:val="decimal"/>
      <w:start w:val="8"/>
    </w:lvl>
  </w:abstractNum>
  <w:abstractNum w:abstractNumId="108">
    <w:nsid w:val="39B7AAA2"/>
    <w:multiLevelType w:val="hybridMultilevel"/>
    <w:lvl w:ilvl="0">
      <w:lvlJc w:val="left"/>
      <w:lvlText w:val="%1."/>
      <w:numFmt w:val="decimal"/>
      <w:start w:val="9"/>
    </w:lvl>
  </w:abstractNum>
  <w:abstractNum w:abstractNumId="109">
    <w:nsid w:val="2B0D8DBE"/>
    <w:multiLevelType w:val="hybridMultilevel"/>
    <w:lvl w:ilvl="0">
      <w:lvlJc w:val="left"/>
      <w:lvlText w:val="(%1)"/>
      <w:numFmt w:val="lowerRoman"/>
      <w:start w:val="1"/>
    </w:lvl>
  </w:abstractNum>
  <w:abstractNum w:abstractNumId="110">
    <w:nsid w:val="6C80EC70"/>
    <w:multiLevelType w:val="hybridMultilevel"/>
    <w:lvl w:ilvl="0">
      <w:lvlJc w:val="left"/>
      <w:lvlText w:val="%1."/>
      <w:numFmt w:val="decimal"/>
      <w:start w:val="10"/>
    </w:lvl>
  </w:abstractNum>
  <w:abstractNum w:abstractNumId="111">
    <w:nsid w:val="379E21B5"/>
    <w:multiLevelType w:val="hybridMultilevel"/>
    <w:lvl w:ilvl="0">
      <w:lvlJc w:val="left"/>
      <w:lvlText w:val="%1."/>
      <w:numFmt w:val="decimal"/>
      <w:start w:val="11"/>
    </w:lvl>
  </w:abstractNum>
  <w:abstractNum w:abstractNumId="112">
    <w:nsid w:val="69E373"/>
    <w:multiLevelType w:val="hybridMultilevel"/>
    <w:lvl w:ilvl="0">
      <w:lvlJc w:val="left"/>
      <w:lvlText w:val="%1."/>
      <w:numFmt w:val="decimal"/>
      <w:start w:val="12"/>
    </w:lvl>
  </w:abstractNum>
  <w:abstractNum w:abstractNumId="113">
    <w:nsid w:val="2C27173B"/>
    <w:multiLevelType w:val="hybridMultilevel"/>
    <w:lvl w:ilvl="0">
      <w:lvlJc w:val="left"/>
      <w:lvlText w:val="(%1)"/>
      <w:numFmt w:val="lowerRoman"/>
      <w:start w:val="15"/>
    </w:lvl>
  </w:abstractNum>
  <w:abstractNum w:abstractNumId="114">
    <w:nsid w:val="4C9B0904"/>
    <w:multiLevelType w:val="hybridMultilevel"/>
    <w:lvl w:ilvl="0">
      <w:lvlJc w:val="left"/>
      <w:lvlText w:val="(%1)"/>
      <w:numFmt w:val="lowerRoman"/>
      <w:start w:val="21"/>
    </w:lvl>
  </w:abstractNum>
  <w:abstractNum w:abstractNumId="115">
    <w:nsid w:val="6AA7B75C"/>
    <w:multiLevelType w:val="hybridMultilevel"/>
    <w:lvl w:ilvl="0">
      <w:lvlJc w:val="left"/>
      <w:lvlText w:val="%1."/>
      <w:numFmt w:val="decimal"/>
      <w:start w:val="13"/>
    </w:lvl>
  </w:abstractNum>
  <w:abstractNum w:abstractNumId="116">
    <w:nsid w:val="1DF029D3"/>
    <w:multiLevelType w:val="hybridMultilevel"/>
    <w:lvl w:ilvl="0">
      <w:lvlJc w:val="left"/>
      <w:lvlText w:val="%1."/>
      <w:numFmt w:val="decimal"/>
      <w:start w:val="14"/>
    </w:lvl>
  </w:abstractNum>
  <w:abstractNum w:abstractNumId="117">
    <w:nsid w:val="5675FF36"/>
    <w:multiLevelType w:val="hybridMultilevel"/>
    <w:lvl w:ilvl="0">
      <w:lvlJc w:val="left"/>
      <w:lvlText w:val="%1."/>
      <w:numFmt w:val="decimal"/>
      <w:start w:val="15"/>
    </w:lvl>
  </w:abstractNum>
  <w:abstractNum w:abstractNumId="118">
    <w:nsid w:val="3DD15094"/>
    <w:multiLevelType w:val="hybridMultilevel"/>
    <w:lvl w:ilvl="0">
      <w:lvlJc w:val="left"/>
      <w:lvlText w:val="(%1)"/>
      <w:numFmt w:val="lowerRoman"/>
      <w:start w:val="1"/>
    </w:lvl>
  </w:abstractNum>
  <w:abstractNum w:abstractNumId="119">
    <w:nsid w:val="3DB012B3"/>
    <w:multiLevelType w:val="hybridMultilevel"/>
    <w:lvl w:ilvl="0">
      <w:lvlJc w:val="left"/>
      <w:lvlText w:val="(%1)"/>
      <w:numFmt w:val="lowerRoman"/>
      <w:start w:val="1"/>
    </w:lvl>
  </w:abstractNum>
  <w:abstractNum w:abstractNumId="120">
    <w:nsid w:val="2708C9AF"/>
    <w:multiLevelType w:val="hybridMultilevel"/>
    <w:lvl w:ilvl="0">
      <w:lvlJc w:val="left"/>
      <w:lvlText w:val="(%1)"/>
      <w:numFmt w:val="lowerRoman"/>
      <w:start w:val="2"/>
    </w:lvl>
  </w:abstractNum>
  <w:abstractNum w:abstractNumId="121">
    <w:nsid w:val="5B25ACE2"/>
    <w:multiLevelType w:val="hybridMultilevel"/>
    <w:lvl w:ilvl="0">
      <w:lvlJc w:val="left"/>
      <w:lvlText w:val="%1."/>
      <w:numFmt w:val="decimal"/>
      <w:start w:val="16"/>
    </w:lvl>
  </w:abstractNum>
  <w:abstractNum w:abstractNumId="122">
    <w:nsid w:val="175DFCF0"/>
    <w:multiLevelType w:val="hybridMultilevel"/>
    <w:lvl w:ilvl="0">
      <w:lvlJc w:val="left"/>
      <w:lvlText w:val="%1."/>
      <w:numFmt w:val="decimal"/>
      <w:start w:val="1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jpeg"/><Relationship Id="rId76" Type="http://schemas.openxmlformats.org/officeDocument/2006/relationships/image" Target="media/image69.jpe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jpeg"/><Relationship Id="rId80" Type="http://schemas.openxmlformats.org/officeDocument/2006/relationships/image" Target="media/image73.jpe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jpeg"/><Relationship Id="rId84" Type="http://schemas.openxmlformats.org/officeDocument/2006/relationships/image" Target="media/image77.jpe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jpeg"/><Relationship Id="rId88" Type="http://schemas.openxmlformats.org/officeDocument/2006/relationships/image" Target="media/image81.jpe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jpeg"/><Relationship Id="rId99" Type="http://schemas.openxmlformats.org/officeDocument/2006/relationships/image" Target="media/image92.jpeg"/><Relationship Id="rId100" Type="http://schemas.openxmlformats.org/officeDocument/2006/relationships/image" Target="media/image93.jpeg"/><Relationship Id="rId101" Type="http://schemas.openxmlformats.org/officeDocument/2006/relationships/image" Target="media/image94.jpeg"/><Relationship Id="rId102" Type="http://schemas.openxmlformats.org/officeDocument/2006/relationships/image" Target="media/image95.jpeg"/><Relationship Id="rId103" Type="http://schemas.openxmlformats.org/officeDocument/2006/relationships/image" Target="media/image96.jpe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jpe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jpe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jpe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jpe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jpe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jpe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jpeg"/><Relationship Id="rId261" Type="http://schemas.openxmlformats.org/officeDocument/2006/relationships/image" Target="media/image254.png"/><Relationship Id="rId262" Type="http://schemas.openxmlformats.org/officeDocument/2006/relationships/image" Target="media/image255.jpeg"/><Relationship Id="rId263" Type="http://schemas.openxmlformats.org/officeDocument/2006/relationships/image" Target="media/image256.jpe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2020-01-16T17:26:09Z</dcterms:created>
  <dcterms:modified xsi:type="dcterms:W3CDTF">2020-01-16T17:26:09Z</dcterms:modified>
</cp:coreProperties>
</file>